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E45E2" w:rsidRPr="00CE45E2" w14:paraId="78971CEA" w14:textId="77777777">
        <w:trPr>
          <w:trHeight w:hRule="exact" w:val="1417"/>
          <w:jc w:val="center"/>
        </w:trPr>
        <w:tc>
          <w:tcPr>
            <w:tcW w:w="6804" w:type="dxa"/>
            <w:tcBorders>
              <w:top w:val="nil"/>
              <w:left w:val="nil"/>
              <w:bottom w:val="nil"/>
              <w:right w:val="nil"/>
            </w:tcBorders>
            <w:vAlign w:val="center"/>
          </w:tcPr>
          <w:p w14:paraId="6894F566" w14:textId="77777777" w:rsidR="00C03054" w:rsidRPr="00CE45E2" w:rsidRDefault="00965B58">
            <w:pPr>
              <w:pStyle w:val="EPName"/>
            </w:pPr>
            <w:r w:rsidRPr="00CE45E2">
              <w:t>Parlament Europejski</w:t>
            </w:r>
          </w:p>
          <w:p w14:paraId="359732CE" w14:textId="77777777" w:rsidR="00C03054" w:rsidRPr="00CE45E2" w:rsidRDefault="00965B58">
            <w:pPr>
              <w:pStyle w:val="EPTerm"/>
            </w:pPr>
            <w:r w:rsidRPr="00CE45E2">
              <w:t>2024-2029</w:t>
            </w:r>
          </w:p>
        </w:tc>
        <w:tc>
          <w:tcPr>
            <w:tcW w:w="2268" w:type="dxa"/>
            <w:tcBorders>
              <w:top w:val="nil"/>
              <w:left w:val="nil"/>
              <w:bottom w:val="nil"/>
              <w:right w:val="nil"/>
            </w:tcBorders>
          </w:tcPr>
          <w:p w14:paraId="0484E022" w14:textId="77777777" w:rsidR="00C03054" w:rsidRPr="00CE45E2" w:rsidRDefault="00965B58">
            <w:pPr>
              <w:pStyle w:val="EPLogo"/>
            </w:pPr>
            <w:r w:rsidRPr="00CE45E2">
              <w:rPr>
                <w:noProof/>
              </w:rPr>
              <w:drawing>
                <wp:inline distT="0" distB="0" distL="0" distR="0" wp14:anchorId="67E7EE19" wp14:editId="47A632A9">
                  <wp:extent cx="1158875" cy="6610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61035"/>
                          </a:xfrm>
                          <a:prstGeom prst="rect">
                            <a:avLst/>
                          </a:prstGeom>
                          <a:noFill/>
                          <a:ln>
                            <a:noFill/>
                          </a:ln>
                        </pic:spPr>
                      </pic:pic>
                    </a:graphicData>
                  </a:graphic>
                </wp:inline>
              </w:drawing>
            </w:r>
          </w:p>
        </w:tc>
      </w:tr>
    </w:tbl>
    <w:p w14:paraId="583D2F6C" w14:textId="77777777" w:rsidR="00C03054" w:rsidRPr="00CE45E2" w:rsidRDefault="00965B58">
      <w:pPr>
        <w:pStyle w:val="LineTop"/>
      </w:pPr>
      <w:r w:rsidRPr="00CE45E2">
        <w:t xml:space="preserve"> </w:t>
      </w:r>
    </w:p>
    <w:p w14:paraId="3E512A29" w14:textId="77777777" w:rsidR="00C03054" w:rsidRPr="00CE45E2" w:rsidRDefault="00965B58">
      <w:pPr>
        <w:pStyle w:val="EPBody"/>
      </w:pPr>
      <w:r w:rsidRPr="00CE45E2">
        <w:rPr>
          <w:rStyle w:val="HideTWBExt"/>
          <w:rFonts w:eastAsia="Times New Roman"/>
          <w:i w:val="0"/>
        </w:rPr>
        <w:t>&lt;Commission&gt;</w:t>
      </w:r>
      <w:r w:rsidRPr="00CE45E2">
        <w:rPr>
          <w:rStyle w:val="HideTWBInt"/>
          <w:i w:val="0"/>
        </w:rPr>
        <w:t>{ECON}</w:t>
      </w:r>
      <w:r w:rsidRPr="00CE45E2">
        <w:t>Komisja Gospodarcza i Monetarna</w:t>
      </w:r>
      <w:r w:rsidRPr="00CE45E2">
        <w:rPr>
          <w:rStyle w:val="HideTWBExt"/>
          <w:rFonts w:eastAsia="Times New Roman"/>
          <w:i w:val="0"/>
        </w:rPr>
        <w:t>&lt;/</w:t>
      </w:r>
      <w:proofErr w:type="spellStart"/>
      <w:r w:rsidRPr="00CE45E2">
        <w:rPr>
          <w:rStyle w:val="HideTWBExt"/>
          <w:rFonts w:eastAsia="Times New Roman"/>
          <w:i w:val="0"/>
        </w:rPr>
        <w:t>Commission</w:t>
      </w:r>
      <w:proofErr w:type="spellEnd"/>
      <w:r w:rsidRPr="00CE45E2">
        <w:rPr>
          <w:rStyle w:val="HideTWBExt"/>
          <w:rFonts w:eastAsia="Times New Roman"/>
          <w:i w:val="0"/>
        </w:rPr>
        <w:t>&gt;</w:t>
      </w:r>
    </w:p>
    <w:p w14:paraId="4ACB3E43" w14:textId="77777777" w:rsidR="00C03054" w:rsidRPr="00CE45E2" w:rsidRDefault="00965B58">
      <w:pPr>
        <w:pStyle w:val="LineBottom"/>
      </w:pPr>
      <w:r w:rsidRPr="00CE45E2">
        <w:t xml:space="preserve"> </w:t>
      </w:r>
    </w:p>
    <w:p w14:paraId="7220623C" w14:textId="77777777" w:rsidR="00C03054" w:rsidRPr="00CE45E2" w:rsidRDefault="00965B58">
      <w:pPr>
        <w:pStyle w:val="CoverReference"/>
      </w:pPr>
      <w:r w:rsidRPr="00CE45E2">
        <w:rPr>
          <w:rStyle w:val="HideTWBExt"/>
          <w:rFonts w:eastAsia="Times New Roman"/>
          <w:b w:val="0"/>
        </w:rPr>
        <w:t>&lt;RefProc&gt;</w:t>
      </w:r>
      <w:r w:rsidRPr="00CE45E2">
        <w:t>2025/0362</w:t>
      </w:r>
      <w:r w:rsidRPr="00CE45E2">
        <w:rPr>
          <w:rStyle w:val="HideTWBExt"/>
          <w:rFonts w:eastAsia="Times New Roman"/>
          <w:b w:val="0"/>
        </w:rPr>
        <w:t>&lt;/</w:t>
      </w:r>
      <w:proofErr w:type="spellStart"/>
      <w:r w:rsidRPr="00CE45E2">
        <w:rPr>
          <w:rStyle w:val="HideTWBExt"/>
          <w:rFonts w:eastAsia="Times New Roman"/>
          <w:b w:val="0"/>
        </w:rPr>
        <w:t>RefProc</w:t>
      </w:r>
      <w:proofErr w:type="spellEnd"/>
      <w:r w:rsidRPr="00CE45E2">
        <w:rPr>
          <w:rStyle w:val="HideTWBExt"/>
          <w:rFonts w:eastAsia="Times New Roman"/>
          <w:b w:val="0"/>
        </w:rPr>
        <w:t>&gt;&lt;RefTypeProc&gt;</w:t>
      </w:r>
      <w:r w:rsidRPr="00CE45E2">
        <w:t>(COD)</w:t>
      </w:r>
      <w:r w:rsidRPr="00CE45E2">
        <w:rPr>
          <w:rStyle w:val="HideTWBExt"/>
          <w:rFonts w:eastAsia="Times New Roman"/>
          <w:b w:val="0"/>
        </w:rPr>
        <w:t>&lt;/</w:t>
      </w:r>
      <w:proofErr w:type="spellStart"/>
      <w:r w:rsidRPr="00CE45E2">
        <w:rPr>
          <w:rStyle w:val="HideTWBExt"/>
          <w:rFonts w:eastAsia="Times New Roman"/>
          <w:b w:val="0"/>
        </w:rPr>
        <w:t>RefTypeProc</w:t>
      </w:r>
      <w:proofErr w:type="spellEnd"/>
      <w:r w:rsidRPr="00CE45E2">
        <w:rPr>
          <w:rStyle w:val="HideTWBExt"/>
          <w:rFonts w:eastAsia="Times New Roman"/>
          <w:b w:val="0"/>
        </w:rPr>
        <w:t>&gt;</w:t>
      </w:r>
    </w:p>
    <w:p w14:paraId="5F658617" w14:textId="77777777" w:rsidR="00C03054" w:rsidRPr="00CE45E2" w:rsidRDefault="00965B58">
      <w:pPr>
        <w:pStyle w:val="CoverDate"/>
      </w:pPr>
      <w:r w:rsidRPr="00CE45E2">
        <w:rPr>
          <w:rStyle w:val="HideTWBExt"/>
        </w:rPr>
        <w:t>&lt;Date&gt;</w:t>
      </w:r>
      <w:r w:rsidRPr="00CE45E2">
        <w:rPr>
          <w:rStyle w:val="HideTWBInt"/>
        </w:rPr>
        <w:t>{06/07/2026}</w:t>
      </w:r>
      <w:proofErr w:type="gramStart"/>
      <w:r w:rsidRPr="00CE45E2">
        <w:t>6.7.2026</w:t>
      </w:r>
      <w:proofErr w:type="gramEnd"/>
      <w:r w:rsidRPr="00CE45E2">
        <w:rPr>
          <w:rStyle w:val="HideTWBExt"/>
        </w:rPr>
        <w:t>&lt;/</w:t>
      </w:r>
      <w:proofErr w:type="spellStart"/>
      <w:r w:rsidRPr="00CE45E2">
        <w:rPr>
          <w:rStyle w:val="HideTWBExt"/>
        </w:rPr>
        <w:t>Date</w:t>
      </w:r>
      <w:proofErr w:type="spellEnd"/>
      <w:r w:rsidRPr="00CE45E2">
        <w:rPr>
          <w:rStyle w:val="HideTWBExt"/>
        </w:rPr>
        <w:t>&gt;</w:t>
      </w:r>
    </w:p>
    <w:p w14:paraId="54D60894" w14:textId="77777777" w:rsidR="00C03054" w:rsidRPr="00CE45E2" w:rsidRDefault="00965B58">
      <w:pPr>
        <w:pStyle w:val="CoverDocType"/>
      </w:pPr>
      <w:r w:rsidRPr="00CE45E2">
        <w:rPr>
          <w:rStyle w:val="HideTWBExt"/>
          <w:b w:val="0"/>
        </w:rPr>
        <w:t>&lt;TypeAM&gt;</w:t>
      </w:r>
      <w:r w:rsidRPr="00CE45E2">
        <w:t>POPRAWKI</w:t>
      </w:r>
      <w:r w:rsidRPr="00CE45E2">
        <w:rPr>
          <w:rStyle w:val="HideTWBExt"/>
          <w:b w:val="0"/>
        </w:rPr>
        <w:t>&lt;/</w:t>
      </w:r>
      <w:proofErr w:type="spellStart"/>
      <w:r w:rsidRPr="00CE45E2">
        <w:rPr>
          <w:rStyle w:val="HideTWBExt"/>
          <w:b w:val="0"/>
        </w:rPr>
        <w:t>TypeAM</w:t>
      </w:r>
      <w:proofErr w:type="spellEnd"/>
      <w:r w:rsidRPr="00CE45E2">
        <w:rPr>
          <w:rStyle w:val="HideTWBExt"/>
          <w:b w:val="0"/>
        </w:rPr>
        <w:t>&gt;</w:t>
      </w:r>
    </w:p>
    <w:p w14:paraId="32140902" w14:textId="0006D323" w:rsidR="00C03054" w:rsidRPr="00CE45E2" w:rsidRDefault="00965B58">
      <w:pPr>
        <w:pStyle w:val="CoverDocType24a"/>
      </w:pPr>
      <w:r w:rsidRPr="00CE45E2">
        <w:rPr>
          <w:rStyle w:val="HideTWBExt"/>
          <w:rFonts w:eastAsia="Times New Roman"/>
          <w:b w:val="0"/>
        </w:rPr>
        <w:t>&lt;RangeAM&gt;</w:t>
      </w:r>
      <w:r w:rsidR="00430CF1">
        <w:t>104 - 336</w:t>
      </w:r>
      <w:r w:rsidRPr="00CE45E2">
        <w:rPr>
          <w:rStyle w:val="HideTWBExt"/>
          <w:rFonts w:eastAsia="Times New Roman"/>
          <w:b w:val="0"/>
        </w:rPr>
        <w:t>&lt;/</w:t>
      </w:r>
      <w:proofErr w:type="spellStart"/>
      <w:r w:rsidRPr="00CE45E2">
        <w:rPr>
          <w:rStyle w:val="HideTWBExt"/>
          <w:rFonts w:eastAsia="Times New Roman"/>
          <w:b w:val="0"/>
        </w:rPr>
        <w:t>RangeAM</w:t>
      </w:r>
      <w:proofErr w:type="spellEnd"/>
      <w:r w:rsidRPr="00CE45E2">
        <w:rPr>
          <w:rStyle w:val="HideTWBExt"/>
          <w:rFonts w:eastAsia="Times New Roman"/>
          <w:b w:val="0"/>
        </w:rPr>
        <w:t>&gt;</w:t>
      </w:r>
    </w:p>
    <w:p w14:paraId="45AA5324" w14:textId="77777777" w:rsidR="00C03054" w:rsidRPr="00CE45E2" w:rsidRDefault="00965B58">
      <w:pPr>
        <w:pStyle w:val="CoverBold"/>
      </w:pPr>
      <w:r w:rsidRPr="00CE45E2">
        <w:rPr>
          <w:rStyle w:val="HideTWBExt"/>
          <w:b w:val="0"/>
        </w:rPr>
        <w:t>&lt;TitreType&gt;</w:t>
      </w:r>
      <w:r w:rsidRPr="00CE45E2">
        <w:t>Projekt sprawozdania</w:t>
      </w:r>
      <w:r w:rsidRPr="00CE45E2">
        <w:rPr>
          <w:rStyle w:val="HideTWBExt"/>
          <w:b w:val="0"/>
        </w:rPr>
        <w:t>&lt;/</w:t>
      </w:r>
      <w:proofErr w:type="spellStart"/>
      <w:r w:rsidRPr="00CE45E2">
        <w:rPr>
          <w:rStyle w:val="HideTWBExt"/>
          <w:b w:val="0"/>
        </w:rPr>
        <w:t>TitreType</w:t>
      </w:r>
      <w:proofErr w:type="spellEnd"/>
      <w:r w:rsidRPr="00CE45E2">
        <w:rPr>
          <w:rStyle w:val="HideTWBExt"/>
          <w:b w:val="0"/>
        </w:rPr>
        <w:t>&gt;</w:t>
      </w:r>
    </w:p>
    <w:p w14:paraId="32445582" w14:textId="77777777" w:rsidR="00C03054" w:rsidRPr="00CE45E2" w:rsidRDefault="00965B58">
      <w:pPr>
        <w:pStyle w:val="CoverBold"/>
      </w:pPr>
      <w:r w:rsidRPr="00CE45E2">
        <w:rPr>
          <w:rStyle w:val="HideTWBExt"/>
          <w:b w:val="0"/>
        </w:rPr>
        <w:t>&lt;Rapporteur&gt;</w:t>
      </w:r>
      <w:r w:rsidRPr="00CE45E2">
        <w:t xml:space="preserve">Damian </w:t>
      </w:r>
      <w:proofErr w:type="spellStart"/>
      <w:r w:rsidRPr="00CE45E2">
        <w:t>Boeselager</w:t>
      </w:r>
      <w:proofErr w:type="spellEnd"/>
      <w:r w:rsidRPr="00CE45E2">
        <w:rPr>
          <w:rStyle w:val="HideTWBExt"/>
          <w:b w:val="0"/>
        </w:rPr>
        <w:t>&lt;/Rapporteur&gt;</w:t>
      </w:r>
    </w:p>
    <w:p w14:paraId="0291365F" w14:textId="77777777" w:rsidR="00C03054" w:rsidRPr="00CE45E2" w:rsidRDefault="00965B58">
      <w:pPr>
        <w:pStyle w:val="CoverNormal24a"/>
      </w:pPr>
      <w:r w:rsidRPr="00CE45E2">
        <w:rPr>
          <w:rStyle w:val="HideTWBExt"/>
        </w:rPr>
        <w:t>&lt;DocRefPE&gt;</w:t>
      </w:r>
      <w:r w:rsidRPr="00CE45E2">
        <w:t>(PE787.037v01-</w:t>
      </w:r>
      <w:proofErr w:type="gramStart"/>
      <w:r w:rsidRPr="00CE45E2">
        <w:t>00)</w:t>
      </w:r>
      <w:r w:rsidRPr="00CE45E2">
        <w:rPr>
          <w:rStyle w:val="HideTWBExt"/>
        </w:rPr>
        <w:t>&lt;</w:t>
      </w:r>
      <w:proofErr w:type="gramEnd"/>
      <w:r w:rsidRPr="00CE45E2">
        <w:rPr>
          <w:rStyle w:val="HideTWBExt"/>
        </w:rPr>
        <w:t>/</w:t>
      </w:r>
      <w:proofErr w:type="spellStart"/>
      <w:r w:rsidRPr="00CE45E2">
        <w:rPr>
          <w:rStyle w:val="HideTWBExt"/>
        </w:rPr>
        <w:t>DocRefPE</w:t>
      </w:r>
      <w:proofErr w:type="spellEnd"/>
      <w:r w:rsidRPr="00CE45E2">
        <w:rPr>
          <w:rStyle w:val="HideTWBExt"/>
        </w:rPr>
        <w:t>&gt;</w:t>
      </w:r>
    </w:p>
    <w:p w14:paraId="17DF7B55" w14:textId="77777777" w:rsidR="00C03054" w:rsidRPr="00CE45E2" w:rsidRDefault="00965B58">
      <w:pPr>
        <w:pStyle w:val="CoverNormal24a"/>
      </w:pPr>
      <w:r w:rsidRPr="00CE45E2">
        <w:rPr>
          <w:rStyle w:val="HideTWBExt"/>
        </w:rPr>
        <w:t>&lt;Titre&gt;</w:t>
      </w:r>
      <w:r w:rsidRPr="00CE45E2">
        <w:t>Zmiana dyrektywy (UE) 2016/2341 i 2016/97 w odniesieniu do wzmocnienia ram pracowniczych programów emerytalnych</w:t>
      </w:r>
      <w:r w:rsidRPr="00CE45E2">
        <w:rPr>
          <w:rStyle w:val="HideTWBExt"/>
        </w:rPr>
        <w:t>&lt;/</w:t>
      </w:r>
      <w:proofErr w:type="spellStart"/>
      <w:r w:rsidRPr="00CE45E2">
        <w:rPr>
          <w:rStyle w:val="HideTWBExt"/>
        </w:rPr>
        <w:t>Titre</w:t>
      </w:r>
      <w:proofErr w:type="spellEnd"/>
      <w:r w:rsidRPr="00CE45E2">
        <w:rPr>
          <w:rStyle w:val="HideTWBExt"/>
        </w:rPr>
        <w:t>&gt;</w:t>
      </w:r>
    </w:p>
    <w:p w14:paraId="738B34C9" w14:textId="77777777" w:rsidR="00C03054" w:rsidRPr="00CE45E2" w:rsidRDefault="00965B58">
      <w:pPr>
        <w:pStyle w:val="CoverNormal"/>
      </w:pPr>
      <w:r w:rsidRPr="00CE45E2">
        <w:rPr>
          <w:rStyle w:val="HideTWBExt"/>
        </w:rPr>
        <w:t>&lt;DocAmend&gt;</w:t>
      </w:r>
      <w:r w:rsidRPr="00CE45E2">
        <w:t>Wniosek dotyczący dyrektywy</w:t>
      </w:r>
      <w:r w:rsidRPr="00CE45E2">
        <w:rPr>
          <w:rStyle w:val="HideTWBExt"/>
        </w:rPr>
        <w:t>&lt;/</w:t>
      </w:r>
      <w:proofErr w:type="spellStart"/>
      <w:r w:rsidRPr="00CE45E2">
        <w:rPr>
          <w:rStyle w:val="HideTWBExt"/>
        </w:rPr>
        <w:t>DocAmend</w:t>
      </w:r>
      <w:proofErr w:type="spellEnd"/>
      <w:r w:rsidRPr="00CE45E2">
        <w:rPr>
          <w:rStyle w:val="HideTWBExt"/>
        </w:rPr>
        <w:t>&gt;</w:t>
      </w:r>
    </w:p>
    <w:p w14:paraId="3E74E9BF" w14:textId="77777777" w:rsidR="00C03054" w:rsidRPr="00CE45E2" w:rsidRDefault="00965B58">
      <w:pPr>
        <w:pStyle w:val="CoverNormal24a"/>
      </w:pPr>
      <w:r w:rsidRPr="00CE45E2">
        <w:rPr>
          <w:rStyle w:val="HideTWBExt"/>
        </w:rPr>
        <w:t>&lt;DocRef&gt;</w:t>
      </w:r>
      <w:r w:rsidRPr="00CE45E2">
        <w:t>(</w:t>
      </w:r>
      <w:proofErr w:type="gramStart"/>
      <w:r w:rsidRPr="00CE45E2">
        <w:t>COM(</w:t>
      </w:r>
      <w:proofErr w:type="gramEnd"/>
      <w:r w:rsidRPr="00CE45E2">
        <w:t>2025)0842 – 2025/0362(COD))</w:t>
      </w:r>
      <w:r w:rsidRPr="00CE45E2">
        <w:rPr>
          <w:rStyle w:val="HideTWBExt"/>
        </w:rPr>
        <w:t>&lt;/</w:t>
      </w:r>
      <w:proofErr w:type="spellStart"/>
      <w:r w:rsidRPr="00CE45E2">
        <w:rPr>
          <w:rStyle w:val="HideTWBExt"/>
        </w:rPr>
        <w:t>DocRef</w:t>
      </w:r>
      <w:proofErr w:type="spellEnd"/>
      <w:r w:rsidRPr="00CE45E2">
        <w:rPr>
          <w:rStyle w:val="HideTWBExt"/>
        </w:rPr>
        <w:t>&gt;</w:t>
      </w:r>
    </w:p>
    <w:p w14:paraId="26381F6D" w14:textId="77777777" w:rsidR="00C03054" w:rsidRPr="00CE45E2" w:rsidRDefault="00965B58">
      <w:r w:rsidRPr="00CE45E2">
        <w:br w:type="page"/>
      </w:r>
      <w:proofErr w:type="spellStart"/>
      <w:r w:rsidRPr="00CE45E2">
        <w:lastRenderedPageBreak/>
        <w:t>AM_Com_LegReport</w:t>
      </w:r>
      <w:proofErr w:type="spellEnd"/>
    </w:p>
    <w:p w14:paraId="18292039" w14:textId="4EBCEF9B" w:rsidR="00CE45E2" w:rsidRPr="00CE45E2" w:rsidRDefault="00965B58" w:rsidP="00CE45E2">
      <w:pPr>
        <w:pStyle w:val="AmNumberTabs"/>
      </w:pPr>
      <w:r w:rsidRPr="00CE45E2">
        <w:br w:type="page"/>
      </w:r>
      <w:r w:rsidR="00CE45E2" w:rsidRPr="00CE45E2">
        <w:rPr>
          <w:rStyle w:val="HideTWBExt"/>
          <w:b w:val="0"/>
        </w:rPr>
        <w:lastRenderedPageBreak/>
        <w:t>&lt;RepeatBlock-Amend&gt;</w:t>
      </w:r>
      <w:r w:rsidRPr="00CE45E2">
        <w:rPr>
          <w:rStyle w:val="HideTWBExt"/>
          <w:b w:val="0"/>
        </w:rPr>
        <w:t>&lt;Amend&gt;</w:t>
      </w:r>
      <w:r w:rsidR="00CE45E2" w:rsidRPr="00CE45E2">
        <w:t>Poprawka</w:t>
      </w:r>
      <w:r w:rsidR="00CE45E2" w:rsidRPr="00CE45E2">
        <w:tab/>
      </w:r>
      <w:r w:rsidR="00CE45E2" w:rsidRPr="00CE45E2">
        <w:tab/>
      </w:r>
      <w:r w:rsidR="00CE45E2" w:rsidRPr="00CE45E2">
        <w:rPr>
          <w:rStyle w:val="HideTWBExt"/>
          <w:b w:val="0"/>
        </w:rPr>
        <w:t>&lt;NumAm&gt;</w:t>
      </w:r>
      <w:r w:rsidR="00430CF1" w:rsidRPr="00430CF1">
        <w:t>104</w:t>
      </w:r>
      <w:r w:rsidR="00CE45E2" w:rsidRPr="00CE45E2">
        <w:rPr>
          <w:rStyle w:val="HideTWBExt"/>
          <w:b w:val="0"/>
        </w:rPr>
        <w:t>&lt;/</w:t>
      </w:r>
      <w:proofErr w:type="spellStart"/>
      <w:r w:rsidR="00CE45E2" w:rsidRPr="00CE45E2">
        <w:rPr>
          <w:rStyle w:val="HideTWBExt"/>
          <w:b w:val="0"/>
        </w:rPr>
        <w:t>NumAm</w:t>
      </w:r>
      <w:proofErr w:type="spellEnd"/>
      <w:r w:rsidR="00CE45E2" w:rsidRPr="00CE45E2">
        <w:rPr>
          <w:rStyle w:val="HideTWBExt"/>
          <w:b w:val="0"/>
        </w:rPr>
        <w:t>&gt;</w:t>
      </w:r>
    </w:p>
    <w:p w14:paraId="7CC5DC62"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4DA485D9" w14:textId="77777777" w:rsidR="00CE45E2" w:rsidRPr="00CE45E2" w:rsidRDefault="00CE45E2" w:rsidP="00CE45E2">
      <w:pPr>
        <w:pStyle w:val="NormalBold"/>
      </w:pPr>
      <w:r w:rsidRPr="00CE45E2">
        <w:rPr>
          <w:rStyle w:val="HideTWBExt"/>
          <w:b w:val="0"/>
        </w:rPr>
        <w:t>&lt;/RepeatBlock-By&gt;</w:t>
      </w:r>
    </w:p>
    <w:p w14:paraId="3BAFC58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w:t>
      </w:r>
      <w:proofErr w:type="spellStart"/>
      <w:r w:rsidRPr="00CE45E2">
        <w:rPr>
          <w:rStyle w:val="HideTWBExt"/>
          <w:b w:val="0"/>
        </w:rPr>
        <w:t>DocAmend</w:t>
      </w:r>
      <w:proofErr w:type="spellEnd"/>
      <w:r w:rsidRPr="00CE45E2">
        <w:rPr>
          <w:rStyle w:val="HideTWBExt"/>
          <w:b w:val="0"/>
        </w:rPr>
        <w:t>&gt;</w:t>
      </w:r>
    </w:p>
    <w:p w14:paraId="613A8564" w14:textId="77777777" w:rsidR="00CE45E2" w:rsidRPr="00CE45E2" w:rsidRDefault="00CE45E2" w:rsidP="00CE45E2">
      <w:pPr>
        <w:pStyle w:val="NormalBold"/>
      </w:pPr>
      <w:r w:rsidRPr="00CE45E2">
        <w:rPr>
          <w:rStyle w:val="HideTWBExt"/>
          <w:b w:val="0"/>
        </w:rPr>
        <w:t>&lt;Article&gt;</w:t>
      </w:r>
      <w:r w:rsidRPr="00CE45E2">
        <w:t>Motyw 1</w:t>
      </w:r>
      <w:r w:rsidRPr="00CE45E2">
        <w:rPr>
          <w:rStyle w:val="HideTWBExt"/>
          <w:b w:val="0"/>
        </w:rPr>
        <w:t>&lt;/</w:t>
      </w:r>
      <w:proofErr w:type="spellStart"/>
      <w:r w:rsidRPr="00CE45E2">
        <w:rPr>
          <w:rStyle w:val="HideTWBExt"/>
          <w:b w:val="0"/>
        </w:rPr>
        <w:t>Article</w:t>
      </w:r>
      <w:proofErr w:type="spellEnd"/>
      <w:r w:rsidRPr="00CE45E2">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FA9852A" w14:textId="77777777" w:rsidTr="006476FB">
        <w:trPr>
          <w:trHeight w:hRule="exact" w:val="240"/>
          <w:jc w:val="center"/>
        </w:trPr>
        <w:tc>
          <w:tcPr>
            <w:tcW w:w="9752" w:type="dxa"/>
            <w:gridSpan w:val="2"/>
            <w:tcBorders>
              <w:top w:val="nil"/>
              <w:left w:val="nil"/>
              <w:bottom w:val="nil"/>
              <w:right w:val="nil"/>
            </w:tcBorders>
          </w:tcPr>
          <w:p w14:paraId="1D1C3EFF" w14:textId="77777777" w:rsidR="00CE45E2" w:rsidRPr="00CE45E2" w:rsidRDefault="00CE45E2" w:rsidP="006476FB"/>
        </w:tc>
      </w:tr>
      <w:tr w:rsidR="00CE45E2" w:rsidRPr="00CE45E2" w14:paraId="76BE1D24" w14:textId="77777777" w:rsidTr="006476FB">
        <w:trPr>
          <w:trHeight w:val="240"/>
          <w:jc w:val="center"/>
        </w:trPr>
        <w:tc>
          <w:tcPr>
            <w:tcW w:w="4876" w:type="dxa"/>
            <w:tcBorders>
              <w:top w:val="nil"/>
              <w:left w:val="nil"/>
              <w:bottom w:val="nil"/>
              <w:right w:val="nil"/>
            </w:tcBorders>
          </w:tcPr>
          <w:p w14:paraId="056695D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B9037EB" w14:textId="77777777" w:rsidR="00CE45E2" w:rsidRPr="00CE45E2" w:rsidRDefault="00CE45E2" w:rsidP="006476FB">
            <w:pPr>
              <w:pStyle w:val="AmColumnHeading"/>
            </w:pPr>
            <w:r w:rsidRPr="00CE45E2">
              <w:t>Poprawka</w:t>
            </w:r>
          </w:p>
        </w:tc>
      </w:tr>
      <w:tr w:rsidR="00CE45E2" w:rsidRPr="00CE45E2" w14:paraId="234E768F" w14:textId="77777777" w:rsidTr="006476FB">
        <w:trPr>
          <w:jc w:val="center"/>
        </w:trPr>
        <w:tc>
          <w:tcPr>
            <w:tcW w:w="4876" w:type="dxa"/>
            <w:tcBorders>
              <w:top w:val="nil"/>
              <w:left w:val="nil"/>
              <w:bottom w:val="nil"/>
              <w:right w:val="nil"/>
            </w:tcBorders>
          </w:tcPr>
          <w:p w14:paraId="7670E80F" w14:textId="77777777" w:rsidR="00CE45E2" w:rsidRPr="00CE45E2" w:rsidRDefault="00CE45E2" w:rsidP="006476FB">
            <w:pPr>
              <w:pStyle w:val="Normal6a"/>
            </w:pPr>
            <w:r w:rsidRPr="00CE45E2">
              <w:t>(1)</w:t>
            </w:r>
            <w:r w:rsidRPr="00CE45E2">
              <w:tab/>
              <w:t xml:space="preserve">W związku ze starzeniem się społeczeństwa w Unii Europejskiej i rosnącym wskaźnikiem obciążenia demograficznego </w:t>
            </w:r>
            <w:r w:rsidRPr="00CE45E2">
              <w:rPr>
                <w:b/>
                <w:bCs/>
                <w:i/>
                <w:iCs/>
              </w:rPr>
              <w:t>wzmocnienie uzupełniających źródeł dochodów emerytalnych stało się niezbędne do</w:t>
            </w:r>
            <w:r w:rsidRPr="00CE45E2">
              <w:t xml:space="preserve"> zachowania solidarności międzypokoleniowej, spójności społecznej i długoterminowej stabilności systemów emerytalnych w całej Unii.</w:t>
            </w:r>
          </w:p>
        </w:tc>
        <w:tc>
          <w:tcPr>
            <w:tcW w:w="4876" w:type="dxa"/>
            <w:tcBorders>
              <w:top w:val="nil"/>
              <w:left w:val="nil"/>
              <w:bottom w:val="nil"/>
              <w:right w:val="nil"/>
            </w:tcBorders>
          </w:tcPr>
          <w:p w14:paraId="64837C8F" w14:textId="77777777" w:rsidR="00CE45E2" w:rsidRPr="00CE45E2" w:rsidRDefault="00CE45E2" w:rsidP="006476FB">
            <w:pPr>
              <w:pStyle w:val="Normal6a"/>
            </w:pPr>
            <w:r w:rsidRPr="00CE45E2">
              <w:t>(1)</w:t>
            </w:r>
            <w:r w:rsidRPr="00CE45E2">
              <w:tab/>
              <w:t xml:space="preserve">W związku ze starzeniem się społeczeństwa w Unii Europejskiej i rosnącym wskaźnikiem obciążenia demograficznego </w:t>
            </w:r>
            <w:r w:rsidRPr="00CE45E2">
              <w:rPr>
                <w:b/>
                <w:bCs/>
                <w:i/>
                <w:iCs/>
              </w:rPr>
              <w:t>należy zapewnić wszystkim obywatelom Unii dostęp do odpowiednich, bezpiecznych i stabilnych systemów emerytalnych, które gwarantują godny poziom życia w oparciu o dochody emerytalne w celu</w:t>
            </w:r>
            <w:r w:rsidRPr="00CE45E2">
              <w:t xml:space="preserve"> zachowania solidarności międzypokoleniowej, spójności społecznej i długoterminowej stabilności systemów emerytalnych w całej Unii.</w:t>
            </w:r>
          </w:p>
        </w:tc>
      </w:tr>
    </w:tbl>
    <w:p w14:paraId="1427020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78665BE" w14:textId="77777777" w:rsidR="00CE45E2" w:rsidRPr="00CE45E2" w:rsidRDefault="00CE45E2" w:rsidP="00CE45E2">
      <w:r w:rsidRPr="00CE45E2">
        <w:rPr>
          <w:rStyle w:val="HideTWBExt"/>
        </w:rPr>
        <w:t>&lt;/Amend&gt;</w:t>
      </w:r>
    </w:p>
    <w:p w14:paraId="77FA734F" w14:textId="74C4CDE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105</w:t>
      </w:r>
      <w:r w:rsidRPr="00CE45E2">
        <w:rPr>
          <w:rStyle w:val="HideTWBExt"/>
          <w:b w:val="0"/>
        </w:rPr>
        <w:t>&lt;/NumAm&gt;</w:t>
      </w:r>
    </w:p>
    <w:p w14:paraId="5E2693B6"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08FD8A42" w14:textId="77777777" w:rsidR="00CE45E2" w:rsidRPr="00CE45E2" w:rsidRDefault="00CE45E2" w:rsidP="00CE45E2">
      <w:pPr>
        <w:pStyle w:val="NormalBold"/>
      </w:pPr>
      <w:r w:rsidRPr="00CE45E2">
        <w:rPr>
          <w:rStyle w:val="HideTWBExt"/>
          <w:b w:val="0"/>
        </w:rPr>
        <w:t>&lt;/RepeatBlock-By&gt;</w:t>
      </w:r>
    </w:p>
    <w:p w14:paraId="01ADB0F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F6B976C" w14:textId="77777777" w:rsidR="00CE45E2" w:rsidRPr="00CE45E2" w:rsidRDefault="00CE45E2" w:rsidP="00CE45E2">
      <w:pPr>
        <w:pStyle w:val="NormalBold"/>
      </w:pPr>
      <w:r w:rsidRPr="00CE45E2">
        <w:rPr>
          <w:rStyle w:val="HideTWBExt"/>
          <w:b w:val="0"/>
        </w:rPr>
        <w:t>&lt;Article&gt;</w:t>
      </w:r>
      <w:r w:rsidRPr="00CE45E2">
        <w:t>Motyw 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D612B07" w14:textId="77777777" w:rsidTr="006476FB">
        <w:trPr>
          <w:trHeight w:hRule="exact" w:val="240"/>
          <w:jc w:val="center"/>
        </w:trPr>
        <w:tc>
          <w:tcPr>
            <w:tcW w:w="9752" w:type="dxa"/>
            <w:gridSpan w:val="2"/>
            <w:tcBorders>
              <w:top w:val="nil"/>
              <w:left w:val="nil"/>
              <w:bottom w:val="nil"/>
              <w:right w:val="nil"/>
            </w:tcBorders>
          </w:tcPr>
          <w:p w14:paraId="5D9D0F4F" w14:textId="77777777" w:rsidR="00CE45E2" w:rsidRPr="00CE45E2" w:rsidRDefault="00CE45E2" w:rsidP="006476FB"/>
        </w:tc>
      </w:tr>
      <w:tr w:rsidR="00CE45E2" w:rsidRPr="00CE45E2" w14:paraId="6969D150" w14:textId="77777777" w:rsidTr="006476FB">
        <w:trPr>
          <w:trHeight w:val="240"/>
          <w:jc w:val="center"/>
        </w:trPr>
        <w:tc>
          <w:tcPr>
            <w:tcW w:w="4876" w:type="dxa"/>
            <w:tcBorders>
              <w:top w:val="nil"/>
              <w:left w:val="nil"/>
              <w:bottom w:val="nil"/>
              <w:right w:val="nil"/>
            </w:tcBorders>
          </w:tcPr>
          <w:p w14:paraId="43BCA9D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7CDB371" w14:textId="77777777" w:rsidR="00CE45E2" w:rsidRPr="00CE45E2" w:rsidRDefault="00CE45E2" w:rsidP="006476FB">
            <w:pPr>
              <w:pStyle w:val="AmColumnHeading"/>
            </w:pPr>
            <w:r w:rsidRPr="00CE45E2">
              <w:t>Poprawka</w:t>
            </w:r>
          </w:p>
        </w:tc>
      </w:tr>
      <w:tr w:rsidR="00CE45E2" w:rsidRPr="00CE45E2" w14:paraId="573E5EE8" w14:textId="77777777" w:rsidTr="006476FB">
        <w:trPr>
          <w:jc w:val="center"/>
        </w:trPr>
        <w:tc>
          <w:tcPr>
            <w:tcW w:w="4876" w:type="dxa"/>
            <w:tcBorders>
              <w:top w:val="nil"/>
              <w:left w:val="nil"/>
              <w:bottom w:val="nil"/>
              <w:right w:val="nil"/>
            </w:tcBorders>
          </w:tcPr>
          <w:p w14:paraId="1B8FCD0C" w14:textId="77777777" w:rsidR="00CE45E2" w:rsidRPr="00CE45E2" w:rsidRDefault="00CE45E2" w:rsidP="006476FB">
            <w:pPr>
              <w:pStyle w:val="Normal6a"/>
            </w:pPr>
            <w:r w:rsidRPr="00CE45E2">
              <w:t>(1)</w:t>
            </w:r>
            <w:r w:rsidRPr="00CE45E2">
              <w:tab/>
              <w:t xml:space="preserve">W związku ze starzeniem się społeczeństwa w Unii Europejskiej i rosnącym wskaźnikiem obciążenia demograficznego wzmocnienie uzupełniających źródeł dochodów emerytalnych stało się niezbędne do </w:t>
            </w:r>
            <w:r w:rsidRPr="00CE45E2">
              <w:rPr>
                <w:b/>
                <w:bCs/>
                <w:i/>
                <w:iCs/>
              </w:rPr>
              <w:t>zachowania</w:t>
            </w:r>
            <w:r w:rsidRPr="00CE45E2">
              <w:t xml:space="preserve"> solidarności międzypokoleniowej, spójności społecznej i długoterminowej stabilności systemów emerytalnych w całej Unii.</w:t>
            </w:r>
          </w:p>
        </w:tc>
        <w:tc>
          <w:tcPr>
            <w:tcW w:w="4876" w:type="dxa"/>
            <w:tcBorders>
              <w:top w:val="nil"/>
              <w:left w:val="nil"/>
              <w:bottom w:val="nil"/>
              <w:right w:val="nil"/>
            </w:tcBorders>
          </w:tcPr>
          <w:p w14:paraId="76B9F6CF" w14:textId="77777777" w:rsidR="00CE45E2" w:rsidRPr="00CE45E2" w:rsidRDefault="00CE45E2" w:rsidP="006476FB">
            <w:pPr>
              <w:pStyle w:val="Normal6a"/>
            </w:pPr>
            <w:r w:rsidRPr="00CE45E2">
              <w:t>(1)</w:t>
            </w:r>
            <w:r w:rsidRPr="00CE45E2">
              <w:tab/>
              <w:t>W związku ze starzeniem się społeczeństwa w Unii Europejskiej</w:t>
            </w:r>
            <w:r w:rsidRPr="00CE45E2">
              <w:rPr>
                <w:b/>
                <w:bCs/>
                <w:i/>
                <w:iCs/>
              </w:rPr>
              <w:t>, rosnącą presją na stabilność finansową publicznych programów emerytalnych w wielu państwach członkowskich</w:t>
            </w:r>
            <w:r w:rsidRPr="00CE45E2">
              <w:t xml:space="preserve"> i rosnącym wskaźnikiem obciążenia demograficznego wzmocnienie uzupełniających źródeł dochodów emerytalnych stało się niezbędne do </w:t>
            </w:r>
            <w:r w:rsidRPr="00CE45E2">
              <w:rPr>
                <w:b/>
                <w:bCs/>
                <w:i/>
                <w:iCs/>
              </w:rPr>
              <w:t xml:space="preserve">dywersyfikacji źródeł dochodów przyszłych emerytów, wspierania długoterminowych oszczędności i przyczynienia się do stabilności finansowej systemów emerytalnych, z </w:t>
            </w:r>
            <w:r w:rsidRPr="00CE45E2">
              <w:rPr>
                <w:b/>
                <w:bCs/>
                <w:i/>
                <w:iCs/>
              </w:rPr>
              <w:lastRenderedPageBreak/>
              <w:t>zachowaniem</w:t>
            </w:r>
            <w:r w:rsidRPr="00CE45E2">
              <w:t xml:space="preserve"> solidarności międzypokoleniowej, spójności społecznej i długoterminowej stabilności systemów emerytalnych w całej Unii.</w:t>
            </w:r>
          </w:p>
        </w:tc>
      </w:tr>
    </w:tbl>
    <w:p w14:paraId="0ECBBFED" w14:textId="77777777" w:rsidR="00CE45E2" w:rsidRPr="00CE45E2" w:rsidRDefault="00CE45E2" w:rsidP="00CE45E2">
      <w:pPr>
        <w:pStyle w:val="AmOrLang"/>
      </w:pPr>
      <w:r w:rsidRPr="00CE45E2">
        <w:lastRenderedPageBreak/>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398EB22D" w14:textId="77777777" w:rsidR="00CE45E2" w:rsidRPr="00CE45E2" w:rsidRDefault="00CE45E2" w:rsidP="00CE45E2">
      <w:r w:rsidRPr="00CE45E2">
        <w:rPr>
          <w:rStyle w:val="HideTWBExt"/>
        </w:rPr>
        <w:t>&lt;/Amend&gt;</w:t>
      </w:r>
    </w:p>
    <w:p w14:paraId="78511FA0" w14:textId="5C78628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106</w:t>
      </w:r>
      <w:r w:rsidRPr="00CE45E2">
        <w:rPr>
          <w:rStyle w:val="HideTWBExt"/>
          <w:b w:val="0"/>
        </w:rPr>
        <w:t>&lt;/NumAm&gt;</w:t>
      </w:r>
    </w:p>
    <w:p w14:paraId="5B373442"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6FDCC0FC" w14:textId="77777777" w:rsidR="00CE45E2" w:rsidRPr="00CE45E2" w:rsidRDefault="00CE45E2" w:rsidP="00CE45E2">
      <w:pPr>
        <w:pStyle w:val="NormalBold"/>
      </w:pPr>
      <w:r w:rsidRPr="00CE45E2">
        <w:rPr>
          <w:rStyle w:val="HideTWBExt"/>
          <w:b w:val="0"/>
        </w:rPr>
        <w:t>&lt;/RepeatBlock-By&gt;</w:t>
      </w:r>
    </w:p>
    <w:p w14:paraId="02E46AC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FE1F9A4" w14:textId="77777777" w:rsidR="00CE45E2" w:rsidRPr="00CE45E2" w:rsidRDefault="00CE45E2" w:rsidP="00CE45E2">
      <w:pPr>
        <w:pStyle w:val="NormalBold"/>
      </w:pPr>
      <w:r w:rsidRPr="00CE45E2">
        <w:rPr>
          <w:rStyle w:val="HideTWBExt"/>
          <w:b w:val="0"/>
        </w:rPr>
        <w:t>&lt;Article&gt;</w:t>
      </w:r>
      <w:r w:rsidRPr="00CE45E2">
        <w:t>Motyw 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51A659E" w14:textId="77777777" w:rsidTr="006476FB">
        <w:trPr>
          <w:trHeight w:hRule="exact" w:val="240"/>
          <w:jc w:val="center"/>
        </w:trPr>
        <w:tc>
          <w:tcPr>
            <w:tcW w:w="9752" w:type="dxa"/>
            <w:gridSpan w:val="2"/>
            <w:tcBorders>
              <w:top w:val="nil"/>
              <w:left w:val="nil"/>
              <w:bottom w:val="nil"/>
              <w:right w:val="nil"/>
            </w:tcBorders>
          </w:tcPr>
          <w:p w14:paraId="6B32C0C6" w14:textId="77777777" w:rsidR="00CE45E2" w:rsidRPr="00CE45E2" w:rsidRDefault="00CE45E2" w:rsidP="006476FB"/>
        </w:tc>
      </w:tr>
      <w:tr w:rsidR="00CE45E2" w:rsidRPr="00CE45E2" w14:paraId="7D42A69F" w14:textId="77777777" w:rsidTr="006476FB">
        <w:trPr>
          <w:trHeight w:val="240"/>
          <w:jc w:val="center"/>
        </w:trPr>
        <w:tc>
          <w:tcPr>
            <w:tcW w:w="4876" w:type="dxa"/>
            <w:tcBorders>
              <w:top w:val="nil"/>
              <w:left w:val="nil"/>
              <w:bottom w:val="nil"/>
              <w:right w:val="nil"/>
            </w:tcBorders>
          </w:tcPr>
          <w:p w14:paraId="30B9114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6D89115" w14:textId="77777777" w:rsidR="00CE45E2" w:rsidRPr="00CE45E2" w:rsidRDefault="00CE45E2" w:rsidP="006476FB">
            <w:pPr>
              <w:pStyle w:val="AmColumnHeading"/>
            </w:pPr>
            <w:r w:rsidRPr="00CE45E2">
              <w:t>Poprawka</w:t>
            </w:r>
          </w:p>
        </w:tc>
      </w:tr>
      <w:tr w:rsidR="00CE45E2" w:rsidRPr="00CE45E2" w14:paraId="24DFEA22" w14:textId="77777777" w:rsidTr="006476FB">
        <w:trPr>
          <w:jc w:val="center"/>
        </w:trPr>
        <w:tc>
          <w:tcPr>
            <w:tcW w:w="4876" w:type="dxa"/>
            <w:tcBorders>
              <w:top w:val="nil"/>
              <w:left w:val="nil"/>
              <w:bottom w:val="nil"/>
              <w:right w:val="nil"/>
            </w:tcBorders>
          </w:tcPr>
          <w:p w14:paraId="00FF135B" w14:textId="77777777" w:rsidR="00CE45E2" w:rsidRPr="00CE45E2" w:rsidRDefault="00CE45E2" w:rsidP="006476FB">
            <w:pPr>
              <w:pStyle w:val="Normal6a"/>
            </w:pPr>
            <w:r w:rsidRPr="00CE45E2">
              <w:t>(1)</w:t>
            </w:r>
            <w:r w:rsidRPr="00CE45E2">
              <w:tab/>
              <w:t>W związku ze starzeniem się społeczeństwa w Unii Europejskiej i rosnącym wskaźnikiem obciążenia demograficznego wzmocnienie uzupełniających źródeł dochodów emerytalnych stało się niezbędne do zachowania solidarności międzypokoleniowej, spójności społecznej i długoterminowej stabilności systemów emerytalnych w całej Unii.</w:t>
            </w:r>
          </w:p>
        </w:tc>
        <w:tc>
          <w:tcPr>
            <w:tcW w:w="4876" w:type="dxa"/>
            <w:tcBorders>
              <w:top w:val="nil"/>
              <w:left w:val="nil"/>
              <w:bottom w:val="nil"/>
              <w:right w:val="nil"/>
            </w:tcBorders>
          </w:tcPr>
          <w:p w14:paraId="54964B9F" w14:textId="77777777" w:rsidR="00CE45E2" w:rsidRPr="00CE45E2" w:rsidRDefault="00CE45E2" w:rsidP="006476FB">
            <w:pPr>
              <w:pStyle w:val="Normal6a"/>
            </w:pPr>
            <w:r w:rsidRPr="00CE45E2">
              <w:t>(1)</w:t>
            </w:r>
            <w:r w:rsidRPr="00CE45E2">
              <w:tab/>
              <w:t>W związku ze starzeniem się społeczeństwa w Unii Europejskiej i rosnącym wskaźnikiem obciążenia demograficznego</w:t>
            </w:r>
            <w:r w:rsidRPr="00CE45E2">
              <w:rPr>
                <w:b/>
                <w:bCs/>
                <w:i/>
                <w:iCs/>
              </w:rPr>
              <w:t xml:space="preserve"> kluczowe znaczenie ma zapewnienie wszystkim mieszkańcom Unii dostępu do odpowiednich, bezpiecznych i stabilnych finansowo systemów emerytalnych, które gwarantują godny poziom życia na emeryturze</w:t>
            </w:r>
            <w:r w:rsidRPr="00CE45E2">
              <w:t xml:space="preserve">. Wzmocnienie uzupełniających źródeł dochodów emerytalnych stało się niezbędne do zachowania solidarności międzypokoleniowej, spójności społecznej i długoterminowej stabilności systemów emerytalnych w całej Unii. </w:t>
            </w:r>
            <w:r w:rsidRPr="00CE45E2">
              <w:rPr>
                <w:b/>
                <w:i/>
              </w:rPr>
              <w:t>Publiczne ustawowe systemy emerytalne powinny pozostać fundamentem zapobiegania ubóstwu osób starszych, zgodnie z zasadami Europejskiego filaru praw socjalnych.</w:t>
            </w:r>
          </w:p>
        </w:tc>
      </w:tr>
    </w:tbl>
    <w:p w14:paraId="3D25D159" w14:textId="77777777" w:rsidR="00CE45E2" w:rsidRPr="00CE45E2" w:rsidRDefault="00CE45E2" w:rsidP="00CE45E2">
      <w:pPr>
        <w:pStyle w:val="AmOrLang"/>
        <w:rPr>
          <w:lang w:val="en-US"/>
        </w:rPr>
      </w:pPr>
      <w:r w:rsidRPr="00CE45E2">
        <w:rPr>
          <w:lang w:val="en-US"/>
        </w:rPr>
        <w:t xml:space="preserve">Or. </w:t>
      </w:r>
      <w:r w:rsidRPr="00CE45E2">
        <w:rPr>
          <w:rStyle w:val="HideTWBExt"/>
        </w:rPr>
        <w:t>&lt;Original&gt;</w:t>
      </w:r>
      <w:r w:rsidRPr="00CE45E2">
        <w:rPr>
          <w:rStyle w:val="HideTWBInt"/>
        </w:rPr>
        <w:t>{EN}</w:t>
      </w:r>
      <w:proofErr w:type="spellStart"/>
      <w:r w:rsidRPr="00CE45E2">
        <w:rPr>
          <w:lang w:val="en-US"/>
        </w:rPr>
        <w:t>en</w:t>
      </w:r>
      <w:proofErr w:type="spellEnd"/>
      <w:r w:rsidRPr="00CE45E2">
        <w:rPr>
          <w:rStyle w:val="HideTWBExt"/>
        </w:rPr>
        <w:t>&lt;/Original&gt;</w:t>
      </w:r>
    </w:p>
    <w:p w14:paraId="6EDD299B" w14:textId="77777777" w:rsidR="00CE45E2" w:rsidRPr="00CE45E2" w:rsidRDefault="00CE45E2" w:rsidP="00CE45E2">
      <w:pPr>
        <w:rPr>
          <w:lang w:val="en-US"/>
        </w:rPr>
      </w:pPr>
      <w:r w:rsidRPr="00CE45E2">
        <w:rPr>
          <w:rStyle w:val="HideTWBExt"/>
        </w:rPr>
        <w:t>&lt;/Amend&gt;</w:t>
      </w:r>
    </w:p>
    <w:p w14:paraId="0CEF299B" w14:textId="64F6217F" w:rsidR="00CE45E2" w:rsidRPr="00CE45E2" w:rsidRDefault="00CE45E2" w:rsidP="00CE45E2">
      <w:pPr>
        <w:pStyle w:val="AmNumberTabs"/>
        <w:rPr>
          <w:lang w:val="en-US"/>
        </w:rPr>
      </w:pPr>
      <w:r w:rsidRPr="00CE45E2">
        <w:rPr>
          <w:rStyle w:val="HideTWBExt"/>
          <w:b w:val="0"/>
        </w:rPr>
        <w:t>&lt;Amend&gt;</w:t>
      </w:r>
      <w:proofErr w:type="spellStart"/>
      <w:r w:rsidRPr="00CE45E2">
        <w:rPr>
          <w:lang w:val="en-US"/>
        </w:rPr>
        <w:t>Poprawka</w:t>
      </w:r>
      <w:proofErr w:type="spellEnd"/>
      <w:r w:rsidRPr="00CE45E2">
        <w:rPr>
          <w:lang w:val="en-US"/>
        </w:rPr>
        <w:tab/>
      </w:r>
      <w:r w:rsidRPr="00CE45E2">
        <w:rPr>
          <w:lang w:val="en-US"/>
        </w:rPr>
        <w:tab/>
      </w:r>
      <w:r w:rsidRPr="00CE45E2">
        <w:rPr>
          <w:rStyle w:val="HideTWBExt"/>
          <w:b w:val="0"/>
        </w:rPr>
        <w:t>&lt;NumAm&gt;</w:t>
      </w:r>
      <w:r w:rsidR="00430CF1" w:rsidRPr="00430CF1">
        <w:rPr>
          <w:lang w:val="en-US"/>
        </w:rPr>
        <w:t>107</w:t>
      </w:r>
      <w:r w:rsidRPr="00CE45E2">
        <w:rPr>
          <w:rStyle w:val="HideTWBExt"/>
          <w:b w:val="0"/>
        </w:rPr>
        <w:t>&lt;/NumAm&gt;</w:t>
      </w:r>
    </w:p>
    <w:p w14:paraId="4E1BE49E" w14:textId="77777777" w:rsidR="00CE45E2" w:rsidRPr="00CE45E2" w:rsidRDefault="00CE45E2" w:rsidP="00CE45E2">
      <w:pPr>
        <w:pStyle w:val="NormalBold"/>
        <w:rPr>
          <w:lang w:val="en-US"/>
        </w:rPr>
      </w:pPr>
      <w:r w:rsidRPr="00CE45E2">
        <w:rPr>
          <w:rStyle w:val="HideTWBExt"/>
          <w:b w:val="0"/>
        </w:rPr>
        <w:t>&lt;RepeatBlock-By&gt;&lt;Members&gt;</w:t>
      </w:r>
      <w:r w:rsidRPr="00CE45E2">
        <w:rPr>
          <w:lang w:val="en-US"/>
        </w:rPr>
        <w:t xml:space="preserve">Dirk </w:t>
      </w:r>
      <w:proofErr w:type="spellStart"/>
      <w:r w:rsidRPr="00CE45E2">
        <w:rPr>
          <w:lang w:val="en-US"/>
        </w:rPr>
        <w:t>Gotink</w:t>
      </w:r>
      <w:proofErr w:type="spellEnd"/>
      <w:r w:rsidRPr="00CE45E2">
        <w:rPr>
          <w:rStyle w:val="HideTWBExt"/>
          <w:b w:val="0"/>
        </w:rPr>
        <w:t>&lt;/Members&gt;</w:t>
      </w:r>
    </w:p>
    <w:p w14:paraId="1F1E5BEA" w14:textId="77777777" w:rsidR="00CE45E2" w:rsidRPr="00CE45E2" w:rsidRDefault="00CE45E2" w:rsidP="00CE45E2">
      <w:pPr>
        <w:pStyle w:val="NormalBold"/>
        <w:rPr>
          <w:lang w:val="en-US"/>
        </w:rPr>
      </w:pPr>
      <w:r w:rsidRPr="00CE45E2">
        <w:rPr>
          <w:rStyle w:val="HideTWBExt"/>
          <w:b w:val="0"/>
        </w:rPr>
        <w:t>&lt;/RepeatBlock-By&gt;</w:t>
      </w:r>
    </w:p>
    <w:p w14:paraId="6AB8E3A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202F1C9" w14:textId="77777777" w:rsidR="00CE45E2" w:rsidRPr="00CE45E2" w:rsidRDefault="00CE45E2" w:rsidP="00CE45E2">
      <w:pPr>
        <w:pStyle w:val="NormalBold"/>
      </w:pPr>
      <w:r w:rsidRPr="00CE45E2">
        <w:rPr>
          <w:rStyle w:val="HideTWBExt"/>
          <w:b w:val="0"/>
        </w:rPr>
        <w:t>&lt;Article&gt;</w:t>
      </w:r>
      <w:r w:rsidRPr="00CE45E2">
        <w:t>Motyw 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899E8D2" w14:textId="77777777" w:rsidTr="006476FB">
        <w:trPr>
          <w:trHeight w:hRule="exact" w:val="240"/>
          <w:jc w:val="center"/>
        </w:trPr>
        <w:tc>
          <w:tcPr>
            <w:tcW w:w="9752" w:type="dxa"/>
            <w:gridSpan w:val="2"/>
            <w:tcBorders>
              <w:top w:val="nil"/>
              <w:left w:val="nil"/>
              <w:bottom w:val="nil"/>
              <w:right w:val="nil"/>
            </w:tcBorders>
          </w:tcPr>
          <w:p w14:paraId="56027D9E" w14:textId="77777777" w:rsidR="00CE45E2" w:rsidRPr="00CE45E2" w:rsidRDefault="00CE45E2" w:rsidP="006476FB"/>
        </w:tc>
      </w:tr>
      <w:tr w:rsidR="00CE45E2" w:rsidRPr="00CE45E2" w14:paraId="4CA290B8" w14:textId="77777777" w:rsidTr="006476FB">
        <w:trPr>
          <w:trHeight w:val="240"/>
          <w:jc w:val="center"/>
        </w:trPr>
        <w:tc>
          <w:tcPr>
            <w:tcW w:w="4876" w:type="dxa"/>
            <w:tcBorders>
              <w:top w:val="nil"/>
              <w:left w:val="nil"/>
              <w:bottom w:val="nil"/>
              <w:right w:val="nil"/>
            </w:tcBorders>
          </w:tcPr>
          <w:p w14:paraId="038592A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6574298" w14:textId="77777777" w:rsidR="00CE45E2" w:rsidRPr="00CE45E2" w:rsidRDefault="00CE45E2" w:rsidP="006476FB">
            <w:pPr>
              <w:pStyle w:val="AmColumnHeading"/>
            </w:pPr>
            <w:r w:rsidRPr="00CE45E2">
              <w:t>Poprawka</w:t>
            </w:r>
          </w:p>
        </w:tc>
      </w:tr>
      <w:tr w:rsidR="00CE45E2" w:rsidRPr="00CE45E2" w14:paraId="18B7BEEA" w14:textId="77777777" w:rsidTr="006476FB">
        <w:trPr>
          <w:jc w:val="center"/>
        </w:trPr>
        <w:tc>
          <w:tcPr>
            <w:tcW w:w="4876" w:type="dxa"/>
            <w:tcBorders>
              <w:top w:val="nil"/>
              <w:left w:val="nil"/>
              <w:bottom w:val="nil"/>
              <w:right w:val="nil"/>
            </w:tcBorders>
          </w:tcPr>
          <w:p w14:paraId="1396B1F9" w14:textId="77777777" w:rsidR="00CE45E2" w:rsidRPr="00CE45E2" w:rsidRDefault="00CE45E2" w:rsidP="006476FB">
            <w:pPr>
              <w:pStyle w:val="Normal6a"/>
            </w:pPr>
            <w:r w:rsidRPr="00CE45E2">
              <w:t>(1)</w:t>
            </w:r>
            <w:r w:rsidRPr="00CE45E2">
              <w:tab/>
              <w:t>W związku ze starzeniem się społeczeństwa w Unii Europejskiej i rosnącym wskaźnikiem obciążenia demograficznego wzmocnienie uzupełniających źródeł dochodów emerytalnych stało się niezbędne do zachowania solidarności międzypokoleniowej, spójności społecznej i długoterminowej stabilności systemów emerytalnych w całej Unii.</w:t>
            </w:r>
          </w:p>
        </w:tc>
        <w:tc>
          <w:tcPr>
            <w:tcW w:w="4876" w:type="dxa"/>
            <w:tcBorders>
              <w:top w:val="nil"/>
              <w:left w:val="nil"/>
              <w:bottom w:val="nil"/>
              <w:right w:val="nil"/>
            </w:tcBorders>
          </w:tcPr>
          <w:p w14:paraId="173649BE" w14:textId="77777777" w:rsidR="00CE45E2" w:rsidRPr="00CE45E2" w:rsidRDefault="00CE45E2" w:rsidP="006476FB">
            <w:pPr>
              <w:pStyle w:val="Normal6a"/>
            </w:pPr>
            <w:r w:rsidRPr="00CE45E2">
              <w:t>(1)</w:t>
            </w:r>
            <w:r w:rsidRPr="00CE45E2">
              <w:tab/>
              <w:t>W związku ze starzeniem się społeczeństwa w Unii Europejskiej</w:t>
            </w:r>
            <w:r w:rsidRPr="00CE45E2">
              <w:rPr>
                <w:b/>
                <w:bCs/>
                <w:i/>
                <w:iCs/>
              </w:rPr>
              <w:t>, coraz mniej zrównoważonymi budżetami krajowymi</w:t>
            </w:r>
            <w:r w:rsidRPr="00CE45E2">
              <w:t xml:space="preserve"> i rosnącym wskaźnikiem obciążenia demograficznego wzmocnienie uzupełniających źródeł dochodów emerytalnych stało się niezbędne do zachowania solidarności międzypokoleniowej, spójności społecznej i długoterminowej stabilności systemów emerytalnych w całej Unii.</w:t>
            </w:r>
          </w:p>
        </w:tc>
      </w:tr>
    </w:tbl>
    <w:p w14:paraId="5C23D60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5D674CD" w14:textId="77777777" w:rsidR="00CE45E2" w:rsidRPr="00CE45E2" w:rsidRDefault="00CE45E2" w:rsidP="00CE45E2">
      <w:r w:rsidRPr="00CE45E2">
        <w:rPr>
          <w:rStyle w:val="HideTWBExt"/>
        </w:rPr>
        <w:t>&lt;/Amend&gt;</w:t>
      </w:r>
    </w:p>
    <w:p w14:paraId="3DB4C998" w14:textId="4EA6ED8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108</w:t>
      </w:r>
      <w:r w:rsidRPr="00CE45E2">
        <w:rPr>
          <w:rStyle w:val="HideTWBExt"/>
          <w:b w:val="0"/>
        </w:rPr>
        <w:t>&lt;/NumAm&gt;</w:t>
      </w:r>
    </w:p>
    <w:p w14:paraId="5BA6A3BC"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22E44322" w14:textId="77777777" w:rsidR="00CE45E2" w:rsidRPr="00CE45E2" w:rsidRDefault="00CE45E2" w:rsidP="00CE45E2">
      <w:pPr>
        <w:pStyle w:val="NormalBold"/>
      </w:pPr>
      <w:r w:rsidRPr="00CE45E2">
        <w:rPr>
          <w:rStyle w:val="HideTWBExt"/>
          <w:b w:val="0"/>
        </w:rPr>
        <w:t>&lt;/RepeatBlock-By&gt;</w:t>
      </w:r>
    </w:p>
    <w:p w14:paraId="29F02F0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E497B9B" w14:textId="77777777" w:rsidR="00CE45E2" w:rsidRPr="00CE45E2" w:rsidRDefault="00CE45E2" w:rsidP="00CE45E2">
      <w:pPr>
        <w:pStyle w:val="NormalBold"/>
      </w:pPr>
      <w:r w:rsidRPr="00CE45E2">
        <w:rPr>
          <w:rStyle w:val="HideTWBExt"/>
          <w:b w:val="0"/>
        </w:rPr>
        <w:t>&lt;Article&gt;</w:t>
      </w:r>
      <w:r w:rsidRPr="00CE45E2">
        <w:t>Motyw 1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1669ACC" w14:textId="77777777" w:rsidTr="006476FB">
        <w:trPr>
          <w:trHeight w:hRule="exact" w:val="240"/>
          <w:jc w:val="center"/>
        </w:trPr>
        <w:tc>
          <w:tcPr>
            <w:tcW w:w="9752" w:type="dxa"/>
            <w:gridSpan w:val="2"/>
            <w:tcBorders>
              <w:top w:val="nil"/>
              <w:left w:val="nil"/>
              <w:bottom w:val="nil"/>
              <w:right w:val="nil"/>
            </w:tcBorders>
          </w:tcPr>
          <w:p w14:paraId="6417D581" w14:textId="77777777" w:rsidR="00CE45E2" w:rsidRPr="00CE45E2" w:rsidRDefault="00CE45E2" w:rsidP="006476FB"/>
        </w:tc>
      </w:tr>
      <w:tr w:rsidR="00CE45E2" w:rsidRPr="00CE45E2" w14:paraId="46ED1397" w14:textId="77777777" w:rsidTr="006476FB">
        <w:trPr>
          <w:trHeight w:val="240"/>
          <w:jc w:val="center"/>
        </w:trPr>
        <w:tc>
          <w:tcPr>
            <w:tcW w:w="4876" w:type="dxa"/>
            <w:tcBorders>
              <w:top w:val="nil"/>
              <w:left w:val="nil"/>
              <w:bottom w:val="nil"/>
              <w:right w:val="nil"/>
            </w:tcBorders>
          </w:tcPr>
          <w:p w14:paraId="584D2AE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3747D06" w14:textId="77777777" w:rsidR="00CE45E2" w:rsidRPr="00CE45E2" w:rsidRDefault="00CE45E2" w:rsidP="006476FB">
            <w:pPr>
              <w:pStyle w:val="AmColumnHeading"/>
            </w:pPr>
            <w:r w:rsidRPr="00CE45E2">
              <w:t>Poprawka</w:t>
            </w:r>
          </w:p>
        </w:tc>
      </w:tr>
      <w:tr w:rsidR="00CE45E2" w:rsidRPr="00CE45E2" w14:paraId="5CB856B5" w14:textId="77777777" w:rsidTr="006476FB">
        <w:trPr>
          <w:jc w:val="center"/>
        </w:trPr>
        <w:tc>
          <w:tcPr>
            <w:tcW w:w="4876" w:type="dxa"/>
            <w:tcBorders>
              <w:top w:val="nil"/>
              <w:left w:val="nil"/>
              <w:bottom w:val="nil"/>
              <w:right w:val="nil"/>
            </w:tcBorders>
          </w:tcPr>
          <w:p w14:paraId="10155B7B" w14:textId="77777777" w:rsidR="00CE45E2" w:rsidRPr="00CE45E2" w:rsidRDefault="00CE45E2" w:rsidP="006476FB">
            <w:pPr>
              <w:pStyle w:val="Normal6a"/>
            </w:pPr>
          </w:p>
        </w:tc>
        <w:tc>
          <w:tcPr>
            <w:tcW w:w="4876" w:type="dxa"/>
            <w:tcBorders>
              <w:top w:val="nil"/>
              <w:left w:val="nil"/>
              <w:bottom w:val="nil"/>
              <w:right w:val="nil"/>
            </w:tcBorders>
          </w:tcPr>
          <w:p w14:paraId="1E632613" w14:textId="77777777" w:rsidR="00CE45E2" w:rsidRPr="00CE45E2" w:rsidRDefault="00CE45E2" w:rsidP="006476FB">
            <w:pPr>
              <w:pStyle w:val="Normal6a"/>
            </w:pPr>
            <w:r w:rsidRPr="00CE45E2">
              <w:rPr>
                <w:b/>
                <w:i/>
              </w:rPr>
              <w:t>(1a)</w:t>
            </w:r>
            <w:r w:rsidRPr="00CE45E2">
              <w:tab/>
            </w:r>
            <w:r w:rsidRPr="00CE45E2">
              <w:rPr>
                <w:b/>
                <w:i/>
              </w:rPr>
              <w:t>Publiczne ustawowe systemy emerytalne muszą pozostać fundamentem systemów emerytalnych w Unii i jako takie należy je wzmocnić, jako że zapewniają europejskim pracownikom dochód po przejściu na emeryturę oraz odgrywają podstawową rolę w zapobieganiu ubóstwu osób starszych. Długoterminowa stabilność systemu redystrybucyjnego i społeczna skuteczność emerytur pierwszego filaru są jednak systematycznie osłabiane przez bezrobocie, elastyczne lub nietypowe formy pracy, zmiany demograficzne, pracę bez ubezpieczenia i pracę nierejestrowaną, a także polityki oszczędnościowe.</w:t>
            </w:r>
          </w:p>
        </w:tc>
      </w:tr>
    </w:tbl>
    <w:p w14:paraId="26E33340" w14:textId="77777777" w:rsidR="00CE45E2" w:rsidRPr="00CE45E2" w:rsidRDefault="00CE45E2" w:rsidP="00CE45E2">
      <w:pPr>
        <w:pStyle w:val="AmOrLang"/>
        <w:rPr>
          <w:lang w:val="es-ES"/>
        </w:rPr>
      </w:pPr>
      <w:proofErr w:type="spellStart"/>
      <w:r w:rsidRPr="00CE45E2">
        <w:rPr>
          <w:lang w:val="es-ES"/>
        </w:rPr>
        <w:t>Or</w:t>
      </w:r>
      <w:proofErr w:type="spellEnd"/>
      <w:r w:rsidRPr="00CE45E2">
        <w:rPr>
          <w:lang w:val="es-ES"/>
        </w:rPr>
        <w:t xml:space="preserve">. </w:t>
      </w:r>
      <w:r w:rsidRPr="00CE45E2">
        <w:rPr>
          <w:rStyle w:val="HideTWBExt"/>
        </w:rPr>
        <w:t>&lt;Original&gt;</w:t>
      </w:r>
      <w:r w:rsidRPr="00CE45E2">
        <w:rPr>
          <w:rStyle w:val="HideTWBInt"/>
        </w:rPr>
        <w:t>{EN}</w:t>
      </w:r>
      <w:r w:rsidRPr="00CE45E2">
        <w:rPr>
          <w:lang w:val="es-ES"/>
        </w:rPr>
        <w:t>en</w:t>
      </w:r>
      <w:r w:rsidRPr="00CE45E2">
        <w:rPr>
          <w:rStyle w:val="HideTWBExt"/>
        </w:rPr>
        <w:t>&lt;/Original&gt;</w:t>
      </w:r>
    </w:p>
    <w:p w14:paraId="7531DB63" w14:textId="77777777" w:rsidR="00CE45E2" w:rsidRPr="00CE45E2" w:rsidRDefault="00CE45E2" w:rsidP="00CE45E2">
      <w:pPr>
        <w:rPr>
          <w:lang w:val="es-ES"/>
        </w:rPr>
      </w:pPr>
      <w:r w:rsidRPr="00CE45E2">
        <w:rPr>
          <w:rStyle w:val="HideTWBExt"/>
        </w:rPr>
        <w:t>&lt;/Amend&gt;</w:t>
      </w:r>
    </w:p>
    <w:p w14:paraId="4CE6554B" w14:textId="1CA1CA31" w:rsidR="00CE45E2" w:rsidRPr="00CE45E2" w:rsidRDefault="00CE45E2" w:rsidP="00CE45E2">
      <w:pPr>
        <w:pStyle w:val="AmNumberTabs"/>
        <w:rPr>
          <w:lang w:val="es-ES"/>
        </w:rPr>
      </w:pPr>
      <w:r w:rsidRPr="00CE45E2">
        <w:rPr>
          <w:rStyle w:val="HideTWBExt"/>
          <w:b w:val="0"/>
        </w:rPr>
        <w:lastRenderedPageBreak/>
        <w:t>&lt;Amend&gt;</w:t>
      </w:r>
      <w:proofErr w:type="spellStart"/>
      <w:r w:rsidRPr="00CE45E2">
        <w:rPr>
          <w:lang w:val="es-ES"/>
        </w:rPr>
        <w:t>Poprawka</w:t>
      </w:r>
      <w:proofErr w:type="spellEnd"/>
      <w:r w:rsidRPr="00CE45E2">
        <w:rPr>
          <w:lang w:val="es-ES"/>
        </w:rPr>
        <w:tab/>
      </w:r>
      <w:r w:rsidRPr="00CE45E2">
        <w:rPr>
          <w:lang w:val="es-ES"/>
        </w:rPr>
        <w:tab/>
      </w:r>
      <w:r w:rsidRPr="00CE45E2">
        <w:rPr>
          <w:rStyle w:val="HideTWBExt"/>
          <w:b w:val="0"/>
        </w:rPr>
        <w:t>&lt;NumAm&gt;</w:t>
      </w:r>
      <w:r w:rsidR="00430CF1" w:rsidRPr="00430CF1">
        <w:rPr>
          <w:lang w:val="es-ES"/>
        </w:rPr>
        <w:t>109</w:t>
      </w:r>
      <w:r w:rsidRPr="00CE45E2">
        <w:rPr>
          <w:rStyle w:val="HideTWBExt"/>
          <w:b w:val="0"/>
        </w:rPr>
        <w:t>&lt;/NumAm&gt;</w:t>
      </w:r>
    </w:p>
    <w:p w14:paraId="3B62EC8C" w14:textId="77777777" w:rsidR="00CE45E2" w:rsidRPr="00CE45E2" w:rsidRDefault="00CE45E2" w:rsidP="00CE45E2">
      <w:pPr>
        <w:pStyle w:val="NormalBold"/>
        <w:rPr>
          <w:lang w:val="es-ES"/>
        </w:rPr>
      </w:pPr>
      <w:r w:rsidRPr="00CE45E2">
        <w:rPr>
          <w:rStyle w:val="HideTWBExt"/>
          <w:b w:val="0"/>
        </w:rPr>
        <w:t>&lt;RepeatBlock-By&gt;&lt;Members&gt;</w:t>
      </w:r>
      <w:proofErr w:type="spellStart"/>
      <w:r w:rsidRPr="00CE45E2">
        <w:rPr>
          <w:lang w:val="es-ES"/>
        </w:rPr>
        <w:t>Adnan</w:t>
      </w:r>
      <w:proofErr w:type="spellEnd"/>
      <w:r w:rsidRPr="00CE45E2">
        <w:rPr>
          <w:lang w:val="es-ES"/>
        </w:rPr>
        <w:t xml:space="preserve"> </w:t>
      </w:r>
      <w:proofErr w:type="spellStart"/>
      <w:r w:rsidRPr="00CE45E2">
        <w:rPr>
          <w:lang w:val="es-ES"/>
        </w:rPr>
        <w:t>Dibrani</w:t>
      </w:r>
      <w:proofErr w:type="spellEnd"/>
      <w:r w:rsidRPr="00CE45E2">
        <w:rPr>
          <w:lang w:val="es-ES"/>
        </w:rPr>
        <w:t xml:space="preserve">, Niels </w:t>
      </w:r>
      <w:proofErr w:type="spellStart"/>
      <w:r w:rsidRPr="00CE45E2">
        <w:rPr>
          <w:lang w:val="es-ES"/>
        </w:rPr>
        <w:t>Fuglsang</w:t>
      </w:r>
      <w:proofErr w:type="spellEnd"/>
      <w:r w:rsidRPr="00CE45E2">
        <w:rPr>
          <w:lang w:val="es-ES"/>
        </w:rPr>
        <w:t>, Thomas Bajada, Lara Wolters</w:t>
      </w:r>
      <w:r w:rsidRPr="00CE45E2">
        <w:rPr>
          <w:rStyle w:val="HideTWBExt"/>
          <w:b w:val="0"/>
        </w:rPr>
        <w:t>&lt;/Members&gt;</w:t>
      </w:r>
    </w:p>
    <w:p w14:paraId="5D198994" w14:textId="77777777" w:rsidR="00CE45E2" w:rsidRPr="00CE45E2" w:rsidRDefault="00CE45E2" w:rsidP="00CE45E2">
      <w:pPr>
        <w:pStyle w:val="NormalBold"/>
        <w:rPr>
          <w:lang w:val="es-ES"/>
        </w:rPr>
      </w:pPr>
      <w:r w:rsidRPr="00CE45E2">
        <w:rPr>
          <w:rStyle w:val="HideTWBExt"/>
          <w:b w:val="0"/>
        </w:rPr>
        <w:t>&lt;/RepeatBlock-By&gt;</w:t>
      </w:r>
    </w:p>
    <w:p w14:paraId="37BFE0F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72704CD" w14:textId="77777777" w:rsidR="00CE45E2" w:rsidRPr="00CE45E2" w:rsidRDefault="00CE45E2" w:rsidP="00CE45E2">
      <w:pPr>
        <w:pStyle w:val="NormalBold"/>
      </w:pPr>
      <w:r w:rsidRPr="00CE45E2">
        <w:rPr>
          <w:rStyle w:val="HideTWBExt"/>
          <w:b w:val="0"/>
        </w:rPr>
        <w:t>&lt;Article&gt;</w:t>
      </w:r>
      <w:r w:rsidRPr="00CE45E2">
        <w:t>Motyw 1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D9B89C8" w14:textId="77777777" w:rsidTr="006476FB">
        <w:trPr>
          <w:trHeight w:hRule="exact" w:val="240"/>
          <w:jc w:val="center"/>
        </w:trPr>
        <w:tc>
          <w:tcPr>
            <w:tcW w:w="9752" w:type="dxa"/>
            <w:gridSpan w:val="2"/>
            <w:tcBorders>
              <w:top w:val="nil"/>
              <w:left w:val="nil"/>
              <w:bottom w:val="nil"/>
              <w:right w:val="nil"/>
            </w:tcBorders>
          </w:tcPr>
          <w:p w14:paraId="0EF023D6" w14:textId="77777777" w:rsidR="00CE45E2" w:rsidRPr="00CE45E2" w:rsidRDefault="00CE45E2" w:rsidP="006476FB"/>
        </w:tc>
      </w:tr>
      <w:tr w:rsidR="00CE45E2" w:rsidRPr="00CE45E2" w14:paraId="0A5F1D66" w14:textId="77777777" w:rsidTr="006476FB">
        <w:trPr>
          <w:trHeight w:val="240"/>
          <w:jc w:val="center"/>
        </w:trPr>
        <w:tc>
          <w:tcPr>
            <w:tcW w:w="4876" w:type="dxa"/>
            <w:tcBorders>
              <w:top w:val="nil"/>
              <w:left w:val="nil"/>
              <w:bottom w:val="nil"/>
              <w:right w:val="nil"/>
            </w:tcBorders>
          </w:tcPr>
          <w:p w14:paraId="43018A9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D2F4B0E" w14:textId="77777777" w:rsidR="00CE45E2" w:rsidRPr="00CE45E2" w:rsidRDefault="00CE45E2" w:rsidP="006476FB">
            <w:pPr>
              <w:pStyle w:val="AmColumnHeading"/>
            </w:pPr>
            <w:r w:rsidRPr="00CE45E2">
              <w:t>Poprawka</w:t>
            </w:r>
          </w:p>
        </w:tc>
      </w:tr>
      <w:tr w:rsidR="00CE45E2" w:rsidRPr="00CE45E2" w14:paraId="23B385BF" w14:textId="77777777" w:rsidTr="006476FB">
        <w:trPr>
          <w:jc w:val="center"/>
        </w:trPr>
        <w:tc>
          <w:tcPr>
            <w:tcW w:w="4876" w:type="dxa"/>
            <w:tcBorders>
              <w:top w:val="nil"/>
              <w:left w:val="nil"/>
              <w:bottom w:val="nil"/>
              <w:right w:val="nil"/>
            </w:tcBorders>
          </w:tcPr>
          <w:p w14:paraId="7DF78634" w14:textId="77777777" w:rsidR="00CE45E2" w:rsidRPr="00CE45E2" w:rsidRDefault="00CE45E2" w:rsidP="006476FB">
            <w:pPr>
              <w:pStyle w:val="Normal6a"/>
            </w:pPr>
          </w:p>
        </w:tc>
        <w:tc>
          <w:tcPr>
            <w:tcW w:w="4876" w:type="dxa"/>
            <w:tcBorders>
              <w:top w:val="nil"/>
              <w:left w:val="nil"/>
              <w:bottom w:val="nil"/>
              <w:right w:val="nil"/>
            </w:tcBorders>
          </w:tcPr>
          <w:p w14:paraId="1BE462EB" w14:textId="77777777" w:rsidR="00CE45E2" w:rsidRPr="00CE45E2" w:rsidRDefault="00CE45E2" w:rsidP="006476FB">
            <w:pPr>
              <w:pStyle w:val="Normal6a"/>
            </w:pPr>
            <w:r w:rsidRPr="00CE45E2">
              <w:rPr>
                <w:b/>
                <w:i/>
              </w:rPr>
              <w:t>(1a)</w:t>
            </w:r>
            <w:r w:rsidRPr="00CE45E2">
              <w:tab/>
            </w:r>
            <w:r w:rsidRPr="00CE45E2">
              <w:rPr>
                <w:b/>
                <w:i/>
              </w:rPr>
              <w:t>Zgodnie z zasadą pomocniczości określoną w art. 5 Traktatu o Unii Europejskiej (TUE) organizacja systemów emerytalnych należy przede wszystkim do kompetencji państw członkowskich. Niniejsza dyrektywa w pełni respektuje zatem obowiązki państw członkowskich w tej dziedzinie, w tym w zakresie prawa pracy i rokowań zbiorowych.</w:t>
            </w:r>
          </w:p>
        </w:tc>
      </w:tr>
    </w:tbl>
    <w:p w14:paraId="391EC8F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D1006F0" w14:textId="77777777" w:rsidR="00CE45E2" w:rsidRPr="00CE45E2" w:rsidRDefault="00CE45E2" w:rsidP="00CE45E2">
      <w:r w:rsidRPr="00CE45E2">
        <w:rPr>
          <w:rStyle w:val="HideTWBExt"/>
        </w:rPr>
        <w:t>&lt;/Amend&gt;</w:t>
      </w:r>
    </w:p>
    <w:p w14:paraId="753B6EE7" w14:textId="0F787F7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110</w:t>
      </w:r>
      <w:r w:rsidRPr="00CE45E2">
        <w:rPr>
          <w:rStyle w:val="HideTWBExt"/>
          <w:b w:val="0"/>
        </w:rPr>
        <w:t>&lt;/NumAm&gt;</w:t>
      </w:r>
    </w:p>
    <w:p w14:paraId="041A8C55"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9864876" w14:textId="77777777" w:rsidR="00CE45E2" w:rsidRPr="00CE45E2" w:rsidRDefault="00CE45E2" w:rsidP="00CE45E2">
      <w:pPr>
        <w:pStyle w:val="NormalBold"/>
      </w:pPr>
      <w:r w:rsidRPr="00CE45E2">
        <w:rPr>
          <w:rStyle w:val="HideTWBExt"/>
          <w:b w:val="0"/>
        </w:rPr>
        <w:t>&lt;/RepeatBlock-By&gt;</w:t>
      </w:r>
    </w:p>
    <w:p w14:paraId="7F96977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F3D2D02" w14:textId="77777777" w:rsidR="00CE45E2" w:rsidRPr="00CE45E2" w:rsidRDefault="00CE45E2" w:rsidP="00CE45E2">
      <w:pPr>
        <w:pStyle w:val="NormalBold"/>
      </w:pPr>
      <w:r w:rsidRPr="00CE45E2">
        <w:rPr>
          <w:rStyle w:val="HideTWBExt"/>
          <w:b w:val="0"/>
        </w:rPr>
        <w:t>&lt;Article&gt;</w:t>
      </w:r>
      <w:r w:rsidRPr="00CE45E2">
        <w:t>Motyw 1 b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7E862AC" w14:textId="77777777" w:rsidTr="006476FB">
        <w:trPr>
          <w:trHeight w:hRule="exact" w:val="240"/>
          <w:jc w:val="center"/>
        </w:trPr>
        <w:tc>
          <w:tcPr>
            <w:tcW w:w="9752" w:type="dxa"/>
            <w:gridSpan w:val="2"/>
            <w:tcBorders>
              <w:top w:val="nil"/>
              <w:left w:val="nil"/>
              <w:bottom w:val="nil"/>
              <w:right w:val="nil"/>
            </w:tcBorders>
          </w:tcPr>
          <w:p w14:paraId="78F486E8" w14:textId="77777777" w:rsidR="00CE45E2" w:rsidRPr="00CE45E2" w:rsidRDefault="00CE45E2" w:rsidP="006476FB"/>
        </w:tc>
      </w:tr>
      <w:tr w:rsidR="00CE45E2" w:rsidRPr="00CE45E2" w14:paraId="1B763D3E" w14:textId="77777777" w:rsidTr="006476FB">
        <w:trPr>
          <w:trHeight w:val="240"/>
          <w:jc w:val="center"/>
        </w:trPr>
        <w:tc>
          <w:tcPr>
            <w:tcW w:w="4876" w:type="dxa"/>
            <w:tcBorders>
              <w:top w:val="nil"/>
              <w:left w:val="nil"/>
              <w:bottom w:val="nil"/>
              <w:right w:val="nil"/>
            </w:tcBorders>
          </w:tcPr>
          <w:p w14:paraId="091E4C0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A56B54D" w14:textId="77777777" w:rsidR="00CE45E2" w:rsidRPr="00CE45E2" w:rsidRDefault="00CE45E2" w:rsidP="006476FB">
            <w:pPr>
              <w:pStyle w:val="AmColumnHeading"/>
            </w:pPr>
            <w:r w:rsidRPr="00CE45E2">
              <w:t>Poprawka</w:t>
            </w:r>
          </w:p>
        </w:tc>
      </w:tr>
      <w:tr w:rsidR="00CE45E2" w:rsidRPr="00CE45E2" w14:paraId="76DC95C3" w14:textId="77777777" w:rsidTr="006476FB">
        <w:trPr>
          <w:jc w:val="center"/>
        </w:trPr>
        <w:tc>
          <w:tcPr>
            <w:tcW w:w="4876" w:type="dxa"/>
            <w:tcBorders>
              <w:top w:val="nil"/>
              <w:left w:val="nil"/>
              <w:bottom w:val="nil"/>
              <w:right w:val="nil"/>
            </w:tcBorders>
          </w:tcPr>
          <w:p w14:paraId="22182714" w14:textId="77777777" w:rsidR="00CE45E2" w:rsidRPr="00CE45E2" w:rsidRDefault="00CE45E2" w:rsidP="006476FB">
            <w:pPr>
              <w:pStyle w:val="Normal6a"/>
            </w:pPr>
          </w:p>
        </w:tc>
        <w:tc>
          <w:tcPr>
            <w:tcW w:w="4876" w:type="dxa"/>
            <w:tcBorders>
              <w:top w:val="nil"/>
              <w:left w:val="nil"/>
              <w:bottom w:val="nil"/>
              <w:right w:val="nil"/>
            </w:tcBorders>
          </w:tcPr>
          <w:p w14:paraId="139FDC8C" w14:textId="77777777" w:rsidR="00CE45E2" w:rsidRPr="00CE45E2" w:rsidRDefault="00CE45E2" w:rsidP="006476FB">
            <w:pPr>
              <w:pStyle w:val="Normal6a"/>
            </w:pPr>
            <w:r w:rsidRPr="00CE45E2">
              <w:rPr>
                <w:b/>
                <w:i/>
              </w:rPr>
              <w:t>(1b)</w:t>
            </w:r>
            <w:r w:rsidRPr="00CE45E2">
              <w:tab/>
            </w:r>
            <w:r w:rsidRPr="00CE45E2">
              <w:rPr>
                <w:b/>
                <w:i/>
              </w:rPr>
              <w:t>Chociaż uzupełniające programy emerytalne mogą stanowić źródło dochodów emerytalnych, ich celem powinno być uzupełnienie odpowiednich ustawowych świadczeń emerytalnych z pierwszego filaru. Rozwój emerytur dodatkowych w całej UE nie powinien prowadzić do osłabienia emerytur publicznych, zwłaszcza w odniesieniu do ich adekwatności. Ambitne strategie w zakresie tworzenia wysokiej jakości miejsc pracy, sprawiedliwej migracji i równości płci powinny stanowić podstawę bardziej zrównoważonych systemów emerytalnych pierwszego, drugiego i trzeciego filaru oraz zapewniać środki finansowe niezbędne do zabezpieczenia emerytur obecnych i przyszłych emerytów.</w:t>
            </w:r>
          </w:p>
        </w:tc>
      </w:tr>
    </w:tbl>
    <w:p w14:paraId="076A4EC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45DFD25" w14:textId="77777777" w:rsidR="00CE45E2" w:rsidRPr="00CE45E2" w:rsidRDefault="00CE45E2" w:rsidP="00CE45E2">
      <w:r w:rsidRPr="00CE45E2">
        <w:rPr>
          <w:rStyle w:val="HideTWBExt"/>
        </w:rPr>
        <w:t>&lt;/Amend&gt;</w:t>
      </w:r>
    </w:p>
    <w:p w14:paraId="0F2D6B68" w14:textId="5CD62D8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111</w:t>
      </w:r>
      <w:r w:rsidRPr="00CE45E2">
        <w:rPr>
          <w:rStyle w:val="HideTWBExt"/>
          <w:b w:val="0"/>
        </w:rPr>
        <w:t>&lt;/NumAm&gt;</w:t>
      </w:r>
    </w:p>
    <w:p w14:paraId="5C7E1DEA"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6D4E8F7E" w14:textId="77777777" w:rsidR="00CE45E2" w:rsidRPr="00CE45E2" w:rsidRDefault="00CE45E2" w:rsidP="00CE45E2">
      <w:pPr>
        <w:pStyle w:val="NormalBold"/>
      </w:pPr>
      <w:r w:rsidRPr="00CE45E2">
        <w:rPr>
          <w:rStyle w:val="HideTWBExt"/>
          <w:b w:val="0"/>
        </w:rPr>
        <w:t>&lt;/RepeatBlock-By&gt;</w:t>
      </w:r>
    </w:p>
    <w:p w14:paraId="79E3CDC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35A58FC" w14:textId="77777777" w:rsidR="00CE45E2" w:rsidRPr="00CE45E2" w:rsidRDefault="00CE45E2" w:rsidP="00CE45E2">
      <w:pPr>
        <w:pStyle w:val="NormalBold"/>
      </w:pPr>
      <w:r w:rsidRPr="00CE45E2">
        <w:rPr>
          <w:rStyle w:val="HideTWBExt"/>
          <w:b w:val="0"/>
        </w:rPr>
        <w:t>&lt;Article&gt;</w:t>
      </w:r>
      <w:r w:rsidRPr="00CE45E2">
        <w:t>Motyw 1 c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9BCEAC8" w14:textId="77777777" w:rsidTr="006476FB">
        <w:trPr>
          <w:trHeight w:hRule="exact" w:val="240"/>
          <w:jc w:val="center"/>
        </w:trPr>
        <w:tc>
          <w:tcPr>
            <w:tcW w:w="9752" w:type="dxa"/>
            <w:gridSpan w:val="2"/>
            <w:tcBorders>
              <w:top w:val="nil"/>
              <w:left w:val="nil"/>
              <w:bottom w:val="nil"/>
              <w:right w:val="nil"/>
            </w:tcBorders>
          </w:tcPr>
          <w:p w14:paraId="2C14819B" w14:textId="77777777" w:rsidR="00CE45E2" w:rsidRPr="00CE45E2" w:rsidRDefault="00CE45E2" w:rsidP="006476FB"/>
        </w:tc>
      </w:tr>
      <w:tr w:rsidR="00CE45E2" w:rsidRPr="00CE45E2" w14:paraId="353F001C" w14:textId="77777777" w:rsidTr="006476FB">
        <w:trPr>
          <w:trHeight w:val="240"/>
          <w:jc w:val="center"/>
        </w:trPr>
        <w:tc>
          <w:tcPr>
            <w:tcW w:w="4876" w:type="dxa"/>
            <w:tcBorders>
              <w:top w:val="nil"/>
              <w:left w:val="nil"/>
              <w:bottom w:val="nil"/>
              <w:right w:val="nil"/>
            </w:tcBorders>
          </w:tcPr>
          <w:p w14:paraId="4F87BB7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52FC901" w14:textId="77777777" w:rsidR="00CE45E2" w:rsidRPr="00CE45E2" w:rsidRDefault="00CE45E2" w:rsidP="006476FB">
            <w:pPr>
              <w:pStyle w:val="AmColumnHeading"/>
            </w:pPr>
            <w:r w:rsidRPr="00CE45E2">
              <w:t>Poprawka</w:t>
            </w:r>
          </w:p>
        </w:tc>
      </w:tr>
      <w:tr w:rsidR="00CE45E2" w:rsidRPr="00CE45E2" w14:paraId="760FA7D3" w14:textId="77777777" w:rsidTr="006476FB">
        <w:trPr>
          <w:jc w:val="center"/>
        </w:trPr>
        <w:tc>
          <w:tcPr>
            <w:tcW w:w="4876" w:type="dxa"/>
            <w:tcBorders>
              <w:top w:val="nil"/>
              <w:left w:val="nil"/>
              <w:bottom w:val="nil"/>
              <w:right w:val="nil"/>
            </w:tcBorders>
          </w:tcPr>
          <w:p w14:paraId="4CF3F65B" w14:textId="77777777" w:rsidR="00CE45E2" w:rsidRPr="00CE45E2" w:rsidRDefault="00CE45E2" w:rsidP="006476FB">
            <w:pPr>
              <w:pStyle w:val="Normal6a"/>
            </w:pPr>
          </w:p>
        </w:tc>
        <w:tc>
          <w:tcPr>
            <w:tcW w:w="4876" w:type="dxa"/>
            <w:tcBorders>
              <w:top w:val="nil"/>
              <w:left w:val="nil"/>
              <w:bottom w:val="nil"/>
              <w:right w:val="nil"/>
            </w:tcBorders>
          </w:tcPr>
          <w:p w14:paraId="463EE623" w14:textId="77777777" w:rsidR="00CE45E2" w:rsidRPr="00CE45E2" w:rsidRDefault="00CE45E2" w:rsidP="006476FB">
            <w:pPr>
              <w:pStyle w:val="Normal6a"/>
            </w:pPr>
            <w:r w:rsidRPr="00CE45E2">
              <w:rPr>
                <w:b/>
                <w:i/>
              </w:rPr>
              <w:t>(1c)</w:t>
            </w:r>
            <w:r w:rsidRPr="00CE45E2">
              <w:tab/>
            </w:r>
            <w:r w:rsidRPr="00CE45E2">
              <w:rPr>
                <w:b/>
                <w:i/>
              </w:rPr>
              <w:t>Prawie 20 % europejskich obywateli w wieku powyżej 60 lat jest zagrożonych ubóstwem. Z dodatkowych systemów emerytalnych nieproporcjonalnie często korzystają jednak gospodarstwa domowe o wyższych dochodach oraz pracownicy o stabilnej karierze zawodowej. Tymczasem kobiety, grupy o niższych dochodach, osoby zatrudnione w niestandardowych lub niepewnych formach zatrudnienia oraz pracownicy z przerwami w karierze często mają ograniczony dostęp do takich systemów. Ponieważ programy te są powiązane z zatrudnieniem, mogą one pogłębiać fragmentację rynku pracy i nierówności między sektorami oraz przedsiębiorstwami, zwiększając tym samym ryzyko ubóstwa i nierówności społecznych. Prywatne systemy emerytalne oddzielają również dochód emerytalny od publicznych świadczeń opartych na solidarności i silniej uzależniają adekwatność świadczeń od indywidualnej zdolności do oszczędzania, co stwarza poważne ryzyko niewystarczających dochodów emerytalnych dla osób o niskich wynagrodzeniach lub ograniczonej zdolności oszczędzania. Dlatego każda polityka w tym obszarze powinna podlegać szczegółowej ocenie skutków dystrybucyjnych, porównującej wpływ systemów pierwszego, drugiego i trzeciego filaru na dochody emerytalne i spójność społeczną. Komisja nie przedstawiła jednak takiej oceny.</w:t>
            </w:r>
          </w:p>
        </w:tc>
      </w:tr>
    </w:tbl>
    <w:p w14:paraId="51A6450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B43094" w14:textId="77777777" w:rsidR="00CE45E2" w:rsidRPr="00CE45E2" w:rsidRDefault="00CE45E2" w:rsidP="00CE45E2">
      <w:r w:rsidRPr="00CE45E2">
        <w:rPr>
          <w:rStyle w:val="HideTWBExt"/>
        </w:rPr>
        <w:t>&lt;/Amend&gt;</w:t>
      </w:r>
    </w:p>
    <w:p w14:paraId="1A308C80" w14:textId="58B794E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112</w:t>
      </w:r>
      <w:r w:rsidRPr="00CE45E2">
        <w:rPr>
          <w:rStyle w:val="HideTWBExt"/>
          <w:b w:val="0"/>
        </w:rPr>
        <w:t>&lt;/NumAm&gt;</w:t>
      </w:r>
    </w:p>
    <w:p w14:paraId="538AC731"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E088197" w14:textId="77777777" w:rsidR="00CE45E2" w:rsidRPr="00CE45E2" w:rsidRDefault="00CE45E2" w:rsidP="00CE45E2">
      <w:pPr>
        <w:pStyle w:val="NormalBold"/>
      </w:pPr>
      <w:r w:rsidRPr="00CE45E2">
        <w:rPr>
          <w:rStyle w:val="HideTWBExt"/>
          <w:b w:val="0"/>
        </w:rPr>
        <w:t>&lt;/RepeatBlock-By&gt;</w:t>
      </w:r>
    </w:p>
    <w:p w14:paraId="776028B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F06CA6C" w14:textId="77777777" w:rsidR="00CE45E2" w:rsidRPr="00CE45E2" w:rsidRDefault="00CE45E2" w:rsidP="00CE45E2">
      <w:pPr>
        <w:pStyle w:val="NormalBold"/>
      </w:pPr>
      <w:r w:rsidRPr="00CE45E2">
        <w:rPr>
          <w:rStyle w:val="HideTWBExt"/>
          <w:b w:val="0"/>
        </w:rPr>
        <w:t>&lt;Article&gt;</w:t>
      </w:r>
      <w:r w:rsidRPr="00CE45E2">
        <w:t>Motyw 1 d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B6272CF" w14:textId="77777777" w:rsidTr="006476FB">
        <w:trPr>
          <w:trHeight w:hRule="exact" w:val="240"/>
          <w:jc w:val="center"/>
        </w:trPr>
        <w:tc>
          <w:tcPr>
            <w:tcW w:w="9752" w:type="dxa"/>
            <w:gridSpan w:val="2"/>
            <w:tcBorders>
              <w:top w:val="nil"/>
              <w:left w:val="nil"/>
              <w:bottom w:val="nil"/>
              <w:right w:val="nil"/>
            </w:tcBorders>
          </w:tcPr>
          <w:p w14:paraId="02907844" w14:textId="77777777" w:rsidR="00CE45E2" w:rsidRPr="00CE45E2" w:rsidRDefault="00CE45E2" w:rsidP="006476FB"/>
        </w:tc>
      </w:tr>
      <w:tr w:rsidR="00CE45E2" w:rsidRPr="00CE45E2" w14:paraId="1936E774" w14:textId="77777777" w:rsidTr="006476FB">
        <w:trPr>
          <w:trHeight w:val="240"/>
          <w:jc w:val="center"/>
        </w:trPr>
        <w:tc>
          <w:tcPr>
            <w:tcW w:w="4876" w:type="dxa"/>
            <w:tcBorders>
              <w:top w:val="nil"/>
              <w:left w:val="nil"/>
              <w:bottom w:val="nil"/>
              <w:right w:val="nil"/>
            </w:tcBorders>
          </w:tcPr>
          <w:p w14:paraId="0ADB728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FC665AA" w14:textId="77777777" w:rsidR="00CE45E2" w:rsidRPr="00CE45E2" w:rsidRDefault="00CE45E2" w:rsidP="006476FB">
            <w:pPr>
              <w:pStyle w:val="AmColumnHeading"/>
            </w:pPr>
            <w:r w:rsidRPr="00CE45E2">
              <w:t>Poprawka</w:t>
            </w:r>
          </w:p>
        </w:tc>
      </w:tr>
      <w:tr w:rsidR="00CE45E2" w:rsidRPr="00CE45E2" w14:paraId="42FCFBB6" w14:textId="77777777" w:rsidTr="006476FB">
        <w:trPr>
          <w:jc w:val="center"/>
        </w:trPr>
        <w:tc>
          <w:tcPr>
            <w:tcW w:w="4876" w:type="dxa"/>
            <w:tcBorders>
              <w:top w:val="nil"/>
              <w:left w:val="nil"/>
              <w:bottom w:val="nil"/>
              <w:right w:val="nil"/>
            </w:tcBorders>
          </w:tcPr>
          <w:p w14:paraId="6A5A058F" w14:textId="77777777" w:rsidR="00CE45E2" w:rsidRPr="00CE45E2" w:rsidRDefault="00CE45E2" w:rsidP="006476FB">
            <w:pPr>
              <w:pStyle w:val="Normal6a"/>
            </w:pPr>
          </w:p>
        </w:tc>
        <w:tc>
          <w:tcPr>
            <w:tcW w:w="4876" w:type="dxa"/>
            <w:tcBorders>
              <w:top w:val="nil"/>
              <w:left w:val="nil"/>
              <w:bottom w:val="nil"/>
              <w:right w:val="nil"/>
            </w:tcBorders>
          </w:tcPr>
          <w:p w14:paraId="1A94368A" w14:textId="77777777" w:rsidR="00CE45E2" w:rsidRPr="00CE45E2" w:rsidRDefault="00CE45E2" w:rsidP="006476FB">
            <w:pPr>
              <w:pStyle w:val="Normal6a"/>
            </w:pPr>
            <w:r w:rsidRPr="00CE45E2">
              <w:rPr>
                <w:b/>
                <w:i/>
              </w:rPr>
              <w:t>(1d)</w:t>
            </w:r>
            <w:r w:rsidRPr="00CE45E2">
              <w:tab/>
            </w:r>
            <w:r w:rsidRPr="00CE45E2">
              <w:rPr>
                <w:b/>
                <w:i/>
              </w:rPr>
              <w:t>W Europie luka emerytalna między kobietami a mężczyznami w publicznych systemach emerytalnych wynosi średnio od 30 % do 32 %, natomiast w przypadku emerytur prywatnych i dodatkowych jest większa i sięga od 35 % do 40 %. Luka ta wynika z faktu, że kobiety częściej mają przerywany przebieg kariery zawodowej, niższe wynagrodzenia i mniejszy dostęp do pracowniczych programów emerytalnych, co pogłębia nierówności.</w:t>
            </w:r>
          </w:p>
        </w:tc>
      </w:tr>
    </w:tbl>
    <w:p w14:paraId="7E515C1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245E80C" w14:textId="77777777" w:rsidR="00CE45E2" w:rsidRPr="00CE45E2" w:rsidRDefault="00CE45E2" w:rsidP="00CE45E2">
      <w:r w:rsidRPr="00CE45E2">
        <w:rPr>
          <w:rStyle w:val="HideTWBExt"/>
        </w:rPr>
        <w:t>&lt;/Amend&gt;</w:t>
      </w:r>
    </w:p>
    <w:p w14:paraId="6C427D16" w14:textId="05DA685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113</w:t>
      </w:r>
      <w:r w:rsidRPr="00CE45E2">
        <w:rPr>
          <w:rStyle w:val="HideTWBExt"/>
          <w:b w:val="0"/>
        </w:rPr>
        <w:t>&lt;/NumAm&gt;</w:t>
      </w:r>
    </w:p>
    <w:p w14:paraId="4DC5A3A9"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32246F2D" w14:textId="77777777" w:rsidR="00CE45E2" w:rsidRPr="00CE45E2" w:rsidRDefault="00CE45E2" w:rsidP="00CE45E2">
      <w:pPr>
        <w:pStyle w:val="NormalBold"/>
      </w:pPr>
      <w:r w:rsidRPr="00CE45E2">
        <w:rPr>
          <w:rStyle w:val="HideTWBExt"/>
          <w:b w:val="0"/>
        </w:rPr>
        <w:t>&lt;/RepeatBlock-By&gt;</w:t>
      </w:r>
    </w:p>
    <w:p w14:paraId="3AC9D09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B53F005" w14:textId="77777777" w:rsidR="00CE45E2" w:rsidRPr="00CE45E2" w:rsidRDefault="00CE45E2" w:rsidP="00CE45E2">
      <w:pPr>
        <w:pStyle w:val="NormalBold"/>
      </w:pPr>
      <w:r w:rsidRPr="00CE45E2">
        <w:rPr>
          <w:rStyle w:val="HideTWBExt"/>
          <w:b w:val="0"/>
        </w:rPr>
        <w:t>&lt;Article&gt;</w:t>
      </w:r>
      <w:r w:rsidRPr="00CE45E2">
        <w:t>Motyw 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1991BB5" w14:textId="77777777" w:rsidTr="006476FB">
        <w:trPr>
          <w:trHeight w:hRule="exact" w:val="240"/>
          <w:jc w:val="center"/>
        </w:trPr>
        <w:tc>
          <w:tcPr>
            <w:tcW w:w="9752" w:type="dxa"/>
            <w:gridSpan w:val="2"/>
            <w:tcBorders>
              <w:top w:val="nil"/>
              <w:left w:val="nil"/>
              <w:bottom w:val="nil"/>
              <w:right w:val="nil"/>
            </w:tcBorders>
          </w:tcPr>
          <w:p w14:paraId="0E2BCE61" w14:textId="77777777" w:rsidR="00CE45E2" w:rsidRPr="00CE45E2" w:rsidRDefault="00CE45E2" w:rsidP="006476FB"/>
        </w:tc>
      </w:tr>
      <w:tr w:rsidR="00CE45E2" w:rsidRPr="00CE45E2" w14:paraId="41642982" w14:textId="77777777" w:rsidTr="006476FB">
        <w:trPr>
          <w:trHeight w:val="240"/>
          <w:jc w:val="center"/>
        </w:trPr>
        <w:tc>
          <w:tcPr>
            <w:tcW w:w="4876" w:type="dxa"/>
            <w:tcBorders>
              <w:top w:val="nil"/>
              <w:left w:val="nil"/>
              <w:bottom w:val="nil"/>
              <w:right w:val="nil"/>
            </w:tcBorders>
          </w:tcPr>
          <w:p w14:paraId="29C8B8A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45FFC71" w14:textId="77777777" w:rsidR="00CE45E2" w:rsidRPr="00CE45E2" w:rsidRDefault="00CE45E2" w:rsidP="006476FB">
            <w:pPr>
              <w:pStyle w:val="AmColumnHeading"/>
            </w:pPr>
            <w:r w:rsidRPr="00CE45E2">
              <w:t>Poprawka</w:t>
            </w:r>
          </w:p>
        </w:tc>
      </w:tr>
      <w:tr w:rsidR="00CE45E2" w:rsidRPr="00CE45E2" w14:paraId="31C79EA7" w14:textId="77777777" w:rsidTr="006476FB">
        <w:trPr>
          <w:jc w:val="center"/>
        </w:trPr>
        <w:tc>
          <w:tcPr>
            <w:tcW w:w="4876" w:type="dxa"/>
            <w:tcBorders>
              <w:top w:val="nil"/>
              <w:left w:val="nil"/>
              <w:bottom w:val="nil"/>
              <w:right w:val="nil"/>
            </w:tcBorders>
          </w:tcPr>
          <w:p w14:paraId="3A992B61" w14:textId="77777777" w:rsidR="00CE45E2" w:rsidRPr="00CE45E2" w:rsidRDefault="00CE45E2" w:rsidP="006476FB">
            <w:pPr>
              <w:pStyle w:val="Normal6a"/>
            </w:pPr>
            <w:r w:rsidRPr="00CE45E2">
              <w:t>(2)</w:t>
            </w:r>
            <w:r w:rsidRPr="00CE45E2">
              <w:tab/>
            </w:r>
            <w:r w:rsidRPr="00CE45E2">
              <w:rPr>
                <w:b/>
                <w:bCs/>
                <w:i/>
                <w:iCs/>
              </w:rPr>
              <w:t>Chociaż</w:t>
            </w:r>
            <w:r w:rsidRPr="00CE45E2">
              <w:t xml:space="preserve"> organizacja systemów emerytalnych pozostaje kompetencją krajową</w:t>
            </w:r>
            <w:r w:rsidRPr="00CE45E2">
              <w:rPr>
                <w:b/>
                <w:bCs/>
                <w:i/>
                <w:iCs/>
              </w:rPr>
              <w:t>, adekwatność i stabilność finansowa emerytur są przedmiotem wspólnego zainteresowania ze względu na stabilność i spójność Unii.</w:t>
            </w:r>
            <w:r w:rsidRPr="00CE45E2">
              <w:rPr>
                <w:b/>
                <w:i/>
              </w:rPr>
              <w:t xml:space="preserve"> </w:t>
            </w:r>
            <w:r w:rsidRPr="00CE45E2">
              <w:rPr>
                <w:b/>
                <w:bCs/>
                <w:i/>
                <w:iCs/>
              </w:rPr>
              <w:t>Zapewnienie obywatelom dostępu do dobrze zaprojektowanych indywidualnych produktów emerytalnych przyczynia się zarówno do indywidualnego bezpieczeństwa finansowego, jak i do odporności gospodarki Unii</w:t>
            </w:r>
            <w:r w:rsidRPr="00CE45E2">
              <w:t>.</w:t>
            </w:r>
          </w:p>
        </w:tc>
        <w:tc>
          <w:tcPr>
            <w:tcW w:w="4876" w:type="dxa"/>
            <w:tcBorders>
              <w:top w:val="nil"/>
              <w:left w:val="nil"/>
              <w:bottom w:val="nil"/>
              <w:right w:val="nil"/>
            </w:tcBorders>
          </w:tcPr>
          <w:p w14:paraId="21220933" w14:textId="77777777" w:rsidR="00CE45E2" w:rsidRPr="00CE45E2" w:rsidRDefault="00CE45E2" w:rsidP="006476FB">
            <w:pPr>
              <w:pStyle w:val="Normal6a"/>
            </w:pPr>
            <w:r w:rsidRPr="00CE45E2">
              <w:t>(2)</w:t>
            </w:r>
            <w:r w:rsidRPr="00CE45E2">
              <w:tab/>
              <w:t>Organizacja systemów emerytalnych pozostaje kompetencją krajową</w:t>
            </w:r>
            <w:r w:rsidRPr="00CE45E2">
              <w:rPr>
                <w:b/>
                <w:bCs/>
                <w:i/>
                <w:iCs/>
              </w:rPr>
              <w:t>.</w:t>
            </w:r>
            <w:r w:rsidRPr="00CE45E2">
              <w:rPr>
                <w:b/>
                <w:i/>
              </w:rPr>
              <w:t xml:space="preserve"> </w:t>
            </w:r>
            <w:r w:rsidRPr="00CE45E2">
              <w:rPr>
                <w:b/>
                <w:bCs/>
                <w:i/>
                <w:iCs/>
              </w:rPr>
              <w:t>Art. 153 ust. 4 TFUE uniemożliwia podejmowanie działań przez UE, które miałyby istotny wpływ na równowagę finansową systemów zabezpieczenia społecznego państw członkowskich</w:t>
            </w:r>
            <w:r w:rsidRPr="00CE45E2">
              <w:t>.</w:t>
            </w:r>
          </w:p>
        </w:tc>
      </w:tr>
    </w:tbl>
    <w:p w14:paraId="521E3E3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D44A940" w14:textId="77777777" w:rsidR="00CE45E2" w:rsidRPr="00CE45E2" w:rsidRDefault="00CE45E2" w:rsidP="00CE45E2">
      <w:r w:rsidRPr="00CE45E2">
        <w:rPr>
          <w:rStyle w:val="HideTWBExt"/>
        </w:rPr>
        <w:t>&lt;/Amend&gt;</w:t>
      </w:r>
    </w:p>
    <w:p w14:paraId="055CF9BF" w14:textId="0E997F7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114</w:t>
      </w:r>
      <w:r w:rsidRPr="00CE45E2">
        <w:rPr>
          <w:rStyle w:val="HideTWBExt"/>
          <w:b w:val="0"/>
        </w:rPr>
        <w:t>&lt;/NumAm&gt;</w:t>
      </w:r>
    </w:p>
    <w:p w14:paraId="5AE5BB59"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3A51308E" w14:textId="77777777" w:rsidR="00CE45E2" w:rsidRPr="00CE45E2" w:rsidRDefault="00CE45E2" w:rsidP="00CE45E2">
      <w:pPr>
        <w:pStyle w:val="NormalBold"/>
      </w:pPr>
      <w:r w:rsidRPr="00CE45E2">
        <w:rPr>
          <w:rStyle w:val="HideTWBExt"/>
          <w:b w:val="0"/>
        </w:rPr>
        <w:t>&lt;/RepeatBlock-By&gt;</w:t>
      </w:r>
    </w:p>
    <w:p w14:paraId="57C08EA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12D790F" w14:textId="77777777" w:rsidR="00CE45E2" w:rsidRPr="00CE45E2" w:rsidRDefault="00CE45E2" w:rsidP="00CE45E2">
      <w:pPr>
        <w:pStyle w:val="NormalBold"/>
      </w:pPr>
      <w:r w:rsidRPr="00CE45E2">
        <w:rPr>
          <w:rStyle w:val="HideTWBExt"/>
          <w:b w:val="0"/>
        </w:rPr>
        <w:t>&lt;Article&gt;</w:t>
      </w:r>
      <w:r w:rsidRPr="00CE45E2">
        <w:t>Motyw 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D5CA339" w14:textId="77777777" w:rsidTr="006476FB">
        <w:trPr>
          <w:trHeight w:hRule="exact" w:val="240"/>
          <w:jc w:val="center"/>
        </w:trPr>
        <w:tc>
          <w:tcPr>
            <w:tcW w:w="9752" w:type="dxa"/>
            <w:gridSpan w:val="2"/>
            <w:tcBorders>
              <w:top w:val="nil"/>
              <w:left w:val="nil"/>
              <w:bottom w:val="nil"/>
              <w:right w:val="nil"/>
            </w:tcBorders>
          </w:tcPr>
          <w:p w14:paraId="1889E681" w14:textId="77777777" w:rsidR="00CE45E2" w:rsidRPr="00CE45E2" w:rsidRDefault="00CE45E2" w:rsidP="006476FB"/>
        </w:tc>
      </w:tr>
      <w:tr w:rsidR="00CE45E2" w:rsidRPr="00CE45E2" w14:paraId="5370C5EA" w14:textId="77777777" w:rsidTr="006476FB">
        <w:trPr>
          <w:trHeight w:val="240"/>
          <w:jc w:val="center"/>
        </w:trPr>
        <w:tc>
          <w:tcPr>
            <w:tcW w:w="4876" w:type="dxa"/>
            <w:tcBorders>
              <w:top w:val="nil"/>
              <w:left w:val="nil"/>
              <w:bottom w:val="nil"/>
              <w:right w:val="nil"/>
            </w:tcBorders>
          </w:tcPr>
          <w:p w14:paraId="65EEC30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3BCF788" w14:textId="77777777" w:rsidR="00CE45E2" w:rsidRPr="00CE45E2" w:rsidRDefault="00CE45E2" w:rsidP="006476FB">
            <w:pPr>
              <w:pStyle w:val="AmColumnHeading"/>
            </w:pPr>
            <w:r w:rsidRPr="00CE45E2">
              <w:t>Poprawka</w:t>
            </w:r>
          </w:p>
        </w:tc>
      </w:tr>
      <w:tr w:rsidR="00CE45E2" w:rsidRPr="00CE45E2" w14:paraId="526A300C" w14:textId="77777777" w:rsidTr="006476FB">
        <w:trPr>
          <w:jc w:val="center"/>
        </w:trPr>
        <w:tc>
          <w:tcPr>
            <w:tcW w:w="4876" w:type="dxa"/>
            <w:tcBorders>
              <w:top w:val="nil"/>
              <w:left w:val="nil"/>
              <w:bottom w:val="nil"/>
              <w:right w:val="nil"/>
            </w:tcBorders>
          </w:tcPr>
          <w:p w14:paraId="286593FA" w14:textId="77777777" w:rsidR="00CE45E2" w:rsidRPr="00CE45E2" w:rsidRDefault="00CE45E2" w:rsidP="006476FB">
            <w:pPr>
              <w:pStyle w:val="Normal6a"/>
            </w:pPr>
            <w:r w:rsidRPr="00CE45E2">
              <w:t>(2)</w:t>
            </w:r>
            <w:r w:rsidRPr="00CE45E2">
              <w:tab/>
              <w:t>Chociaż organizacja systemów emerytalnych pozostaje kompetencją krajową, adekwatność i stabilność finansowa emerytur są przedmiotem wspólnego zainteresowania ze względu na stabilność i spójność Unii. Zapewnienie obywatelom dostępu do dobrze zaprojektowanych indywidualnych produktów emerytalnych przyczynia się zarówno do indywidualnego bezpieczeństwa finansowego, jak i do odporności gospodarki Unii.</w:t>
            </w:r>
          </w:p>
        </w:tc>
        <w:tc>
          <w:tcPr>
            <w:tcW w:w="4876" w:type="dxa"/>
            <w:tcBorders>
              <w:top w:val="nil"/>
              <w:left w:val="nil"/>
              <w:bottom w:val="nil"/>
              <w:right w:val="nil"/>
            </w:tcBorders>
          </w:tcPr>
          <w:p w14:paraId="5BEA9BDC" w14:textId="77777777" w:rsidR="00CE45E2" w:rsidRPr="00CE45E2" w:rsidRDefault="00CE45E2" w:rsidP="006476FB">
            <w:pPr>
              <w:pStyle w:val="Normal6a"/>
            </w:pPr>
            <w:r w:rsidRPr="00CE45E2">
              <w:t>(2)</w:t>
            </w:r>
            <w:r w:rsidRPr="00CE45E2">
              <w:tab/>
              <w:t xml:space="preserve">Chociaż organizacja systemów emerytalnych pozostaje kompetencją krajową, adekwatność i stabilność finansowa emerytur są przedmiotem wspólnego zainteresowania ze względu na stabilność i spójność Unii. Zapewnienie obywatelom dostępu do dobrze zaprojektowanych indywidualnych produktów emerytalnych przyczynia się zarówno do indywidualnego bezpieczeństwa finansowego, jak i do odporności gospodarki Unii. </w:t>
            </w:r>
            <w:r w:rsidRPr="00CE45E2">
              <w:rPr>
                <w:b/>
                <w:i/>
              </w:rPr>
              <w:t>W tym kontekście należy w pełni szanować rolę i niezależność partnerów społecznych, w tym ich zdolność do opracowywania skutecznych pracowniczych programów emerytalnych w drodze rokowań zbiorowych.</w:t>
            </w:r>
          </w:p>
        </w:tc>
      </w:tr>
    </w:tbl>
    <w:p w14:paraId="4EC2102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5F19EAE" w14:textId="77777777" w:rsidR="00CE45E2" w:rsidRPr="00CE45E2" w:rsidRDefault="00CE45E2" w:rsidP="00CE45E2">
      <w:r w:rsidRPr="00CE45E2">
        <w:rPr>
          <w:rStyle w:val="HideTWBExt"/>
        </w:rPr>
        <w:t>&lt;/Amend&gt;</w:t>
      </w:r>
    </w:p>
    <w:p w14:paraId="368208D0" w14:textId="34844C6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115</w:t>
      </w:r>
      <w:r w:rsidRPr="00CE45E2">
        <w:rPr>
          <w:rStyle w:val="HideTWBExt"/>
          <w:b w:val="0"/>
        </w:rPr>
        <w:t>&lt;/NumAm&gt;</w:t>
      </w:r>
    </w:p>
    <w:p w14:paraId="3598D7AC"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4396BF98" w14:textId="77777777" w:rsidR="00CE45E2" w:rsidRPr="00CE45E2" w:rsidRDefault="00CE45E2" w:rsidP="00CE45E2">
      <w:pPr>
        <w:pStyle w:val="NormalBold"/>
      </w:pPr>
      <w:r w:rsidRPr="00CE45E2">
        <w:rPr>
          <w:rStyle w:val="HideTWBExt"/>
          <w:b w:val="0"/>
        </w:rPr>
        <w:t>&lt;/RepeatBlock-By&gt;</w:t>
      </w:r>
    </w:p>
    <w:p w14:paraId="0941097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F147BD0" w14:textId="77777777" w:rsidR="00CE45E2" w:rsidRPr="00CE45E2" w:rsidRDefault="00CE45E2" w:rsidP="00CE45E2">
      <w:pPr>
        <w:pStyle w:val="NormalBold"/>
      </w:pPr>
      <w:r w:rsidRPr="00CE45E2">
        <w:rPr>
          <w:rStyle w:val="HideTWBExt"/>
          <w:b w:val="0"/>
        </w:rPr>
        <w:t>&lt;Article&gt;</w:t>
      </w:r>
      <w:r w:rsidRPr="00CE45E2">
        <w:t>Motyw 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971967E" w14:textId="77777777" w:rsidTr="006476FB">
        <w:trPr>
          <w:trHeight w:hRule="exact" w:val="240"/>
          <w:jc w:val="center"/>
        </w:trPr>
        <w:tc>
          <w:tcPr>
            <w:tcW w:w="9752" w:type="dxa"/>
            <w:gridSpan w:val="2"/>
            <w:tcBorders>
              <w:top w:val="nil"/>
              <w:left w:val="nil"/>
              <w:bottom w:val="nil"/>
              <w:right w:val="nil"/>
            </w:tcBorders>
          </w:tcPr>
          <w:p w14:paraId="6FDE97C7" w14:textId="77777777" w:rsidR="00CE45E2" w:rsidRPr="00CE45E2" w:rsidRDefault="00CE45E2" w:rsidP="006476FB"/>
        </w:tc>
      </w:tr>
      <w:tr w:rsidR="00CE45E2" w:rsidRPr="00CE45E2" w14:paraId="1419A8D6" w14:textId="77777777" w:rsidTr="006476FB">
        <w:trPr>
          <w:trHeight w:val="240"/>
          <w:jc w:val="center"/>
        </w:trPr>
        <w:tc>
          <w:tcPr>
            <w:tcW w:w="4876" w:type="dxa"/>
            <w:tcBorders>
              <w:top w:val="nil"/>
              <w:left w:val="nil"/>
              <w:bottom w:val="nil"/>
              <w:right w:val="nil"/>
            </w:tcBorders>
          </w:tcPr>
          <w:p w14:paraId="25A73A8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B7C8C28" w14:textId="77777777" w:rsidR="00CE45E2" w:rsidRPr="00CE45E2" w:rsidRDefault="00CE45E2" w:rsidP="006476FB">
            <w:pPr>
              <w:pStyle w:val="AmColumnHeading"/>
            </w:pPr>
            <w:r w:rsidRPr="00CE45E2">
              <w:t>Poprawka</w:t>
            </w:r>
          </w:p>
        </w:tc>
      </w:tr>
      <w:tr w:rsidR="00CE45E2" w:rsidRPr="00CE45E2" w14:paraId="71FCBA3A" w14:textId="77777777" w:rsidTr="006476FB">
        <w:trPr>
          <w:jc w:val="center"/>
        </w:trPr>
        <w:tc>
          <w:tcPr>
            <w:tcW w:w="4876" w:type="dxa"/>
            <w:tcBorders>
              <w:top w:val="nil"/>
              <w:left w:val="nil"/>
              <w:bottom w:val="nil"/>
              <w:right w:val="nil"/>
            </w:tcBorders>
          </w:tcPr>
          <w:p w14:paraId="376EC61A" w14:textId="77777777" w:rsidR="00CE45E2" w:rsidRPr="00CE45E2" w:rsidRDefault="00CE45E2" w:rsidP="006476FB">
            <w:pPr>
              <w:pStyle w:val="Normal6a"/>
            </w:pPr>
            <w:r w:rsidRPr="00CE45E2">
              <w:t>(2)</w:t>
            </w:r>
            <w:r w:rsidRPr="00CE45E2">
              <w:tab/>
              <w:t>Chociaż organizacja systemów emerytalnych pozostaje kompetencją krajową, adekwatność i stabilność finansowa emerytur są przedmiotem wspólnego zainteresowania ze względu na stabilność i spójność Unii. Zapewnienie obywatelom dostępu do dobrze zaprojektowanych indywidualnych produktów emerytalnych przyczynia się zarówno do indywidualnego bezpieczeństwa finansowego, jak i do odporności gospodarki Unii.</w:t>
            </w:r>
          </w:p>
        </w:tc>
        <w:tc>
          <w:tcPr>
            <w:tcW w:w="4876" w:type="dxa"/>
            <w:tcBorders>
              <w:top w:val="nil"/>
              <w:left w:val="nil"/>
              <w:bottom w:val="nil"/>
              <w:right w:val="nil"/>
            </w:tcBorders>
          </w:tcPr>
          <w:p w14:paraId="2FB29B4E" w14:textId="77777777" w:rsidR="00CE45E2" w:rsidRPr="00CE45E2" w:rsidRDefault="00CE45E2" w:rsidP="006476FB">
            <w:pPr>
              <w:pStyle w:val="Normal6a"/>
            </w:pPr>
            <w:r w:rsidRPr="00CE45E2">
              <w:t>(2)</w:t>
            </w:r>
            <w:r w:rsidRPr="00CE45E2">
              <w:tab/>
              <w:t xml:space="preserve">Chociaż organizacja systemów emerytalnych pozostaje kompetencją krajową, adekwatność i stabilność finansowa emerytur są przedmiotem wspólnego zainteresowania ze względu na stabilność i spójność Unii. Zapewnienie obywatelom dostępu do dobrze zaprojektowanych indywidualnych produktów emerytalnych przyczynia się zarówno do indywidualnego bezpieczeństwa finansowego, jak i do odporności gospodarki Unii. </w:t>
            </w:r>
            <w:r w:rsidRPr="00CE45E2">
              <w:rPr>
                <w:b/>
                <w:i/>
              </w:rPr>
              <w:t>Zasadnicze znaczenie ma dalsze zachowanie i wzmocnienie roli, autonomii i aktywnego zaangażowania partnerów społecznych w opracowywanie dobrze funkcjonujących programów emerytalnych w drodze rokowań zbiorowych.</w:t>
            </w:r>
          </w:p>
        </w:tc>
      </w:tr>
    </w:tbl>
    <w:p w14:paraId="07813A6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3AB7571" w14:textId="77777777" w:rsidR="00CE45E2" w:rsidRPr="00CE45E2" w:rsidRDefault="00CE45E2" w:rsidP="00CE45E2">
      <w:r w:rsidRPr="00CE45E2">
        <w:rPr>
          <w:rStyle w:val="HideTWBExt"/>
        </w:rPr>
        <w:t>&lt;/Amend&gt;</w:t>
      </w:r>
    </w:p>
    <w:p w14:paraId="05920722" w14:textId="5696072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116</w:t>
      </w:r>
      <w:r w:rsidRPr="00CE45E2">
        <w:rPr>
          <w:rStyle w:val="HideTWBExt"/>
          <w:b w:val="0"/>
        </w:rPr>
        <w:t>&lt;/NumAm&gt;</w:t>
      </w:r>
    </w:p>
    <w:p w14:paraId="4E285E8B"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7DBFE75D" w14:textId="77777777" w:rsidR="00CE45E2" w:rsidRPr="00CE45E2" w:rsidRDefault="00CE45E2" w:rsidP="00CE45E2">
      <w:pPr>
        <w:pStyle w:val="NormalBold"/>
      </w:pPr>
      <w:r w:rsidRPr="00CE45E2">
        <w:rPr>
          <w:rStyle w:val="HideTWBExt"/>
          <w:b w:val="0"/>
        </w:rPr>
        <w:t>&lt;/RepeatBlock-By&gt;</w:t>
      </w:r>
    </w:p>
    <w:p w14:paraId="461BD81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53CD2A0" w14:textId="77777777" w:rsidR="00CE45E2" w:rsidRPr="00CE45E2" w:rsidRDefault="00CE45E2" w:rsidP="00CE45E2">
      <w:pPr>
        <w:pStyle w:val="NormalBold"/>
      </w:pPr>
      <w:r w:rsidRPr="00CE45E2">
        <w:rPr>
          <w:rStyle w:val="HideTWBExt"/>
          <w:b w:val="0"/>
        </w:rPr>
        <w:t>&lt;Article&gt;</w:t>
      </w:r>
      <w:r w:rsidRPr="00CE45E2">
        <w:t>Motyw 2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1B4F2A2" w14:textId="77777777" w:rsidTr="006476FB">
        <w:trPr>
          <w:trHeight w:hRule="exact" w:val="240"/>
          <w:jc w:val="center"/>
        </w:trPr>
        <w:tc>
          <w:tcPr>
            <w:tcW w:w="9752" w:type="dxa"/>
            <w:gridSpan w:val="2"/>
            <w:tcBorders>
              <w:top w:val="nil"/>
              <w:left w:val="nil"/>
              <w:bottom w:val="nil"/>
              <w:right w:val="nil"/>
            </w:tcBorders>
          </w:tcPr>
          <w:p w14:paraId="796924C8" w14:textId="77777777" w:rsidR="00CE45E2" w:rsidRPr="00CE45E2" w:rsidRDefault="00CE45E2" w:rsidP="006476FB"/>
        </w:tc>
      </w:tr>
      <w:tr w:rsidR="00CE45E2" w:rsidRPr="00CE45E2" w14:paraId="36071ED2" w14:textId="77777777" w:rsidTr="006476FB">
        <w:trPr>
          <w:trHeight w:val="240"/>
          <w:jc w:val="center"/>
        </w:trPr>
        <w:tc>
          <w:tcPr>
            <w:tcW w:w="4876" w:type="dxa"/>
            <w:tcBorders>
              <w:top w:val="nil"/>
              <w:left w:val="nil"/>
              <w:bottom w:val="nil"/>
              <w:right w:val="nil"/>
            </w:tcBorders>
          </w:tcPr>
          <w:p w14:paraId="25CD12E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75C2BBF" w14:textId="77777777" w:rsidR="00CE45E2" w:rsidRPr="00CE45E2" w:rsidRDefault="00CE45E2" w:rsidP="006476FB">
            <w:pPr>
              <w:pStyle w:val="AmColumnHeading"/>
            </w:pPr>
            <w:r w:rsidRPr="00CE45E2">
              <w:t>Poprawka</w:t>
            </w:r>
          </w:p>
        </w:tc>
      </w:tr>
      <w:tr w:rsidR="00CE45E2" w:rsidRPr="00CE45E2" w14:paraId="41479694" w14:textId="77777777" w:rsidTr="006476FB">
        <w:trPr>
          <w:jc w:val="center"/>
        </w:trPr>
        <w:tc>
          <w:tcPr>
            <w:tcW w:w="4876" w:type="dxa"/>
            <w:tcBorders>
              <w:top w:val="nil"/>
              <w:left w:val="nil"/>
              <w:bottom w:val="nil"/>
              <w:right w:val="nil"/>
            </w:tcBorders>
          </w:tcPr>
          <w:p w14:paraId="4A362F5C" w14:textId="77777777" w:rsidR="00CE45E2" w:rsidRPr="00CE45E2" w:rsidRDefault="00CE45E2" w:rsidP="006476FB">
            <w:pPr>
              <w:pStyle w:val="Normal6a"/>
            </w:pPr>
          </w:p>
        </w:tc>
        <w:tc>
          <w:tcPr>
            <w:tcW w:w="4876" w:type="dxa"/>
            <w:tcBorders>
              <w:top w:val="nil"/>
              <w:left w:val="nil"/>
              <w:bottom w:val="nil"/>
              <w:right w:val="nil"/>
            </w:tcBorders>
          </w:tcPr>
          <w:p w14:paraId="1BC3CACB" w14:textId="77777777" w:rsidR="00CE45E2" w:rsidRPr="00CE45E2" w:rsidRDefault="00CE45E2" w:rsidP="006476FB">
            <w:pPr>
              <w:pStyle w:val="Normal6a"/>
            </w:pPr>
            <w:r w:rsidRPr="00CE45E2">
              <w:rPr>
                <w:b/>
                <w:i/>
              </w:rPr>
              <w:t>(2a)</w:t>
            </w:r>
            <w:r w:rsidRPr="00CE45E2">
              <w:tab/>
            </w:r>
            <w:r w:rsidRPr="00CE45E2">
              <w:rPr>
                <w:b/>
                <w:i/>
              </w:rPr>
              <w:t>Dyrektywa (UE) 2016/2341 przewiduje minimalną harmonizację i powinna nadal to robić. Niniejsza dyrektywa nie powinna podważać uprawnień państw członkowskich i partnerów społecznych w zakresie opracowywania i organizacji pracowniczych systemów emerytalnych, które odzwierciedlają krajowe prawo socjalne, prawo pracy i prawo podatkowe, ani zarządzania nimi. Ani akty delegowane przyjęte na mocy niniejszej dyrektywy, ani wytyczne wydane przez EIOPA nie powinny skutkować ustanowieniem jednolitych wymogów wykraczających poza to, co wyraźnie przewidziano w niniejszej dyrektywie.</w:t>
            </w:r>
          </w:p>
        </w:tc>
      </w:tr>
    </w:tbl>
    <w:p w14:paraId="7268748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C4AFA7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37793A7" w14:textId="77777777" w:rsidR="00CE45E2" w:rsidRPr="00CE45E2" w:rsidRDefault="00CE45E2" w:rsidP="00CE45E2">
      <w:pPr>
        <w:pStyle w:val="AmJustText"/>
      </w:pPr>
      <w:r w:rsidRPr="00CE45E2">
        <w:t>Dyrektywa zmieniająca musi zachować charakter minimalnej harmonizacji dyrektywy (UE) 2016/2341. Emerytury pracownicze należą przede wszystkim do kompetencji państw członkowskich i partnerów społecznych. Przepisy unijne powinny ustanawiać wspólny minimalny poziom wymogów ostrożnościowych, a nie jednolity pułap narzucany za pomocą środków poziomu 2 lub wytycznych w zakresie nadzoru.</w:t>
      </w:r>
    </w:p>
    <w:p w14:paraId="2D684124" w14:textId="77777777" w:rsidR="00CE45E2" w:rsidRPr="00CE45E2" w:rsidRDefault="00CE45E2" w:rsidP="00CE45E2">
      <w:r w:rsidRPr="00CE45E2">
        <w:rPr>
          <w:rStyle w:val="HideTWBExt"/>
        </w:rPr>
        <w:t>&lt;/Amend&gt;</w:t>
      </w:r>
    </w:p>
    <w:p w14:paraId="1E110F02" w14:textId="4E0FA445" w:rsidR="00CE45E2" w:rsidRPr="00CE45E2" w:rsidRDefault="00CE45E2" w:rsidP="00CE45E2">
      <w:pPr>
        <w:pStyle w:val="AmNumberTabs"/>
        <w:rPr>
          <w:lang w:val="es-ES"/>
        </w:rPr>
      </w:pPr>
      <w:r w:rsidRPr="00CE45E2">
        <w:rPr>
          <w:rStyle w:val="HideTWBExt"/>
          <w:b w:val="0"/>
        </w:rPr>
        <w:t>&lt;Amend&gt;</w:t>
      </w:r>
      <w:proofErr w:type="spellStart"/>
      <w:r w:rsidRPr="00CE45E2">
        <w:rPr>
          <w:lang w:val="es-ES"/>
        </w:rPr>
        <w:t>Poprawka</w:t>
      </w:r>
      <w:proofErr w:type="spellEnd"/>
      <w:r w:rsidRPr="00CE45E2">
        <w:rPr>
          <w:lang w:val="es-ES"/>
        </w:rPr>
        <w:tab/>
      </w:r>
      <w:r w:rsidRPr="00CE45E2">
        <w:rPr>
          <w:lang w:val="es-ES"/>
        </w:rPr>
        <w:tab/>
      </w:r>
      <w:r w:rsidRPr="00CE45E2">
        <w:rPr>
          <w:rStyle w:val="HideTWBExt"/>
          <w:b w:val="0"/>
        </w:rPr>
        <w:t>&lt;NumAm&gt;</w:t>
      </w:r>
      <w:r w:rsidR="00430CF1" w:rsidRPr="00430CF1">
        <w:rPr>
          <w:lang w:val="es-ES"/>
        </w:rPr>
        <w:t>117</w:t>
      </w:r>
      <w:r w:rsidRPr="00CE45E2">
        <w:rPr>
          <w:rStyle w:val="HideTWBExt"/>
          <w:b w:val="0"/>
        </w:rPr>
        <w:t>&lt;/NumAm&gt;</w:t>
      </w:r>
    </w:p>
    <w:p w14:paraId="0F79802B" w14:textId="77777777" w:rsidR="00CE45E2" w:rsidRPr="00CE45E2" w:rsidRDefault="00CE45E2" w:rsidP="00CE45E2">
      <w:pPr>
        <w:pStyle w:val="NormalBold"/>
        <w:rPr>
          <w:lang w:val="es-ES"/>
        </w:rPr>
      </w:pPr>
      <w:r w:rsidRPr="00CE45E2">
        <w:rPr>
          <w:rStyle w:val="HideTWBExt"/>
          <w:b w:val="0"/>
        </w:rPr>
        <w:t>&lt;RepeatBlock-By&gt;&lt;Members&gt;</w:t>
      </w:r>
      <w:r w:rsidRPr="00CE45E2">
        <w:rPr>
          <w:lang w:val="es-ES"/>
        </w:rPr>
        <w:t xml:space="preserve">Jonás Fernández, César </w:t>
      </w:r>
      <w:proofErr w:type="spellStart"/>
      <w:r w:rsidRPr="00CE45E2">
        <w:rPr>
          <w:lang w:val="es-ES"/>
        </w:rPr>
        <w:t>Luena</w:t>
      </w:r>
      <w:proofErr w:type="spellEnd"/>
      <w:r w:rsidRPr="00CE45E2">
        <w:rPr>
          <w:rStyle w:val="HideTWBExt"/>
          <w:b w:val="0"/>
        </w:rPr>
        <w:t>&lt;/Members&gt;</w:t>
      </w:r>
    </w:p>
    <w:p w14:paraId="4336AD30" w14:textId="77777777" w:rsidR="00CE45E2" w:rsidRPr="00CE45E2" w:rsidRDefault="00CE45E2" w:rsidP="00CE45E2">
      <w:pPr>
        <w:pStyle w:val="NormalBold"/>
        <w:rPr>
          <w:lang w:val="es-ES"/>
        </w:rPr>
      </w:pPr>
      <w:r w:rsidRPr="00CE45E2">
        <w:rPr>
          <w:rStyle w:val="HideTWBExt"/>
          <w:b w:val="0"/>
        </w:rPr>
        <w:t>&lt;/RepeatBlock-By&gt;</w:t>
      </w:r>
    </w:p>
    <w:p w14:paraId="239EF3C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3FB4EB2" w14:textId="77777777" w:rsidR="00CE45E2" w:rsidRPr="00CE45E2" w:rsidRDefault="00CE45E2" w:rsidP="00CE45E2">
      <w:pPr>
        <w:pStyle w:val="NormalBold"/>
      </w:pPr>
      <w:r w:rsidRPr="00CE45E2">
        <w:rPr>
          <w:rStyle w:val="HideTWBExt"/>
          <w:b w:val="0"/>
        </w:rPr>
        <w:t>&lt;Article&gt;</w:t>
      </w:r>
      <w:r w:rsidRPr="00CE45E2">
        <w:t>Motyw 2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FD902F5" w14:textId="77777777" w:rsidTr="006476FB">
        <w:trPr>
          <w:trHeight w:hRule="exact" w:val="240"/>
          <w:jc w:val="center"/>
        </w:trPr>
        <w:tc>
          <w:tcPr>
            <w:tcW w:w="9752" w:type="dxa"/>
            <w:gridSpan w:val="2"/>
            <w:tcBorders>
              <w:top w:val="nil"/>
              <w:left w:val="nil"/>
              <w:bottom w:val="nil"/>
              <w:right w:val="nil"/>
            </w:tcBorders>
          </w:tcPr>
          <w:p w14:paraId="7B06D2FC" w14:textId="77777777" w:rsidR="00CE45E2" w:rsidRPr="00CE45E2" w:rsidRDefault="00CE45E2" w:rsidP="006476FB"/>
        </w:tc>
      </w:tr>
      <w:tr w:rsidR="00CE45E2" w:rsidRPr="00CE45E2" w14:paraId="60C1CD0A" w14:textId="77777777" w:rsidTr="006476FB">
        <w:trPr>
          <w:trHeight w:val="240"/>
          <w:jc w:val="center"/>
        </w:trPr>
        <w:tc>
          <w:tcPr>
            <w:tcW w:w="4876" w:type="dxa"/>
            <w:tcBorders>
              <w:top w:val="nil"/>
              <w:left w:val="nil"/>
              <w:bottom w:val="nil"/>
              <w:right w:val="nil"/>
            </w:tcBorders>
          </w:tcPr>
          <w:p w14:paraId="5353631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10E683D" w14:textId="77777777" w:rsidR="00CE45E2" w:rsidRPr="00CE45E2" w:rsidRDefault="00CE45E2" w:rsidP="006476FB">
            <w:pPr>
              <w:pStyle w:val="AmColumnHeading"/>
            </w:pPr>
            <w:r w:rsidRPr="00CE45E2">
              <w:t>Poprawka</w:t>
            </w:r>
          </w:p>
        </w:tc>
      </w:tr>
      <w:tr w:rsidR="00CE45E2" w:rsidRPr="00CE45E2" w14:paraId="04AB8CAA" w14:textId="77777777" w:rsidTr="006476FB">
        <w:trPr>
          <w:jc w:val="center"/>
        </w:trPr>
        <w:tc>
          <w:tcPr>
            <w:tcW w:w="4876" w:type="dxa"/>
            <w:tcBorders>
              <w:top w:val="nil"/>
              <w:left w:val="nil"/>
              <w:bottom w:val="nil"/>
              <w:right w:val="nil"/>
            </w:tcBorders>
          </w:tcPr>
          <w:p w14:paraId="05E3F385" w14:textId="77777777" w:rsidR="00CE45E2" w:rsidRPr="00CE45E2" w:rsidRDefault="00CE45E2" w:rsidP="006476FB">
            <w:pPr>
              <w:pStyle w:val="Normal6a"/>
            </w:pPr>
          </w:p>
        </w:tc>
        <w:tc>
          <w:tcPr>
            <w:tcW w:w="4876" w:type="dxa"/>
            <w:tcBorders>
              <w:top w:val="nil"/>
              <w:left w:val="nil"/>
              <w:bottom w:val="nil"/>
              <w:right w:val="nil"/>
            </w:tcBorders>
          </w:tcPr>
          <w:p w14:paraId="1501E499" w14:textId="77777777" w:rsidR="00CE45E2" w:rsidRPr="00CE45E2" w:rsidRDefault="00CE45E2" w:rsidP="006476FB">
            <w:pPr>
              <w:pStyle w:val="Normal6a"/>
            </w:pPr>
            <w:r w:rsidRPr="00CE45E2">
              <w:rPr>
                <w:b/>
                <w:i/>
              </w:rPr>
              <w:t>(2a)</w:t>
            </w:r>
            <w:r w:rsidRPr="00CE45E2">
              <w:tab/>
            </w:r>
            <w:r w:rsidRPr="00CE45E2">
              <w:rPr>
                <w:b/>
                <w:i/>
              </w:rPr>
              <w:t>Zapewnienie, aby ludzie w całej UE mogli przejść na emeryturę z godnością, poczuciem bezpieczeństwa i odpowiednim dochodem, jest centralnym elementem unijnych agend społecznych i gospodarczych. Jednocześnie konieczne jest holistyczne podejście na odpowiednim szczeblu – krajowym lub europejskim. Podejście to powinno łączyć środki poprawiające funkcjonowanie rynków pracy, wzmacniające publiczne systemy emerytalne oraz usprawniające systemy emerytur dodatkowych.</w:t>
            </w:r>
          </w:p>
        </w:tc>
      </w:tr>
    </w:tbl>
    <w:p w14:paraId="44400962" w14:textId="77777777" w:rsidR="00CE45E2" w:rsidRPr="00CE45E2" w:rsidRDefault="00CE45E2" w:rsidP="00CE45E2">
      <w:pPr>
        <w:pStyle w:val="AmOrLang"/>
        <w:rPr>
          <w:lang w:val="es-ES"/>
        </w:rPr>
      </w:pPr>
      <w:proofErr w:type="spellStart"/>
      <w:r w:rsidRPr="00CE45E2">
        <w:rPr>
          <w:lang w:val="es-ES"/>
        </w:rPr>
        <w:t>Or</w:t>
      </w:r>
      <w:proofErr w:type="spellEnd"/>
      <w:r w:rsidRPr="00CE45E2">
        <w:rPr>
          <w:lang w:val="es-ES"/>
        </w:rPr>
        <w:t xml:space="preserve">. </w:t>
      </w:r>
      <w:r w:rsidRPr="00CE45E2">
        <w:rPr>
          <w:rStyle w:val="HideTWBExt"/>
        </w:rPr>
        <w:t>&lt;Original&gt;</w:t>
      </w:r>
      <w:r w:rsidRPr="00CE45E2">
        <w:rPr>
          <w:rStyle w:val="HideTWBInt"/>
        </w:rPr>
        <w:t>{EN}</w:t>
      </w:r>
      <w:r w:rsidRPr="00CE45E2">
        <w:rPr>
          <w:lang w:val="es-ES"/>
        </w:rPr>
        <w:t>en</w:t>
      </w:r>
      <w:r w:rsidRPr="00CE45E2">
        <w:rPr>
          <w:rStyle w:val="HideTWBExt"/>
        </w:rPr>
        <w:t>&lt;/Original&gt;</w:t>
      </w:r>
    </w:p>
    <w:p w14:paraId="67B4D435" w14:textId="77777777" w:rsidR="00CE45E2" w:rsidRPr="00CE45E2" w:rsidRDefault="00CE45E2" w:rsidP="00CE45E2">
      <w:pPr>
        <w:rPr>
          <w:lang w:val="es-ES"/>
        </w:rPr>
      </w:pPr>
      <w:r w:rsidRPr="00CE45E2">
        <w:rPr>
          <w:rStyle w:val="HideTWBExt"/>
        </w:rPr>
        <w:t>&lt;/Amend&gt;</w:t>
      </w:r>
    </w:p>
    <w:p w14:paraId="7C903603" w14:textId="16234970" w:rsidR="00CE45E2" w:rsidRPr="00CE45E2" w:rsidRDefault="00CE45E2" w:rsidP="00CE45E2">
      <w:pPr>
        <w:pStyle w:val="AmNumberTabs"/>
        <w:rPr>
          <w:lang w:val="es-ES"/>
        </w:rPr>
      </w:pPr>
      <w:r w:rsidRPr="00CE45E2">
        <w:rPr>
          <w:rStyle w:val="HideTWBExt"/>
          <w:b w:val="0"/>
        </w:rPr>
        <w:t>&lt;Amend&gt;</w:t>
      </w:r>
      <w:proofErr w:type="spellStart"/>
      <w:r w:rsidRPr="00CE45E2">
        <w:rPr>
          <w:lang w:val="es-ES"/>
        </w:rPr>
        <w:t>Poprawka</w:t>
      </w:r>
      <w:proofErr w:type="spellEnd"/>
      <w:r w:rsidRPr="00CE45E2">
        <w:rPr>
          <w:lang w:val="es-ES"/>
        </w:rPr>
        <w:tab/>
      </w:r>
      <w:r w:rsidRPr="00CE45E2">
        <w:rPr>
          <w:lang w:val="es-ES"/>
        </w:rPr>
        <w:tab/>
      </w:r>
      <w:r w:rsidRPr="00CE45E2">
        <w:rPr>
          <w:rStyle w:val="HideTWBExt"/>
          <w:b w:val="0"/>
        </w:rPr>
        <w:t>&lt;NumAm&gt;</w:t>
      </w:r>
      <w:r w:rsidR="00430CF1" w:rsidRPr="00430CF1">
        <w:rPr>
          <w:lang w:val="es-ES"/>
        </w:rPr>
        <w:t>118</w:t>
      </w:r>
      <w:r w:rsidRPr="00CE45E2">
        <w:rPr>
          <w:rStyle w:val="HideTWBExt"/>
          <w:b w:val="0"/>
        </w:rPr>
        <w:t>&lt;/NumAm&gt;</w:t>
      </w:r>
    </w:p>
    <w:p w14:paraId="43751663" w14:textId="77777777" w:rsidR="00CE45E2" w:rsidRPr="00CE45E2" w:rsidRDefault="00CE45E2" w:rsidP="00CE45E2">
      <w:pPr>
        <w:pStyle w:val="NormalBold"/>
        <w:rPr>
          <w:lang w:val="es-ES"/>
        </w:rPr>
      </w:pPr>
      <w:r w:rsidRPr="00CE45E2">
        <w:rPr>
          <w:rStyle w:val="HideTWBExt"/>
          <w:b w:val="0"/>
        </w:rPr>
        <w:t>&lt;RepeatBlock-By&gt;&lt;Members&gt;</w:t>
      </w:r>
      <w:proofErr w:type="spellStart"/>
      <w:r w:rsidRPr="00CE45E2">
        <w:rPr>
          <w:lang w:val="es-ES"/>
        </w:rPr>
        <w:t>Auke</w:t>
      </w:r>
      <w:proofErr w:type="spellEnd"/>
      <w:r w:rsidRPr="00CE45E2">
        <w:rPr>
          <w:lang w:val="es-ES"/>
        </w:rPr>
        <w:t xml:space="preserve"> Zijlstra, Mireia Borrás Pabón</w:t>
      </w:r>
      <w:r w:rsidRPr="00CE45E2">
        <w:rPr>
          <w:rStyle w:val="HideTWBExt"/>
          <w:b w:val="0"/>
        </w:rPr>
        <w:t>&lt;/Members&gt;</w:t>
      </w:r>
    </w:p>
    <w:p w14:paraId="7DE8B332" w14:textId="77777777" w:rsidR="00CE45E2" w:rsidRPr="00CE45E2" w:rsidRDefault="00CE45E2" w:rsidP="00CE45E2">
      <w:pPr>
        <w:pStyle w:val="NormalBold"/>
        <w:rPr>
          <w:lang w:val="es-ES"/>
        </w:rPr>
      </w:pPr>
      <w:r w:rsidRPr="00CE45E2">
        <w:rPr>
          <w:rStyle w:val="HideTWBExt"/>
          <w:b w:val="0"/>
        </w:rPr>
        <w:t>&lt;/RepeatBlock-By&gt;</w:t>
      </w:r>
    </w:p>
    <w:p w14:paraId="632F803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055E1E5" w14:textId="77777777" w:rsidR="00CE45E2" w:rsidRPr="00CE45E2" w:rsidRDefault="00CE45E2" w:rsidP="00CE45E2">
      <w:pPr>
        <w:pStyle w:val="NormalBold"/>
      </w:pPr>
      <w:r w:rsidRPr="00CE45E2">
        <w:rPr>
          <w:rStyle w:val="HideTWBExt"/>
          <w:b w:val="0"/>
        </w:rPr>
        <w:t>&lt;Article&gt;</w:t>
      </w:r>
      <w:r w:rsidRPr="00CE45E2">
        <w:t>Motyw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3C17C3A" w14:textId="77777777" w:rsidTr="006476FB">
        <w:trPr>
          <w:trHeight w:hRule="exact" w:val="240"/>
          <w:jc w:val="center"/>
        </w:trPr>
        <w:tc>
          <w:tcPr>
            <w:tcW w:w="9752" w:type="dxa"/>
            <w:gridSpan w:val="2"/>
            <w:tcBorders>
              <w:top w:val="nil"/>
              <w:left w:val="nil"/>
              <w:bottom w:val="nil"/>
              <w:right w:val="nil"/>
            </w:tcBorders>
          </w:tcPr>
          <w:p w14:paraId="69C7DEF6" w14:textId="77777777" w:rsidR="00CE45E2" w:rsidRPr="00CE45E2" w:rsidRDefault="00CE45E2" w:rsidP="006476FB"/>
        </w:tc>
      </w:tr>
      <w:tr w:rsidR="00CE45E2" w:rsidRPr="00CE45E2" w14:paraId="0DDE2995" w14:textId="77777777" w:rsidTr="006476FB">
        <w:trPr>
          <w:trHeight w:val="240"/>
          <w:jc w:val="center"/>
        </w:trPr>
        <w:tc>
          <w:tcPr>
            <w:tcW w:w="4876" w:type="dxa"/>
            <w:tcBorders>
              <w:top w:val="nil"/>
              <w:left w:val="nil"/>
              <w:bottom w:val="nil"/>
              <w:right w:val="nil"/>
            </w:tcBorders>
          </w:tcPr>
          <w:p w14:paraId="20C7966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3E11B39" w14:textId="77777777" w:rsidR="00CE45E2" w:rsidRPr="00CE45E2" w:rsidRDefault="00CE45E2" w:rsidP="006476FB">
            <w:pPr>
              <w:pStyle w:val="AmColumnHeading"/>
            </w:pPr>
            <w:r w:rsidRPr="00CE45E2">
              <w:t>Poprawka</w:t>
            </w:r>
          </w:p>
        </w:tc>
      </w:tr>
      <w:tr w:rsidR="00CE45E2" w:rsidRPr="00CE45E2" w14:paraId="0987F25F" w14:textId="77777777" w:rsidTr="006476FB">
        <w:trPr>
          <w:jc w:val="center"/>
        </w:trPr>
        <w:tc>
          <w:tcPr>
            <w:tcW w:w="4876" w:type="dxa"/>
            <w:tcBorders>
              <w:top w:val="nil"/>
              <w:left w:val="nil"/>
              <w:bottom w:val="nil"/>
              <w:right w:val="nil"/>
            </w:tcBorders>
          </w:tcPr>
          <w:p w14:paraId="1EEE04BC" w14:textId="77777777" w:rsidR="00CE45E2" w:rsidRPr="00CE45E2" w:rsidRDefault="00CE45E2" w:rsidP="006476FB">
            <w:pPr>
              <w:pStyle w:val="Normal6a"/>
            </w:pPr>
            <w:r w:rsidRPr="00CE45E2">
              <w:t>(3)</w:t>
            </w:r>
            <w:r w:rsidRPr="00CE45E2">
              <w:tab/>
              <w:t>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produktów emerytalnych może pomóc zmobilizować te oszczędności na inwestycje długoterminowe, co wygeneruje wyższe zwroty dla oszczędzających</w:t>
            </w:r>
            <w:r w:rsidRPr="00CE45E2">
              <w:rPr>
                <w:b/>
                <w:bCs/>
                <w:i/>
                <w:iCs/>
              </w:rPr>
              <w:t xml:space="preserve"> i przekieruje kapitał na</w:t>
            </w:r>
            <w:r w:rsidRPr="00CE45E2">
              <w:t xml:space="preserve"> produktywne</w:t>
            </w:r>
            <w:r w:rsidRPr="00CE45E2">
              <w:rPr>
                <w:b/>
                <w:bCs/>
                <w:i/>
                <w:iCs/>
              </w:rPr>
              <w:t xml:space="preserve"> zastosowania wspierające wzrost gospodarczy, innowacje oraz transformację ekologiczną i cyfrową</w:t>
            </w:r>
            <w:r w:rsidRPr="00CE45E2">
              <w:t>.</w:t>
            </w:r>
          </w:p>
        </w:tc>
        <w:tc>
          <w:tcPr>
            <w:tcW w:w="4876" w:type="dxa"/>
            <w:tcBorders>
              <w:top w:val="nil"/>
              <w:left w:val="nil"/>
              <w:bottom w:val="nil"/>
              <w:right w:val="nil"/>
            </w:tcBorders>
          </w:tcPr>
          <w:p w14:paraId="2C385E57" w14:textId="77777777" w:rsidR="00CE45E2" w:rsidRPr="00CE45E2" w:rsidRDefault="00CE45E2" w:rsidP="006476FB">
            <w:pPr>
              <w:pStyle w:val="Normal6a"/>
            </w:pPr>
            <w:r w:rsidRPr="00CE45E2">
              <w:t>(3)</w:t>
            </w:r>
            <w:r w:rsidRPr="00CE45E2">
              <w:tab/>
              <w:t xml:space="preserve">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produktów emerytalnych może pomóc zmobilizować te oszczędności na inwestycje długoterminowe </w:t>
            </w:r>
            <w:r w:rsidRPr="00CE45E2">
              <w:rPr>
                <w:b/>
                <w:bCs/>
                <w:i/>
                <w:iCs/>
              </w:rPr>
              <w:t xml:space="preserve">oraz generować </w:t>
            </w:r>
            <w:r w:rsidRPr="00CE45E2">
              <w:t xml:space="preserve">wyższe zwroty </w:t>
            </w:r>
            <w:r w:rsidRPr="00CE45E2">
              <w:rPr>
                <w:b/>
                <w:bCs/>
                <w:i/>
                <w:iCs/>
              </w:rPr>
              <w:t>netto</w:t>
            </w:r>
            <w:r w:rsidRPr="00CE45E2">
              <w:t xml:space="preserve"> dla oszczędzających</w:t>
            </w:r>
            <w:r w:rsidRPr="00CE45E2">
              <w:rPr>
                <w:b/>
                <w:bCs/>
                <w:i/>
                <w:iCs/>
              </w:rPr>
              <w:t xml:space="preserve">, wspierając jednocześnie </w:t>
            </w:r>
            <w:r w:rsidRPr="00CE45E2">
              <w:t xml:space="preserve">produktywne </w:t>
            </w:r>
            <w:r w:rsidRPr="00CE45E2">
              <w:rPr>
                <w:b/>
                <w:bCs/>
                <w:i/>
                <w:iCs/>
              </w:rPr>
              <w:t>inwestycje wybrane na podstawie ich walorów finansowych</w:t>
            </w:r>
            <w:r w:rsidRPr="00CE45E2">
              <w:t>.</w:t>
            </w:r>
          </w:p>
        </w:tc>
      </w:tr>
    </w:tbl>
    <w:p w14:paraId="3F69D3E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9F3BB0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65BFC5F" w14:textId="77777777" w:rsidR="00CE45E2" w:rsidRPr="00CE45E2" w:rsidRDefault="00CE45E2" w:rsidP="00CE45E2">
      <w:pPr>
        <w:pStyle w:val="AmJustText"/>
      </w:pPr>
      <w:r w:rsidRPr="00CE45E2">
        <w:t>Celem inwestycji emerytalnych jest zapewnienie dochodu na emeryturze, a nie finansowanie z góry ustalonych programów politycznych. Inwestycje produkcyjne powinny wynikać z rozsądnych decyzji finansowych, a nie z wytycznych politycznych.</w:t>
      </w:r>
    </w:p>
    <w:p w14:paraId="41EDC51E" w14:textId="77777777" w:rsidR="00CE45E2" w:rsidRPr="00CE45E2" w:rsidRDefault="00CE45E2" w:rsidP="00CE45E2">
      <w:r w:rsidRPr="00CE45E2">
        <w:rPr>
          <w:rStyle w:val="HideTWBExt"/>
        </w:rPr>
        <w:t>&lt;/Amend&gt;</w:t>
      </w:r>
    </w:p>
    <w:p w14:paraId="2C415366" w14:textId="3E0094F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119</w:t>
      </w:r>
      <w:r w:rsidRPr="00CE45E2">
        <w:rPr>
          <w:rStyle w:val="HideTWBExt"/>
          <w:b w:val="0"/>
        </w:rPr>
        <w:t>&lt;/NumAm&gt;</w:t>
      </w:r>
    </w:p>
    <w:p w14:paraId="61292EB1"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03F136D0" w14:textId="77777777" w:rsidR="00CE45E2" w:rsidRPr="00CE45E2" w:rsidRDefault="00CE45E2" w:rsidP="00CE45E2">
      <w:pPr>
        <w:pStyle w:val="NormalBold"/>
      </w:pPr>
      <w:r w:rsidRPr="00CE45E2">
        <w:rPr>
          <w:rStyle w:val="HideTWBExt"/>
          <w:b w:val="0"/>
        </w:rPr>
        <w:t>&lt;/RepeatBlock-By&gt;</w:t>
      </w:r>
    </w:p>
    <w:p w14:paraId="57D07C5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43FDB77" w14:textId="77777777" w:rsidR="00CE45E2" w:rsidRPr="00CE45E2" w:rsidRDefault="00CE45E2" w:rsidP="00CE45E2">
      <w:pPr>
        <w:pStyle w:val="NormalBold"/>
      </w:pPr>
      <w:r w:rsidRPr="00CE45E2">
        <w:rPr>
          <w:rStyle w:val="HideTWBExt"/>
          <w:b w:val="0"/>
        </w:rPr>
        <w:t>&lt;Article&gt;</w:t>
      </w:r>
      <w:r w:rsidRPr="00CE45E2">
        <w:t>Motyw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87EAAF8" w14:textId="77777777" w:rsidTr="006476FB">
        <w:trPr>
          <w:trHeight w:hRule="exact" w:val="240"/>
          <w:jc w:val="center"/>
        </w:trPr>
        <w:tc>
          <w:tcPr>
            <w:tcW w:w="9752" w:type="dxa"/>
            <w:gridSpan w:val="2"/>
            <w:tcBorders>
              <w:top w:val="nil"/>
              <w:left w:val="nil"/>
              <w:bottom w:val="nil"/>
              <w:right w:val="nil"/>
            </w:tcBorders>
          </w:tcPr>
          <w:p w14:paraId="50D362B5" w14:textId="77777777" w:rsidR="00CE45E2" w:rsidRPr="00CE45E2" w:rsidRDefault="00CE45E2" w:rsidP="006476FB"/>
        </w:tc>
      </w:tr>
      <w:tr w:rsidR="00CE45E2" w:rsidRPr="00CE45E2" w14:paraId="3F3E9CD5" w14:textId="77777777" w:rsidTr="006476FB">
        <w:trPr>
          <w:trHeight w:val="240"/>
          <w:jc w:val="center"/>
        </w:trPr>
        <w:tc>
          <w:tcPr>
            <w:tcW w:w="4876" w:type="dxa"/>
            <w:tcBorders>
              <w:top w:val="nil"/>
              <w:left w:val="nil"/>
              <w:bottom w:val="nil"/>
              <w:right w:val="nil"/>
            </w:tcBorders>
          </w:tcPr>
          <w:p w14:paraId="0E71D78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066B51B" w14:textId="77777777" w:rsidR="00CE45E2" w:rsidRPr="00CE45E2" w:rsidRDefault="00CE45E2" w:rsidP="006476FB">
            <w:pPr>
              <w:pStyle w:val="AmColumnHeading"/>
            </w:pPr>
            <w:r w:rsidRPr="00CE45E2">
              <w:t>Poprawka</w:t>
            </w:r>
          </w:p>
        </w:tc>
      </w:tr>
      <w:tr w:rsidR="00CE45E2" w:rsidRPr="00CE45E2" w14:paraId="775D2247" w14:textId="77777777" w:rsidTr="006476FB">
        <w:trPr>
          <w:jc w:val="center"/>
        </w:trPr>
        <w:tc>
          <w:tcPr>
            <w:tcW w:w="4876" w:type="dxa"/>
            <w:tcBorders>
              <w:top w:val="nil"/>
              <w:left w:val="nil"/>
              <w:bottom w:val="nil"/>
              <w:right w:val="nil"/>
            </w:tcBorders>
          </w:tcPr>
          <w:p w14:paraId="601370EB" w14:textId="77777777" w:rsidR="00CE45E2" w:rsidRPr="00CE45E2" w:rsidRDefault="00CE45E2" w:rsidP="006476FB">
            <w:pPr>
              <w:pStyle w:val="Normal6a"/>
            </w:pPr>
            <w:r w:rsidRPr="00CE45E2">
              <w:t>(3)</w:t>
            </w:r>
            <w:r w:rsidRPr="00CE45E2">
              <w:tab/>
              <w:t xml:space="preserve">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produktów emerytalnych może pomóc zmobilizować te oszczędności na inwestycje długoterminowe, co wygeneruje wyższe zwroty dla oszczędzających i przekieruje kapitał na produktywne zastosowania wspierające wzrost gospodarczy, innowacje </w:t>
            </w:r>
            <w:r w:rsidRPr="00CE45E2">
              <w:rPr>
                <w:b/>
                <w:bCs/>
                <w:i/>
                <w:iCs/>
              </w:rPr>
              <w:t>oraz transformację ekologiczną</w:t>
            </w:r>
            <w:r w:rsidRPr="00CE45E2">
              <w:t xml:space="preserve"> i </w:t>
            </w:r>
            <w:r w:rsidRPr="00CE45E2">
              <w:rPr>
                <w:b/>
                <w:bCs/>
                <w:i/>
                <w:iCs/>
              </w:rPr>
              <w:t>cyfrową</w:t>
            </w:r>
            <w:r w:rsidRPr="00CE45E2">
              <w:t>.</w:t>
            </w:r>
          </w:p>
        </w:tc>
        <w:tc>
          <w:tcPr>
            <w:tcW w:w="4876" w:type="dxa"/>
            <w:tcBorders>
              <w:top w:val="nil"/>
              <w:left w:val="nil"/>
              <w:bottom w:val="nil"/>
              <w:right w:val="nil"/>
            </w:tcBorders>
          </w:tcPr>
          <w:p w14:paraId="64DFC388" w14:textId="77777777" w:rsidR="00CE45E2" w:rsidRPr="00CE45E2" w:rsidRDefault="00CE45E2" w:rsidP="006476FB">
            <w:pPr>
              <w:pStyle w:val="Normal6a"/>
            </w:pPr>
            <w:r w:rsidRPr="00CE45E2">
              <w:t>(3)</w:t>
            </w:r>
            <w:r w:rsidRPr="00CE45E2">
              <w:tab/>
              <w:t>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produktów emerytalnych może pomóc zmobilizować te oszczędności na inwestycje długoterminowe, co wygeneruje wyższe zwroty dla oszczędzających i przekieruje kapitał na produktywne zastosowania wspierające wzrost gospodarczy, innowacje i</w:t>
            </w:r>
            <w:r w:rsidRPr="00CE45E2">
              <w:rPr>
                <w:b/>
                <w:bCs/>
                <w:i/>
                <w:iCs/>
              </w:rPr>
              <w:t xml:space="preserve"> odporność</w:t>
            </w:r>
            <w:r w:rsidRPr="00CE45E2">
              <w:t>.</w:t>
            </w:r>
          </w:p>
        </w:tc>
      </w:tr>
    </w:tbl>
    <w:p w14:paraId="4AF8F0E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4B3DE7F1" w14:textId="77777777" w:rsidR="00CE45E2" w:rsidRPr="00CE45E2" w:rsidRDefault="00CE45E2" w:rsidP="00CE45E2">
      <w:r w:rsidRPr="00CE45E2">
        <w:rPr>
          <w:rStyle w:val="HideTWBExt"/>
        </w:rPr>
        <w:t>&lt;/Amend&gt;</w:t>
      </w:r>
    </w:p>
    <w:p w14:paraId="3401984A" w14:textId="49CEAB6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120</w:t>
      </w:r>
      <w:r w:rsidRPr="00CE45E2">
        <w:rPr>
          <w:rStyle w:val="HideTWBExt"/>
          <w:b w:val="0"/>
        </w:rPr>
        <w:t>&lt;/NumAm&gt;</w:t>
      </w:r>
    </w:p>
    <w:p w14:paraId="3C3C2AD2"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6B438F41" w14:textId="77777777" w:rsidR="00CE45E2" w:rsidRPr="00CE45E2" w:rsidRDefault="00CE45E2" w:rsidP="00CE45E2">
      <w:pPr>
        <w:pStyle w:val="NormalBold"/>
      </w:pPr>
      <w:r w:rsidRPr="00CE45E2">
        <w:rPr>
          <w:rStyle w:val="HideTWBExt"/>
          <w:b w:val="0"/>
        </w:rPr>
        <w:t>&lt;/RepeatBlock-By&gt;</w:t>
      </w:r>
    </w:p>
    <w:p w14:paraId="19DBB01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BFE54F8" w14:textId="77777777" w:rsidR="00CE45E2" w:rsidRPr="00CE45E2" w:rsidRDefault="00CE45E2" w:rsidP="00CE45E2">
      <w:pPr>
        <w:pStyle w:val="NormalBold"/>
      </w:pPr>
      <w:r w:rsidRPr="00CE45E2">
        <w:rPr>
          <w:rStyle w:val="HideTWBExt"/>
          <w:b w:val="0"/>
        </w:rPr>
        <w:t>&lt;Article&gt;</w:t>
      </w:r>
      <w:r w:rsidRPr="00CE45E2">
        <w:t>Motyw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F293F8B" w14:textId="77777777" w:rsidTr="006476FB">
        <w:trPr>
          <w:trHeight w:hRule="exact" w:val="240"/>
          <w:jc w:val="center"/>
        </w:trPr>
        <w:tc>
          <w:tcPr>
            <w:tcW w:w="9752" w:type="dxa"/>
            <w:gridSpan w:val="2"/>
            <w:tcBorders>
              <w:top w:val="nil"/>
              <w:left w:val="nil"/>
              <w:bottom w:val="nil"/>
              <w:right w:val="nil"/>
            </w:tcBorders>
          </w:tcPr>
          <w:p w14:paraId="070E6AF0" w14:textId="77777777" w:rsidR="00CE45E2" w:rsidRPr="00CE45E2" w:rsidRDefault="00CE45E2" w:rsidP="006476FB"/>
        </w:tc>
      </w:tr>
      <w:tr w:rsidR="00CE45E2" w:rsidRPr="00CE45E2" w14:paraId="141CDE18" w14:textId="77777777" w:rsidTr="006476FB">
        <w:trPr>
          <w:trHeight w:val="240"/>
          <w:jc w:val="center"/>
        </w:trPr>
        <w:tc>
          <w:tcPr>
            <w:tcW w:w="4876" w:type="dxa"/>
            <w:tcBorders>
              <w:top w:val="nil"/>
              <w:left w:val="nil"/>
              <w:bottom w:val="nil"/>
              <w:right w:val="nil"/>
            </w:tcBorders>
          </w:tcPr>
          <w:p w14:paraId="7C77A6D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5485CCD" w14:textId="77777777" w:rsidR="00CE45E2" w:rsidRPr="00CE45E2" w:rsidRDefault="00CE45E2" w:rsidP="006476FB">
            <w:pPr>
              <w:pStyle w:val="AmColumnHeading"/>
            </w:pPr>
            <w:r w:rsidRPr="00CE45E2">
              <w:t>Poprawka</w:t>
            </w:r>
          </w:p>
        </w:tc>
      </w:tr>
      <w:tr w:rsidR="00CE45E2" w:rsidRPr="00CE45E2" w14:paraId="332DFBF9" w14:textId="77777777" w:rsidTr="006476FB">
        <w:trPr>
          <w:jc w:val="center"/>
        </w:trPr>
        <w:tc>
          <w:tcPr>
            <w:tcW w:w="4876" w:type="dxa"/>
            <w:tcBorders>
              <w:top w:val="nil"/>
              <w:left w:val="nil"/>
              <w:bottom w:val="nil"/>
              <w:right w:val="nil"/>
            </w:tcBorders>
          </w:tcPr>
          <w:p w14:paraId="32810C58" w14:textId="77777777" w:rsidR="00CE45E2" w:rsidRPr="00CE45E2" w:rsidRDefault="00CE45E2" w:rsidP="006476FB">
            <w:pPr>
              <w:pStyle w:val="Normal6a"/>
            </w:pPr>
            <w:r w:rsidRPr="00CE45E2">
              <w:t>(3)</w:t>
            </w:r>
            <w:r w:rsidRPr="00CE45E2">
              <w:tab/>
              <w:t xml:space="preserve">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w:t>
            </w:r>
            <w:r w:rsidRPr="00CE45E2">
              <w:rPr>
                <w:b/>
                <w:bCs/>
                <w:i/>
                <w:iCs/>
              </w:rPr>
              <w:t>produktów emerytalnych</w:t>
            </w:r>
            <w:r w:rsidRPr="00CE45E2">
              <w:t xml:space="preserve"> może pomóc zmobilizować te oszczędności na inwestycje długoterminowe, co wygeneruje wyższe zwroty dla oszczędzających i przekieruje kapitał na produktywne zastosowania wspierające wzrost gospodarczy, innowacje oraz transformację ekologiczną i cyfrową.</w:t>
            </w:r>
          </w:p>
        </w:tc>
        <w:tc>
          <w:tcPr>
            <w:tcW w:w="4876" w:type="dxa"/>
            <w:tcBorders>
              <w:top w:val="nil"/>
              <w:left w:val="nil"/>
              <w:bottom w:val="nil"/>
              <w:right w:val="nil"/>
            </w:tcBorders>
          </w:tcPr>
          <w:p w14:paraId="1BC36CB4" w14:textId="77777777" w:rsidR="00CE45E2" w:rsidRPr="00CE45E2" w:rsidRDefault="00CE45E2" w:rsidP="006476FB">
            <w:pPr>
              <w:pStyle w:val="Normal6a"/>
            </w:pPr>
            <w:r w:rsidRPr="00CE45E2">
              <w:t>(3)</w:t>
            </w:r>
            <w:r w:rsidRPr="00CE45E2">
              <w:tab/>
              <w:t xml:space="preserve">Mimo że gospodarstwa domowe w Unii są jednymi z największych oszczędzających na świecie, nadal posiadają dużą część swojego majątku finansowego w postaci krótkoterminowych depozytów bankowych o ograniczonych zwrotach. Opracowanie atrakcyjnych </w:t>
            </w:r>
            <w:r w:rsidRPr="00CE45E2">
              <w:rPr>
                <w:b/>
                <w:bCs/>
                <w:i/>
                <w:iCs/>
              </w:rPr>
              <w:t>i dobrze zarządzanych</w:t>
            </w:r>
            <w:r w:rsidRPr="00CE45E2">
              <w:t xml:space="preserve"> </w:t>
            </w:r>
            <w:r w:rsidRPr="00CE45E2">
              <w:rPr>
                <w:b/>
                <w:bCs/>
                <w:i/>
                <w:iCs/>
              </w:rPr>
              <w:t>emerytur</w:t>
            </w:r>
            <w:r w:rsidRPr="00CE45E2">
              <w:t xml:space="preserve"> pracowniczych i indywidualnych może pomóc zmobilizować te oszczędności na inwestycje długoterminowe, co wygeneruje wyższe zwroty dla oszczędzających i przekieruje kapitał na produktywne zastosowania wspierające wzrost gospodarczy, innowacje oraz transformację ekologiczną i cyfrową. </w:t>
            </w:r>
            <w:r w:rsidRPr="00CE45E2">
              <w:rPr>
                <w:b/>
                <w:i/>
              </w:rPr>
              <w:t>Głównym celem systemów emerytalnych musi jednak pozostać zapewnienie członkom i beneficjentom stabilnego i odpowiedniego dochodu emerytalnego. W związku z tym wszelkie środki mające na celu zachęcenie funduszy emerytalnych do większego udziału w rynkach kapitałowych powinny w pełni respektować zasadę „ostrożnego inwestora” i stawiać ochronę uczestników oraz beneficjentów na pierwszym miejscu. W tym kontekście państwa członkowskie powinny również wspierać zapewnienie odpowiednich świadczeń emerytalnych oraz dążyć do zmniejszenia różnic w wysokości emerytur między kobietami a mężczyznami, w tym w publicznych i pracowniczych systemach emerytalnych, promując jednocześnie rozwiązania emerytalne zapewniające pracownikom korzystne wyniki.</w:t>
            </w:r>
          </w:p>
        </w:tc>
      </w:tr>
    </w:tbl>
    <w:p w14:paraId="06285D5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591C34C"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3FE1BA4" w14:textId="77777777" w:rsidR="00CE45E2" w:rsidRPr="00CE45E2" w:rsidRDefault="00CE45E2" w:rsidP="00CE45E2">
      <w:pPr>
        <w:pStyle w:val="AmJustText"/>
      </w:pPr>
      <w:r w:rsidRPr="00CE45E2">
        <w:t>Różnice w traktowaniu kobiet i mężczyzn w systemach emerytur dodatkowych mogą przekraczać 35–40 %. Państwa członkowskie powinny rozważyć odpowiednie środki, które pomogą zmniejszyć te różnice.</w:t>
      </w:r>
    </w:p>
    <w:p w14:paraId="56774508" w14:textId="77777777" w:rsidR="00CE45E2" w:rsidRPr="00CE45E2" w:rsidRDefault="00CE45E2" w:rsidP="00CE45E2">
      <w:r w:rsidRPr="00CE45E2">
        <w:rPr>
          <w:rStyle w:val="HideTWBExt"/>
        </w:rPr>
        <w:t>&lt;/Amend&gt;</w:t>
      </w:r>
    </w:p>
    <w:p w14:paraId="1B6E56EB" w14:textId="5163A02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121</w:t>
      </w:r>
      <w:r w:rsidRPr="00CE45E2">
        <w:rPr>
          <w:rStyle w:val="HideTWBExt"/>
          <w:b w:val="0"/>
        </w:rPr>
        <w:t>&lt;/NumAm&gt;</w:t>
      </w:r>
    </w:p>
    <w:p w14:paraId="7309341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3200B1B" w14:textId="77777777" w:rsidR="00CE45E2" w:rsidRPr="00CE45E2" w:rsidRDefault="00CE45E2" w:rsidP="00CE45E2">
      <w:pPr>
        <w:pStyle w:val="NormalBold"/>
      </w:pPr>
      <w:r w:rsidRPr="00CE45E2">
        <w:rPr>
          <w:rStyle w:val="HideTWBExt"/>
          <w:b w:val="0"/>
        </w:rPr>
        <w:t>&lt;/RepeatBlock-By&gt;</w:t>
      </w:r>
    </w:p>
    <w:p w14:paraId="3F56DFD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2D68E42" w14:textId="77777777" w:rsidR="00CE45E2" w:rsidRPr="00CE45E2" w:rsidRDefault="00CE45E2" w:rsidP="00CE45E2">
      <w:pPr>
        <w:pStyle w:val="NormalBold"/>
      </w:pPr>
      <w:r w:rsidRPr="00CE45E2">
        <w:rPr>
          <w:rStyle w:val="HideTWBExt"/>
          <w:b w:val="0"/>
        </w:rPr>
        <w:t>&lt;Article&gt;</w:t>
      </w:r>
      <w:r w:rsidRPr="00CE45E2">
        <w:t>Motyw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F3F55DE" w14:textId="77777777" w:rsidTr="006476FB">
        <w:trPr>
          <w:trHeight w:hRule="exact" w:val="240"/>
          <w:jc w:val="center"/>
        </w:trPr>
        <w:tc>
          <w:tcPr>
            <w:tcW w:w="9752" w:type="dxa"/>
            <w:gridSpan w:val="2"/>
            <w:tcBorders>
              <w:top w:val="nil"/>
              <w:left w:val="nil"/>
              <w:bottom w:val="nil"/>
              <w:right w:val="nil"/>
            </w:tcBorders>
          </w:tcPr>
          <w:p w14:paraId="7C1C2834" w14:textId="77777777" w:rsidR="00CE45E2" w:rsidRPr="00CE45E2" w:rsidRDefault="00CE45E2" w:rsidP="006476FB"/>
        </w:tc>
      </w:tr>
      <w:tr w:rsidR="00CE45E2" w:rsidRPr="00CE45E2" w14:paraId="6EDB98E5" w14:textId="77777777" w:rsidTr="006476FB">
        <w:trPr>
          <w:trHeight w:val="240"/>
          <w:jc w:val="center"/>
        </w:trPr>
        <w:tc>
          <w:tcPr>
            <w:tcW w:w="4876" w:type="dxa"/>
            <w:tcBorders>
              <w:top w:val="nil"/>
              <w:left w:val="nil"/>
              <w:bottom w:val="nil"/>
              <w:right w:val="nil"/>
            </w:tcBorders>
          </w:tcPr>
          <w:p w14:paraId="1BCE03B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97028D7" w14:textId="77777777" w:rsidR="00CE45E2" w:rsidRPr="00CE45E2" w:rsidRDefault="00CE45E2" w:rsidP="006476FB">
            <w:pPr>
              <w:pStyle w:val="AmColumnHeading"/>
            </w:pPr>
            <w:r w:rsidRPr="00CE45E2">
              <w:t>Poprawka</w:t>
            </w:r>
          </w:p>
        </w:tc>
      </w:tr>
      <w:tr w:rsidR="00CE45E2" w:rsidRPr="00CE45E2" w14:paraId="1D05EA91" w14:textId="77777777" w:rsidTr="006476FB">
        <w:trPr>
          <w:jc w:val="center"/>
        </w:trPr>
        <w:tc>
          <w:tcPr>
            <w:tcW w:w="4876" w:type="dxa"/>
            <w:tcBorders>
              <w:top w:val="nil"/>
              <w:left w:val="nil"/>
              <w:bottom w:val="nil"/>
              <w:right w:val="nil"/>
            </w:tcBorders>
          </w:tcPr>
          <w:p w14:paraId="79856C65" w14:textId="77777777" w:rsidR="00CE45E2" w:rsidRPr="00CE45E2" w:rsidRDefault="00CE45E2" w:rsidP="006476FB">
            <w:pPr>
              <w:pStyle w:val="Normal6a"/>
            </w:pPr>
            <w:r w:rsidRPr="00CE45E2">
              <w:t>(3)</w:t>
            </w:r>
            <w:r w:rsidRPr="00CE45E2">
              <w:tab/>
              <w:t>Mimo że gospodarstwa domowe w Unii są jednymi z największych oszczędzających na świecie, nadal posiadają dużą część swojego majątku finansowego w postaci krótkoterminowych depozytów bankowych o ograniczonych zwrotach. Opracowanie atrakcyjnych pracowniczych i indywidualnych produktów emerytalnych może pomóc zmobilizować te oszczędności na inwestycje długoterminowe, co wygeneruje wyższe zwroty dla oszczędzających i przekieruje kapitał na produktywne zastosowania wspierające wzrost gospodarczy, innowacje oraz transformację ekologiczną i cyfrową.</w:t>
            </w:r>
          </w:p>
        </w:tc>
        <w:tc>
          <w:tcPr>
            <w:tcW w:w="4876" w:type="dxa"/>
            <w:tcBorders>
              <w:top w:val="nil"/>
              <w:left w:val="nil"/>
              <w:bottom w:val="nil"/>
              <w:right w:val="nil"/>
            </w:tcBorders>
          </w:tcPr>
          <w:p w14:paraId="0E9C4B6A" w14:textId="77777777" w:rsidR="00CE45E2" w:rsidRPr="00CE45E2" w:rsidRDefault="00CE45E2" w:rsidP="006476FB">
            <w:pPr>
              <w:pStyle w:val="Normal6a"/>
            </w:pPr>
            <w:r w:rsidRPr="00CE45E2">
              <w:t>(3)</w:t>
            </w:r>
            <w:r w:rsidRPr="00CE45E2">
              <w:tab/>
              <w:t xml:space="preserve">Mimo że gospodarstwa domowe w Unii są jednymi z największych oszczędzających na świecie, nadal posiadają dużą część swojego majątku finansowego w postaci krótkoterminowych depozytów bankowych o ograniczonych zwrotach. </w:t>
            </w:r>
            <w:r w:rsidRPr="00CE45E2">
              <w:rPr>
                <w:b/>
                <w:bCs/>
                <w:i/>
                <w:iCs/>
              </w:rPr>
              <w:t>Przy jednoczesnym stałym priorytetowym traktowaniu interesów uczestników i beneficjentów funduszy emerytalnych</w:t>
            </w:r>
            <w:r w:rsidRPr="00CE45E2">
              <w:t xml:space="preserve"> opracowanie atrakcyjnych pracowniczych i indywidualnych produktów emerytalnych może pomóc zmobilizować te oszczędności na inwestycje długoterminowe, co wygeneruje wyższe zwroty dla oszczędzających i przekieruje kapitał na produktywne zastosowania wspierające wzrost gospodarczy, innowacje oraz transformację ekologiczną i cyfrową.</w:t>
            </w:r>
          </w:p>
        </w:tc>
      </w:tr>
    </w:tbl>
    <w:p w14:paraId="070473F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0E1F33E" w14:textId="77777777" w:rsidR="00CE45E2" w:rsidRPr="00CE45E2" w:rsidRDefault="00CE45E2" w:rsidP="00CE45E2">
      <w:r w:rsidRPr="00CE45E2">
        <w:rPr>
          <w:rStyle w:val="HideTWBExt"/>
        </w:rPr>
        <w:t>&lt;/Amend&gt;</w:t>
      </w:r>
    </w:p>
    <w:p w14:paraId="348DEFC4" w14:textId="69F86BD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122</w:t>
      </w:r>
      <w:r w:rsidRPr="00CE45E2">
        <w:rPr>
          <w:rStyle w:val="HideTWBExt"/>
          <w:b w:val="0"/>
        </w:rPr>
        <w:t>&lt;/NumAm&gt;</w:t>
      </w:r>
    </w:p>
    <w:p w14:paraId="4433F1BE"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17CDE110" w14:textId="77777777" w:rsidR="00CE45E2" w:rsidRPr="00CE45E2" w:rsidRDefault="00CE45E2" w:rsidP="00CE45E2">
      <w:pPr>
        <w:pStyle w:val="NormalBold"/>
      </w:pPr>
      <w:r w:rsidRPr="00CE45E2">
        <w:rPr>
          <w:rStyle w:val="HideTWBExt"/>
          <w:b w:val="0"/>
        </w:rPr>
        <w:t>&lt;/RepeatBlock-By&gt;</w:t>
      </w:r>
    </w:p>
    <w:p w14:paraId="503FF0E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00918A5" w14:textId="77777777" w:rsidR="00CE45E2" w:rsidRPr="00CE45E2" w:rsidRDefault="00CE45E2" w:rsidP="00CE45E2">
      <w:pPr>
        <w:pStyle w:val="NormalBold"/>
      </w:pPr>
      <w:r w:rsidRPr="00CE45E2">
        <w:rPr>
          <w:rStyle w:val="HideTWBExt"/>
          <w:b w:val="0"/>
        </w:rPr>
        <w:t>&lt;Article&gt;</w:t>
      </w:r>
      <w:r w:rsidRPr="00CE45E2">
        <w:t>Motyw 3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0A77306" w14:textId="77777777" w:rsidTr="006476FB">
        <w:trPr>
          <w:trHeight w:hRule="exact" w:val="240"/>
          <w:jc w:val="center"/>
        </w:trPr>
        <w:tc>
          <w:tcPr>
            <w:tcW w:w="9752" w:type="dxa"/>
            <w:gridSpan w:val="2"/>
            <w:tcBorders>
              <w:top w:val="nil"/>
              <w:left w:val="nil"/>
              <w:bottom w:val="nil"/>
              <w:right w:val="nil"/>
            </w:tcBorders>
          </w:tcPr>
          <w:p w14:paraId="38034629" w14:textId="77777777" w:rsidR="00CE45E2" w:rsidRPr="00CE45E2" w:rsidRDefault="00CE45E2" w:rsidP="006476FB"/>
        </w:tc>
      </w:tr>
      <w:tr w:rsidR="00CE45E2" w:rsidRPr="00CE45E2" w14:paraId="5A694C0B" w14:textId="77777777" w:rsidTr="006476FB">
        <w:trPr>
          <w:trHeight w:val="240"/>
          <w:jc w:val="center"/>
        </w:trPr>
        <w:tc>
          <w:tcPr>
            <w:tcW w:w="4876" w:type="dxa"/>
            <w:tcBorders>
              <w:top w:val="nil"/>
              <w:left w:val="nil"/>
              <w:bottom w:val="nil"/>
              <w:right w:val="nil"/>
            </w:tcBorders>
          </w:tcPr>
          <w:p w14:paraId="62F4AF1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FEE7772" w14:textId="77777777" w:rsidR="00CE45E2" w:rsidRPr="00CE45E2" w:rsidRDefault="00CE45E2" w:rsidP="006476FB">
            <w:pPr>
              <w:pStyle w:val="AmColumnHeading"/>
            </w:pPr>
            <w:r w:rsidRPr="00CE45E2">
              <w:t>Poprawka</w:t>
            </w:r>
          </w:p>
        </w:tc>
      </w:tr>
      <w:tr w:rsidR="00CE45E2" w:rsidRPr="00CE45E2" w14:paraId="72422251" w14:textId="77777777" w:rsidTr="006476FB">
        <w:trPr>
          <w:jc w:val="center"/>
        </w:trPr>
        <w:tc>
          <w:tcPr>
            <w:tcW w:w="4876" w:type="dxa"/>
            <w:tcBorders>
              <w:top w:val="nil"/>
              <w:left w:val="nil"/>
              <w:bottom w:val="nil"/>
              <w:right w:val="nil"/>
            </w:tcBorders>
          </w:tcPr>
          <w:p w14:paraId="149736F6" w14:textId="77777777" w:rsidR="00CE45E2" w:rsidRPr="00CE45E2" w:rsidRDefault="00CE45E2" w:rsidP="006476FB">
            <w:pPr>
              <w:pStyle w:val="Normal6a"/>
            </w:pPr>
          </w:p>
        </w:tc>
        <w:tc>
          <w:tcPr>
            <w:tcW w:w="4876" w:type="dxa"/>
            <w:tcBorders>
              <w:top w:val="nil"/>
              <w:left w:val="nil"/>
              <w:bottom w:val="nil"/>
              <w:right w:val="nil"/>
            </w:tcBorders>
          </w:tcPr>
          <w:p w14:paraId="0824439A" w14:textId="77777777" w:rsidR="00CE45E2" w:rsidRPr="00CE45E2" w:rsidRDefault="00CE45E2" w:rsidP="006476FB">
            <w:pPr>
              <w:pStyle w:val="Normal6a"/>
            </w:pPr>
            <w:r w:rsidRPr="00CE45E2">
              <w:rPr>
                <w:b/>
                <w:i/>
              </w:rPr>
              <w:t>(3a)</w:t>
            </w:r>
            <w:r w:rsidRPr="00CE45E2">
              <w:tab/>
            </w:r>
            <w:r w:rsidRPr="00CE45E2">
              <w:rPr>
                <w:b/>
                <w:i/>
              </w:rPr>
              <w:t>Emerytury dodatkowe nie powinny stanowić uzasadnienia, bezpośrednio ani pośrednio, dla osłabiania publicznych systemów emerytalnych, zwłaszcza pod względem adekwatności świadczeń emerytalnych. Ponadto państwa członkowskie powinny ocenić możliwość wdrożenia konkretnych środków mających na celu zmniejszenie różnic w traktowaniu kobiet i mężczyzn w zakresie emerytur dodatkowych, przy czym środki takie powinny być uzgodnione z partnerami społecznymi.</w:t>
            </w:r>
          </w:p>
        </w:tc>
      </w:tr>
    </w:tbl>
    <w:p w14:paraId="6E2B602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115AE23" w14:textId="77777777" w:rsidR="00CE45E2" w:rsidRPr="00CE45E2" w:rsidRDefault="00CE45E2" w:rsidP="00CE45E2">
      <w:r w:rsidRPr="00CE45E2">
        <w:rPr>
          <w:rStyle w:val="HideTWBExt"/>
        </w:rPr>
        <w:t>&lt;/Amend&gt;</w:t>
      </w:r>
    </w:p>
    <w:p w14:paraId="373553CE" w14:textId="36E305E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123</w:t>
      </w:r>
      <w:r w:rsidRPr="00CE45E2">
        <w:rPr>
          <w:rStyle w:val="HideTWBExt"/>
          <w:b w:val="0"/>
        </w:rPr>
        <w:t>&lt;/NumAm&gt;</w:t>
      </w:r>
    </w:p>
    <w:p w14:paraId="13DCE9CB"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1D01D010" w14:textId="77777777" w:rsidR="00CE45E2" w:rsidRPr="00CE45E2" w:rsidRDefault="00CE45E2" w:rsidP="00CE45E2">
      <w:pPr>
        <w:pStyle w:val="NormalBold"/>
      </w:pPr>
      <w:r w:rsidRPr="00CE45E2">
        <w:rPr>
          <w:rStyle w:val="HideTWBExt"/>
          <w:b w:val="0"/>
        </w:rPr>
        <w:t>&lt;/RepeatBlock-By&gt;</w:t>
      </w:r>
    </w:p>
    <w:p w14:paraId="6997BBF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D120D59" w14:textId="77777777" w:rsidR="00CE45E2" w:rsidRPr="00CE45E2" w:rsidRDefault="00CE45E2" w:rsidP="00CE45E2">
      <w:pPr>
        <w:pStyle w:val="NormalBold"/>
      </w:pPr>
      <w:r w:rsidRPr="00CE45E2">
        <w:rPr>
          <w:rStyle w:val="HideTWBExt"/>
          <w:b w:val="0"/>
        </w:rPr>
        <w:t>&lt;Article&gt;</w:t>
      </w:r>
      <w:r w:rsidRPr="00CE45E2">
        <w:t>Motyw 3 b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79D5CB0" w14:textId="77777777" w:rsidTr="006476FB">
        <w:trPr>
          <w:trHeight w:hRule="exact" w:val="240"/>
          <w:jc w:val="center"/>
        </w:trPr>
        <w:tc>
          <w:tcPr>
            <w:tcW w:w="9752" w:type="dxa"/>
            <w:gridSpan w:val="2"/>
            <w:tcBorders>
              <w:top w:val="nil"/>
              <w:left w:val="nil"/>
              <w:bottom w:val="nil"/>
              <w:right w:val="nil"/>
            </w:tcBorders>
          </w:tcPr>
          <w:p w14:paraId="389718C0" w14:textId="77777777" w:rsidR="00CE45E2" w:rsidRPr="00CE45E2" w:rsidRDefault="00CE45E2" w:rsidP="006476FB"/>
        </w:tc>
      </w:tr>
      <w:tr w:rsidR="00CE45E2" w:rsidRPr="00CE45E2" w14:paraId="5E683756" w14:textId="77777777" w:rsidTr="006476FB">
        <w:trPr>
          <w:trHeight w:val="240"/>
          <w:jc w:val="center"/>
        </w:trPr>
        <w:tc>
          <w:tcPr>
            <w:tcW w:w="4876" w:type="dxa"/>
            <w:tcBorders>
              <w:top w:val="nil"/>
              <w:left w:val="nil"/>
              <w:bottom w:val="nil"/>
              <w:right w:val="nil"/>
            </w:tcBorders>
          </w:tcPr>
          <w:p w14:paraId="0AF984B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165EE00" w14:textId="77777777" w:rsidR="00CE45E2" w:rsidRPr="00CE45E2" w:rsidRDefault="00CE45E2" w:rsidP="006476FB">
            <w:pPr>
              <w:pStyle w:val="AmColumnHeading"/>
            </w:pPr>
            <w:r w:rsidRPr="00CE45E2">
              <w:t>Poprawka</w:t>
            </w:r>
          </w:p>
        </w:tc>
      </w:tr>
      <w:tr w:rsidR="00CE45E2" w:rsidRPr="00CE45E2" w14:paraId="5851507E" w14:textId="77777777" w:rsidTr="006476FB">
        <w:trPr>
          <w:jc w:val="center"/>
        </w:trPr>
        <w:tc>
          <w:tcPr>
            <w:tcW w:w="4876" w:type="dxa"/>
            <w:tcBorders>
              <w:top w:val="nil"/>
              <w:left w:val="nil"/>
              <w:bottom w:val="nil"/>
              <w:right w:val="nil"/>
            </w:tcBorders>
          </w:tcPr>
          <w:p w14:paraId="5F1FC711" w14:textId="77777777" w:rsidR="00CE45E2" w:rsidRPr="00CE45E2" w:rsidRDefault="00CE45E2" w:rsidP="006476FB">
            <w:pPr>
              <w:pStyle w:val="Normal6a"/>
            </w:pPr>
          </w:p>
        </w:tc>
        <w:tc>
          <w:tcPr>
            <w:tcW w:w="4876" w:type="dxa"/>
            <w:tcBorders>
              <w:top w:val="nil"/>
              <w:left w:val="nil"/>
              <w:bottom w:val="nil"/>
              <w:right w:val="nil"/>
            </w:tcBorders>
          </w:tcPr>
          <w:p w14:paraId="6124B56F" w14:textId="77777777" w:rsidR="00CE45E2" w:rsidRPr="00CE45E2" w:rsidRDefault="00CE45E2" w:rsidP="006476FB">
            <w:pPr>
              <w:pStyle w:val="Normal6a"/>
            </w:pPr>
            <w:r w:rsidRPr="00CE45E2">
              <w:rPr>
                <w:b/>
                <w:i/>
              </w:rPr>
              <w:t>(3b)</w:t>
            </w:r>
            <w:r w:rsidRPr="00CE45E2">
              <w:tab/>
            </w:r>
            <w:r w:rsidRPr="00CE45E2">
              <w:rPr>
                <w:b/>
                <w:i/>
              </w:rPr>
              <w:t>Emerytury pracownicze i indywidualne powinny się skutecznie uzupełniać. Państwa członkowskie powinny czuwać nad tym, by pracownicze i indywidualne systemy emerytalne nie konkurowały ze sobą, lecz wzajemnie się uzupełniały, a także aby praktyki pracodawców i instytucji finansowych nie były sprzeczne z interesami ich uczestników i beneficjentów, zwłaszcza w odniesieniu do ewentualnych zachęt do konkurowania między pracowniczymi i indywidualnymi systemami emerytalnymi, w szczególności w miejscu pracy.</w:t>
            </w:r>
          </w:p>
        </w:tc>
      </w:tr>
    </w:tbl>
    <w:p w14:paraId="4289E490" w14:textId="77777777" w:rsidR="00CE45E2" w:rsidRPr="00CE45E2" w:rsidRDefault="00CE45E2" w:rsidP="00CE45E2">
      <w:pPr>
        <w:pStyle w:val="AmOrLang"/>
        <w:rPr>
          <w:lang w:val="en-US"/>
        </w:rPr>
      </w:pPr>
      <w:r w:rsidRPr="00CE45E2">
        <w:rPr>
          <w:lang w:val="en-US"/>
        </w:rPr>
        <w:t xml:space="preserve">Or. </w:t>
      </w:r>
      <w:r w:rsidRPr="00CE45E2">
        <w:rPr>
          <w:rStyle w:val="HideTWBExt"/>
        </w:rPr>
        <w:t>&lt;Original&gt;</w:t>
      </w:r>
      <w:r w:rsidRPr="00CE45E2">
        <w:rPr>
          <w:rStyle w:val="HideTWBInt"/>
        </w:rPr>
        <w:t>{EN}</w:t>
      </w:r>
      <w:proofErr w:type="spellStart"/>
      <w:r w:rsidRPr="00CE45E2">
        <w:rPr>
          <w:lang w:val="en-US"/>
        </w:rPr>
        <w:t>en</w:t>
      </w:r>
      <w:proofErr w:type="spellEnd"/>
      <w:r w:rsidRPr="00CE45E2">
        <w:rPr>
          <w:rStyle w:val="HideTWBExt"/>
        </w:rPr>
        <w:t>&lt;/Original&gt;</w:t>
      </w:r>
    </w:p>
    <w:p w14:paraId="3F124CA4" w14:textId="77777777" w:rsidR="00CE45E2" w:rsidRPr="00CE45E2" w:rsidRDefault="00CE45E2" w:rsidP="00CE45E2">
      <w:pPr>
        <w:rPr>
          <w:lang w:val="en-US"/>
        </w:rPr>
      </w:pPr>
      <w:r w:rsidRPr="00CE45E2">
        <w:rPr>
          <w:rStyle w:val="HideTWBExt"/>
        </w:rPr>
        <w:t>&lt;/Amend&gt;</w:t>
      </w:r>
    </w:p>
    <w:p w14:paraId="2BC3433A" w14:textId="6652354E" w:rsidR="00CE45E2" w:rsidRPr="00CE45E2" w:rsidRDefault="00CE45E2" w:rsidP="00CE45E2">
      <w:pPr>
        <w:pStyle w:val="AmNumberTabs"/>
        <w:rPr>
          <w:lang w:val="en-US"/>
        </w:rPr>
      </w:pPr>
      <w:r w:rsidRPr="00CE45E2">
        <w:rPr>
          <w:rStyle w:val="HideTWBExt"/>
          <w:b w:val="0"/>
        </w:rPr>
        <w:t>&lt;Amend&gt;</w:t>
      </w:r>
      <w:proofErr w:type="spellStart"/>
      <w:r w:rsidRPr="00CE45E2">
        <w:rPr>
          <w:lang w:val="en-US"/>
        </w:rPr>
        <w:t>Poprawka</w:t>
      </w:r>
      <w:proofErr w:type="spellEnd"/>
      <w:r w:rsidRPr="00CE45E2">
        <w:rPr>
          <w:lang w:val="en-US"/>
        </w:rPr>
        <w:tab/>
      </w:r>
      <w:r w:rsidRPr="00CE45E2">
        <w:rPr>
          <w:lang w:val="en-US"/>
        </w:rPr>
        <w:tab/>
      </w:r>
      <w:r w:rsidRPr="00CE45E2">
        <w:rPr>
          <w:rStyle w:val="HideTWBExt"/>
          <w:b w:val="0"/>
        </w:rPr>
        <w:t>&lt;NumAm&gt;</w:t>
      </w:r>
      <w:r w:rsidR="00430CF1" w:rsidRPr="00430CF1">
        <w:rPr>
          <w:lang w:val="en-US"/>
        </w:rPr>
        <w:t>124</w:t>
      </w:r>
      <w:r w:rsidRPr="00CE45E2">
        <w:rPr>
          <w:rStyle w:val="HideTWBExt"/>
          <w:b w:val="0"/>
        </w:rPr>
        <w:t>&lt;/NumAm&gt;</w:t>
      </w:r>
    </w:p>
    <w:p w14:paraId="7CF6CC2D" w14:textId="77777777" w:rsidR="00CE45E2" w:rsidRPr="00CE45E2" w:rsidRDefault="00CE45E2" w:rsidP="00CE45E2">
      <w:pPr>
        <w:pStyle w:val="NormalBold"/>
        <w:rPr>
          <w:lang w:val="en-US"/>
        </w:rPr>
      </w:pPr>
      <w:r w:rsidRPr="00CE45E2">
        <w:rPr>
          <w:rStyle w:val="HideTWBExt"/>
          <w:b w:val="0"/>
        </w:rPr>
        <w:t>&lt;RepeatBlock-By&gt;&lt;Members&gt;</w:t>
      </w:r>
      <w:r w:rsidRPr="00CE45E2">
        <w:rPr>
          <w:lang w:val="en-US"/>
        </w:rPr>
        <w:t xml:space="preserve">Dirk </w:t>
      </w:r>
      <w:proofErr w:type="spellStart"/>
      <w:r w:rsidRPr="00CE45E2">
        <w:rPr>
          <w:lang w:val="en-US"/>
        </w:rPr>
        <w:t>Gotink</w:t>
      </w:r>
      <w:proofErr w:type="spellEnd"/>
      <w:r w:rsidRPr="00CE45E2">
        <w:rPr>
          <w:rStyle w:val="HideTWBExt"/>
          <w:b w:val="0"/>
        </w:rPr>
        <w:t>&lt;/Members&gt;</w:t>
      </w:r>
    </w:p>
    <w:p w14:paraId="2303DED3" w14:textId="77777777" w:rsidR="00CE45E2" w:rsidRPr="00CE45E2" w:rsidRDefault="00CE45E2" w:rsidP="00CE45E2">
      <w:pPr>
        <w:pStyle w:val="NormalBold"/>
        <w:rPr>
          <w:lang w:val="en-US"/>
        </w:rPr>
      </w:pPr>
      <w:r w:rsidRPr="00CE45E2">
        <w:rPr>
          <w:rStyle w:val="HideTWBExt"/>
          <w:b w:val="0"/>
        </w:rPr>
        <w:t>&lt;/RepeatBlock-By&gt;</w:t>
      </w:r>
    </w:p>
    <w:p w14:paraId="6687FD8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A15D25A" w14:textId="77777777" w:rsidR="00CE45E2" w:rsidRPr="00CE45E2" w:rsidRDefault="00CE45E2" w:rsidP="00CE45E2">
      <w:pPr>
        <w:pStyle w:val="NormalBold"/>
      </w:pPr>
      <w:r w:rsidRPr="00CE45E2">
        <w:rPr>
          <w:rStyle w:val="HideTWBExt"/>
          <w:b w:val="0"/>
        </w:rPr>
        <w:t>&lt;Article&gt;</w:t>
      </w:r>
      <w:r w:rsidRPr="00CE45E2">
        <w:t>Motyw 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D586AD9" w14:textId="77777777" w:rsidTr="006476FB">
        <w:trPr>
          <w:trHeight w:hRule="exact" w:val="240"/>
          <w:jc w:val="center"/>
        </w:trPr>
        <w:tc>
          <w:tcPr>
            <w:tcW w:w="9752" w:type="dxa"/>
            <w:gridSpan w:val="2"/>
            <w:tcBorders>
              <w:top w:val="nil"/>
              <w:left w:val="nil"/>
              <w:bottom w:val="nil"/>
              <w:right w:val="nil"/>
            </w:tcBorders>
          </w:tcPr>
          <w:p w14:paraId="023383EA" w14:textId="77777777" w:rsidR="00CE45E2" w:rsidRPr="00CE45E2" w:rsidRDefault="00CE45E2" w:rsidP="006476FB"/>
        </w:tc>
      </w:tr>
      <w:tr w:rsidR="00CE45E2" w:rsidRPr="00CE45E2" w14:paraId="7F2296E2" w14:textId="77777777" w:rsidTr="006476FB">
        <w:trPr>
          <w:trHeight w:val="240"/>
          <w:jc w:val="center"/>
        </w:trPr>
        <w:tc>
          <w:tcPr>
            <w:tcW w:w="4876" w:type="dxa"/>
            <w:tcBorders>
              <w:top w:val="nil"/>
              <w:left w:val="nil"/>
              <w:bottom w:val="nil"/>
              <w:right w:val="nil"/>
            </w:tcBorders>
          </w:tcPr>
          <w:p w14:paraId="1407BB3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7A5CFD3" w14:textId="77777777" w:rsidR="00CE45E2" w:rsidRPr="00CE45E2" w:rsidRDefault="00CE45E2" w:rsidP="006476FB">
            <w:pPr>
              <w:pStyle w:val="AmColumnHeading"/>
            </w:pPr>
            <w:r w:rsidRPr="00CE45E2">
              <w:t>Poprawka</w:t>
            </w:r>
          </w:p>
        </w:tc>
      </w:tr>
      <w:tr w:rsidR="00CE45E2" w:rsidRPr="00CE45E2" w14:paraId="1DB7BD40" w14:textId="77777777" w:rsidTr="006476FB">
        <w:trPr>
          <w:jc w:val="center"/>
        </w:trPr>
        <w:tc>
          <w:tcPr>
            <w:tcW w:w="4876" w:type="dxa"/>
            <w:tcBorders>
              <w:top w:val="nil"/>
              <w:left w:val="nil"/>
              <w:bottom w:val="nil"/>
              <w:right w:val="nil"/>
            </w:tcBorders>
          </w:tcPr>
          <w:p w14:paraId="6D035602" w14:textId="77777777" w:rsidR="00CE45E2" w:rsidRPr="00CE45E2" w:rsidRDefault="00CE45E2" w:rsidP="006476FB">
            <w:pPr>
              <w:pStyle w:val="Normal6a"/>
            </w:pPr>
            <w:r w:rsidRPr="00CE45E2">
              <w:t>(4)</w:t>
            </w:r>
            <w:r w:rsidRPr="00CE45E2">
              <w:tab/>
              <w:t>Odpowiednie uregulowanie i nadzór na poziomie unijnym i krajowym pozostają istotne dla rozwoju pewnych i bezpiecznych pracowniczych programów emerytalnych we wszystkich państwach członkowskich. Dyrektywa Parlamentu Europejskiego i Rady (UE) 2016/2341</w:t>
            </w:r>
            <w:r w:rsidRPr="00CE45E2">
              <w:rPr>
                <w:vertAlign w:val="superscript"/>
              </w:rPr>
              <w:t>3</w:t>
            </w:r>
            <w:r w:rsidRPr="00CE45E2">
              <w:t xml:space="preserve"> przyczyniła się do bardziej zharmonizowanych ram ostrożnościowych dla instytucji pracowniczych programów emerytalnych (IORP). W wielu państwach członkowskich sektor emerytur dodatkowych jest jednak nadal słabo rozwinięty, co może zagrozić bezpieczeństwu finansowemu obywateli, w szczególności w świetle bieżących tendencji demograficznych w Unii. W ramach silnych wielofilarowych systemów emerytalnych, opracowanych w porozumieniu z partnerami społecznymi, zasadnicze znaczenie ma wspieranie dalszego upowszechniania emerytur dodatkowych, takich jak </w:t>
            </w:r>
            <w:proofErr w:type="gramStart"/>
            <w:r w:rsidRPr="00CE45E2">
              <w:t>IORP,</w:t>
            </w:r>
            <w:proofErr w:type="gramEnd"/>
            <w:r w:rsidRPr="00CE45E2">
              <w:t xml:space="preserve"> oraz pomoc w osiąganiu lepszych wyników dla osób oszczędzających w perspektywie długoterminowej. Wymaga to działań politycznych zarówno na szczeblu krajowym, jak i unijnym.</w:t>
            </w:r>
          </w:p>
        </w:tc>
        <w:tc>
          <w:tcPr>
            <w:tcW w:w="4876" w:type="dxa"/>
            <w:tcBorders>
              <w:top w:val="nil"/>
              <w:left w:val="nil"/>
              <w:bottom w:val="nil"/>
              <w:right w:val="nil"/>
            </w:tcBorders>
          </w:tcPr>
          <w:p w14:paraId="340778F2" w14:textId="77777777" w:rsidR="00CE45E2" w:rsidRPr="00CE45E2" w:rsidRDefault="00CE45E2" w:rsidP="006476FB">
            <w:pPr>
              <w:pStyle w:val="Normal6a"/>
            </w:pPr>
            <w:r w:rsidRPr="00CE45E2">
              <w:t>(4)</w:t>
            </w:r>
            <w:r w:rsidRPr="00CE45E2">
              <w:tab/>
              <w:t>Odpowiednie uregulowanie i nadzór na poziomie unijnym i krajowym pozostają istotne dla rozwoju pewnych i bezpiecznych pracowniczych programów emerytalnych we wszystkich państwach członkowskich. Dyrektywa Parlamentu Europejskiego i Rady (UE) 2016/2341</w:t>
            </w:r>
            <w:r w:rsidRPr="00CE45E2">
              <w:rPr>
                <w:vertAlign w:val="superscript"/>
              </w:rPr>
              <w:t>3</w:t>
            </w:r>
            <w:r w:rsidRPr="00CE45E2">
              <w:t xml:space="preserve"> przyczyniła się do bardziej zharmonizowanych ram ostrożnościowych dla instytucji pracowniczych programów emerytalnych (IORP). W wielu państwach członkowskich sektor emerytur dodatkowych jest jednak nadal słabo rozwinięty, co może zagrozić bezpieczeństwu finansowemu obywateli, w szczególności w świetle bieżących tendencji demograficznych w Unii. W ramach silnych wielofilarowych systemów emerytalnych, opracowanych w porozumieniu z partnerami społecznymi, zasadnicze znaczenie ma wspieranie dalszego upowszechniania emerytur dodatkowych, takich jak </w:t>
            </w:r>
            <w:proofErr w:type="gramStart"/>
            <w:r w:rsidRPr="00CE45E2">
              <w:t>IORP,</w:t>
            </w:r>
            <w:proofErr w:type="gramEnd"/>
            <w:r w:rsidRPr="00CE45E2">
              <w:t xml:space="preserve"> oraz pomoc w osiąganiu lepszych wyników dla osób oszczędzających w perspektywie długoterminowej. Wymaga to działań politycznych zarówno na szczeblu krajowym, jak i unijnym. </w:t>
            </w:r>
            <w:r w:rsidRPr="00CE45E2">
              <w:rPr>
                <w:b/>
                <w:i/>
              </w:rPr>
              <w:t>Jednocześnie istotne jest, aby niepotrzebnie już nie zakłócać dobrze funkcjonujących krajowych systemów emerytur dodatkowych.</w:t>
            </w:r>
          </w:p>
        </w:tc>
      </w:tr>
      <w:tr w:rsidR="00CE45E2" w:rsidRPr="00CE45E2" w14:paraId="14A4E4A6" w14:textId="77777777" w:rsidTr="006476FB">
        <w:trPr>
          <w:jc w:val="center"/>
        </w:trPr>
        <w:tc>
          <w:tcPr>
            <w:tcW w:w="4876" w:type="dxa"/>
            <w:tcBorders>
              <w:top w:val="nil"/>
              <w:left w:val="nil"/>
              <w:bottom w:val="nil"/>
              <w:right w:val="nil"/>
            </w:tcBorders>
          </w:tcPr>
          <w:p w14:paraId="2CE3F1DB"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3FC21B7A" w14:textId="77777777" w:rsidR="00CE45E2" w:rsidRPr="00CE45E2" w:rsidRDefault="00CE45E2" w:rsidP="006476FB">
            <w:pPr>
              <w:pStyle w:val="Normal6a"/>
            </w:pPr>
            <w:r w:rsidRPr="00CE45E2">
              <w:rPr>
                <w:b/>
                <w:i/>
              </w:rPr>
              <w:t>_________________</w:t>
            </w:r>
          </w:p>
        </w:tc>
      </w:tr>
      <w:tr w:rsidR="00CE45E2" w:rsidRPr="00CE45E2" w14:paraId="23D0A78A" w14:textId="77777777" w:rsidTr="006476FB">
        <w:trPr>
          <w:jc w:val="center"/>
        </w:trPr>
        <w:tc>
          <w:tcPr>
            <w:tcW w:w="4876" w:type="dxa"/>
            <w:tcBorders>
              <w:top w:val="nil"/>
              <w:left w:val="nil"/>
              <w:bottom w:val="nil"/>
              <w:right w:val="nil"/>
            </w:tcBorders>
          </w:tcPr>
          <w:p w14:paraId="14E4792B" w14:textId="77777777" w:rsidR="00CE45E2" w:rsidRPr="00CE45E2" w:rsidRDefault="00CE45E2" w:rsidP="006476FB">
            <w:pPr>
              <w:pStyle w:val="Normal6a"/>
            </w:pPr>
            <w:r w:rsidRPr="00CE45E2">
              <w:rPr>
                <w:vertAlign w:val="superscript"/>
              </w:rPr>
              <w:t>3</w:t>
            </w:r>
            <w:r w:rsidRPr="00CE45E2">
              <w:t xml:space="preserve"> Dyrektywa Parlamentu Europejskiego i Rady (UE) 2016/2341 z dnia 14 grudnia 2016 r. w sprawie działalności instytucji pracowniczych programów emerytalnych oraz nadzoru nad takimi instytucjami (IORP) (przekształcenie) (Dz.U. L 354 z 23.12.2016, s. 37, ELI: http://data.europa.eu/eli/dir/2016/2341/oj).</w:t>
            </w:r>
          </w:p>
        </w:tc>
        <w:tc>
          <w:tcPr>
            <w:tcW w:w="4876" w:type="dxa"/>
            <w:tcBorders>
              <w:top w:val="nil"/>
              <w:left w:val="nil"/>
              <w:bottom w:val="nil"/>
              <w:right w:val="nil"/>
            </w:tcBorders>
          </w:tcPr>
          <w:p w14:paraId="1C091754" w14:textId="77777777" w:rsidR="00CE45E2" w:rsidRPr="00CE45E2" w:rsidRDefault="00CE45E2" w:rsidP="006476FB">
            <w:pPr>
              <w:pStyle w:val="Normal6a"/>
            </w:pPr>
            <w:r w:rsidRPr="00CE45E2">
              <w:rPr>
                <w:vertAlign w:val="superscript"/>
              </w:rPr>
              <w:t>3</w:t>
            </w:r>
            <w:r w:rsidRPr="00CE45E2">
              <w:t xml:space="preserve"> Dyrektywa Parlamentu Europejskiego i Rady (UE) 2016/2341 z dnia 14 grudnia 2016 r. w sprawie działalności instytucji pracowniczych programów emerytalnych oraz nadzoru nad takimi instytucjami (IORP) (przekształcenie) (Dz.U. L 354 z 23.12.2016, s. 37, ELI: http://data.europa.eu/eli/dir/2016/2341/oj).</w:t>
            </w:r>
          </w:p>
        </w:tc>
      </w:tr>
    </w:tbl>
    <w:p w14:paraId="16B8318D" w14:textId="77777777" w:rsidR="00CE45E2" w:rsidRPr="00CE45E2" w:rsidRDefault="00CE45E2" w:rsidP="00CE45E2">
      <w:pPr>
        <w:pStyle w:val="AmOrLang"/>
        <w:rPr>
          <w:lang w:val="en-US"/>
        </w:rPr>
      </w:pPr>
      <w:r w:rsidRPr="00CE45E2">
        <w:rPr>
          <w:lang w:val="en-US"/>
        </w:rPr>
        <w:t xml:space="preserve">Or. </w:t>
      </w:r>
      <w:r w:rsidRPr="00CE45E2">
        <w:rPr>
          <w:rStyle w:val="HideTWBExt"/>
        </w:rPr>
        <w:t>&lt;Original&gt;</w:t>
      </w:r>
      <w:r w:rsidRPr="00CE45E2">
        <w:rPr>
          <w:rStyle w:val="HideTWBInt"/>
        </w:rPr>
        <w:t>{EN}</w:t>
      </w:r>
      <w:proofErr w:type="spellStart"/>
      <w:r w:rsidRPr="00CE45E2">
        <w:rPr>
          <w:lang w:val="en-US"/>
        </w:rPr>
        <w:t>en</w:t>
      </w:r>
      <w:proofErr w:type="spellEnd"/>
      <w:r w:rsidRPr="00CE45E2">
        <w:rPr>
          <w:rStyle w:val="HideTWBExt"/>
        </w:rPr>
        <w:t>&lt;/Original&gt;</w:t>
      </w:r>
    </w:p>
    <w:p w14:paraId="3351AE96" w14:textId="77777777" w:rsidR="00CE45E2" w:rsidRPr="00CE45E2" w:rsidRDefault="00CE45E2" w:rsidP="00CE45E2">
      <w:pPr>
        <w:rPr>
          <w:lang w:val="en-US"/>
        </w:rPr>
      </w:pPr>
      <w:r w:rsidRPr="00CE45E2">
        <w:rPr>
          <w:rStyle w:val="HideTWBExt"/>
        </w:rPr>
        <w:t>&lt;/Amend&gt;</w:t>
      </w:r>
    </w:p>
    <w:p w14:paraId="23984FA2" w14:textId="2D006E2C" w:rsidR="00CE45E2" w:rsidRPr="00CE45E2" w:rsidRDefault="00CE45E2" w:rsidP="00CE45E2">
      <w:pPr>
        <w:pStyle w:val="AmNumberTabs"/>
        <w:rPr>
          <w:lang w:val="en-US"/>
        </w:rPr>
      </w:pPr>
      <w:r w:rsidRPr="00CE45E2">
        <w:rPr>
          <w:rStyle w:val="HideTWBExt"/>
          <w:b w:val="0"/>
        </w:rPr>
        <w:t>&lt;Amend&gt;</w:t>
      </w:r>
      <w:proofErr w:type="spellStart"/>
      <w:r w:rsidRPr="00CE45E2">
        <w:rPr>
          <w:lang w:val="en-US"/>
        </w:rPr>
        <w:t>Poprawka</w:t>
      </w:r>
      <w:proofErr w:type="spellEnd"/>
      <w:r w:rsidRPr="00CE45E2">
        <w:rPr>
          <w:lang w:val="en-US"/>
        </w:rPr>
        <w:tab/>
      </w:r>
      <w:r w:rsidRPr="00CE45E2">
        <w:rPr>
          <w:lang w:val="en-US"/>
        </w:rPr>
        <w:tab/>
      </w:r>
      <w:r w:rsidRPr="00CE45E2">
        <w:rPr>
          <w:rStyle w:val="HideTWBExt"/>
          <w:b w:val="0"/>
        </w:rPr>
        <w:t>&lt;NumAm&gt;</w:t>
      </w:r>
      <w:r w:rsidR="00430CF1" w:rsidRPr="00430CF1">
        <w:rPr>
          <w:lang w:val="en-US"/>
        </w:rPr>
        <w:t>125</w:t>
      </w:r>
      <w:r w:rsidRPr="00CE45E2">
        <w:rPr>
          <w:rStyle w:val="HideTWBExt"/>
          <w:b w:val="0"/>
        </w:rPr>
        <w:t>&lt;/NumAm&gt;</w:t>
      </w:r>
    </w:p>
    <w:p w14:paraId="2533CC6D" w14:textId="77777777" w:rsidR="00CE45E2" w:rsidRPr="00CE45E2" w:rsidRDefault="00CE45E2" w:rsidP="00CE45E2">
      <w:pPr>
        <w:pStyle w:val="NormalBold"/>
        <w:rPr>
          <w:lang w:val="en-US"/>
        </w:rPr>
      </w:pPr>
      <w:r w:rsidRPr="00CE45E2">
        <w:rPr>
          <w:rStyle w:val="HideTWBExt"/>
          <w:b w:val="0"/>
        </w:rPr>
        <w:t>&lt;RepeatBlock-By&gt;&lt;Members&gt;</w:t>
      </w:r>
      <w:r w:rsidRPr="00CE45E2">
        <w:rPr>
          <w:lang w:val="en-US"/>
        </w:rPr>
        <w:t xml:space="preserve">Dirk </w:t>
      </w:r>
      <w:proofErr w:type="spellStart"/>
      <w:r w:rsidRPr="00CE45E2">
        <w:rPr>
          <w:lang w:val="en-US"/>
        </w:rPr>
        <w:t>Gotink</w:t>
      </w:r>
      <w:proofErr w:type="spellEnd"/>
      <w:r w:rsidRPr="00CE45E2">
        <w:rPr>
          <w:rStyle w:val="HideTWBExt"/>
          <w:b w:val="0"/>
        </w:rPr>
        <w:t>&lt;/Members&gt;</w:t>
      </w:r>
    </w:p>
    <w:p w14:paraId="4F362B84" w14:textId="77777777" w:rsidR="00CE45E2" w:rsidRPr="00CE45E2" w:rsidRDefault="00CE45E2" w:rsidP="00CE45E2">
      <w:pPr>
        <w:pStyle w:val="NormalBold"/>
        <w:rPr>
          <w:lang w:val="en-US"/>
        </w:rPr>
      </w:pPr>
      <w:r w:rsidRPr="00CE45E2">
        <w:rPr>
          <w:rStyle w:val="HideTWBExt"/>
          <w:b w:val="0"/>
        </w:rPr>
        <w:t>&lt;/RepeatBlock-By&gt;</w:t>
      </w:r>
    </w:p>
    <w:p w14:paraId="6C30507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48B4264" w14:textId="77777777" w:rsidR="00CE45E2" w:rsidRPr="00CE45E2" w:rsidRDefault="00CE45E2" w:rsidP="00CE45E2">
      <w:pPr>
        <w:pStyle w:val="NormalBold"/>
      </w:pPr>
      <w:r w:rsidRPr="00CE45E2">
        <w:rPr>
          <w:rStyle w:val="HideTWBExt"/>
          <w:b w:val="0"/>
        </w:rPr>
        <w:t>&lt;Article&gt;</w:t>
      </w:r>
      <w:r w:rsidRPr="00CE45E2">
        <w:t>Motyw 4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25E71D0" w14:textId="77777777" w:rsidTr="006476FB">
        <w:trPr>
          <w:trHeight w:hRule="exact" w:val="240"/>
          <w:jc w:val="center"/>
        </w:trPr>
        <w:tc>
          <w:tcPr>
            <w:tcW w:w="9752" w:type="dxa"/>
            <w:gridSpan w:val="2"/>
            <w:tcBorders>
              <w:top w:val="nil"/>
              <w:left w:val="nil"/>
              <w:bottom w:val="nil"/>
              <w:right w:val="nil"/>
            </w:tcBorders>
          </w:tcPr>
          <w:p w14:paraId="3D7EBE7C" w14:textId="77777777" w:rsidR="00CE45E2" w:rsidRPr="00CE45E2" w:rsidRDefault="00CE45E2" w:rsidP="006476FB"/>
        </w:tc>
      </w:tr>
      <w:tr w:rsidR="00CE45E2" w:rsidRPr="00CE45E2" w14:paraId="613703B8" w14:textId="77777777" w:rsidTr="006476FB">
        <w:trPr>
          <w:trHeight w:val="240"/>
          <w:jc w:val="center"/>
        </w:trPr>
        <w:tc>
          <w:tcPr>
            <w:tcW w:w="4876" w:type="dxa"/>
            <w:tcBorders>
              <w:top w:val="nil"/>
              <w:left w:val="nil"/>
              <w:bottom w:val="nil"/>
              <w:right w:val="nil"/>
            </w:tcBorders>
          </w:tcPr>
          <w:p w14:paraId="3C411F7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95FF497" w14:textId="77777777" w:rsidR="00CE45E2" w:rsidRPr="00CE45E2" w:rsidRDefault="00CE45E2" w:rsidP="006476FB">
            <w:pPr>
              <w:pStyle w:val="AmColumnHeading"/>
            </w:pPr>
            <w:r w:rsidRPr="00CE45E2">
              <w:t>Poprawka</w:t>
            </w:r>
          </w:p>
        </w:tc>
      </w:tr>
      <w:tr w:rsidR="00CE45E2" w:rsidRPr="00CE45E2" w14:paraId="4DA11C15" w14:textId="77777777" w:rsidTr="006476FB">
        <w:trPr>
          <w:jc w:val="center"/>
        </w:trPr>
        <w:tc>
          <w:tcPr>
            <w:tcW w:w="4876" w:type="dxa"/>
            <w:tcBorders>
              <w:top w:val="nil"/>
              <w:left w:val="nil"/>
              <w:bottom w:val="nil"/>
              <w:right w:val="nil"/>
            </w:tcBorders>
          </w:tcPr>
          <w:p w14:paraId="169692E5" w14:textId="77777777" w:rsidR="00CE45E2" w:rsidRPr="00CE45E2" w:rsidRDefault="00CE45E2" w:rsidP="006476FB">
            <w:pPr>
              <w:pStyle w:val="Normal6a"/>
            </w:pPr>
          </w:p>
        </w:tc>
        <w:tc>
          <w:tcPr>
            <w:tcW w:w="4876" w:type="dxa"/>
            <w:tcBorders>
              <w:top w:val="nil"/>
              <w:left w:val="nil"/>
              <w:bottom w:val="nil"/>
              <w:right w:val="nil"/>
            </w:tcBorders>
          </w:tcPr>
          <w:p w14:paraId="298E27FF" w14:textId="77777777" w:rsidR="00CE45E2" w:rsidRPr="00CE45E2" w:rsidRDefault="00CE45E2" w:rsidP="006476FB">
            <w:pPr>
              <w:pStyle w:val="Normal6a"/>
            </w:pPr>
            <w:r w:rsidRPr="00CE45E2">
              <w:rPr>
                <w:b/>
                <w:i/>
              </w:rPr>
              <w:t>(4a)</w:t>
            </w:r>
            <w:r w:rsidRPr="00CE45E2">
              <w:tab/>
            </w:r>
            <w:r w:rsidRPr="00CE45E2">
              <w:rPr>
                <w:b/>
                <w:i/>
              </w:rPr>
              <w:t>Aby zachęcić państwa członkowskie do dalszego rozwijania kapitałowych i uzupełniających systemów emerytalnych oraz do tworzenia większej liczby IORP, oraz wesprzeć je w tych działaniach, należy zapewnić państwom członkowskich możliwość stosowania mniej restrykcyjnych zasad wobec nowych IORP w pierwszych latach ich działalności. Obciążenia regulacyjne mogą być znaczne dla małych i nowo powstałych IORP, dlatego też początkowa faza o mniejszym obciążeniu mogłaby wspierać tworzenie nowych IORP, a tym samym zwiększyć wielkość kapitału emerytalnego w systemie kapitałowym w Europie. Państwa członkowskie powinny mieć możliwość niestosowania lub częściowego stosowania uciążliwych przepisów w odniesieniu do nowych IORP przez okres maksymalnie trzech lat, przy uwzględnieniu celów tych przepisów. Ponadto, ponieważ dialog społeczny i rokowania zbiorowe dotyczące tworzenia IORP są zazwyczaj delikatnym procesem wymagającym wystarczającego zaufania, właściwe organy krajowe powinny mieć możliwość zwrócenia się do EIOPA o wsparcie techniczne i wiedzę fachową, przy czym EIOPA mógłby wykorzystać wiedzę fachową państw członkowskich o bardziej rozwiniętych sektorach emerytur kapitałowych za pośrednictwem stałego zespołu doradczego.</w:t>
            </w:r>
          </w:p>
        </w:tc>
      </w:tr>
    </w:tbl>
    <w:p w14:paraId="38BF1F2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71C017A" w14:textId="77777777" w:rsidR="00CE45E2" w:rsidRPr="00CE45E2" w:rsidRDefault="00CE45E2" w:rsidP="00CE45E2">
      <w:r w:rsidRPr="00CE45E2">
        <w:rPr>
          <w:rStyle w:val="HideTWBExt"/>
        </w:rPr>
        <w:t>&lt;/Amend&gt;</w:t>
      </w:r>
    </w:p>
    <w:p w14:paraId="6B8414FB" w14:textId="0AD9EEF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126</w:t>
      </w:r>
      <w:r w:rsidRPr="00CE45E2">
        <w:rPr>
          <w:rStyle w:val="HideTWBExt"/>
          <w:b w:val="0"/>
        </w:rPr>
        <w:t>&lt;/NumAm&gt;</w:t>
      </w:r>
    </w:p>
    <w:p w14:paraId="4525C5AA"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551CD490" w14:textId="77777777" w:rsidR="00CE45E2" w:rsidRPr="00CE45E2" w:rsidRDefault="00CE45E2" w:rsidP="00CE45E2">
      <w:pPr>
        <w:pStyle w:val="NormalBold"/>
      </w:pPr>
      <w:r w:rsidRPr="00CE45E2">
        <w:rPr>
          <w:rStyle w:val="HideTWBExt"/>
          <w:b w:val="0"/>
        </w:rPr>
        <w:t>&lt;/RepeatBlock-By&gt;</w:t>
      </w:r>
    </w:p>
    <w:p w14:paraId="4E136EE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A937966" w14:textId="77777777" w:rsidR="00CE45E2" w:rsidRPr="00CE45E2" w:rsidRDefault="00CE45E2" w:rsidP="00CE45E2">
      <w:pPr>
        <w:pStyle w:val="NormalBold"/>
      </w:pPr>
      <w:r w:rsidRPr="00CE45E2">
        <w:rPr>
          <w:rStyle w:val="HideTWBExt"/>
          <w:b w:val="0"/>
        </w:rPr>
        <w:t>&lt;Article&gt;</w:t>
      </w:r>
      <w:r w:rsidRPr="00CE45E2">
        <w:t>Motyw 4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A1075A4" w14:textId="77777777" w:rsidTr="006476FB">
        <w:trPr>
          <w:trHeight w:hRule="exact" w:val="240"/>
          <w:jc w:val="center"/>
        </w:trPr>
        <w:tc>
          <w:tcPr>
            <w:tcW w:w="9752" w:type="dxa"/>
            <w:gridSpan w:val="2"/>
            <w:tcBorders>
              <w:top w:val="nil"/>
              <w:left w:val="nil"/>
              <w:bottom w:val="nil"/>
              <w:right w:val="nil"/>
            </w:tcBorders>
          </w:tcPr>
          <w:p w14:paraId="66A52F32" w14:textId="77777777" w:rsidR="00CE45E2" w:rsidRPr="00CE45E2" w:rsidRDefault="00CE45E2" w:rsidP="006476FB"/>
        </w:tc>
      </w:tr>
      <w:tr w:rsidR="00CE45E2" w:rsidRPr="00CE45E2" w14:paraId="4E3F9769" w14:textId="77777777" w:rsidTr="006476FB">
        <w:trPr>
          <w:trHeight w:val="240"/>
          <w:jc w:val="center"/>
        </w:trPr>
        <w:tc>
          <w:tcPr>
            <w:tcW w:w="4876" w:type="dxa"/>
            <w:tcBorders>
              <w:top w:val="nil"/>
              <w:left w:val="nil"/>
              <w:bottom w:val="nil"/>
              <w:right w:val="nil"/>
            </w:tcBorders>
          </w:tcPr>
          <w:p w14:paraId="147E04A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1860A22" w14:textId="77777777" w:rsidR="00CE45E2" w:rsidRPr="00CE45E2" w:rsidRDefault="00CE45E2" w:rsidP="006476FB">
            <w:pPr>
              <w:pStyle w:val="AmColumnHeading"/>
            </w:pPr>
            <w:r w:rsidRPr="00CE45E2">
              <w:t>Poprawka</w:t>
            </w:r>
          </w:p>
        </w:tc>
      </w:tr>
      <w:tr w:rsidR="00CE45E2" w:rsidRPr="00CE45E2" w14:paraId="0765E148" w14:textId="77777777" w:rsidTr="006476FB">
        <w:trPr>
          <w:jc w:val="center"/>
        </w:trPr>
        <w:tc>
          <w:tcPr>
            <w:tcW w:w="4876" w:type="dxa"/>
            <w:tcBorders>
              <w:top w:val="nil"/>
              <w:left w:val="nil"/>
              <w:bottom w:val="nil"/>
              <w:right w:val="nil"/>
            </w:tcBorders>
          </w:tcPr>
          <w:p w14:paraId="78A087E9" w14:textId="77777777" w:rsidR="00CE45E2" w:rsidRPr="00CE45E2" w:rsidRDefault="00CE45E2" w:rsidP="006476FB">
            <w:pPr>
              <w:pStyle w:val="Normal6a"/>
            </w:pPr>
          </w:p>
        </w:tc>
        <w:tc>
          <w:tcPr>
            <w:tcW w:w="4876" w:type="dxa"/>
            <w:tcBorders>
              <w:top w:val="nil"/>
              <w:left w:val="nil"/>
              <w:bottom w:val="nil"/>
              <w:right w:val="nil"/>
            </w:tcBorders>
          </w:tcPr>
          <w:p w14:paraId="418ADDA5" w14:textId="77777777" w:rsidR="00CE45E2" w:rsidRPr="00CE45E2" w:rsidRDefault="00CE45E2" w:rsidP="006476FB">
            <w:pPr>
              <w:pStyle w:val="Normal6a"/>
            </w:pPr>
            <w:r w:rsidRPr="00CE45E2">
              <w:rPr>
                <w:b/>
                <w:i/>
              </w:rPr>
              <w:t>(4a)</w:t>
            </w:r>
            <w:r w:rsidRPr="00CE45E2">
              <w:tab/>
            </w:r>
            <w:r w:rsidRPr="00CE45E2">
              <w:rPr>
                <w:b/>
                <w:i/>
              </w:rPr>
              <w:t>Znaczenie systemu emerytalnego w życiu obywateli oraz dla równowagi budżetowej wymaga utrzymania koordynacji i monitorowania środków wdrażanych na szczeblu europejskim, a także oceny ich skutków. Utworzenie wyspecjalizowanego komitetu monitorującego, kierowanego przez Komisję, ale z udziałem państw członkowskich i innych zainteresowanych stron, pomogłoby w osiągnięciu tego celu.</w:t>
            </w:r>
          </w:p>
        </w:tc>
      </w:tr>
    </w:tbl>
    <w:p w14:paraId="6A802E9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2875F58" w14:textId="77777777" w:rsidR="00CE45E2" w:rsidRPr="00CE45E2" w:rsidRDefault="00CE45E2" w:rsidP="00CE45E2">
      <w:r w:rsidRPr="00CE45E2">
        <w:rPr>
          <w:rStyle w:val="HideTWBExt"/>
        </w:rPr>
        <w:t>&lt;/Amend&gt;</w:t>
      </w:r>
    </w:p>
    <w:p w14:paraId="71E67588" w14:textId="77B07BE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127</w:t>
      </w:r>
      <w:r w:rsidRPr="00CE45E2">
        <w:rPr>
          <w:rStyle w:val="HideTWBExt"/>
          <w:b w:val="0"/>
        </w:rPr>
        <w:t>&lt;/NumAm&gt;</w:t>
      </w:r>
    </w:p>
    <w:p w14:paraId="3137C65D"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43C19D40" w14:textId="77777777" w:rsidR="00CE45E2" w:rsidRPr="00CE45E2" w:rsidRDefault="00CE45E2" w:rsidP="00CE45E2">
      <w:pPr>
        <w:pStyle w:val="NormalBold"/>
      </w:pPr>
      <w:r w:rsidRPr="00CE45E2">
        <w:rPr>
          <w:rStyle w:val="HideTWBExt"/>
          <w:b w:val="0"/>
        </w:rPr>
        <w:t>&lt;/RepeatBlock-By&gt;</w:t>
      </w:r>
    </w:p>
    <w:p w14:paraId="75BA745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D0D3FFD" w14:textId="77777777" w:rsidR="00CE45E2" w:rsidRPr="00CE45E2" w:rsidRDefault="00CE45E2" w:rsidP="00CE45E2">
      <w:pPr>
        <w:pStyle w:val="NormalBold"/>
      </w:pPr>
      <w:r w:rsidRPr="00CE45E2">
        <w:rPr>
          <w:rStyle w:val="HideTWBExt"/>
          <w:b w:val="0"/>
        </w:rPr>
        <w:t>&lt;Article&gt;</w:t>
      </w:r>
      <w:r w:rsidRPr="00CE45E2">
        <w:t>Motyw 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9375650" w14:textId="77777777" w:rsidTr="006476FB">
        <w:trPr>
          <w:trHeight w:hRule="exact" w:val="240"/>
          <w:jc w:val="center"/>
        </w:trPr>
        <w:tc>
          <w:tcPr>
            <w:tcW w:w="9752" w:type="dxa"/>
            <w:gridSpan w:val="2"/>
            <w:tcBorders>
              <w:top w:val="nil"/>
              <w:left w:val="nil"/>
              <w:bottom w:val="nil"/>
              <w:right w:val="nil"/>
            </w:tcBorders>
          </w:tcPr>
          <w:p w14:paraId="505C8A6D" w14:textId="77777777" w:rsidR="00CE45E2" w:rsidRPr="00CE45E2" w:rsidRDefault="00CE45E2" w:rsidP="006476FB"/>
        </w:tc>
      </w:tr>
      <w:tr w:rsidR="00CE45E2" w:rsidRPr="00CE45E2" w14:paraId="7191AFF7" w14:textId="77777777" w:rsidTr="006476FB">
        <w:trPr>
          <w:trHeight w:val="240"/>
          <w:jc w:val="center"/>
        </w:trPr>
        <w:tc>
          <w:tcPr>
            <w:tcW w:w="4876" w:type="dxa"/>
            <w:tcBorders>
              <w:top w:val="nil"/>
              <w:left w:val="nil"/>
              <w:bottom w:val="nil"/>
              <w:right w:val="nil"/>
            </w:tcBorders>
          </w:tcPr>
          <w:p w14:paraId="2AF6DEF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BD410B4" w14:textId="77777777" w:rsidR="00CE45E2" w:rsidRPr="00CE45E2" w:rsidRDefault="00CE45E2" w:rsidP="006476FB">
            <w:pPr>
              <w:pStyle w:val="AmColumnHeading"/>
            </w:pPr>
            <w:r w:rsidRPr="00CE45E2">
              <w:t>Poprawka</w:t>
            </w:r>
          </w:p>
        </w:tc>
      </w:tr>
      <w:tr w:rsidR="00CE45E2" w:rsidRPr="00CE45E2" w14:paraId="53D9C64C" w14:textId="77777777" w:rsidTr="006476FB">
        <w:trPr>
          <w:jc w:val="center"/>
        </w:trPr>
        <w:tc>
          <w:tcPr>
            <w:tcW w:w="4876" w:type="dxa"/>
            <w:tcBorders>
              <w:top w:val="nil"/>
              <w:left w:val="nil"/>
              <w:bottom w:val="nil"/>
              <w:right w:val="nil"/>
            </w:tcBorders>
          </w:tcPr>
          <w:p w14:paraId="7D188A1E" w14:textId="77777777" w:rsidR="00CE45E2" w:rsidRPr="00CE45E2" w:rsidRDefault="00CE45E2" w:rsidP="006476FB">
            <w:pPr>
              <w:pStyle w:val="Normal6a"/>
            </w:pPr>
            <w:r w:rsidRPr="00CE45E2">
              <w:rPr>
                <w:b/>
                <w:i/>
              </w:rPr>
              <w:t>(5)</w:t>
            </w:r>
            <w:r w:rsidRPr="00CE45E2">
              <w:tab/>
            </w:r>
            <w:r w:rsidRPr="00CE45E2">
              <w:rPr>
                <w:b/>
                <w:i/>
              </w:rPr>
              <w:t>Unia oszczędności i inwestycji zapowiedziana przez Komisję w komunikacie z dnia 19 marca 2015 r.</w:t>
            </w:r>
            <w:r w:rsidRPr="00CE45E2">
              <w:rPr>
                <w:b/>
                <w:i/>
                <w:vertAlign w:val="superscript"/>
              </w:rPr>
              <w:t>4</w:t>
            </w:r>
            <w:r w:rsidRPr="00CE45E2">
              <w:rPr>
                <w:b/>
                <w:i/>
              </w:rPr>
              <w:t xml:space="preserve"> ma na celu umożliwienie obywatelom gromadzenia oszczędności i ich inwestowania z myślą o przyszłości, przekierowywanie inwestycji na priorytety Unii,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oszczędności i inwestycji. Zapewnienie obywatelom Unii możliwości zgromadzenia odpowiedniego dochodu emerytalnego jest jednym z najbardziej konkretnych sposobów wpływu Unii na życie ludzi. Prace nad emeryturami dodatkowymi, a w szczególności nad emeryturami pracowniczymi, odzwierciedlają to podejście skoncentrowane na obywatelach.</w:t>
            </w:r>
          </w:p>
        </w:tc>
        <w:tc>
          <w:tcPr>
            <w:tcW w:w="4876" w:type="dxa"/>
            <w:tcBorders>
              <w:top w:val="nil"/>
              <w:left w:val="nil"/>
              <w:bottom w:val="nil"/>
              <w:right w:val="nil"/>
            </w:tcBorders>
          </w:tcPr>
          <w:p w14:paraId="3177969D" w14:textId="77777777" w:rsidR="00CE45E2" w:rsidRPr="00CE45E2" w:rsidRDefault="00CE45E2" w:rsidP="006476FB">
            <w:pPr>
              <w:pStyle w:val="Normal6a"/>
            </w:pPr>
            <w:r w:rsidRPr="00CE45E2">
              <w:rPr>
                <w:b/>
                <w:i/>
              </w:rPr>
              <w:t>skreśla się</w:t>
            </w:r>
          </w:p>
        </w:tc>
      </w:tr>
      <w:tr w:rsidR="00CE45E2" w:rsidRPr="00CE45E2" w14:paraId="2866D378" w14:textId="77777777" w:rsidTr="006476FB">
        <w:trPr>
          <w:jc w:val="center"/>
        </w:trPr>
        <w:tc>
          <w:tcPr>
            <w:tcW w:w="4876" w:type="dxa"/>
            <w:tcBorders>
              <w:top w:val="nil"/>
              <w:left w:val="nil"/>
              <w:bottom w:val="nil"/>
              <w:right w:val="nil"/>
            </w:tcBorders>
          </w:tcPr>
          <w:p w14:paraId="64993377"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64583E9C" w14:textId="77777777" w:rsidR="00CE45E2" w:rsidRPr="00CE45E2" w:rsidRDefault="00CE45E2" w:rsidP="006476FB"/>
        </w:tc>
      </w:tr>
      <w:tr w:rsidR="00CE45E2" w:rsidRPr="00CE45E2" w14:paraId="78F99975" w14:textId="77777777" w:rsidTr="006476FB">
        <w:trPr>
          <w:jc w:val="center"/>
        </w:trPr>
        <w:tc>
          <w:tcPr>
            <w:tcW w:w="4876" w:type="dxa"/>
            <w:tcBorders>
              <w:top w:val="nil"/>
              <w:left w:val="nil"/>
              <w:bottom w:val="nil"/>
              <w:right w:val="nil"/>
            </w:tcBorders>
          </w:tcPr>
          <w:p w14:paraId="0BCB728C" w14:textId="77777777" w:rsidR="00CE45E2" w:rsidRPr="00CE45E2" w:rsidRDefault="00CE45E2" w:rsidP="006476FB">
            <w:pPr>
              <w:pStyle w:val="Normal6a"/>
            </w:pPr>
            <w:r w:rsidRPr="00CE45E2">
              <w:rPr>
                <w:b/>
                <w:bCs/>
                <w:i/>
                <w:iCs/>
                <w:vertAlign w:val="superscript"/>
              </w:rPr>
              <w:t>4</w:t>
            </w:r>
            <w:r w:rsidRPr="00CE45E2">
              <w:rPr>
                <w:b/>
                <w:bCs/>
                <w:i/>
                <w:iCs/>
              </w:rPr>
              <w:t xml:space="preserve"> Komunikat Komisji do Parlamentu Europejskiego, Rady Europejskiej, Rady, Europejskiego Banku Centralnego, Europejskiego Komitetu Ekonomiczno-Społecznego i Komitetu Regionów z dnia 19 marca 2025 r., </w:t>
            </w:r>
            <w:proofErr w:type="gramStart"/>
            <w:r w:rsidRPr="00CE45E2">
              <w:rPr>
                <w:b/>
                <w:bCs/>
                <w:i/>
                <w:iCs/>
              </w:rPr>
              <w:t>COM(</w:t>
            </w:r>
            <w:proofErr w:type="gramEnd"/>
            <w:r w:rsidRPr="00CE45E2">
              <w:rPr>
                <w:b/>
                <w:bCs/>
                <w:i/>
                <w:iCs/>
              </w:rPr>
              <w:t xml:space="preserve">2025) 124 </w:t>
            </w:r>
            <w:proofErr w:type="spellStart"/>
            <w:r w:rsidRPr="00CE45E2">
              <w:rPr>
                <w:b/>
                <w:bCs/>
                <w:i/>
                <w:iCs/>
              </w:rPr>
              <w:t>final</w:t>
            </w:r>
            <w:proofErr w:type="spellEnd"/>
            <w:r w:rsidRPr="00CE45E2">
              <w:rPr>
                <w:b/>
                <w:bCs/>
                <w:i/>
                <w:iCs/>
              </w:rPr>
              <w:t>.</w:t>
            </w:r>
          </w:p>
        </w:tc>
        <w:tc>
          <w:tcPr>
            <w:tcW w:w="4876" w:type="dxa"/>
            <w:tcBorders>
              <w:top w:val="nil"/>
              <w:left w:val="nil"/>
              <w:bottom w:val="nil"/>
              <w:right w:val="nil"/>
            </w:tcBorders>
          </w:tcPr>
          <w:p w14:paraId="16F61112" w14:textId="77777777" w:rsidR="00CE45E2" w:rsidRPr="00CE45E2" w:rsidRDefault="00CE45E2" w:rsidP="006476FB"/>
        </w:tc>
      </w:tr>
    </w:tbl>
    <w:p w14:paraId="1A81070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2F6819C" w14:textId="77777777" w:rsidR="00CE45E2" w:rsidRPr="00CE45E2" w:rsidRDefault="00CE45E2" w:rsidP="00CE45E2">
      <w:r w:rsidRPr="00CE45E2">
        <w:rPr>
          <w:rStyle w:val="HideTWBExt"/>
        </w:rPr>
        <w:t>&lt;/Amend&gt;</w:t>
      </w:r>
    </w:p>
    <w:p w14:paraId="7DF12CD8" w14:textId="0E104DA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128</w:t>
      </w:r>
      <w:r w:rsidRPr="00CE45E2">
        <w:rPr>
          <w:rStyle w:val="HideTWBExt"/>
          <w:b w:val="0"/>
        </w:rPr>
        <w:t>&lt;/NumAm&gt;</w:t>
      </w:r>
    </w:p>
    <w:p w14:paraId="28524518"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77316F79" w14:textId="77777777" w:rsidR="00CE45E2" w:rsidRPr="00CE45E2" w:rsidRDefault="00CE45E2" w:rsidP="00CE45E2">
      <w:pPr>
        <w:pStyle w:val="NormalBold"/>
      </w:pPr>
      <w:r w:rsidRPr="00CE45E2">
        <w:rPr>
          <w:rStyle w:val="HideTWBExt"/>
          <w:b w:val="0"/>
        </w:rPr>
        <w:t>&lt;/RepeatBlock-By&gt;</w:t>
      </w:r>
    </w:p>
    <w:p w14:paraId="3E8E794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ACF909A" w14:textId="77777777" w:rsidR="00CE45E2" w:rsidRPr="00CE45E2" w:rsidRDefault="00CE45E2" w:rsidP="00CE45E2">
      <w:pPr>
        <w:pStyle w:val="NormalBold"/>
      </w:pPr>
      <w:r w:rsidRPr="00CE45E2">
        <w:rPr>
          <w:rStyle w:val="HideTWBExt"/>
          <w:b w:val="0"/>
        </w:rPr>
        <w:t>&lt;Article&gt;</w:t>
      </w:r>
      <w:r w:rsidRPr="00CE45E2">
        <w:t>Motyw 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93A9C7B" w14:textId="77777777" w:rsidTr="006476FB">
        <w:trPr>
          <w:trHeight w:hRule="exact" w:val="240"/>
          <w:jc w:val="center"/>
        </w:trPr>
        <w:tc>
          <w:tcPr>
            <w:tcW w:w="9752" w:type="dxa"/>
            <w:gridSpan w:val="2"/>
            <w:tcBorders>
              <w:top w:val="nil"/>
              <w:left w:val="nil"/>
              <w:bottom w:val="nil"/>
              <w:right w:val="nil"/>
            </w:tcBorders>
          </w:tcPr>
          <w:p w14:paraId="07EB4ECC" w14:textId="77777777" w:rsidR="00CE45E2" w:rsidRPr="00CE45E2" w:rsidRDefault="00CE45E2" w:rsidP="006476FB"/>
        </w:tc>
      </w:tr>
      <w:tr w:rsidR="00CE45E2" w:rsidRPr="00CE45E2" w14:paraId="1A1537F7" w14:textId="77777777" w:rsidTr="006476FB">
        <w:trPr>
          <w:trHeight w:val="240"/>
          <w:jc w:val="center"/>
        </w:trPr>
        <w:tc>
          <w:tcPr>
            <w:tcW w:w="4876" w:type="dxa"/>
            <w:tcBorders>
              <w:top w:val="nil"/>
              <w:left w:val="nil"/>
              <w:bottom w:val="nil"/>
              <w:right w:val="nil"/>
            </w:tcBorders>
          </w:tcPr>
          <w:p w14:paraId="0892199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7ED6A55" w14:textId="77777777" w:rsidR="00CE45E2" w:rsidRPr="00CE45E2" w:rsidRDefault="00CE45E2" w:rsidP="006476FB">
            <w:pPr>
              <w:pStyle w:val="AmColumnHeading"/>
            </w:pPr>
            <w:r w:rsidRPr="00CE45E2">
              <w:t>Poprawka</w:t>
            </w:r>
          </w:p>
        </w:tc>
      </w:tr>
      <w:tr w:rsidR="00CE45E2" w:rsidRPr="00CE45E2" w14:paraId="32DD1BC0" w14:textId="77777777" w:rsidTr="006476FB">
        <w:trPr>
          <w:jc w:val="center"/>
        </w:trPr>
        <w:tc>
          <w:tcPr>
            <w:tcW w:w="4876" w:type="dxa"/>
            <w:tcBorders>
              <w:top w:val="nil"/>
              <w:left w:val="nil"/>
              <w:bottom w:val="nil"/>
              <w:right w:val="nil"/>
            </w:tcBorders>
          </w:tcPr>
          <w:p w14:paraId="3B10C696" w14:textId="77777777" w:rsidR="00CE45E2" w:rsidRPr="00CE45E2" w:rsidRDefault="00CE45E2" w:rsidP="006476FB">
            <w:pPr>
              <w:pStyle w:val="Normal6a"/>
            </w:pPr>
            <w:r w:rsidRPr="00CE45E2">
              <w:t>(5)</w:t>
            </w:r>
            <w:r w:rsidRPr="00CE45E2">
              <w:tab/>
              <w:t>Unia oszczędności i inwestycji zapowiedziana przez Komisję w komunikacie z dnia 19 marca 2015 r.</w:t>
            </w:r>
            <w:r w:rsidRPr="00CE45E2">
              <w:rPr>
                <w:vertAlign w:val="superscript"/>
              </w:rPr>
              <w:t>4</w:t>
            </w:r>
            <w:r w:rsidRPr="00CE45E2">
              <w:t xml:space="preserve"> ma na celu umożliwienie obywatelom gromadzenia oszczędności i ich inwestowania z myślą o przyszłości, przekierowywanie inwestycji na priorytety Unii,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oszczędności i inwestycji. Zapewnienie </w:t>
            </w:r>
            <w:r w:rsidRPr="00CE45E2">
              <w:rPr>
                <w:b/>
                <w:bCs/>
                <w:i/>
                <w:iCs/>
              </w:rPr>
              <w:t>obywatelom Unii możliwości zgromadzenia</w:t>
            </w:r>
            <w:r w:rsidRPr="00CE45E2">
              <w:rPr>
                <w:b/>
                <w:bCs/>
              </w:rPr>
              <w:t xml:space="preserve"> </w:t>
            </w:r>
            <w:r w:rsidRPr="00CE45E2">
              <w:t xml:space="preserve">odpowiedniego dochodu emerytalnego </w:t>
            </w:r>
            <w:r w:rsidRPr="00CE45E2">
              <w:rPr>
                <w:b/>
                <w:bCs/>
                <w:i/>
                <w:iCs/>
              </w:rPr>
              <w:t>jest jednym z najbardziej konkretnych sposobów wpływu Unii na życie ludzi</w:t>
            </w:r>
            <w:r w:rsidRPr="00CE45E2">
              <w:t xml:space="preserve">. Prace nad emeryturami dodatkowymi, a w szczególności nad emeryturami pracowniczymi, odzwierciedlają to podejście skoncentrowane na </w:t>
            </w:r>
            <w:r w:rsidRPr="00CE45E2">
              <w:rPr>
                <w:b/>
                <w:bCs/>
                <w:i/>
                <w:iCs/>
              </w:rPr>
              <w:t>obywatelach</w:t>
            </w:r>
            <w:r w:rsidRPr="00CE45E2">
              <w:t>.</w:t>
            </w:r>
          </w:p>
        </w:tc>
        <w:tc>
          <w:tcPr>
            <w:tcW w:w="4876" w:type="dxa"/>
            <w:tcBorders>
              <w:top w:val="nil"/>
              <w:left w:val="nil"/>
              <w:bottom w:val="nil"/>
              <w:right w:val="nil"/>
            </w:tcBorders>
          </w:tcPr>
          <w:p w14:paraId="0D9F49C1" w14:textId="77777777" w:rsidR="00CE45E2" w:rsidRPr="00CE45E2" w:rsidRDefault="00CE45E2" w:rsidP="006476FB">
            <w:pPr>
              <w:pStyle w:val="Normal6a"/>
            </w:pPr>
            <w:r w:rsidRPr="00CE45E2">
              <w:t>(5)</w:t>
            </w:r>
            <w:r w:rsidRPr="00CE45E2">
              <w:tab/>
              <w:t>Unia oszczędności i inwestycji zapowiedziana przez Komisję w komunikacie z dnia 19 marca 2015 r.</w:t>
            </w:r>
            <w:r w:rsidRPr="00CE45E2">
              <w:rPr>
                <w:vertAlign w:val="superscript"/>
              </w:rPr>
              <w:t>4</w:t>
            </w:r>
            <w:r w:rsidRPr="00CE45E2">
              <w:t xml:space="preserve"> ma na celu umożliwienie obywatelom gromadzenia oszczędności i ich inwestowania z myślą o przyszłości, przekierowywanie inwestycji na priorytety Unii,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oszczędności i inwestycji. </w:t>
            </w:r>
            <w:r w:rsidRPr="00CE45E2">
              <w:rPr>
                <w:b/>
                <w:bCs/>
                <w:i/>
                <w:iCs/>
              </w:rPr>
              <w:t>Niniejsza dyrektywa, wspierając jednocześnie rozwój unii rynków kapitałowych, nie powinna podważać nadrzędnego celu, jakim jest</w:t>
            </w:r>
            <w:r w:rsidRPr="00CE45E2">
              <w:t xml:space="preserve"> zapewnienie </w:t>
            </w:r>
            <w:r w:rsidRPr="00CE45E2">
              <w:rPr>
                <w:b/>
                <w:bCs/>
                <w:i/>
                <w:iCs/>
              </w:rPr>
              <w:t>ludziom</w:t>
            </w:r>
            <w:r w:rsidRPr="00CE45E2">
              <w:t xml:space="preserve"> odpowiedniego</w:t>
            </w:r>
            <w:r w:rsidRPr="00CE45E2">
              <w:rPr>
                <w:b/>
                <w:bCs/>
                <w:i/>
                <w:iCs/>
              </w:rPr>
              <w:t>, bezpiecznego i trwałego</w:t>
            </w:r>
            <w:r w:rsidRPr="00CE45E2">
              <w:t xml:space="preserve"> dochodu emerytalnego. Prace nad emeryturami dodatkowymi, a w szczególności nad emeryturami pracowniczymi, odzwierciedlają to podejście skoncentrowane na </w:t>
            </w:r>
            <w:r w:rsidRPr="00CE45E2">
              <w:rPr>
                <w:b/>
                <w:bCs/>
                <w:i/>
                <w:iCs/>
              </w:rPr>
              <w:t>ludziach</w:t>
            </w:r>
            <w:r w:rsidRPr="00CE45E2">
              <w:t>.</w:t>
            </w:r>
          </w:p>
        </w:tc>
      </w:tr>
      <w:tr w:rsidR="00CE45E2" w:rsidRPr="00CE45E2" w14:paraId="505CF29F" w14:textId="77777777" w:rsidTr="006476FB">
        <w:trPr>
          <w:jc w:val="center"/>
        </w:trPr>
        <w:tc>
          <w:tcPr>
            <w:tcW w:w="4876" w:type="dxa"/>
            <w:tcBorders>
              <w:top w:val="nil"/>
              <w:left w:val="nil"/>
              <w:bottom w:val="nil"/>
              <w:right w:val="nil"/>
            </w:tcBorders>
          </w:tcPr>
          <w:p w14:paraId="677E55C9"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74ADF355" w14:textId="77777777" w:rsidR="00CE45E2" w:rsidRPr="00CE45E2" w:rsidRDefault="00CE45E2" w:rsidP="006476FB">
            <w:pPr>
              <w:pStyle w:val="Normal6a"/>
            </w:pPr>
            <w:r w:rsidRPr="00CE45E2">
              <w:rPr>
                <w:b/>
                <w:i/>
              </w:rPr>
              <w:t>_________________</w:t>
            </w:r>
          </w:p>
        </w:tc>
      </w:tr>
      <w:tr w:rsidR="00CE45E2" w:rsidRPr="00CE45E2" w14:paraId="48958C8C" w14:textId="77777777" w:rsidTr="006476FB">
        <w:trPr>
          <w:jc w:val="center"/>
        </w:trPr>
        <w:tc>
          <w:tcPr>
            <w:tcW w:w="4876" w:type="dxa"/>
            <w:tcBorders>
              <w:top w:val="nil"/>
              <w:left w:val="nil"/>
              <w:bottom w:val="nil"/>
              <w:right w:val="nil"/>
            </w:tcBorders>
          </w:tcPr>
          <w:p w14:paraId="18D4A996" w14:textId="77777777" w:rsidR="00CE45E2" w:rsidRPr="00CE45E2" w:rsidRDefault="00CE45E2" w:rsidP="006476FB">
            <w:pPr>
              <w:pStyle w:val="Normal6a"/>
            </w:pPr>
            <w:r w:rsidRPr="00CE45E2">
              <w:rPr>
                <w:vertAlign w:val="superscript"/>
              </w:rPr>
              <w:t>4</w:t>
            </w:r>
            <w:r w:rsidRPr="00CE45E2">
              <w:t xml:space="preserve"> Komunikat Komisji do Parlamentu Europejskiego, Rady Europejskiej, Rady, Europejskiego Banku Centralnego, Europejskiego Komitetu Ekonomiczno-Społecznego i Komitetu Regionów z dnia 19 marca 2025 r., </w:t>
            </w:r>
            <w:proofErr w:type="gramStart"/>
            <w:r w:rsidRPr="00CE45E2">
              <w:t>COM(</w:t>
            </w:r>
            <w:proofErr w:type="gramEnd"/>
            <w:r w:rsidRPr="00CE45E2">
              <w:t xml:space="preserve">2025) 124 </w:t>
            </w:r>
            <w:proofErr w:type="spellStart"/>
            <w:r w:rsidRPr="00CE45E2">
              <w:t>final</w:t>
            </w:r>
            <w:proofErr w:type="spellEnd"/>
            <w:r w:rsidRPr="00CE45E2">
              <w:t>.</w:t>
            </w:r>
          </w:p>
        </w:tc>
        <w:tc>
          <w:tcPr>
            <w:tcW w:w="4876" w:type="dxa"/>
            <w:tcBorders>
              <w:top w:val="nil"/>
              <w:left w:val="nil"/>
              <w:bottom w:val="nil"/>
              <w:right w:val="nil"/>
            </w:tcBorders>
          </w:tcPr>
          <w:p w14:paraId="317AA195" w14:textId="77777777" w:rsidR="00CE45E2" w:rsidRPr="00CE45E2" w:rsidRDefault="00CE45E2" w:rsidP="006476FB">
            <w:pPr>
              <w:pStyle w:val="Normal6a"/>
            </w:pPr>
            <w:r w:rsidRPr="00CE45E2">
              <w:rPr>
                <w:vertAlign w:val="superscript"/>
              </w:rPr>
              <w:t>4</w:t>
            </w:r>
            <w:r w:rsidRPr="00CE45E2">
              <w:t xml:space="preserve"> Komunikat Komisji do Parlamentu Europejskiego, Rady Europejskiej, Rady, Europejskiego Banku Centralnego, Europejskiego Komitetu Ekonomiczno-Społecznego i Komitetu Regionów z dnia 19 marca 2025 r., </w:t>
            </w:r>
            <w:proofErr w:type="gramStart"/>
            <w:r w:rsidRPr="00CE45E2">
              <w:t>COM(</w:t>
            </w:r>
            <w:proofErr w:type="gramEnd"/>
            <w:r w:rsidRPr="00CE45E2">
              <w:t xml:space="preserve">2025) 124 </w:t>
            </w:r>
            <w:proofErr w:type="spellStart"/>
            <w:r w:rsidRPr="00CE45E2">
              <w:t>final</w:t>
            </w:r>
            <w:proofErr w:type="spellEnd"/>
            <w:r w:rsidRPr="00CE45E2">
              <w:t>.</w:t>
            </w:r>
          </w:p>
        </w:tc>
      </w:tr>
    </w:tbl>
    <w:p w14:paraId="2C3DB246" w14:textId="77777777" w:rsidR="00CE45E2" w:rsidRPr="00CE45E2" w:rsidRDefault="00CE45E2" w:rsidP="00CE45E2">
      <w:pPr>
        <w:pStyle w:val="AmOrLang"/>
        <w:rPr>
          <w:lang w:val="es-ES"/>
        </w:rPr>
      </w:pPr>
      <w:proofErr w:type="spellStart"/>
      <w:r w:rsidRPr="00CE45E2">
        <w:rPr>
          <w:lang w:val="es-ES"/>
        </w:rPr>
        <w:t>Or</w:t>
      </w:r>
      <w:proofErr w:type="spellEnd"/>
      <w:r w:rsidRPr="00CE45E2">
        <w:rPr>
          <w:lang w:val="es-ES"/>
        </w:rPr>
        <w:t xml:space="preserve">. </w:t>
      </w:r>
      <w:r w:rsidRPr="00CE45E2">
        <w:rPr>
          <w:rStyle w:val="HideTWBExt"/>
          <w:lang w:val="es-ES"/>
        </w:rPr>
        <w:t>&lt;Original&gt;</w:t>
      </w:r>
      <w:r w:rsidRPr="00CE45E2">
        <w:rPr>
          <w:rStyle w:val="HideTWBInt"/>
          <w:lang w:val="es-ES"/>
        </w:rPr>
        <w:t>{EN}</w:t>
      </w:r>
      <w:r w:rsidRPr="00CE45E2">
        <w:rPr>
          <w:lang w:val="es-ES"/>
        </w:rPr>
        <w:t>en</w:t>
      </w:r>
      <w:r w:rsidRPr="00CE45E2">
        <w:rPr>
          <w:rStyle w:val="HideTWBExt"/>
          <w:lang w:val="es-ES"/>
        </w:rPr>
        <w:t>&lt;/Original&gt;</w:t>
      </w:r>
    </w:p>
    <w:p w14:paraId="55ECF1FB" w14:textId="77777777" w:rsidR="00CE45E2" w:rsidRPr="00CE45E2" w:rsidRDefault="00CE45E2" w:rsidP="00CE45E2">
      <w:pPr>
        <w:rPr>
          <w:lang w:val="es-ES"/>
        </w:rPr>
      </w:pPr>
      <w:r w:rsidRPr="00CE45E2">
        <w:rPr>
          <w:rStyle w:val="HideTWBExt"/>
          <w:lang w:val="es-ES"/>
        </w:rPr>
        <w:t>&lt;/Amend&gt;</w:t>
      </w:r>
    </w:p>
    <w:p w14:paraId="2C619CC3" w14:textId="0C358C4C" w:rsidR="00CE45E2" w:rsidRPr="00CE45E2" w:rsidRDefault="00CE45E2" w:rsidP="00CE45E2">
      <w:pPr>
        <w:pStyle w:val="AmNumberTabs"/>
        <w:rPr>
          <w:lang w:val="es-ES"/>
        </w:rPr>
      </w:pPr>
      <w:r w:rsidRPr="00CE45E2">
        <w:rPr>
          <w:rStyle w:val="HideTWBExt"/>
          <w:b w:val="0"/>
          <w:lang w:val="es-ES"/>
        </w:rPr>
        <w:t>&lt;Amend&gt;</w:t>
      </w:r>
      <w:proofErr w:type="spellStart"/>
      <w:r w:rsidRPr="00CE45E2">
        <w:rPr>
          <w:lang w:val="es-ES"/>
        </w:rPr>
        <w:t>Poprawka</w:t>
      </w:r>
      <w:proofErr w:type="spellEnd"/>
      <w:r w:rsidRPr="00CE45E2">
        <w:rPr>
          <w:lang w:val="es-ES"/>
        </w:rPr>
        <w:tab/>
      </w:r>
      <w:r w:rsidRPr="00CE45E2">
        <w:rPr>
          <w:lang w:val="es-ES"/>
        </w:rPr>
        <w:tab/>
      </w:r>
      <w:r w:rsidRPr="00CE45E2">
        <w:rPr>
          <w:rStyle w:val="HideTWBExt"/>
          <w:b w:val="0"/>
          <w:lang w:val="es-ES"/>
        </w:rPr>
        <w:t>&lt;NumAm&gt;</w:t>
      </w:r>
      <w:r w:rsidR="00430CF1" w:rsidRPr="00430CF1">
        <w:rPr>
          <w:lang w:val="es-ES"/>
        </w:rPr>
        <w:t>129</w:t>
      </w:r>
      <w:r w:rsidRPr="00CE45E2">
        <w:rPr>
          <w:rStyle w:val="HideTWBExt"/>
          <w:b w:val="0"/>
          <w:lang w:val="es-ES"/>
        </w:rPr>
        <w:t>&lt;/NumAm&gt;</w:t>
      </w:r>
    </w:p>
    <w:p w14:paraId="37C7A5E1" w14:textId="77777777" w:rsidR="00CE45E2" w:rsidRPr="00CE45E2" w:rsidRDefault="00CE45E2" w:rsidP="00CE45E2">
      <w:pPr>
        <w:pStyle w:val="NormalBold"/>
        <w:rPr>
          <w:lang w:val="es-ES"/>
        </w:rPr>
      </w:pPr>
      <w:r w:rsidRPr="00CE45E2">
        <w:rPr>
          <w:rStyle w:val="HideTWBExt"/>
          <w:b w:val="0"/>
          <w:lang w:val="es-ES"/>
        </w:rPr>
        <w:t>&lt;RepeatBlock-By&gt;&lt;Members&gt;</w:t>
      </w:r>
      <w:proofErr w:type="spellStart"/>
      <w:r w:rsidRPr="00CE45E2">
        <w:rPr>
          <w:lang w:val="es-ES"/>
        </w:rPr>
        <w:t>Auke</w:t>
      </w:r>
      <w:proofErr w:type="spellEnd"/>
      <w:r w:rsidRPr="00CE45E2">
        <w:rPr>
          <w:lang w:val="es-ES"/>
        </w:rPr>
        <w:t xml:space="preserve"> Zijlstra, Mireia Borrás Pabón</w:t>
      </w:r>
      <w:r w:rsidRPr="00CE45E2">
        <w:rPr>
          <w:rStyle w:val="HideTWBExt"/>
          <w:b w:val="0"/>
          <w:lang w:val="es-ES"/>
        </w:rPr>
        <w:t>&lt;/Members&gt;</w:t>
      </w:r>
    </w:p>
    <w:p w14:paraId="013375B2" w14:textId="77777777" w:rsidR="00CE45E2" w:rsidRPr="00CE45E2" w:rsidRDefault="00CE45E2" w:rsidP="00CE45E2">
      <w:pPr>
        <w:pStyle w:val="NormalBold"/>
        <w:rPr>
          <w:lang w:val="es-ES"/>
        </w:rPr>
      </w:pPr>
      <w:r w:rsidRPr="00CE45E2">
        <w:rPr>
          <w:rStyle w:val="HideTWBExt"/>
          <w:b w:val="0"/>
          <w:lang w:val="es-ES"/>
        </w:rPr>
        <w:t>&lt;/RepeatBlock-By&gt;</w:t>
      </w:r>
    </w:p>
    <w:p w14:paraId="2E36CFA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7CA31E3" w14:textId="77777777" w:rsidR="00CE45E2" w:rsidRPr="00CE45E2" w:rsidRDefault="00CE45E2" w:rsidP="00CE45E2">
      <w:pPr>
        <w:pStyle w:val="NormalBold"/>
      </w:pPr>
      <w:r w:rsidRPr="00CE45E2">
        <w:rPr>
          <w:rStyle w:val="HideTWBExt"/>
          <w:b w:val="0"/>
        </w:rPr>
        <w:t>&lt;Article&gt;</w:t>
      </w:r>
      <w:r w:rsidRPr="00CE45E2">
        <w:t>Motyw 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F13FE35" w14:textId="77777777" w:rsidTr="006476FB">
        <w:trPr>
          <w:trHeight w:hRule="exact" w:val="240"/>
          <w:jc w:val="center"/>
        </w:trPr>
        <w:tc>
          <w:tcPr>
            <w:tcW w:w="9752" w:type="dxa"/>
            <w:gridSpan w:val="2"/>
            <w:tcBorders>
              <w:top w:val="nil"/>
              <w:left w:val="nil"/>
              <w:bottom w:val="nil"/>
              <w:right w:val="nil"/>
            </w:tcBorders>
          </w:tcPr>
          <w:p w14:paraId="72E8911D" w14:textId="77777777" w:rsidR="00CE45E2" w:rsidRPr="00CE45E2" w:rsidRDefault="00CE45E2" w:rsidP="006476FB"/>
        </w:tc>
      </w:tr>
      <w:tr w:rsidR="00CE45E2" w:rsidRPr="00CE45E2" w14:paraId="06C822C1" w14:textId="77777777" w:rsidTr="006476FB">
        <w:trPr>
          <w:trHeight w:val="240"/>
          <w:jc w:val="center"/>
        </w:trPr>
        <w:tc>
          <w:tcPr>
            <w:tcW w:w="4876" w:type="dxa"/>
            <w:tcBorders>
              <w:top w:val="nil"/>
              <w:left w:val="nil"/>
              <w:bottom w:val="nil"/>
              <w:right w:val="nil"/>
            </w:tcBorders>
          </w:tcPr>
          <w:p w14:paraId="1D0C127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32C550F" w14:textId="77777777" w:rsidR="00CE45E2" w:rsidRPr="00CE45E2" w:rsidRDefault="00CE45E2" w:rsidP="006476FB">
            <w:pPr>
              <w:pStyle w:val="AmColumnHeading"/>
            </w:pPr>
            <w:r w:rsidRPr="00CE45E2">
              <w:t>Poprawka</w:t>
            </w:r>
          </w:p>
        </w:tc>
      </w:tr>
      <w:tr w:rsidR="00CE45E2" w:rsidRPr="00CE45E2" w14:paraId="59DC866E" w14:textId="77777777" w:rsidTr="006476FB">
        <w:trPr>
          <w:jc w:val="center"/>
        </w:trPr>
        <w:tc>
          <w:tcPr>
            <w:tcW w:w="4876" w:type="dxa"/>
            <w:tcBorders>
              <w:top w:val="nil"/>
              <w:left w:val="nil"/>
              <w:bottom w:val="nil"/>
              <w:right w:val="nil"/>
            </w:tcBorders>
          </w:tcPr>
          <w:p w14:paraId="46E9F4CB" w14:textId="77777777" w:rsidR="00CE45E2" w:rsidRPr="00CE45E2" w:rsidRDefault="00CE45E2" w:rsidP="006476FB">
            <w:pPr>
              <w:pStyle w:val="Normal6a"/>
            </w:pPr>
            <w:r w:rsidRPr="00CE45E2">
              <w:t>(5)</w:t>
            </w:r>
            <w:r w:rsidRPr="00CE45E2">
              <w:tab/>
              <w:t>Unia oszczędności i inwestycji zapowiedziana przez Komisję w komunikacie z dnia 19 marca 2015 r.</w:t>
            </w:r>
            <w:r w:rsidRPr="00CE45E2">
              <w:rPr>
                <w:vertAlign w:val="superscript"/>
              </w:rPr>
              <w:t>4</w:t>
            </w:r>
            <w:r w:rsidRPr="00CE45E2">
              <w:t xml:space="preserve"> ma na celu umożliwienie obywatelom gromadzenia oszczędności i ich inwestowania z myślą o przyszłości, </w:t>
            </w:r>
            <w:r w:rsidRPr="00CE45E2">
              <w:rPr>
                <w:b/>
                <w:bCs/>
                <w:i/>
                <w:iCs/>
              </w:rPr>
              <w:t>przekierowywanie</w:t>
            </w:r>
            <w:r w:rsidRPr="00CE45E2">
              <w:t xml:space="preserve"> inwestycji </w:t>
            </w:r>
            <w:r w:rsidRPr="00CE45E2">
              <w:rPr>
                <w:b/>
                <w:bCs/>
                <w:i/>
                <w:iCs/>
              </w:rPr>
              <w:t>na priorytety Unii</w:t>
            </w:r>
            <w:r w:rsidRPr="00CE45E2">
              <w:t xml:space="preserve">,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oszczędności i inwestycji. Zapewnienie obywatelom Unii możliwości zgromadzenia odpowiedniego dochodu emerytalnego jest jednym z najbardziej konkretnych sposobów wpływu Unii na życie ludzi. Prace nad emeryturami dodatkowymi, </w:t>
            </w:r>
            <w:r w:rsidRPr="00CE45E2">
              <w:rPr>
                <w:b/>
                <w:bCs/>
                <w:i/>
                <w:iCs/>
              </w:rPr>
              <w:t>a</w:t>
            </w:r>
            <w:r w:rsidRPr="00CE45E2">
              <w:t xml:space="preserve"> w </w:t>
            </w:r>
            <w:r w:rsidRPr="00CE45E2">
              <w:rPr>
                <w:b/>
                <w:bCs/>
                <w:i/>
                <w:iCs/>
              </w:rPr>
              <w:t>szczególności</w:t>
            </w:r>
            <w:r w:rsidRPr="00CE45E2">
              <w:t xml:space="preserve"> nad emeryturami pracowniczymi, odzwierciedlają to podejście skoncentrowane na obywatelach.</w:t>
            </w:r>
          </w:p>
        </w:tc>
        <w:tc>
          <w:tcPr>
            <w:tcW w:w="4876" w:type="dxa"/>
            <w:tcBorders>
              <w:top w:val="nil"/>
              <w:left w:val="nil"/>
              <w:bottom w:val="nil"/>
              <w:right w:val="nil"/>
            </w:tcBorders>
          </w:tcPr>
          <w:p w14:paraId="1860EFCF" w14:textId="77777777" w:rsidR="00CE45E2" w:rsidRPr="00CE45E2" w:rsidRDefault="00CE45E2" w:rsidP="006476FB">
            <w:pPr>
              <w:pStyle w:val="Normal6a"/>
            </w:pPr>
            <w:r w:rsidRPr="00CE45E2">
              <w:t>(5)</w:t>
            </w:r>
            <w:r w:rsidRPr="00CE45E2">
              <w:tab/>
              <w:t>Unia oszczędności i inwestycji zapowiedziana przez Komisję w komunikacie z dnia 19 marca 2015 r.</w:t>
            </w:r>
            <w:r w:rsidRPr="00CE45E2">
              <w:rPr>
                <w:vertAlign w:val="superscript"/>
              </w:rPr>
              <w:t>4</w:t>
            </w:r>
            <w:r w:rsidRPr="00CE45E2">
              <w:t xml:space="preserve"> ma na celu umożliwienie obywatelom gromadzenia oszczędności i ich inwestowania z myślą o przyszłości, </w:t>
            </w:r>
            <w:r w:rsidRPr="00CE45E2">
              <w:rPr>
                <w:b/>
                <w:bCs/>
                <w:i/>
                <w:iCs/>
              </w:rPr>
              <w:t>ułatwianie dokonywania</w:t>
            </w:r>
            <w:r w:rsidRPr="00CE45E2">
              <w:t xml:space="preserve"> inwestycji </w:t>
            </w:r>
            <w:r w:rsidRPr="00CE45E2">
              <w:rPr>
                <w:b/>
                <w:bCs/>
                <w:i/>
                <w:iCs/>
              </w:rPr>
              <w:t>wybranych na podstawie ich walorów finansowych oraz w najlepszym interesie oszczędzających</w:t>
            </w:r>
            <w:r w:rsidRPr="00CE45E2">
              <w:t xml:space="preserve">, pogłębienie integracji i zwiększenie skali unijnych rynków kapitałowych oraz zapewnienie skutecznego nadzoru na całym jednolitym rynku. Jednym z tych czterech aspektów jest pomoc obywatelom w oszczędzaniu i inwestowaniu na przyszłość, co jest centralnym elementem ambitnego celu unii oszczędności i inwestycji. Zapewnienie obywatelom Unii możliwości zgromadzenia odpowiedniego dochodu emerytalnego jest jednym z najbardziej konkretnych sposobów wpływu Unii na życie ludzi. Prace nad emeryturami dodatkowymi, w </w:t>
            </w:r>
            <w:r w:rsidRPr="00CE45E2">
              <w:rPr>
                <w:b/>
                <w:bCs/>
                <w:i/>
                <w:iCs/>
              </w:rPr>
              <w:t>tym</w:t>
            </w:r>
            <w:r w:rsidRPr="00CE45E2">
              <w:t xml:space="preserve"> nad emeryturami pracowniczymi, odzwierciedlają to podejście skoncentrowane na obywatelach.</w:t>
            </w:r>
          </w:p>
        </w:tc>
      </w:tr>
      <w:tr w:rsidR="00CE45E2" w:rsidRPr="00CE45E2" w14:paraId="39542FDC" w14:textId="77777777" w:rsidTr="006476FB">
        <w:trPr>
          <w:jc w:val="center"/>
        </w:trPr>
        <w:tc>
          <w:tcPr>
            <w:tcW w:w="4876" w:type="dxa"/>
            <w:tcBorders>
              <w:top w:val="nil"/>
              <w:left w:val="nil"/>
              <w:bottom w:val="nil"/>
              <w:right w:val="nil"/>
            </w:tcBorders>
          </w:tcPr>
          <w:p w14:paraId="7C1E0692"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26EEFC5C" w14:textId="77777777" w:rsidR="00CE45E2" w:rsidRPr="00CE45E2" w:rsidRDefault="00CE45E2" w:rsidP="006476FB">
            <w:pPr>
              <w:pStyle w:val="Normal6a"/>
            </w:pPr>
            <w:r w:rsidRPr="00CE45E2">
              <w:rPr>
                <w:b/>
                <w:i/>
              </w:rPr>
              <w:t>_________________</w:t>
            </w:r>
          </w:p>
        </w:tc>
      </w:tr>
      <w:tr w:rsidR="00CE45E2" w:rsidRPr="00CE45E2" w14:paraId="6C5A019A" w14:textId="77777777" w:rsidTr="006476FB">
        <w:trPr>
          <w:jc w:val="center"/>
        </w:trPr>
        <w:tc>
          <w:tcPr>
            <w:tcW w:w="4876" w:type="dxa"/>
            <w:tcBorders>
              <w:top w:val="nil"/>
              <w:left w:val="nil"/>
              <w:bottom w:val="nil"/>
              <w:right w:val="nil"/>
            </w:tcBorders>
          </w:tcPr>
          <w:p w14:paraId="6DBCEDFA" w14:textId="77777777" w:rsidR="00CE45E2" w:rsidRPr="00CE45E2" w:rsidRDefault="00CE45E2" w:rsidP="006476FB">
            <w:pPr>
              <w:pStyle w:val="Normal6a"/>
            </w:pPr>
            <w:r w:rsidRPr="00CE45E2">
              <w:rPr>
                <w:vertAlign w:val="superscript"/>
              </w:rPr>
              <w:t>4</w:t>
            </w:r>
            <w:r w:rsidRPr="00CE45E2">
              <w:t xml:space="preserve"> Komunikat Komisji do Parlamentu Europejskiego, Rady Europejskiej, Rady, Europejskiego Banku Centralnego, Europejskiego Komitetu Ekonomiczno-Społecznego i Komitetu Regionów z dnia 19 marca 2025 r., </w:t>
            </w:r>
            <w:proofErr w:type="gramStart"/>
            <w:r w:rsidRPr="00CE45E2">
              <w:t>COM(</w:t>
            </w:r>
            <w:proofErr w:type="gramEnd"/>
            <w:r w:rsidRPr="00CE45E2">
              <w:t xml:space="preserve">2025) 124 </w:t>
            </w:r>
            <w:proofErr w:type="spellStart"/>
            <w:r w:rsidRPr="00CE45E2">
              <w:t>final</w:t>
            </w:r>
            <w:proofErr w:type="spellEnd"/>
            <w:r w:rsidRPr="00CE45E2">
              <w:t>.</w:t>
            </w:r>
          </w:p>
        </w:tc>
        <w:tc>
          <w:tcPr>
            <w:tcW w:w="4876" w:type="dxa"/>
            <w:tcBorders>
              <w:top w:val="nil"/>
              <w:left w:val="nil"/>
              <w:bottom w:val="nil"/>
              <w:right w:val="nil"/>
            </w:tcBorders>
          </w:tcPr>
          <w:p w14:paraId="04026E9C" w14:textId="77777777" w:rsidR="00CE45E2" w:rsidRPr="00CE45E2" w:rsidRDefault="00CE45E2" w:rsidP="006476FB">
            <w:pPr>
              <w:pStyle w:val="Normal6a"/>
            </w:pPr>
            <w:r w:rsidRPr="00CE45E2">
              <w:rPr>
                <w:vertAlign w:val="superscript"/>
              </w:rPr>
              <w:t>4</w:t>
            </w:r>
            <w:r w:rsidRPr="00CE45E2">
              <w:t xml:space="preserve"> Komunikat Komisji do Parlamentu Europejskiego, Rady Europejskiej, Rady, Europejskiego Banku Centralnego, Europejskiego Komitetu Ekonomiczno-Społecznego i Komitetu Regionów z dnia 19 marca 2025 r., </w:t>
            </w:r>
            <w:proofErr w:type="gramStart"/>
            <w:r w:rsidRPr="00CE45E2">
              <w:t>COM(</w:t>
            </w:r>
            <w:proofErr w:type="gramEnd"/>
            <w:r w:rsidRPr="00CE45E2">
              <w:t xml:space="preserve">2025) 124 </w:t>
            </w:r>
            <w:proofErr w:type="spellStart"/>
            <w:r w:rsidRPr="00CE45E2">
              <w:t>final</w:t>
            </w:r>
            <w:proofErr w:type="spellEnd"/>
            <w:r w:rsidRPr="00CE45E2">
              <w:t>.</w:t>
            </w:r>
          </w:p>
        </w:tc>
      </w:tr>
    </w:tbl>
    <w:p w14:paraId="53FC743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7036B2D"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9336739" w14:textId="77777777" w:rsidR="00CE45E2" w:rsidRPr="00CE45E2" w:rsidRDefault="00CE45E2" w:rsidP="00CE45E2">
      <w:pPr>
        <w:pStyle w:val="AmJustText"/>
      </w:pPr>
      <w:r w:rsidRPr="00CE45E2">
        <w:t>Unia oszczędności i inwestycji powinna służyć oszczędzającym i inwestorom. Kapitał emerytalny nie powinien być wykorzystywany do realizacji zmieniających się programów politycznych Unii.</w:t>
      </w:r>
    </w:p>
    <w:p w14:paraId="440BF9A8" w14:textId="77777777" w:rsidR="00CE45E2" w:rsidRPr="00CE45E2" w:rsidRDefault="00CE45E2" w:rsidP="00CE45E2">
      <w:r w:rsidRPr="00CE45E2">
        <w:rPr>
          <w:rStyle w:val="HideTWBExt"/>
        </w:rPr>
        <w:t>&lt;/Amend&gt;</w:t>
      </w:r>
    </w:p>
    <w:p w14:paraId="5941F60F" w14:textId="1939BDD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130</w:t>
      </w:r>
      <w:r w:rsidRPr="00CE45E2">
        <w:rPr>
          <w:rStyle w:val="HideTWBExt"/>
          <w:b w:val="0"/>
        </w:rPr>
        <w:t>&lt;/NumAm&gt;</w:t>
      </w:r>
    </w:p>
    <w:p w14:paraId="528979FC"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7F199EE5" w14:textId="77777777" w:rsidR="00CE45E2" w:rsidRPr="00CE45E2" w:rsidRDefault="00CE45E2" w:rsidP="00CE45E2">
      <w:pPr>
        <w:pStyle w:val="NormalBold"/>
      </w:pPr>
      <w:r w:rsidRPr="00CE45E2">
        <w:rPr>
          <w:rStyle w:val="HideTWBExt"/>
          <w:b w:val="0"/>
        </w:rPr>
        <w:t>&lt;/RepeatBlock-By&gt;</w:t>
      </w:r>
    </w:p>
    <w:p w14:paraId="14F1BC0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8C7A76C" w14:textId="77777777" w:rsidR="00CE45E2" w:rsidRPr="00CE45E2" w:rsidRDefault="00CE45E2" w:rsidP="00CE45E2">
      <w:pPr>
        <w:pStyle w:val="NormalBold"/>
      </w:pPr>
      <w:r w:rsidRPr="00CE45E2">
        <w:rPr>
          <w:rStyle w:val="HideTWBExt"/>
          <w:b w:val="0"/>
        </w:rPr>
        <w:t>&lt;Article&gt;</w:t>
      </w:r>
      <w:r w:rsidRPr="00CE45E2">
        <w:t>Motyw 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52D8F09" w14:textId="77777777" w:rsidTr="006476FB">
        <w:trPr>
          <w:trHeight w:hRule="exact" w:val="240"/>
          <w:jc w:val="center"/>
        </w:trPr>
        <w:tc>
          <w:tcPr>
            <w:tcW w:w="9752" w:type="dxa"/>
            <w:gridSpan w:val="2"/>
            <w:tcBorders>
              <w:top w:val="nil"/>
              <w:left w:val="nil"/>
              <w:bottom w:val="nil"/>
              <w:right w:val="nil"/>
            </w:tcBorders>
          </w:tcPr>
          <w:p w14:paraId="3E6EA144" w14:textId="77777777" w:rsidR="00CE45E2" w:rsidRPr="00CE45E2" w:rsidRDefault="00CE45E2" w:rsidP="006476FB"/>
        </w:tc>
      </w:tr>
      <w:tr w:rsidR="00CE45E2" w:rsidRPr="00CE45E2" w14:paraId="7755CD97" w14:textId="77777777" w:rsidTr="006476FB">
        <w:trPr>
          <w:trHeight w:val="240"/>
          <w:jc w:val="center"/>
        </w:trPr>
        <w:tc>
          <w:tcPr>
            <w:tcW w:w="4876" w:type="dxa"/>
            <w:tcBorders>
              <w:top w:val="nil"/>
              <w:left w:val="nil"/>
              <w:bottom w:val="nil"/>
              <w:right w:val="nil"/>
            </w:tcBorders>
          </w:tcPr>
          <w:p w14:paraId="2FD5243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EDBF514" w14:textId="77777777" w:rsidR="00CE45E2" w:rsidRPr="00CE45E2" w:rsidRDefault="00CE45E2" w:rsidP="006476FB">
            <w:pPr>
              <w:pStyle w:val="AmColumnHeading"/>
            </w:pPr>
            <w:r w:rsidRPr="00CE45E2">
              <w:t>Poprawka</w:t>
            </w:r>
          </w:p>
        </w:tc>
      </w:tr>
      <w:tr w:rsidR="00CE45E2" w:rsidRPr="00CE45E2" w14:paraId="1EBB2423" w14:textId="77777777" w:rsidTr="006476FB">
        <w:trPr>
          <w:jc w:val="center"/>
        </w:trPr>
        <w:tc>
          <w:tcPr>
            <w:tcW w:w="4876" w:type="dxa"/>
            <w:tcBorders>
              <w:top w:val="nil"/>
              <w:left w:val="nil"/>
              <w:bottom w:val="nil"/>
              <w:right w:val="nil"/>
            </w:tcBorders>
          </w:tcPr>
          <w:p w14:paraId="31BD0514" w14:textId="77777777" w:rsidR="00CE45E2" w:rsidRPr="00CE45E2" w:rsidRDefault="00CE45E2" w:rsidP="006476FB">
            <w:pPr>
              <w:pStyle w:val="Normal6a"/>
            </w:pPr>
            <w:r w:rsidRPr="00CE45E2">
              <w:t>(6)</w:t>
            </w:r>
            <w:r w:rsidRPr="00CE45E2">
              <w:tab/>
              <w:t xml:space="preserve">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w:t>
            </w:r>
            <w:r w:rsidRPr="00CE45E2">
              <w:rPr>
                <w:b/>
                <w:i/>
              </w:rPr>
              <w:t>Pod warunkiem ostrożnego zarządzania inwestycjami w akcje i klasy aktywów alternatywnych takie inwestycje mogą stanowić cenny element ich portfeli,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w:t>
            </w:r>
          </w:p>
        </w:tc>
        <w:tc>
          <w:tcPr>
            <w:tcW w:w="4876" w:type="dxa"/>
            <w:tcBorders>
              <w:top w:val="nil"/>
              <w:left w:val="nil"/>
              <w:bottom w:val="nil"/>
              <w:right w:val="nil"/>
            </w:tcBorders>
          </w:tcPr>
          <w:p w14:paraId="3B78A768" w14:textId="77777777" w:rsidR="00CE45E2" w:rsidRPr="00CE45E2" w:rsidRDefault="00CE45E2" w:rsidP="006476FB">
            <w:pPr>
              <w:pStyle w:val="Normal6a"/>
            </w:pPr>
            <w:r w:rsidRPr="00CE45E2">
              <w:t>(6)</w:t>
            </w:r>
            <w:r w:rsidRPr="00CE45E2">
              <w:tab/>
              <w:t>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w:t>
            </w:r>
          </w:p>
        </w:tc>
      </w:tr>
    </w:tbl>
    <w:p w14:paraId="0C662703" w14:textId="77777777" w:rsidR="00CE45E2" w:rsidRPr="00CE45E2" w:rsidRDefault="00CE45E2" w:rsidP="00CE45E2">
      <w:pPr>
        <w:pStyle w:val="AmOrLang"/>
        <w:rPr>
          <w:lang w:val="en-US"/>
        </w:rPr>
      </w:pPr>
      <w:r w:rsidRPr="00CE45E2">
        <w:rPr>
          <w:lang w:val="en-US"/>
        </w:rPr>
        <w:t xml:space="preserve">Or. </w:t>
      </w:r>
      <w:r w:rsidRPr="00CE45E2">
        <w:rPr>
          <w:rStyle w:val="HideTWBExt"/>
          <w:lang w:val="en-US"/>
        </w:rPr>
        <w:t>&lt;Original&gt;</w:t>
      </w:r>
      <w:r w:rsidRPr="00CE45E2">
        <w:rPr>
          <w:rStyle w:val="HideTWBInt"/>
          <w:lang w:val="en-US"/>
        </w:rPr>
        <w:t>{EN}</w:t>
      </w:r>
      <w:proofErr w:type="spellStart"/>
      <w:r w:rsidRPr="00CE45E2">
        <w:rPr>
          <w:lang w:val="en-US"/>
        </w:rPr>
        <w:t>en</w:t>
      </w:r>
      <w:proofErr w:type="spellEnd"/>
      <w:r w:rsidRPr="00CE45E2">
        <w:rPr>
          <w:rStyle w:val="HideTWBExt"/>
          <w:lang w:val="en-US"/>
        </w:rPr>
        <w:t>&lt;/Original&gt;</w:t>
      </w:r>
    </w:p>
    <w:p w14:paraId="45F35ED4" w14:textId="77777777" w:rsidR="00CE45E2" w:rsidRPr="00CE45E2" w:rsidRDefault="00CE45E2" w:rsidP="00CE45E2">
      <w:pPr>
        <w:rPr>
          <w:lang w:val="en-US"/>
        </w:rPr>
      </w:pPr>
      <w:r w:rsidRPr="00CE45E2">
        <w:rPr>
          <w:rStyle w:val="HideTWBExt"/>
          <w:lang w:val="en-US"/>
        </w:rPr>
        <w:t>&lt;/Amend&gt;</w:t>
      </w:r>
    </w:p>
    <w:p w14:paraId="432650E4" w14:textId="70ABA5A5" w:rsidR="00CE45E2" w:rsidRPr="00CE45E2" w:rsidRDefault="00CE45E2" w:rsidP="00CE45E2">
      <w:pPr>
        <w:pStyle w:val="AmNumberTabs"/>
        <w:rPr>
          <w:lang w:val="en-US"/>
        </w:rPr>
      </w:pPr>
      <w:r w:rsidRPr="00CE45E2">
        <w:rPr>
          <w:rStyle w:val="HideTWBExt"/>
          <w:b w:val="0"/>
          <w:lang w:val="en-US"/>
        </w:rPr>
        <w:t>&lt;Amend&gt;</w:t>
      </w:r>
      <w:proofErr w:type="spellStart"/>
      <w:r w:rsidRPr="00CE45E2">
        <w:rPr>
          <w:lang w:val="en-US"/>
        </w:rPr>
        <w:t>Poprawka</w:t>
      </w:r>
      <w:proofErr w:type="spellEnd"/>
      <w:r w:rsidRPr="00CE45E2">
        <w:rPr>
          <w:lang w:val="en-US"/>
        </w:rPr>
        <w:tab/>
      </w:r>
      <w:r w:rsidRPr="00CE45E2">
        <w:rPr>
          <w:lang w:val="en-US"/>
        </w:rPr>
        <w:tab/>
      </w:r>
      <w:r w:rsidRPr="00CE45E2">
        <w:rPr>
          <w:rStyle w:val="HideTWBExt"/>
          <w:b w:val="0"/>
          <w:lang w:val="en-US"/>
        </w:rPr>
        <w:t>&lt;NumAm&gt;</w:t>
      </w:r>
      <w:r w:rsidR="00430CF1" w:rsidRPr="00430CF1">
        <w:rPr>
          <w:lang w:val="en-US"/>
        </w:rPr>
        <w:t>131</w:t>
      </w:r>
      <w:r w:rsidRPr="00CE45E2">
        <w:rPr>
          <w:rStyle w:val="HideTWBExt"/>
          <w:b w:val="0"/>
          <w:lang w:val="en-US"/>
        </w:rPr>
        <w:t>&lt;/NumAm&gt;</w:t>
      </w:r>
    </w:p>
    <w:p w14:paraId="2FFA0562" w14:textId="77777777" w:rsidR="00CE45E2" w:rsidRPr="00CE45E2" w:rsidRDefault="00CE45E2" w:rsidP="00CE45E2">
      <w:pPr>
        <w:pStyle w:val="NormalBold"/>
        <w:rPr>
          <w:lang w:val="en-US"/>
        </w:rPr>
      </w:pPr>
      <w:r w:rsidRPr="00CE45E2">
        <w:rPr>
          <w:rStyle w:val="HideTWBExt"/>
          <w:b w:val="0"/>
          <w:lang w:val="en-US"/>
        </w:rPr>
        <w:t>&lt;RepeatBlock-By&gt;&lt;Members&gt;</w:t>
      </w:r>
      <w:r w:rsidRPr="00CE45E2">
        <w:rPr>
          <w:lang w:val="en-US"/>
        </w:rPr>
        <w:t xml:space="preserve">Dirk </w:t>
      </w:r>
      <w:proofErr w:type="spellStart"/>
      <w:r w:rsidRPr="00CE45E2">
        <w:rPr>
          <w:lang w:val="en-US"/>
        </w:rPr>
        <w:t>Gotink</w:t>
      </w:r>
      <w:proofErr w:type="spellEnd"/>
      <w:r w:rsidRPr="00CE45E2">
        <w:rPr>
          <w:rStyle w:val="HideTWBExt"/>
          <w:b w:val="0"/>
          <w:lang w:val="en-US"/>
        </w:rPr>
        <w:t>&lt;/Members&gt;</w:t>
      </w:r>
    </w:p>
    <w:p w14:paraId="25AD502D" w14:textId="77777777" w:rsidR="00CE45E2" w:rsidRPr="00CE45E2" w:rsidRDefault="00CE45E2" w:rsidP="00CE45E2">
      <w:pPr>
        <w:pStyle w:val="NormalBold"/>
        <w:rPr>
          <w:lang w:val="en-US"/>
        </w:rPr>
      </w:pPr>
      <w:r w:rsidRPr="00CE45E2">
        <w:rPr>
          <w:rStyle w:val="HideTWBExt"/>
          <w:b w:val="0"/>
          <w:lang w:val="en-US"/>
        </w:rPr>
        <w:t>&lt;/RepeatBlock-By&gt;</w:t>
      </w:r>
    </w:p>
    <w:p w14:paraId="04E9A47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2565194" w14:textId="77777777" w:rsidR="00CE45E2" w:rsidRPr="00CE45E2" w:rsidRDefault="00CE45E2" w:rsidP="00CE45E2">
      <w:pPr>
        <w:pStyle w:val="NormalBold"/>
      </w:pPr>
      <w:r w:rsidRPr="00CE45E2">
        <w:rPr>
          <w:rStyle w:val="HideTWBExt"/>
          <w:b w:val="0"/>
        </w:rPr>
        <w:t>&lt;Article&gt;</w:t>
      </w:r>
      <w:r w:rsidRPr="00CE45E2">
        <w:t>Motyw 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4CB5A66" w14:textId="77777777" w:rsidTr="006476FB">
        <w:trPr>
          <w:trHeight w:hRule="exact" w:val="240"/>
          <w:jc w:val="center"/>
        </w:trPr>
        <w:tc>
          <w:tcPr>
            <w:tcW w:w="9752" w:type="dxa"/>
            <w:gridSpan w:val="2"/>
            <w:tcBorders>
              <w:top w:val="nil"/>
              <w:left w:val="nil"/>
              <w:bottom w:val="nil"/>
              <w:right w:val="nil"/>
            </w:tcBorders>
          </w:tcPr>
          <w:p w14:paraId="14845C08" w14:textId="77777777" w:rsidR="00CE45E2" w:rsidRPr="00CE45E2" w:rsidRDefault="00CE45E2" w:rsidP="006476FB"/>
        </w:tc>
      </w:tr>
      <w:tr w:rsidR="00CE45E2" w:rsidRPr="00CE45E2" w14:paraId="162DED37" w14:textId="77777777" w:rsidTr="006476FB">
        <w:trPr>
          <w:trHeight w:val="240"/>
          <w:jc w:val="center"/>
        </w:trPr>
        <w:tc>
          <w:tcPr>
            <w:tcW w:w="4876" w:type="dxa"/>
            <w:tcBorders>
              <w:top w:val="nil"/>
              <w:left w:val="nil"/>
              <w:bottom w:val="nil"/>
              <w:right w:val="nil"/>
            </w:tcBorders>
          </w:tcPr>
          <w:p w14:paraId="7857DD6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DD6D81E" w14:textId="77777777" w:rsidR="00CE45E2" w:rsidRPr="00CE45E2" w:rsidRDefault="00CE45E2" w:rsidP="006476FB">
            <w:pPr>
              <w:pStyle w:val="AmColumnHeading"/>
            </w:pPr>
            <w:r w:rsidRPr="00CE45E2">
              <w:t>Poprawka</w:t>
            </w:r>
          </w:p>
        </w:tc>
      </w:tr>
      <w:tr w:rsidR="00CE45E2" w:rsidRPr="00CE45E2" w14:paraId="5D34046B" w14:textId="77777777" w:rsidTr="006476FB">
        <w:trPr>
          <w:jc w:val="center"/>
        </w:trPr>
        <w:tc>
          <w:tcPr>
            <w:tcW w:w="4876" w:type="dxa"/>
            <w:tcBorders>
              <w:top w:val="nil"/>
              <w:left w:val="nil"/>
              <w:bottom w:val="nil"/>
              <w:right w:val="nil"/>
            </w:tcBorders>
          </w:tcPr>
          <w:p w14:paraId="7AF2032F" w14:textId="77777777" w:rsidR="00CE45E2" w:rsidRPr="00CE45E2" w:rsidRDefault="00CE45E2" w:rsidP="006476FB">
            <w:pPr>
              <w:pStyle w:val="Normal6a"/>
            </w:pPr>
            <w:r w:rsidRPr="00CE45E2">
              <w:t>(6)</w:t>
            </w:r>
            <w:r w:rsidRPr="00CE45E2">
              <w:tab/>
              <w:t>Instytucje pracowniczych programów emerytalnych („IORP”), które zarządzają aktywami o wartości około trzech bilionów euro, odgrywają zasadniczą rolę w systemie finansowym Unii</w:t>
            </w:r>
            <w:r w:rsidRPr="00CE45E2">
              <w:rPr>
                <w:b/>
                <w:bCs/>
                <w:i/>
                <w:iCs/>
              </w:rPr>
              <w:t>, ale zazwyczaj są mniej aktywne na notowanych rynkach akcji, niepublicznych rynkach kapitałowych, rynkach kapitału wysokiego ryzyka i rynkach infrastrukturalnych</w:t>
            </w:r>
            <w:r w:rsidRPr="00CE45E2">
              <w:t>. Pod warunkiem ostrożnego zarządzania inwestycjami w akcje i klasy aktywów alternatywnych takie inwestycje mogą stanowić cenny element ich portfeli,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w:t>
            </w:r>
          </w:p>
        </w:tc>
        <w:tc>
          <w:tcPr>
            <w:tcW w:w="4876" w:type="dxa"/>
            <w:tcBorders>
              <w:top w:val="nil"/>
              <w:left w:val="nil"/>
              <w:bottom w:val="nil"/>
              <w:right w:val="nil"/>
            </w:tcBorders>
          </w:tcPr>
          <w:p w14:paraId="317128B9" w14:textId="77777777" w:rsidR="00CE45E2" w:rsidRPr="00CE45E2" w:rsidRDefault="00CE45E2" w:rsidP="006476FB">
            <w:pPr>
              <w:pStyle w:val="Normal6a"/>
            </w:pPr>
            <w:r w:rsidRPr="00CE45E2">
              <w:t>(6)</w:t>
            </w:r>
            <w:r w:rsidRPr="00CE45E2">
              <w:tab/>
              <w:t xml:space="preserve">Instytucje pracowniczych programów emerytalnych („IORP”), które zarządzają aktywami o wartości około trzech bilionów euro, odgrywają zasadniczą rolę w systemie finansowym Unii. Pod warunkiem ostrożnego zarządzania inwestycjami w akcje i klasy aktywów alternatywnych takie inwestycje mogą stanowić cenny element ich portfeli, </w:t>
            </w:r>
            <w:r w:rsidRPr="00CE45E2">
              <w:rPr>
                <w:b/>
                <w:bCs/>
                <w:i/>
                <w:iCs/>
              </w:rPr>
              <w:t>potencjalnie</w:t>
            </w:r>
            <w:r w:rsidRPr="00CE45E2">
              <w:t xml:space="preserve">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 </w:t>
            </w:r>
            <w:r w:rsidRPr="00CE45E2">
              <w:rPr>
                <w:b/>
                <w:i/>
              </w:rPr>
              <w:t>Ponadto rozwój bardziej zaufanych i dobrze rozwiniętych systemów emerytur dodatkowych w państwach członkowskich z definicji doprowadzi do wzrostu wartości zarządzanych aktywów, a tym samym do zwiększenia kapitału inwestowanego na rynkach finansowych.</w:t>
            </w:r>
          </w:p>
        </w:tc>
      </w:tr>
    </w:tbl>
    <w:p w14:paraId="2F9A541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E98BA51" w14:textId="77777777" w:rsidR="00CE45E2" w:rsidRPr="00CE45E2" w:rsidRDefault="00CE45E2" w:rsidP="00CE45E2">
      <w:r w:rsidRPr="00CE45E2">
        <w:rPr>
          <w:rStyle w:val="HideTWBExt"/>
        </w:rPr>
        <w:t>&lt;/Amend&gt;</w:t>
      </w:r>
    </w:p>
    <w:p w14:paraId="092328C8" w14:textId="5A0452B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132</w:t>
      </w:r>
      <w:r w:rsidRPr="00CE45E2">
        <w:rPr>
          <w:rStyle w:val="HideTWBExt"/>
          <w:b w:val="0"/>
        </w:rPr>
        <w:t>&lt;/NumAm&gt;</w:t>
      </w:r>
    </w:p>
    <w:p w14:paraId="24E03C9A" w14:textId="77777777" w:rsidR="00CE45E2" w:rsidRPr="00CE45E2" w:rsidRDefault="00CE45E2" w:rsidP="00CE45E2">
      <w:pPr>
        <w:pStyle w:val="NormalBold"/>
      </w:pPr>
      <w:r w:rsidRPr="00CE45E2">
        <w:rPr>
          <w:rStyle w:val="HideTWBExt"/>
          <w:b w:val="0"/>
        </w:rPr>
        <w:t>&lt;RepeatBlock-By&gt;&lt;Members&gt;</w:t>
      </w:r>
      <w:r w:rsidRPr="00CE45E2">
        <w:t xml:space="preserve">Regina </w:t>
      </w:r>
      <w:proofErr w:type="spellStart"/>
      <w:r w:rsidRPr="00CE45E2">
        <w:t>Doherty</w:t>
      </w:r>
      <w:proofErr w:type="spellEnd"/>
      <w:r w:rsidRPr="00CE45E2">
        <w:rPr>
          <w:rStyle w:val="HideTWBExt"/>
          <w:b w:val="0"/>
        </w:rPr>
        <w:t>&lt;/Members&gt;</w:t>
      </w:r>
    </w:p>
    <w:p w14:paraId="49819F69" w14:textId="77777777" w:rsidR="00CE45E2" w:rsidRPr="00CE45E2" w:rsidRDefault="00CE45E2" w:rsidP="00CE45E2">
      <w:pPr>
        <w:pStyle w:val="NormalBold"/>
      </w:pPr>
      <w:r w:rsidRPr="00CE45E2">
        <w:rPr>
          <w:rStyle w:val="HideTWBExt"/>
          <w:b w:val="0"/>
        </w:rPr>
        <w:t>&lt;/RepeatBlock-By&gt;</w:t>
      </w:r>
    </w:p>
    <w:p w14:paraId="0CCD533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BFE372D" w14:textId="77777777" w:rsidR="00CE45E2" w:rsidRPr="00CE45E2" w:rsidRDefault="00CE45E2" w:rsidP="00CE45E2">
      <w:pPr>
        <w:pStyle w:val="NormalBold"/>
      </w:pPr>
      <w:r w:rsidRPr="00CE45E2">
        <w:rPr>
          <w:rStyle w:val="HideTWBExt"/>
          <w:b w:val="0"/>
        </w:rPr>
        <w:t>&lt;Article&gt;</w:t>
      </w:r>
      <w:r w:rsidRPr="00CE45E2">
        <w:t>Motyw 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D74B8E9" w14:textId="77777777" w:rsidTr="006476FB">
        <w:trPr>
          <w:trHeight w:hRule="exact" w:val="240"/>
          <w:jc w:val="center"/>
        </w:trPr>
        <w:tc>
          <w:tcPr>
            <w:tcW w:w="9752" w:type="dxa"/>
            <w:gridSpan w:val="2"/>
            <w:tcBorders>
              <w:top w:val="nil"/>
              <w:left w:val="nil"/>
              <w:bottom w:val="nil"/>
              <w:right w:val="nil"/>
            </w:tcBorders>
          </w:tcPr>
          <w:p w14:paraId="22979D27" w14:textId="77777777" w:rsidR="00CE45E2" w:rsidRPr="00CE45E2" w:rsidRDefault="00CE45E2" w:rsidP="006476FB"/>
        </w:tc>
      </w:tr>
      <w:tr w:rsidR="00CE45E2" w:rsidRPr="00CE45E2" w14:paraId="49DBAD09" w14:textId="77777777" w:rsidTr="006476FB">
        <w:trPr>
          <w:trHeight w:val="240"/>
          <w:jc w:val="center"/>
        </w:trPr>
        <w:tc>
          <w:tcPr>
            <w:tcW w:w="4876" w:type="dxa"/>
            <w:tcBorders>
              <w:top w:val="nil"/>
              <w:left w:val="nil"/>
              <w:bottom w:val="nil"/>
              <w:right w:val="nil"/>
            </w:tcBorders>
          </w:tcPr>
          <w:p w14:paraId="71E6910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5564682" w14:textId="77777777" w:rsidR="00CE45E2" w:rsidRPr="00CE45E2" w:rsidRDefault="00CE45E2" w:rsidP="006476FB">
            <w:pPr>
              <w:pStyle w:val="AmColumnHeading"/>
            </w:pPr>
            <w:r w:rsidRPr="00CE45E2">
              <w:t>Poprawka</w:t>
            </w:r>
          </w:p>
        </w:tc>
      </w:tr>
      <w:tr w:rsidR="00CE45E2" w:rsidRPr="00CE45E2" w14:paraId="413C3752" w14:textId="77777777" w:rsidTr="006476FB">
        <w:trPr>
          <w:jc w:val="center"/>
        </w:trPr>
        <w:tc>
          <w:tcPr>
            <w:tcW w:w="4876" w:type="dxa"/>
            <w:tcBorders>
              <w:top w:val="nil"/>
              <w:left w:val="nil"/>
              <w:bottom w:val="nil"/>
              <w:right w:val="nil"/>
            </w:tcBorders>
          </w:tcPr>
          <w:p w14:paraId="0B8A1ADF" w14:textId="77777777" w:rsidR="00CE45E2" w:rsidRPr="00CE45E2" w:rsidRDefault="00CE45E2" w:rsidP="006476FB">
            <w:pPr>
              <w:pStyle w:val="Normal6a"/>
            </w:pPr>
            <w:r w:rsidRPr="00CE45E2">
              <w:t>(6)</w:t>
            </w:r>
            <w:r w:rsidRPr="00CE45E2">
              <w:tab/>
              <w:t>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Pod warunkiem ostrożnego zarządzania inwestycjami w akcje i klasy aktywów alternatywnych takie inwestycje mogą stanowić cenny element ich portfeli,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w:t>
            </w:r>
          </w:p>
        </w:tc>
        <w:tc>
          <w:tcPr>
            <w:tcW w:w="4876" w:type="dxa"/>
            <w:tcBorders>
              <w:top w:val="nil"/>
              <w:left w:val="nil"/>
              <w:bottom w:val="nil"/>
              <w:right w:val="nil"/>
            </w:tcBorders>
          </w:tcPr>
          <w:p w14:paraId="4C35A65E" w14:textId="77777777" w:rsidR="00CE45E2" w:rsidRPr="00CE45E2" w:rsidRDefault="00CE45E2" w:rsidP="006476FB">
            <w:pPr>
              <w:pStyle w:val="Normal6a"/>
            </w:pPr>
            <w:r w:rsidRPr="00CE45E2">
              <w:t>(6)</w:t>
            </w:r>
            <w:r w:rsidRPr="00CE45E2">
              <w:tab/>
              <w:t>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Pod warunkiem ostrożnego zarządzania inwestycjami w akcje i klasy aktywów alternatywnych takie inwestycje mogą stanowić cenny element ich portfeli, oferując dywersyfikację, wyższe długoterminowe zwroty dla oszczędzających na emeryturę</w:t>
            </w:r>
            <w:r w:rsidRPr="00CE45E2">
              <w:rPr>
                <w:b/>
                <w:bCs/>
                <w:i/>
                <w:iCs/>
              </w:rPr>
              <w:t>, wspierając inwestycje detaliczne</w:t>
            </w:r>
            <w:r w:rsidRPr="00CE45E2">
              <w:t xml:space="preserve"> i ochronę przed inflacją, a jednocześnie zapewniając kluczowe finansowanie dla gospodarki realnej </w:t>
            </w:r>
            <w:r w:rsidRPr="00CE45E2">
              <w:rPr>
                <w:b/>
                <w:bCs/>
                <w:i/>
                <w:iCs/>
              </w:rPr>
              <w:t>i przyczyniając się do rozwoju unii oszczędności i inwestycji</w:t>
            </w:r>
            <w:r w:rsidRPr="00CE45E2">
              <w:t>. Ważne jest zatem zapewnienie, aby nie istniały nieuzasadnione bariery regulacyjne dla takich inwestycji.</w:t>
            </w:r>
          </w:p>
        </w:tc>
      </w:tr>
    </w:tbl>
    <w:p w14:paraId="3E23101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22D313F" w14:textId="77777777" w:rsidR="00CE45E2" w:rsidRPr="00CE45E2" w:rsidRDefault="00CE45E2" w:rsidP="00CE45E2">
      <w:r w:rsidRPr="00CE45E2">
        <w:rPr>
          <w:rStyle w:val="HideTWBExt"/>
        </w:rPr>
        <w:t>&lt;/Amend&gt;</w:t>
      </w:r>
    </w:p>
    <w:p w14:paraId="4D9679CB" w14:textId="5BC261E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133</w:t>
      </w:r>
      <w:r w:rsidRPr="00CE45E2">
        <w:rPr>
          <w:rStyle w:val="HideTWBExt"/>
          <w:b w:val="0"/>
        </w:rPr>
        <w:t>&lt;/NumAm&gt;</w:t>
      </w:r>
    </w:p>
    <w:p w14:paraId="20CB4B5F"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32174132" w14:textId="77777777" w:rsidR="00CE45E2" w:rsidRPr="00CE45E2" w:rsidRDefault="00CE45E2" w:rsidP="00CE45E2">
      <w:pPr>
        <w:pStyle w:val="NormalBold"/>
      </w:pPr>
      <w:r w:rsidRPr="00CE45E2">
        <w:rPr>
          <w:rStyle w:val="HideTWBExt"/>
          <w:b w:val="0"/>
        </w:rPr>
        <w:t>&lt;/RepeatBlock-By&gt;</w:t>
      </w:r>
    </w:p>
    <w:p w14:paraId="412CF22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452BDF2" w14:textId="77777777" w:rsidR="00CE45E2" w:rsidRPr="00CE45E2" w:rsidRDefault="00CE45E2" w:rsidP="00CE45E2">
      <w:pPr>
        <w:pStyle w:val="NormalBold"/>
      </w:pPr>
      <w:r w:rsidRPr="00CE45E2">
        <w:rPr>
          <w:rStyle w:val="HideTWBExt"/>
          <w:b w:val="0"/>
        </w:rPr>
        <w:t>&lt;Article&gt;</w:t>
      </w:r>
      <w:r w:rsidRPr="00CE45E2">
        <w:t>Motyw 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9F5E4FD" w14:textId="77777777" w:rsidTr="006476FB">
        <w:trPr>
          <w:trHeight w:hRule="exact" w:val="240"/>
          <w:jc w:val="center"/>
        </w:trPr>
        <w:tc>
          <w:tcPr>
            <w:tcW w:w="9752" w:type="dxa"/>
            <w:gridSpan w:val="2"/>
            <w:tcBorders>
              <w:top w:val="nil"/>
              <w:left w:val="nil"/>
              <w:bottom w:val="nil"/>
              <w:right w:val="nil"/>
            </w:tcBorders>
          </w:tcPr>
          <w:p w14:paraId="254DEFD1" w14:textId="77777777" w:rsidR="00CE45E2" w:rsidRPr="00CE45E2" w:rsidRDefault="00CE45E2" w:rsidP="006476FB"/>
        </w:tc>
      </w:tr>
      <w:tr w:rsidR="00CE45E2" w:rsidRPr="00CE45E2" w14:paraId="64048FAD" w14:textId="77777777" w:rsidTr="006476FB">
        <w:trPr>
          <w:trHeight w:val="240"/>
          <w:jc w:val="center"/>
        </w:trPr>
        <w:tc>
          <w:tcPr>
            <w:tcW w:w="4876" w:type="dxa"/>
            <w:tcBorders>
              <w:top w:val="nil"/>
              <w:left w:val="nil"/>
              <w:bottom w:val="nil"/>
              <w:right w:val="nil"/>
            </w:tcBorders>
          </w:tcPr>
          <w:p w14:paraId="295EA35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EADFE61" w14:textId="77777777" w:rsidR="00CE45E2" w:rsidRPr="00CE45E2" w:rsidRDefault="00CE45E2" w:rsidP="006476FB">
            <w:pPr>
              <w:pStyle w:val="AmColumnHeading"/>
            </w:pPr>
            <w:r w:rsidRPr="00CE45E2">
              <w:t>Poprawka</w:t>
            </w:r>
          </w:p>
        </w:tc>
      </w:tr>
      <w:tr w:rsidR="00CE45E2" w:rsidRPr="00CE45E2" w14:paraId="5BC9F440" w14:textId="77777777" w:rsidTr="006476FB">
        <w:trPr>
          <w:jc w:val="center"/>
        </w:trPr>
        <w:tc>
          <w:tcPr>
            <w:tcW w:w="4876" w:type="dxa"/>
            <w:tcBorders>
              <w:top w:val="nil"/>
              <w:left w:val="nil"/>
              <w:bottom w:val="nil"/>
              <w:right w:val="nil"/>
            </w:tcBorders>
          </w:tcPr>
          <w:p w14:paraId="1E08C1C8" w14:textId="77777777" w:rsidR="00CE45E2" w:rsidRPr="00CE45E2" w:rsidRDefault="00CE45E2" w:rsidP="006476FB">
            <w:pPr>
              <w:pStyle w:val="Normal6a"/>
            </w:pPr>
            <w:r w:rsidRPr="00CE45E2">
              <w:t>(6)</w:t>
            </w:r>
            <w:r w:rsidRPr="00CE45E2">
              <w:tab/>
              <w:t>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Pod warunkiem ostrożnego zarządzania inwestycjami w akcje i klasy aktywów alternatywnych takie inwestycje mogą stanowić cenny element ich portfeli,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w:t>
            </w:r>
          </w:p>
        </w:tc>
        <w:tc>
          <w:tcPr>
            <w:tcW w:w="4876" w:type="dxa"/>
            <w:tcBorders>
              <w:top w:val="nil"/>
              <w:left w:val="nil"/>
              <w:bottom w:val="nil"/>
              <w:right w:val="nil"/>
            </w:tcBorders>
          </w:tcPr>
          <w:p w14:paraId="50FED8A4" w14:textId="77777777" w:rsidR="00CE45E2" w:rsidRPr="00CE45E2" w:rsidRDefault="00CE45E2" w:rsidP="006476FB">
            <w:pPr>
              <w:pStyle w:val="Normal6a"/>
            </w:pPr>
            <w:r w:rsidRPr="00CE45E2">
              <w:t>(6)</w:t>
            </w:r>
            <w:r w:rsidRPr="00CE45E2">
              <w:tab/>
              <w:t xml:space="preserve">Instytucje pracowniczych programów emerytalnych („IORP”), które zarządzają aktywami o wartości około trzech bilionów euro, odgrywają zasadniczą rolę w systemie finansowym Unii, ale zazwyczaj są mniej aktywne na notowanych rynkach akcji, niepublicznych rynkach kapitałowych, rynkach kapitału wysokiego ryzyka i rynkach infrastrukturalnych. Pod warunkiem ostrożnego zarządzania inwestycjami w akcje i klasy aktywów alternatywnych takie inwestycje mogą stanowić cenny element ich portfeli, oferując dywersyfikację, wyższe długoterminowe zwroty dla oszczędzających na emeryturę i ochronę przed inflacją, a jednocześnie zapewniając kluczowe finansowanie dla gospodarki realnej. Ważne jest zatem zapewnienie, aby nie istniały nieuzasadnione bariery regulacyjne dla takich inwestycji. </w:t>
            </w:r>
            <w:r w:rsidRPr="00CE45E2">
              <w:rPr>
                <w:b/>
                <w:i/>
              </w:rPr>
              <w:t>Chociaż inwestycje w różne klasy aktywów mogą przyczyniać się do dywersyfikacji i długoterminowych zwrotów, powinny one pozostawać zgodne z zasadą „ostrożnego inwestora” oraz z długoterminowymi interesami uczestników i beneficjentów. Fundusze emerytalne nie powinny być narażone na nadmierne ryzyko rynkowe, które mogłoby zagrozić bezpieczeństwu emerytalnemu.</w:t>
            </w:r>
          </w:p>
        </w:tc>
      </w:tr>
    </w:tbl>
    <w:p w14:paraId="6DAC31E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204933E" w14:textId="77777777" w:rsidR="00CE45E2" w:rsidRPr="00CE45E2" w:rsidRDefault="00CE45E2" w:rsidP="00CE45E2">
      <w:r w:rsidRPr="00CE45E2">
        <w:rPr>
          <w:rStyle w:val="HideTWBExt"/>
        </w:rPr>
        <w:t>&lt;/Amend&gt;</w:t>
      </w:r>
    </w:p>
    <w:p w14:paraId="4F3AEDCD" w14:textId="1F17CFC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134</w:t>
      </w:r>
      <w:r w:rsidRPr="00CE45E2">
        <w:rPr>
          <w:rStyle w:val="HideTWBExt"/>
          <w:b w:val="0"/>
        </w:rPr>
        <w:t>&lt;/NumAm&gt;</w:t>
      </w:r>
    </w:p>
    <w:p w14:paraId="22C1AADD"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7AC4AE82" w14:textId="77777777" w:rsidR="00CE45E2" w:rsidRPr="00CE45E2" w:rsidRDefault="00CE45E2" w:rsidP="00CE45E2">
      <w:pPr>
        <w:pStyle w:val="NormalBold"/>
      </w:pPr>
      <w:r w:rsidRPr="00CE45E2">
        <w:rPr>
          <w:rStyle w:val="HideTWBExt"/>
          <w:b w:val="0"/>
        </w:rPr>
        <w:t>&lt;/RepeatBlock-By&gt;</w:t>
      </w:r>
    </w:p>
    <w:p w14:paraId="6667A35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0F23306" w14:textId="77777777" w:rsidR="00CE45E2" w:rsidRPr="00CE45E2" w:rsidRDefault="00CE45E2" w:rsidP="00CE45E2">
      <w:pPr>
        <w:pStyle w:val="NormalBold"/>
      </w:pPr>
      <w:r w:rsidRPr="00CE45E2">
        <w:rPr>
          <w:rStyle w:val="HideTWBExt"/>
          <w:b w:val="0"/>
        </w:rPr>
        <w:t>&lt;Article&gt;</w:t>
      </w:r>
      <w:r w:rsidRPr="00CE45E2">
        <w:t>Motyw 6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0B72685" w14:textId="77777777" w:rsidTr="006476FB">
        <w:trPr>
          <w:trHeight w:hRule="exact" w:val="240"/>
          <w:jc w:val="center"/>
        </w:trPr>
        <w:tc>
          <w:tcPr>
            <w:tcW w:w="9752" w:type="dxa"/>
            <w:gridSpan w:val="2"/>
            <w:tcBorders>
              <w:top w:val="nil"/>
              <w:left w:val="nil"/>
              <w:bottom w:val="nil"/>
              <w:right w:val="nil"/>
            </w:tcBorders>
          </w:tcPr>
          <w:p w14:paraId="569C2EAA" w14:textId="77777777" w:rsidR="00CE45E2" w:rsidRPr="00CE45E2" w:rsidRDefault="00CE45E2" w:rsidP="006476FB"/>
        </w:tc>
      </w:tr>
      <w:tr w:rsidR="00CE45E2" w:rsidRPr="00CE45E2" w14:paraId="276BE1DC" w14:textId="77777777" w:rsidTr="006476FB">
        <w:trPr>
          <w:trHeight w:val="240"/>
          <w:jc w:val="center"/>
        </w:trPr>
        <w:tc>
          <w:tcPr>
            <w:tcW w:w="4876" w:type="dxa"/>
            <w:tcBorders>
              <w:top w:val="nil"/>
              <w:left w:val="nil"/>
              <w:bottom w:val="nil"/>
              <w:right w:val="nil"/>
            </w:tcBorders>
          </w:tcPr>
          <w:p w14:paraId="4D4D925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3F3B4CD" w14:textId="77777777" w:rsidR="00CE45E2" w:rsidRPr="00CE45E2" w:rsidRDefault="00CE45E2" w:rsidP="006476FB">
            <w:pPr>
              <w:pStyle w:val="AmColumnHeading"/>
            </w:pPr>
            <w:r w:rsidRPr="00CE45E2">
              <w:t>Poprawka</w:t>
            </w:r>
          </w:p>
        </w:tc>
      </w:tr>
      <w:tr w:rsidR="00CE45E2" w:rsidRPr="00CE45E2" w14:paraId="334603CF" w14:textId="77777777" w:rsidTr="006476FB">
        <w:trPr>
          <w:jc w:val="center"/>
        </w:trPr>
        <w:tc>
          <w:tcPr>
            <w:tcW w:w="4876" w:type="dxa"/>
            <w:tcBorders>
              <w:top w:val="nil"/>
              <w:left w:val="nil"/>
              <w:bottom w:val="nil"/>
              <w:right w:val="nil"/>
            </w:tcBorders>
          </w:tcPr>
          <w:p w14:paraId="70C4700A" w14:textId="77777777" w:rsidR="00CE45E2" w:rsidRPr="00CE45E2" w:rsidRDefault="00CE45E2" w:rsidP="006476FB">
            <w:pPr>
              <w:pStyle w:val="Normal6a"/>
            </w:pPr>
          </w:p>
        </w:tc>
        <w:tc>
          <w:tcPr>
            <w:tcW w:w="4876" w:type="dxa"/>
            <w:tcBorders>
              <w:top w:val="nil"/>
              <w:left w:val="nil"/>
              <w:bottom w:val="nil"/>
              <w:right w:val="nil"/>
            </w:tcBorders>
          </w:tcPr>
          <w:p w14:paraId="3B0B1589" w14:textId="77777777" w:rsidR="00CE45E2" w:rsidRPr="00CE45E2" w:rsidRDefault="00CE45E2" w:rsidP="006476FB">
            <w:pPr>
              <w:pStyle w:val="Normal6a"/>
            </w:pPr>
            <w:r w:rsidRPr="00CE45E2">
              <w:rPr>
                <w:b/>
                <w:i/>
              </w:rPr>
              <w:t>(6a)</w:t>
            </w:r>
            <w:r w:rsidRPr="00CE45E2">
              <w:tab/>
            </w:r>
            <w:r w:rsidRPr="00CE45E2">
              <w:rPr>
                <w:b/>
                <w:i/>
              </w:rPr>
              <w:t>Instytucje pracowniczych programów emerytalnych, w szczególności te zarządzane na zasadzie parytetu, pełnią funkcję ochrony socjalnej odmienną od detalicznych produktów finansowych. Ich struktury zarządzania, często oparte na równej reprezentacji pracodawców i pracowników oraz zakorzenione w rokowaniach zbiorowych, zapewniają instytucjonalne zabezpieczenia, które należy odpowiednio uwzględnić przy stosowaniu niniejszej dyrektywy.</w:t>
            </w:r>
          </w:p>
        </w:tc>
      </w:tr>
    </w:tbl>
    <w:p w14:paraId="200CEA47" w14:textId="77777777" w:rsidR="00CE45E2" w:rsidRPr="00CE45E2" w:rsidRDefault="00CE45E2" w:rsidP="00CE45E2">
      <w:pPr>
        <w:pStyle w:val="AmOrLang"/>
        <w:rPr>
          <w:lang w:val="en-US"/>
        </w:rPr>
      </w:pPr>
      <w:r w:rsidRPr="00CE45E2">
        <w:rPr>
          <w:lang w:val="en-US"/>
        </w:rPr>
        <w:t xml:space="preserve">Or. </w:t>
      </w:r>
      <w:r w:rsidRPr="00CE45E2">
        <w:rPr>
          <w:rStyle w:val="HideTWBExt"/>
          <w:lang w:val="en-US"/>
        </w:rPr>
        <w:t>&lt;Original&gt;</w:t>
      </w:r>
      <w:r w:rsidRPr="00CE45E2">
        <w:rPr>
          <w:rStyle w:val="HideTWBInt"/>
          <w:lang w:val="en-US"/>
        </w:rPr>
        <w:t>{EN}</w:t>
      </w:r>
      <w:proofErr w:type="spellStart"/>
      <w:r w:rsidRPr="00CE45E2">
        <w:rPr>
          <w:lang w:val="en-US"/>
        </w:rPr>
        <w:t>en</w:t>
      </w:r>
      <w:proofErr w:type="spellEnd"/>
      <w:r w:rsidRPr="00CE45E2">
        <w:rPr>
          <w:rStyle w:val="HideTWBExt"/>
          <w:lang w:val="en-US"/>
        </w:rPr>
        <w:t>&lt;/Original&gt;</w:t>
      </w:r>
    </w:p>
    <w:p w14:paraId="2A84639C" w14:textId="77777777" w:rsidR="00CE45E2" w:rsidRPr="00CE45E2" w:rsidRDefault="00CE45E2" w:rsidP="00CE45E2">
      <w:pPr>
        <w:rPr>
          <w:lang w:val="en-US"/>
        </w:rPr>
      </w:pPr>
      <w:r w:rsidRPr="00CE45E2">
        <w:rPr>
          <w:rStyle w:val="HideTWBExt"/>
          <w:lang w:val="en-US"/>
        </w:rPr>
        <w:t>&lt;/Amend&gt;</w:t>
      </w:r>
    </w:p>
    <w:p w14:paraId="7482D1A5" w14:textId="3DDE2A2E" w:rsidR="00CE45E2" w:rsidRPr="00CE45E2" w:rsidRDefault="00CE45E2" w:rsidP="00CE45E2">
      <w:pPr>
        <w:pStyle w:val="AmNumberTabs"/>
        <w:rPr>
          <w:lang w:val="en-US"/>
        </w:rPr>
      </w:pPr>
      <w:r w:rsidRPr="00CE45E2">
        <w:rPr>
          <w:rStyle w:val="HideTWBExt"/>
          <w:b w:val="0"/>
          <w:lang w:val="en-US"/>
        </w:rPr>
        <w:t>&lt;Amend&gt;</w:t>
      </w:r>
      <w:proofErr w:type="spellStart"/>
      <w:r w:rsidRPr="00CE45E2">
        <w:rPr>
          <w:lang w:val="en-US"/>
        </w:rPr>
        <w:t>Poprawka</w:t>
      </w:r>
      <w:proofErr w:type="spellEnd"/>
      <w:r w:rsidRPr="00CE45E2">
        <w:rPr>
          <w:lang w:val="en-US"/>
        </w:rPr>
        <w:tab/>
      </w:r>
      <w:r w:rsidRPr="00CE45E2">
        <w:rPr>
          <w:lang w:val="en-US"/>
        </w:rPr>
        <w:tab/>
      </w:r>
      <w:r w:rsidRPr="00CE45E2">
        <w:rPr>
          <w:rStyle w:val="HideTWBExt"/>
          <w:b w:val="0"/>
          <w:lang w:val="en-US"/>
        </w:rPr>
        <w:t>&lt;NumAm&gt;</w:t>
      </w:r>
      <w:r w:rsidR="00430CF1" w:rsidRPr="00430CF1">
        <w:rPr>
          <w:lang w:val="en-US"/>
        </w:rPr>
        <w:t>135</w:t>
      </w:r>
      <w:r w:rsidRPr="00CE45E2">
        <w:rPr>
          <w:rStyle w:val="HideTWBExt"/>
          <w:b w:val="0"/>
          <w:lang w:val="en-US"/>
        </w:rPr>
        <w:t>&lt;/NumAm&gt;</w:t>
      </w:r>
    </w:p>
    <w:p w14:paraId="59B1AC76" w14:textId="77777777" w:rsidR="00CE45E2" w:rsidRPr="00CE45E2" w:rsidRDefault="00CE45E2" w:rsidP="00CE45E2">
      <w:pPr>
        <w:pStyle w:val="NormalBold"/>
        <w:rPr>
          <w:lang w:val="en-US"/>
        </w:rPr>
      </w:pPr>
      <w:r w:rsidRPr="00CE45E2">
        <w:rPr>
          <w:rStyle w:val="HideTWBExt"/>
          <w:b w:val="0"/>
          <w:lang w:val="en-US"/>
        </w:rPr>
        <w:t>&lt;RepeatBlock-By&gt;&lt;Members&gt;</w:t>
      </w:r>
      <w:r w:rsidRPr="00CE45E2">
        <w:rPr>
          <w:lang w:val="en-US"/>
        </w:rPr>
        <w:t xml:space="preserve">Dirk </w:t>
      </w:r>
      <w:proofErr w:type="spellStart"/>
      <w:r w:rsidRPr="00CE45E2">
        <w:rPr>
          <w:lang w:val="en-US"/>
        </w:rPr>
        <w:t>Gotink</w:t>
      </w:r>
      <w:proofErr w:type="spellEnd"/>
      <w:r w:rsidRPr="00CE45E2">
        <w:rPr>
          <w:rStyle w:val="HideTWBExt"/>
          <w:b w:val="0"/>
          <w:lang w:val="en-US"/>
        </w:rPr>
        <w:t>&lt;/Members&gt;</w:t>
      </w:r>
    </w:p>
    <w:p w14:paraId="10321F16" w14:textId="77777777" w:rsidR="00CE45E2" w:rsidRPr="00CE45E2" w:rsidRDefault="00CE45E2" w:rsidP="00CE45E2">
      <w:pPr>
        <w:pStyle w:val="NormalBold"/>
        <w:rPr>
          <w:lang w:val="en-US"/>
        </w:rPr>
      </w:pPr>
      <w:r w:rsidRPr="00CE45E2">
        <w:rPr>
          <w:rStyle w:val="HideTWBExt"/>
          <w:b w:val="0"/>
          <w:lang w:val="en-US"/>
        </w:rPr>
        <w:t>&lt;/RepeatBlock-By&gt;</w:t>
      </w:r>
    </w:p>
    <w:p w14:paraId="6DDF37E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7707981" w14:textId="77777777" w:rsidR="00CE45E2" w:rsidRPr="00CE45E2" w:rsidRDefault="00CE45E2" w:rsidP="00CE45E2">
      <w:pPr>
        <w:pStyle w:val="NormalBold"/>
      </w:pPr>
      <w:r w:rsidRPr="00CE45E2">
        <w:rPr>
          <w:rStyle w:val="HideTWBExt"/>
          <w:b w:val="0"/>
        </w:rPr>
        <w:t>&lt;Article&gt;</w:t>
      </w:r>
      <w:r w:rsidRPr="00CE45E2">
        <w:t>Motyw 8</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F59FB39" w14:textId="77777777" w:rsidTr="006476FB">
        <w:trPr>
          <w:trHeight w:hRule="exact" w:val="240"/>
          <w:jc w:val="center"/>
        </w:trPr>
        <w:tc>
          <w:tcPr>
            <w:tcW w:w="9752" w:type="dxa"/>
            <w:gridSpan w:val="2"/>
            <w:tcBorders>
              <w:top w:val="nil"/>
              <w:left w:val="nil"/>
              <w:bottom w:val="nil"/>
              <w:right w:val="nil"/>
            </w:tcBorders>
          </w:tcPr>
          <w:p w14:paraId="20F20296" w14:textId="77777777" w:rsidR="00CE45E2" w:rsidRPr="00CE45E2" w:rsidRDefault="00CE45E2" w:rsidP="006476FB"/>
        </w:tc>
      </w:tr>
      <w:tr w:rsidR="00CE45E2" w:rsidRPr="00CE45E2" w14:paraId="312FE76D" w14:textId="77777777" w:rsidTr="006476FB">
        <w:trPr>
          <w:trHeight w:val="240"/>
          <w:jc w:val="center"/>
        </w:trPr>
        <w:tc>
          <w:tcPr>
            <w:tcW w:w="4876" w:type="dxa"/>
            <w:tcBorders>
              <w:top w:val="nil"/>
              <w:left w:val="nil"/>
              <w:bottom w:val="nil"/>
              <w:right w:val="nil"/>
            </w:tcBorders>
          </w:tcPr>
          <w:p w14:paraId="3A07A58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2661491" w14:textId="77777777" w:rsidR="00CE45E2" w:rsidRPr="00CE45E2" w:rsidRDefault="00CE45E2" w:rsidP="006476FB">
            <w:pPr>
              <w:pStyle w:val="AmColumnHeading"/>
            </w:pPr>
            <w:r w:rsidRPr="00CE45E2">
              <w:t>Poprawka</w:t>
            </w:r>
          </w:p>
        </w:tc>
      </w:tr>
      <w:tr w:rsidR="00CE45E2" w:rsidRPr="00CE45E2" w14:paraId="6261EE87" w14:textId="77777777" w:rsidTr="006476FB">
        <w:trPr>
          <w:jc w:val="center"/>
        </w:trPr>
        <w:tc>
          <w:tcPr>
            <w:tcW w:w="4876" w:type="dxa"/>
            <w:tcBorders>
              <w:top w:val="nil"/>
              <w:left w:val="nil"/>
              <w:bottom w:val="nil"/>
              <w:right w:val="nil"/>
            </w:tcBorders>
          </w:tcPr>
          <w:p w14:paraId="15CE17E4" w14:textId="77777777" w:rsidR="00CE45E2" w:rsidRPr="00CE45E2" w:rsidRDefault="00CE45E2" w:rsidP="006476FB">
            <w:pPr>
              <w:pStyle w:val="Normal6a"/>
            </w:pPr>
            <w:r w:rsidRPr="00CE45E2">
              <w:rPr>
                <w:b/>
                <w:i/>
              </w:rPr>
              <w:t>(8)</w:t>
            </w:r>
            <w:r w:rsidRPr="00CE45E2">
              <w:tab/>
            </w:r>
            <w:r w:rsidRPr="00CE45E2">
              <w:rPr>
                <w:b/>
                <w:i/>
              </w:rPr>
              <w:t>Osiągnięcie wystarczającej skali jest często warunkiem wstępnym skutecznego i zrównoważonego funkcjonowania IORP. Mniejsze IORP mogą borykać się z wyższymi kosztami administracyjnymi i inwestycyjnymi, ograniczoną dywersyfikacją oraz trudnościami w przyciągnięciu lub utrzymaniu niezbędnej wiedzy fachowej. Większa skala może pomóc w złagodzeniu tych ograniczeń dzięki poprawie łączenia ryzyka, zdolności zarządzania i dostępu do szerszego zakresu możliwości inwestycyjnych, przyczyniając się tym samym do bardziej stabilnych i opłacalnych wyników dla uczestników i beneficjentów.</w:t>
            </w:r>
          </w:p>
        </w:tc>
        <w:tc>
          <w:tcPr>
            <w:tcW w:w="4876" w:type="dxa"/>
            <w:tcBorders>
              <w:top w:val="nil"/>
              <w:left w:val="nil"/>
              <w:bottom w:val="nil"/>
              <w:right w:val="nil"/>
            </w:tcBorders>
          </w:tcPr>
          <w:p w14:paraId="1E7750C2" w14:textId="77777777" w:rsidR="00CE45E2" w:rsidRPr="00CE45E2" w:rsidRDefault="00CE45E2" w:rsidP="006476FB">
            <w:pPr>
              <w:pStyle w:val="Normal6a"/>
            </w:pPr>
            <w:r w:rsidRPr="00CE45E2">
              <w:rPr>
                <w:b/>
                <w:i/>
              </w:rPr>
              <w:t>skreśla się</w:t>
            </w:r>
          </w:p>
        </w:tc>
      </w:tr>
    </w:tbl>
    <w:p w14:paraId="620898E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EDE5996" w14:textId="77777777" w:rsidR="00CE45E2" w:rsidRPr="00CE45E2" w:rsidRDefault="00CE45E2" w:rsidP="00CE45E2">
      <w:r w:rsidRPr="00CE45E2">
        <w:rPr>
          <w:rStyle w:val="HideTWBExt"/>
        </w:rPr>
        <w:t>&lt;/Amend&gt;</w:t>
      </w:r>
    </w:p>
    <w:p w14:paraId="53029EE5" w14:textId="4BCB0BB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136</w:t>
      </w:r>
      <w:r w:rsidRPr="00CE45E2">
        <w:rPr>
          <w:rStyle w:val="HideTWBExt"/>
          <w:b w:val="0"/>
        </w:rPr>
        <w:t>&lt;/NumAm&gt;</w:t>
      </w:r>
    </w:p>
    <w:p w14:paraId="2696AA95"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7D1AE579" w14:textId="77777777" w:rsidR="00CE45E2" w:rsidRPr="00CE45E2" w:rsidRDefault="00CE45E2" w:rsidP="00CE45E2">
      <w:pPr>
        <w:pStyle w:val="NormalBold"/>
      </w:pPr>
      <w:r w:rsidRPr="00CE45E2">
        <w:rPr>
          <w:rStyle w:val="HideTWBExt"/>
          <w:b w:val="0"/>
        </w:rPr>
        <w:t>&lt;/RepeatBlock-By&gt;</w:t>
      </w:r>
    </w:p>
    <w:p w14:paraId="0BE260E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6AB260E" w14:textId="77777777" w:rsidR="00CE45E2" w:rsidRPr="00CE45E2" w:rsidRDefault="00CE45E2" w:rsidP="00CE45E2">
      <w:pPr>
        <w:pStyle w:val="NormalBold"/>
      </w:pPr>
      <w:r w:rsidRPr="00CE45E2">
        <w:rPr>
          <w:rStyle w:val="HideTWBExt"/>
          <w:b w:val="0"/>
        </w:rPr>
        <w:t>&lt;Article&gt;</w:t>
      </w:r>
      <w:r w:rsidRPr="00CE45E2">
        <w:t>Motyw 8</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1760C4B" w14:textId="77777777" w:rsidTr="006476FB">
        <w:trPr>
          <w:trHeight w:hRule="exact" w:val="240"/>
          <w:jc w:val="center"/>
        </w:trPr>
        <w:tc>
          <w:tcPr>
            <w:tcW w:w="9752" w:type="dxa"/>
            <w:gridSpan w:val="2"/>
            <w:tcBorders>
              <w:top w:val="nil"/>
              <w:left w:val="nil"/>
              <w:bottom w:val="nil"/>
              <w:right w:val="nil"/>
            </w:tcBorders>
          </w:tcPr>
          <w:p w14:paraId="6EDF8ECC" w14:textId="77777777" w:rsidR="00CE45E2" w:rsidRPr="00CE45E2" w:rsidRDefault="00CE45E2" w:rsidP="006476FB"/>
        </w:tc>
      </w:tr>
      <w:tr w:rsidR="00CE45E2" w:rsidRPr="00CE45E2" w14:paraId="13B3C339" w14:textId="77777777" w:rsidTr="006476FB">
        <w:trPr>
          <w:trHeight w:val="240"/>
          <w:jc w:val="center"/>
        </w:trPr>
        <w:tc>
          <w:tcPr>
            <w:tcW w:w="4876" w:type="dxa"/>
            <w:tcBorders>
              <w:top w:val="nil"/>
              <w:left w:val="nil"/>
              <w:bottom w:val="nil"/>
              <w:right w:val="nil"/>
            </w:tcBorders>
          </w:tcPr>
          <w:p w14:paraId="78C2472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0317073" w14:textId="77777777" w:rsidR="00CE45E2" w:rsidRPr="00CE45E2" w:rsidRDefault="00CE45E2" w:rsidP="006476FB">
            <w:pPr>
              <w:pStyle w:val="AmColumnHeading"/>
            </w:pPr>
            <w:r w:rsidRPr="00CE45E2">
              <w:t>Poprawka</w:t>
            </w:r>
          </w:p>
        </w:tc>
      </w:tr>
      <w:tr w:rsidR="00CE45E2" w:rsidRPr="00CE45E2" w14:paraId="0AC38147" w14:textId="77777777" w:rsidTr="006476FB">
        <w:trPr>
          <w:jc w:val="center"/>
        </w:trPr>
        <w:tc>
          <w:tcPr>
            <w:tcW w:w="4876" w:type="dxa"/>
            <w:tcBorders>
              <w:top w:val="nil"/>
              <w:left w:val="nil"/>
              <w:bottom w:val="nil"/>
              <w:right w:val="nil"/>
            </w:tcBorders>
          </w:tcPr>
          <w:p w14:paraId="72551435" w14:textId="77777777" w:rsidR="00CE45E2" w:rsidRPr="00CE45E2" w:rsidRDefault="00CE45E2" w:rsidP="006476FB">
            <w:pPr>
              <w:pStyle w:val="Normal6a"/>
            </w:pPr>
            <w:r w:rsidRPr="00CE45E2">
              <w:t>(8)</w:t>
            </w:r>
            <w:r w:rsidRPr="00CE45E2">
              <w:tab/>
              <w:t xml:space="preserve">Osiągnięcie wystarczającej skali </w:t>
            </w:r>
            <w:r w:rsidRPr="00CE45E2">
              <w:rPr>
                <w:b/>
                <w:bCs/>
                <w:i/>
                <w:iCs/>
              </w:rPr>
              <w:t>jest często warunkiem wstępnym</w:t>
            </w:r>
            <w:r w:rsidRPr="00CE45E2">
              <w:t xml:space="preserve"> skutecznego</w:t>
            </w:r>
            <w:r w:rsidRPr="00CE45E2">
              <w:rPr>
                <w:b/>
                <w:bCs/>
                <w:i/>
                <w:iCs/>
              </w:rPr>
              <w:t xml:space="preserve"> i zrównoważonego</w:t>
            </w:r>
            <w:r w:rsidRPr="00CE45E2">
              <w:t xml:space="preserve"> funkcjonowania IORP. </w:t>
            </w:r>
            <w:r w:rsidRPr="00CE45E2">
              <w:rPr>
                <w:b/>
                <w:bCs/>
                <w:i/>
                <w:iCs/>
              </w:rPr>
              <w:t>Mniejsze</w:t>
            </w:r>
            <w:r w:rsidRPr="00CE45E2">
              <w:t xml:space="preserve"> IORP </w:t>
            </w:r>
            <w:r w:rsidRPr="00CE45E2">
              <w:rPr>
                <w:b/>
                <w:bCs/>
                <w:i/>
                <w:iCs/>
              </w:rPr>
              <w:t>mogą borykać się z wyższymi kosztami administracyjnymi i inwestycyjnymi, ograniczoną dywersyfikacją oraz trudnościami w przyciągnięciu lub utrzymaniu niezbędnej wiedzy fachowej</w:t>
            </w:r>
            <w:r w:rsidRPr="00CE45E2">
              <w:t>.</w:t>
            </w:r>
            <w:r w:rsidRPr="00CE45E2">
              <w:rPr>
                <w:b/>
                <w:i/>
              </w:rPr>
              <w:t xml:space="preserve"> </w:t>
            </w:r>
            <w:r w:rsidRPr="00CE45E2">
              <w:rPr>
                <w:b/>
                <w:bCs/>
                <w:i/>
                <w:iCs/>
              </w:rPr>
              <w:t>Większa skala może pomóc w złagodzeniu tych ograniczeń dzięki poprawie łączenia ryzyka, zdolności zarządzania i dostępu do szerszego zakresu możliwości inwestycyjnych, przyczyniając się tym samym do bardziej stabilnych i opłacalnych wyników dla uczestników i beneficjentów</w:t>
            </w:r>
            <w:r w:rsidRPr="00CE45E2">
              <w:t>.</w:t>
            </w:r>
          </w:p>
        </w:tc>
        <w:tc>
          <w:tcPr>
            <w:tcW w:w="4876" w:type="dxa"/>
            <w:tcBorders>
              <w:top w:val="nil"/>
              <w:left w:val="nil"/>
              <w:bottom w:val="nil"/>
              <w:right w:val="nil"/>
            </w:tcBorders>
          </w:tcPr>
          <w:p w14:paraId="44F51F6D" w14:textId="77777777" w:rsidR="00CE45E2" w:rsidRPr="00CE45E2" w:rsidRDefault="00CE45E2" w:rsidP="006476FB">
            <w:pPr>
              <w:pStyle w:val="Normal6a"/>
            </w:pPr>
            <w:r w:rsidRPr="00CE45E2">
              <w:t>(8)</w:t>
            </w:r>
            <w:r w:rsidRPr="00CE45E2">
              <w:tab/>
              <w:t xml:space="preserve">Osiągnięcie wystarczającej skali </w:t>
            </w:r>
            <w:r w:rsidRPr="00CE45E2">
              <w:rPr>
                <w:b/>
                <w:bCs/>
                <w:i/>
                <w:iCs/>
              </w:rPr>
              <w:t>może przyczynić się do</w:t>
            </w:r>
            <w:r w:rsidRPr="00CE45E2">
              <w:t xml:space="preserve"> skutecznego funkcjonowania IORP. </w:t>
            </w:r>
            <w:r w:rsidRPr="00CE45E2">
              <w:rPr>
                <w:b/>
                <w:bCs/>
                <w:i/>
                <w:iCs/>
              </w:rPr>
              <w:t>Skala nie jest jednak jedynym sposobem, dzięki któremu</w:t>
            </w:r>
            <w:r w:rsidRPr="00CE45E2">
              <w:t xml:space="preserve"> IORP </w:t>
            </w:r>
            <w:r w:rsidRPr="00CE45E2">
              <w:rPr>
                <w:b/>
                <w:bCs/>
                <w:i/>
                <w:iCs/>
              </w:rPr>
              <w:t>te mogą osiągnąć dywersyfikację, solidne zarządzanie oraz konkurencyjne wyniki inwestycyjne</w:t>
            </w:r>
            <w:r w:rsidRPr="00CE45E2">
              <w:t>.</w:t>
            </w:r>
            <w:r w:rsidRPr="00CE45E2">
              <w:rPr>
                <w:b/>
                <w:i/>
              </w:rPr>
              <w:t xml:space="preserve"> </w:t>
            </w:r>
            <w:r w:rsidRPr="00CE45E2">
              <w:rPr>
                <w:b/>
                <w:bCs/>
                <w:i/>
                <w:iCs/>
              </w:rPr>
              <w:t>Mniejsze IORP mogą radzić sobie z tymi ograniczeniami poprzez udział w zbiorczych strukturach inwestycyjnych, outsourcing zarządzania inwestycjami do profesjonalnych podmiotów zarządzających aktywami oraz wspólne rozwiązania administracyjne.</w:t>
            </w:r>
            <w:r w:rsidRPr="00CE45E2">
              <w:rPr>
                <w:b/>
                <w:i/>
              </w:rPr>
              <w:t xml:space="preserve"> Wymogi regulacyjne należy zatem dostosować do rzeczywistego profilu ryzyka i struktury operacyjnej każdej instytucji emerytalnej, a nie wyłącznie do jej wielkości.</w:t>
            </w:r>
          </w:p>
        </w:tc>
      </w:tr>
    </w:tbl>
    <w:p w14:paraId="09432AC2" w14:textId="77777777" w:rsidR="00CE45E2" w:rsidRPr="00CE45E2" w:rsidRDefault="00CE45E2" w:rsidP="00CE45E2">
      <w:pPr>
        <w:pStyle w:val="AmOrLang"/>
        <w:rPr>
          <w:lang w:val="en-US"/>
        </w:rPr>
      </w:pPr>
      <w:r w:rsidRPr="00CE45E2">
        <w:rPr>
          <w:lang w:val="en-US"/>
        </w:rPr>
        <w:t xml:space="preserve">Or. </w:t>
      </w:r>
      <w:r w:rsidRPr="00CE45E2">
        <w:rPr>
          <w:rStyle w:val="HideTWBExt"/>
        </w:rPr>
        <w:t>&lt;Original&gt;</w:t>
      </w:r>
      <w:r w:rsidRPr="00CE45E2">
        <w:rPr>
          <w:rStyle w:val="HideTWBInt"/>
        </w:rPr>
        <w:t>{EN}</w:t>
      </w:r>
      <w:proofErr w:type="spellStart"/>
      <w:r w:rsidRPr="00CE45E2">
        <w:rPr>
          <w:lang w:val="en-US"/>
        </w:rPr>
        <w:t>en</w:t>
      </w:r>
      <w:proofErr w:type="spellEnd"/>
      <w:r w:rsidRPr="00CE45E2">
        <w:rPr>
          <w:rStyle w:val="HideTWBExt"/>
        </w:rPr>
        <w:t>&lt;/Original&gt;</w:t>
      </w:r>
    </w:p>
    <w:p w14:paraId="70CBFD29"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CBBFFEF" w14:textId="77777777" w:rsidR="00CE45E2" w:rsidRPr="00CE45E2" w:rsidRDefault="00CE45E2" w:rsidP="00CE45E2">
      <w:pPr>
        <w:pStyle w:val="AmJustText"/>
      </w:pPr>
      <w:r w:rsidRPr="00CE45E2">
        <w:t>Założenie Komisji dotyczące skuteczności skali jest podważane przez dane empiryczne. Motyw 8 w obecnym brzmieniu grozi utrwaleniem tendencji politycznej w kierunku konsolidacji, która nie jest poparta dowodami i stawia w niekorzystnej sytuacji małe IORP powiązane z instytucjami finansującymi, skutecznie działające dzięki outsourcingowi i zbiorczym strukturom inwestycyjnym.</w:t>
      </w:r>
    </w:p>
    <w:p w14:paraId="33565F59" w14:textId="77777777" w:rsidR="00CE45E2" w:rsidRPr="00CE45E2" w:rsidRDefault="00CE45E2" w:rsidP="00CE45E2">
      <w:r w:rsidRPr="00CE45E2">
        <w:rPr>
          <w:rStyle w:val="HideTWBExt"/>
        </w:rPr>
        <w:t>&lt;/Amend&gt;</w:t>
      </w:r>
    </w:p>
    <w:p w14:paraId="6AC4B64B" w14:textId="20AF3F6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137</w:t>
      </w:r>
      <w:r w:rsidRPr="00CE45E2">
        <w:rPr>
          <w:rStyle w:val="HideTWBExt"/>
          <w:b w:val="0"/>
        </w:rPr>
        <w:t>&lt;/NumAm&gt;</w:t>
      </w:r>
    </w:p>
    <w:p w14:paraId="179255C2"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63F0A65A" w14:textId="77777777" w:rsidR="00CE45E2" w:rsidRPr="00CE45E2" w:rsidRDefault="00CE45E2" w:rsidP="00CE45E2">
      <w:pPr>
        <w:pStyle w:val="NormalBold"/>
      </w:pPr>
      <w:r w:rsidRPr="00CE45E2">
        <w:rPr>
          <w:rStyle w:val="HideTWBExt"/>
          <w:b w:val="0"/>
        </w:rPr>
        <w:t>&lt;/RepeatBlock-By&gt;</w:t>
      </w:r>
    </w:p>
    <w:p w14:paraId="222AB15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AE27753" w14:textId="77777777" w:rsidR="00CE45E2" w:rsidRPr="00CE45E2" w:rsidRDefault="00CE45E2" w:rsidP="00CE45E2">
      <w:pPr>
        <w:pStyle w:val="NormalBold"/>
      </w:pPr>
      <w:r w:rsidRPr="00CE45E2">
        <w:rPr>
          <w:rStyle w:val="HideTWBExt"/>
          <w:b w:val="0"/>
        </w:rPr>
        <w:t>&lt;Article&gt;</w:t>
      </w:r>
      <w:r w:rsidRPr="00CE45E2">
        <w:t>Motyw 9</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E720CF4" w14:textId="77777777" w:rsidTr="006476FB">
        <w:trPr>
          <w:trHeight w:hRule="exact" w:val="240"/>
          <w:jc w:val="center"/>
        </w:trPr>
        <w:tc>
          <w:tcPr>
            <w:tcW w:w="9752" w:type="dxa"/>
            <w:gridSpan w:val="2"/>
            <w:tcBorders>
              <w:top w:val="nil"/>
              <w:left w:val="nil"/>
              <w:bottom w:val="nil"/>
              <w:right w:val="nil"/>
            </w:tcBorders>
          </w:tcPr>
          <w:p w14:paraId="3D089CBE" w14:textId="77777777" w:rsidR="00CE45E2" w:rsidRPr="00CE45E2" w:rsidRDefault="00CE45E2" w:rsidP="006476FB"/>
        </w:tc>
      </w:tr>
      <w:tr w:rsidR="00CE45E2" w:rsidRPr="00CE45E2" w14:paraId="05B5C40A" w14:textId="77777777" w:rsidTr="006476FB">
        <w:trPr>
          <w:trHeight w:val="240"/>
          <w:jc w:val="center"/>
        </w:trPr>
        <w:tc>
          <w:tcPr>
            <w:tcW w:w="4876" w:type="dxa"/>
            <w:tcBorders>
              <w:top w:val="nil"/>
              <w:left w:val="nil"/>
              <w:bottom w:val="nil"/>
              <w:right w:val="nil"/>
            </w:tcBorders>
          </w:tcPr>
          <w:p w14:paraId="48679DA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A1794D6" w14:textId="77777777" w:rsidR="00CE45E2" w:rsidRPr="00CE45E2" w:rsidRDefault="00CE45E2" w:rsidP="006476FB">
            <w:pPr>
              <w:pStyle w:val="AmColumnHeading"/>
            </w:pPr>
            <w:r w:rsidRPr="00CE45E2">
              <w:t>Poprawka</w:t>
            </w:r>
          </w:p>
        </w:tc>
      </w:tr>
      <w:tr w:rsidR="00CE45E2" w:rsidRPr="00CE45E2" w14:paraId="1C1698DE" w14:textId="77777777" w:rsidTr="006476FB">
        <w:trPr>
          <w:jc w:val="center"/>
        </w:trPr>
        <w:tc>
          <w:tcPr>
            <w:tcW w:w="4876" w:type="dxa"/>
            <w:tcBorders>
              <w:top w:val="nil"/>
              <w:left w:val="nil"/>
              <w:bottom w:val="nil"/>
              <w:right w:val="nil"/>
            </w:tcBorders>
          </w:tcPr>
          <w:p w14:paraId="292E757F" w14:textId="77777777" w:rsidR="00CE45E2" w:rsidRPr="00CE45E2" w:rsidRDefault="00CE45E2" w:rsidP="006476FB">
            <w:pPr>
              <w:pStyle w:val="Normal6a"/>
            </w:pPr>
            <w:r w:rsidRPr="00CE45E2">
              <w:rPr>
                <w:b/>
                <w:i/>
              </w:rPr>
              <w:t>(9)</w:t>
            </w:r>
            <w:r w:rsidRPr="00CE45E2">
              <w:tab/>
            </w:r>
            <w:r w:rsidRPr="00CE45E2">
              <w:rPr>
                <w:b/>
                <w:i/>
              </w:rPr>
              <w:t>Dyrektywa (UE) 2016/2341 nie jest jednak wystarczająco skuteczna pod względem wspierania korzyści skali, co skutkowało tym, że dostawcy usług emerytalnych, którzy są często zbyt mali, aby korzystać z dywersyfikacji lub przyrostu efektywności, narażali w ten sposób uczestników i beneficjentów na wyższe koszty i niższe zwroty netto. Konieczne jest zatem ułatwienie osiągnięcia takich korzyści skali.</w:t>
            </w:r>
          </w:p>
        </w:tc>
        <w:tc>
          <w:tcPr>
            <w:tcW w:w="4876" w:type="dxa"/>
            <w:tcBorders>
              <w:top w:val="nil"/>
              <w:left w:val="nil"/>
              <w:bottom w:val="nil"/>
              <w:right w:val="nil"/>
            </w:tcBorders>
          </w:tcPr>
          <w:p w14:paraId="765E5603" w14:textId="77777777" w:rsidR="00CE45E2" w:rsidRPr="00CE45E2" w:rsidRDefault="00CE45E2" w:rsidP="006476FB">
            <w:pPr>
              <w:pStyle w:val="Normal6a"/>
            </w:pPr>
            <w:r w:rsidRPr="00CE45E2">
              <w:rPr>
                <w:b/>
                <w:i/>
              </w:rPr>
              <w:t>skreśla się</w:t>
            </w:r>
          </w:p>
        </w:tc>
      </w:tr>
    </w:tbl>
    <w:p w14:paraId="29F3462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4D72746" w14:textId="77777777" w:rsidR="00CE45E2" w:rsidRPr="00CE45E2" w:rsidRDefault="00CE45E2" w:rsidP="00CE45E2">
      <w:r w:rsidRPr="00CE45E2">
        <w:rPr>
          <w:rStyle w:val="HideTWBExt"/>
        </w:rPr>
        <w:t>&lt;/Amend&gt;</w:t>
      </w:r>
    </w:p>
    <w:p w14:paraId="0743D022" w14:textId="5188D58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138</w:t>
      </w:r>
      <w:r w:rsidRPr="00CE45E2">
        <w:rPr>
          <w:rStyle w:val="HideTWBExt"/>
          <w:b w:val="0"/>
        </w:rPr>
        <w:t>&lt;/NumAm&gt;</w:t>
      </w:r>
    </w:p>
    <w:p w14:paraId="4F946EDC"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0C6DC4D8" w14:textId="77777777" w:rsidR="00CE45E2" w:rsidRPr="00CE45E2" w:rsidRDefault="00CE45E2" w:rsidP="00CE45E2">
      <w:pPr>
        <w:pStyle w:val="NormalBold"/>
      </w:pPr>
      <w:r w:rsidRPr="00CE45E2">
        <w:rPr>
          <w:rStyle w:val="HideTWBExt"/>
          <w:b w:val="0"/>
        </w:rPr>
        <w:t>&lt;/RepeatBlock-By&gt;</w:t>
      </w:r>
    </w:p>
    <w:p w14:paraId="6A253A8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1443A3F" w14:textId="77777777" w:rsidR="00CE45E2" w:rsidRPr="00CE45E2" w:rsidRDefault="00CE45E2" w:rsidP="00CE45E2">
      <w:pPr>
        <w:pStyle w:val="NormalBold"/>
      </w:pPr>
      <w:r w:rsidRPr="00CE45E2">
        <w:rPr>
          <w:rStyle w:val="HideTWBExt"/>
          <w:b w:val="0"/>
        </w:rPr>
        <w:t>&lt;Article&gt;</w:t>
      </w:r>
      <w:r w:rsidRPr="00CE45E2">
        <w:t>Motyw 9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0B30A82" w14:textId="77777777" w:rsidTr="006476FB">
        <w:trPr>
          <w:trHeight w:hRule="exact" w:val="240"/>
          <w:jc w:val="center"/>
        </w:trPr>
        <w:tc>
          <w:tcPr>
            <w:tcW w:w="9752" w:type="dxa"/>
            <w:gridSpan w:val="2"/>
            <w:tcBorders>
              <w:top w:val="nil"/>
              <w:left w:val="nil"/>
              <w:bottom w:val="nil"/>
              <w:right w:val="nil"/>
            </w:tcBorders>
          </w:tcPr>
          <w:p w14:paraId="217B4281" w14:textId="77777777" w:rsidR="00CE45E2" w:rsidRPr="00CE45E2" w:rsidRDefault="00CE45E2" w:rsidP="006476FB"/>
        </w:tc>
      </w:tr>
      <w:tr w:rsidR="00CE45E2" w:rsidRPr="00CE45E2" w14:paraId="6CB36566" w14:textId="77777777" w:rsidTr="006476FB">
        <w:trPr>
          <w:trHeight w:val="240"/>
          <w:jc w:val="center"/>
        </w:trPr>
        <w:tc>
          <w:tcPr>
            <w:tcW w:w="4876" w:type="dxa"/>
            <w:tcBorders>
              <w:top w:val="nil"/>
              <w:left w:val="nil"/>
              <w:bottom w:val="nil"/>
              <w:right w:val="nil"/>
            </w:tcBorders>
          </w:tcPr>
          <w:p w14:paraId="3FA6E72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0FFB445" w14:textId="77777777" w:rsidR="00CE45E2" w:rsidRPr="00CE45E2" w:rsidRDefault="00CE45E2" w:rsidP="006476FB">
            <w:pPr>
              <w:pStyle w:val="AmColumnHeading"/>
            </w:pPr>
            <w:r w:rsidRPr="00CE45E2">
              <w:t>Poprawka</w:t>
            </w:r>
          </w:p>
        </w:tc>
      </w:tr>
      <w:tr w:rsidR="00CE45E2" w:rsidRPr="00CE45E2" w14:paraId="33F86FAA" w14:textId="77777777" w:rsidTr="006476FB">
        <w:trPr>
          <w:jc w:val="center"/>
        </w:trPr>
        <w:tc>
          <w:tcPr>
            <w:tcW w:w="4876" w:type="dxa"/>
            <w:tcBorders>
              <w:top w:val="nil"/>
              <w:left w:val="nil"/>
              <w:bottom w:val="nil"/>
              <w:right w:val="nil"/>
            </w:tcBorders>
          </w:tcPr>
          <w:p w14:paraId="3945EBF3" w14:textId="77777777" w:rsidR="00CE45E2" w:rsidRPr="00CE45E2" w:rsidRDefault="00CE45E2" w:rsidP="006476FB">
            <w:pPr>
              <w:pStyle w:val="Normal6a"/>
            </w:pPr>
          </w:p>
        </w:tc>
        <w:tc>
          <w:tcPr>
            <w:tcW w:w="4876" w:type="dxa"/>
            <w:tcBorders>
              <w:top w:val="nil"/>
              <w:left w:val="nil"/>
              <w:bottom w:val="nil"/>
              <w:right w:val="nil"/>
            </w:tcBorders>
          </w:tcPr>
          <w:p w14:paraId="4A798BE3" w14:textId="77777777" w:rsidR="00CE45E2" w:rsidRPr="00CE45E2" w:rsidRDefault="00CE45E2" w:rsidP="006476FB">
            <w:pPr>
              <w:pStyle w:val="Normal6a"/>
            </w:pPr>
            <w:r w:rsidRPr="00CE45E2">
              <w:rPr>
                <w:b/>
                <w:i/>
              </w:rPr>
              <w:t>(9a)</w:t>
            </w:r>
            <w:r w:rsidRPr="00CE45E2">
              <w:tab/>
            </w:r>
            <w:r w:rsidRPr="00CE45E2">
              <w:rPr>
                <w:b/>
                <w:i/>
              </w:rPr>
              <w:t>Sektor IORP w całej Unii charakteryzuje się znaczną różnorodnością pod względem wielkości, struktury, modelu zarządzania oraz krajowych ram prawnych. Większość IORP działających w Unii ma mniej niż 1 000 uczestników i beneficjentów oraz zarządza aktywami o wartości poniżej 50 mln EUR. Wiele z tych mniejszych IORP jest zakorzenionych w krajowym prawie socjalnym i prawie pracy, działa na zasadach niekomercyjnych oraz korzysta z mechanizmów wsparcia ze strony instytucji finansujących, co znacznie ogranicza ryzyko ponoszone przez uczestników i beneficjentów. Państwa członkowskie powinny zatem zachować pełną swobodę decyzyjną w zakresie zwolnienia takich IORP, w całości lub w części, z wymogów niniejszej dyrektywy, jeżeli ich wielkość, profil ryzyka oraz struktura zarządzania sprawiają, że pełne stosowanie tych wymogów jest nieproporcjonalne.</w:t>
            </w:r>
          </w:p>
        </w:tc>
      </w:tr>
    </w:tbl>
    <w:p w14:paraId="5CE08B5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D4DBC54" w14:textId="77777777" w:rsidR="00CE45E2" w:rsidRPr="00CE45E2" w:rsidRDefault="00CE45E2" w:rsidP="00CE45E2">
      <w:r w:rsidRPr="00CE45E2">
        <w:rPr>
          <w:rStyle w:val="HideTWBExt"/>
        </w:rPr>
        <w:t>&lt;/Amend&gt;</w:t>
      </w:r>
    </w:p>
    <w:p w14:paraId="343441F7" w14:textId="3048CA7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139</w:t>
      </w:r>
      <w:r w:rsidRPr="00CE45E2">
        <w:rPr>
          <w:rStyle w:val="HideTWBExt"/>
          <w:b w:val="0"/>
        </w:rPr>
        <w:t>&lt;/NumAm&gt;</w:t>
      </w:r>
    </w:p>
    <w:p w14:paraId="53D368A9"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7063039E" w14:textId="77777777" w:rsidR="00CE45E2" w:rsidRPr="00CE45E2" w:rsidRDefault="00CE45E2" w:rsidP="00CE45E2">
      <w:pPr>
        <w:pStyle w:val="NormalBold"/>
      </w:pPr>
      <w:r w:rsidRPr="00CE45E2">
        <w:rPr>
          <w:rStyle w:val="HideTWBExt"/>
          <w:b w:val="0"/>
        </w:rPr>
        <w:t>&lt;/RepeatBlock-By&gt;</w:t>
      </w:r>
    </w:p>
    <w:p w14:paraId="218EB7A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B27D023" w14:textId="77777777" w:rsidR="00CE45E2" w:rsidRPr="00CE45E2" w:rsidRDefault="00CE45E2" w:rsidP="00CE45E2">
      <w:pPr>
        <w:pStyle w:val="NormalBold"/>
      </w:pPr>
      <w:r w:rsidRPr="00CE45E2">
        <w:rPr>
          <w:rStyle w:val="HideTWBExt"/>
          <w:b w:val="0"/>
        </w:rPr>
        <w:t>&lt;Article&gt;</w:t>
      </w:r>
      <w:r w:rsidRPr="00CE45E2">
        <w:t>Motyw 11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C780375" w14:textId="77777777" w:rsidTr="006476FB">
        <w:trPr>
          <w:trHeight w:hRule="exact" w:val="240"/>
          <w:jc w:val="center"/>
        </w:trPr>
        <w:tc>
          <w:tcPr>
            <w:tcW w:w="9752" w:type="dxa"/>
            <w:gridSpan w:val="2"/>
            <w:tcBorders>
              <w:top w:val="nil"/>
              <w:left w:val="nil"/>
              <w:bottom w:val="nil"/>
              <w:right w:val="nil"/>
            </w:tcBorders>
          </w:tcPr>
          <w:p w14:paraId="4168CC72" w14:textId="77777777" w:rsidR="00CE45E2" w:rsidRPr="00CE45E2" w:rsidRDefault="00CE45E2" w:rsidP="006476FB"/>
        </w:tc>
      </w:tr>
      <w:tr w:rsidR="00CE45E2" w:rsidRPr="00CE45E2" w14:paraId="38E86686" w14:textId="77777777" w:rsidTr="006476FB">
        <w:trPr>
          <w:trHeight w:val="240"/>
          <w:jc w:val="center"/>
        </w:trPr>
        <w:tc>
          <w:tcPr>
            <w:tcW w:w="4876" w:type="dxa"/>
            <w:tcBorders>
              <w:top w:val="nil"/>
              <w:left w:val="nil"/>
              <w:bottom w:val="nil"/>
              <w:right w:val="nil"/>
            </w:tcBorders>
          </w:tcPr>
          <w:p w14:paraId="53299BB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E485B6D" w14:textId="77777777" w:rsidR="00CE45E2" w:rsidRPr="00CE45E2" w:rsidRDefault="00CE45E2" w:rsidP="006476FB">
            <w:pPr>
              <w:pStyle w:val="AmColumnHeading"/>
            </w:pPr>
            <w:r w:rsidRPr="00CE45E2">
              <w:t>Poprawka</w:t>
            </w:r>
          </w:p>
        </w:tc>
      </w:tr>
      <w:tr w:rsidR="00CE45E2" w:rsidRPr="00CE45E2" w14:paraId="5AD6640C" w14:textId="77777777" w:rsidTr="006476FB">
        <w:trPr>
          <w:jc w:val="center"/>
        </w:trPr>
        <w:tc>
          <w:tcPr>
            <w:tcW w:w="4876" w:type="dxa"/>
            <w:tcBorders>
              <w:top w:val="nil"/>
              <w:left w:val="nil"/>
              <w:bottom w:val="nil"/>
              <w:right w:val="nil"/>
            </w:tcBorders>
          </w:tcPr>
          <w:p w14:paraId="46B1FB52" w14:textId="77777777" w:rsidR="00CE45E2" w:rsidRPr="00CE45E2" w:rsidRDefault="00CE45E2" w:rsidP="006476FB">
            <w:pPr>
              <w:pStyle w:val="Normal6a"/>
            </w:pPr>
          </w:p>
        </w:tc>
        <w:tc>
          <w:tcPr>
            <w:tcW w:w="4876" w:type="dxa"/>
            <w:tcBorders>
              <w:top w:val="nil"/>
              <w:left w:val="nil"/>
              <w:bottom w:val="nil"/>
              <w:right w:val="nil"/>
            </w:tcBorders>
          </w:tcPr>
          <w:p w14:paraId="35034E0F" w14:textId="77777777" w:rsidR="00CE45E2" w:rsidRPr="00CE45E2" w:rsidRDefault="00CE45E2" w:rsidP="006476FB">
            <w:pPr>
              <w:pStyle w:val="Normal6a"/>
            </w:pPr>
            <w:r w:rsidRPr="00CE45E2">
              <w:rPr>
                <w:b/>
                <w:i/>
              </w:rPr>
              <w:t>(11a)</w:t>
            </w:r>
            <w:r w:rsidRPr="00CE45E2">
              <w:tab/>
            </w:r>
            <w:r w:rsidRPr="00CE45E2">
              <w:rPr>
                <w:b/>
                <w:i/>
              </w:rPr>
              <w:t>W kilku państwach członkowskich IORP są utworzone w formie, w której zarządza nimi upoważniony podmiot działający w ich imieniu, o czym mowa w art. 2 ust. 1. Podmiotem takim może być przedsiębiorstwo posiadające zezwolenie na mocy dyrektywy 2009/138/WE, które już dysponuje funduszami własnymi zgodnie z tą dyrektywą i powinno mieć prawo do prowadzenia działalności takich IORP, inny podmiot, o którym mowa w art. 2 ust. 2 lit. b), któremu zezwala na to mające do niego zastosowanie prawo unijne, lub podmiot posiadający zezwolenie na mocy niniejszej dyrektywy. Aktywa takiej IORP są, zgodnie z art. 2 ust. 3, prawnie oddzielone od aktywów podmiotu, który prowadzi jej działalność, a jej zobowiązania są pokrywane, w stosownych przypadkach, z rezerw techniczno-ubezpieczeniowych i regulacyjnych funduszy własnych utrzymywanych zgodnie z art. 15–17. Prowadząc IORP, podmiot naraża się jednak na ryzyka, których aktywa te nie pokrywają, takie jak błędy administracyjne lub księgowe, awarie jego systemów lub procesów wewnętrznych, jego odpowiedzialność wobec IORP lub jej uczestników z tytułu naruszenia obowiązków, a także – w przypadku zaprzestania prowadzenia IORP – koszty przeniesienia IORP do innego podmiotu lub jej likwidacji. Wymienione powyżej podmioty, inne niż przedsiębiorstwa posiadające zezwolenie na mocy dyrektywy 2009/138/WE, powinny zatem utrzymywać minimalne fundusze własne na pokrycie tych rodzajów ryzyka w okresie prowadzenia działalności w ramach IORP, tak aby koszty te nie obciążały oszczędności emerytalnych uczestników i beneficjentów. Minimalna kwota powinna uwzględniać wymogi już mające zastosowanie do porównywalnych podmiotów na mocy prawa krajowego, pozostać poziomem minimalnym, który rodzime państwo członkowskie może przekroczyć, oraz rosnąć wraz z aktywami prowadzonych IORP. Przedsiębiorstwa posiadające zezwolenie na mocy dyrektywy 2009/138/WE oraz inne podmioty, o których mowa w art. 2 ust. 2 lit. b), już korzystają z zasady wzajemnego uznawania na mocy mającego do nich zastosowanie prawa Unii. Harmonizacja zasad udzielania zezwoleń oraz wymogów dotyczących funduszy własnych podmiotów, którym udzielono zezwolenia na mocy niniejszej dyrektywy, powinna zapewnić, że podmioty te również korzystają z zasady wzajemnego uznawania, tak aby wszystkie podmioty prowadzące IORP mogły prowadzić działalność na całym terytorium Unii. Każdy podmiot powinien zapewnić przestrzeganie wymogów nałożonych niniejszą dyrektywą na prowadzone przez niego IORP.</w:t>
            </w:r>
          </w:p>
        </w:tc>
      </w:tr>
    </w:tbl>
    <w:p w14:paraId="6DC90EF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54F8460" w14:textId="77777777" w:rsidR="00CE45E2" w:rsidRPr="00CE45E2" w:rsidRDefault="00CE45E2" w:rsidP="00CE45E2">
      <w:r w:rsidRPr="00CE45E2">
        <w:rPr>
          <w:rStyle w:val="HideTWBExt"/>
        </w:rPr>
        <w:t>&lt;/Amend&gt;</w:t>
      </w:r>
    </w:p>
    <w:p w14:paraId="18F6D3AD" w14:textId="727196A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140</w:t>
      </w:r>
      <w:r w:rsidRPr="00CE45E2">
        <w:rPr>
          <w:rStyle w:val="HideTWBExt"/>
          <w:b w:val="0"/>
        </w:rPr>
        <w:t>&lt;/NumAm&gt;</w:t>
      </w:r>
    </w:p>
    <w:p w14:paraId="502354A9"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7673B5CD"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50127494" w14:textId="77777777" w:rsidR="00CE45E2" w:rsidRPr="00CE45E2" w:rsidRDefault="00CE45E2" w:rsidP="00CE45E2">
      <w:pPr>
        <w:pStyle w:val="NormalBold"/>
      </w:pPr>
      <w:r w:rsidRPr="00CE45E2">
        <w:rPr>
          <w:rStyle w:val="HideTWBExt"/>
          <w:b w:val="0"/>
        </w:rPr>
        <w:t>&lt;/RepeatBlock-By&gt;</w:t>
      </w:r>
    </w:p>
    <w:p w14:paraId="6F0F3C6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68C8E03" w14:textId="77777777" w:rsidR="00CE45E2" w:rsidRPr="00CE45E2" w:rsidRDefault="00CE45E2" w:rsidP="00CE45E2">
      <w:pPr>
        <w:pStyle w:val="NormalBold"/>
      </w:pPr>
      <w:r w:rsidRPr="00CE45E2">
        <w:rPr>
          <w:rStyle w:val="HideTWBExt"/>
          <w:b w:val="0"/>
        </w:rPr>
        <w:t>&lt;Article&gt;</w:t>
      </w:r>
      <w:r w:rsidRPr="00CE45E2">
        <w:t>Motyw 12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3171AC9" w14:textId="77777777" w:rsidTr="006476FB">
        <w:trPr>
          <w:trHeight w:hRule="exact" w:val="240"/>
          <w:jc w:val="center"/>
        </w:trPr>
        <w:tc>
          <w:tcPr>
            <w:tcW w:w="9752" w:type="dxa"/>
            <w:gridSpan w:val="2"/>
            <w:tcBorders>
              <w:top w:val="nil"/>
              <w:left w:val="nil"/>
              <w:bottom w:val="nil"/>
              <w:right w:val="nil"/>
            </w:tcBorders>
          </w:tcPr>
          <w:p w14:paraId="4930E03B" w14:textId="77777777" w:rsidR="00CE45E2" w:rsidRPr="00CE45E2" w:rsidRDefault="00CE45E2" w:rsidP="006476FB"/>
        </w:tc>
      </w:tr>
      <w:tr w:rsidR="00CE45E2" w:rsidRPr="00CE45E2" w14:paraId="42AFEB97" w14:textId="77777777" w:rsidTr="006476FB">
        <w:trPr>
          <w:trHeight w:val="240"/>
          <w:jc w:val="center"/>
        </w:trPr>
        <w:tc>
          <w:tcPr>
            <w:tcW w:w="4876" w:type="dxa"/>
            <w:tcBorders>
              <w:top w:val="nil"/>
              <w:left w:val="nil"/>
              <w:bottom w:val="nil"/>
              <w:right w:val="nil"/>
            </w:tcBorders>
          </w:tcPr>
          <w:p w14:paraId="586B8BA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0DA5306" w14:textId="77777777" w:rsidR="00CE45E2" w:rsidRPr="00CE45E2" w:rsidRDefault="00CE45E2" w:rsidP="006476FB">
            <w:pPr>
              <w:pStyle w:val="AmColumnHeading"/>
            </w:pPr>
            <w:r w:rsidRPr="00CE45E2">
              <w:t>Poprawka</w:t>
            </w:r>
          </w:p>
        </w:tc>
      </w:tr>
      <w:tr w:rsidR="00CE45E2" w:rsidRPr="00CE45E2" w14:paraId="7E66C337" w14:textId="77777777" w:rsidTr="006476FB">
        <w:trPr>
          <w:jc w:val="center"/>
        </w:trPr>
        <w:tc>
          <w:tcPr>
            <w:tcW w:w="4876" w:type="dxa"/>
            <w:tcBorders>
              <w:top w:val="nil"/>
              <w:left w:val="nil"/>
              <w:bottom w:val="nil"/>
              <w:right w:val="nil"/>
            </w:tcBorders>
          </w:tcPr>
          <w:p w14:paraId="71EDD499" w14:textId="77777777" w:rsidR="00CE45E2" w:rsidRPr="00CE45E2" w:rsidRDefault="00CE45E2" w:rsidP="006476FB">
            <w:pPr>
              <w:pStyle w:val="Normal6a"/>
            </w:pPr>
            <w:r w:rsidRPr="00CE45E2">
              <w:t>(12)</w:t>
            </w:r>
            <w:r w:rsidRPr="00CE45E2">
              <w:tab/>
              <w:t>W niektórych państwach członkowskich odpowiedzialność za obsługiwanie IORP może być dzielona między samą IORP a upoważnionym podmiotem działającym na jej rzecz, przy czym każdy z tych podmiotów pełni odrębne, lecz uzupełniające się funkcje. Stosowanie dyrektywy (UE) 2016/2341 powinno być spójne z tym podziałem obowiązków na mocy prawa krajowego i powinno zapewniać, aby wszystkie odpowiedzialne podmioty w pełni podlegały jej wymogom, niezależnie od formy prawnej IORP. Sytuację tę należy jednak odróżnić od outsourcingu, o którym mowa w art. 31 tej dyrektywy, ponieważ wspólne wykonywanie obowiązków w tych przypadkach wynika ze struktury instytucjonalnej IORP określonej w prawie krajowym, a nie z umownego outsourcingu funkcji. Państwa członkowskie powinny również zapewnić, aby aktywa IORP były prawnie oddzielone od aktywów upoważnionych podmiotów obsługujących te instytucje.</w:t>
            </w:r>
          </w:p>
        </w:tc>
        <w:tc>
          <w:tcPr>
            <w:tcW w:w="4876" w:type="dxa"/>
            <w:tcBorders>
              <w:top w:val="nil"/>
              <w:left w:val="nil"/>
              <w:bottom w:val="nil"/>
              <w:right w:val="nil"/>
            </w:tcBorders>
          </w:tcPr>
          <w:p w14:paraId="4C01DC21" w14:textId="77777777" w:rsidR="00CE45E2" w:rsidRPr="00CE45E2" w:rsidRDefault="00CE45E2" w:rsidP="006476FB">
            <w:pPr>
              <w:pStyle w:val="Normal6a"/>
            </w:pPr>
            <w:r w:rsidRPr="00CE45E2">
              <w:t>(12)</w:t>
            </w:r>
            <w:r w:rsidRPr="00CE45E2">
              <w:tab/>
              <w:t>W niektórych państwach członkowskich odpowiedzialność za obsługiwanie IORP może być dzielona między samą IORP a upoważnionym podmiotem działającym na jej rzecz, przy czym każdy z tych podmiotów pełni odrębne, lecz uzupełniające się funkcje. Stosowanie dyrektywy (UE) 2016/2341 powinno być spójne z tym podziałem obowiązków na mocy prawa krajowego i powinno zapewniać, aby wszystkie odpowiedzialne podmioty w pełni podlegały jej wymogom, niezależnie od formy prawnej IORP. Sytuację tę należy jednak odróżnić od outsourcingu, o którym mowa w art. 31 tej dyrektywy, ponieważ wspólne wykonywanie obowiązków w tych przypadkach wynika ze struktury instytucjonalnej IORP określonej w prawie krajowym, a nie z umownego outsourcingu funkcji. Państwa członkowskie powinny również zapewnić, aby aktywa IORP były prawnie oddzielone od aktywów upoważnionych podmiotów obsługujących te instytucje</w:t>
            </w:r>
            <w:r w:rsidRPr="00CE45E2">
              <w:rPr>
                <w:b/>
                <w:bCs/>
                <w:i/>
                <w:iCs/>
              </w:rPr>
              <w:t xml:space="preserve"> w sposób uniemożliwiający jakiekolwiek przenoszenie aktywów między nimi, tak aby zapewnić, że aktywa te pozostają dostępne wyłącznie na potrzeby wypełniania zobowiązań IORP</w:t>
            </w:r>
            <w:r w:rsidRPr="00CE45E2">
              <w:t>.</w:t>
            </w:r>
          </w:p>
        </w:tc>
      </w:tr>
    </w:tbl>
    <w:p w14:paraId="475BFE0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F2D45DC" w14:textId="77777777" w:rsidR="00CE45E2" w:rsidRPr="00CE45E2" w:rsidRDefault="00CE45E2" w:rsidP="00CE45E2">
      <w:r w:rsidRPr="00CE45E2">
        <w:rPr>
          <w:rStyle w:val="HideTWBExt"/>
        </w:rPr>
        <w:t>&lt;/Amend&gt;</w:t>
      </w:r>
    </w:p>
    <w:p w14:paraId="4683AE59" w14:textId="34DF17B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141</w:t>
      </w:r>
      <w:r w:rsidRPr="00CE45E2">
        <w:rPr>
          <w:rStyle w:val="HideTWBExt"/>
          <w:b w:val="0"/>
        </w:rPr>
        <w:t>&lt;/NumAm&gt;</w:t>
      </w:r>
    </w:p>
    <w:p w14:paraId="44C4742F" w14:textId="77777777" w:rsidR="00CE45E2" w:rsidRPr="00CE45E2" w:rsidRDefault="00CE45E2" w:rsidP="00CE45E2">
      <w:pPr>
        <w:pStyle w:val="NormalBold"/>
      </w:pPr>
      <w:r w:rsidRPr="00CE45E2">
        <w:rPr>
          <w:rStyle w:val="HideTWBExt"/>
          <w:b w:val="0"/>
        </w:rPr>
        <w:t>&lt;RepeatBlock-By&gt;&lt;Members&gt;</w:t>
      </w:r>
      <w:proofErr w:type="spellStart"/>
      <w:r w:rsidRPr="00CE45E2">
        <w:t>Pasquale</w:t>
      </w:r>
      <w:proofErr w:type="spellEnd"/>
      <w:r w:rsidRPr="00CE45E2">
        <w:t xml:space="preserve"> </w:t>
      </w:r>
      <w:proofErr w:type="spellStart"/>
      <w:r w:rsidRPr="00CE45E2">
        <w:t>Tridico</w:t>
      </w:r>
      <w:proofErr w:type="spellEnd"/>
      <w:r w:rsidRPr="00CE45E2">
        <w:rPr>
          <w:rStyle w:val="HideTWBExt"/>
          <w:b w:val="0"/>
        </w:rPr>
        <w:t>&lt;/Members&gt;</w:t>
      </w:r>
    </w:p>
    <w:p w14:paraId="3FA9FF79" w14:textId="77777777" w:rsidR="00CE45E2" w:rsidRPr="00CE45E2" w:rsidRDefault="00CE45E2" w:rsidP="00CE45E2">
      <w:pPr>
        <w:pStyle w:val="NormalBold"/>
      </w:pPr>
      <w:r w:rsidRPr="00CE45E2">
        <w:rPr>
          <w:rStyle w:val="HideTWBExt"/>
          <w:b w:val="0"/>
        </w:rPr>
        <w:t>&lt;/RepeatBlock-By&gt;</w:t>
      </w:r>
    </w:p>
    <w:p w14:paraId="77BA9AF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CD83060" w14:textId="77777777" w:rsidR="00CE45E2" w:rsidRPr="00CE45E2" w:rsidRDefault="00CE45E2" w:rsidP="00CE45E2">
      <w:pPr>
        <w:pStyle w:val="NormalBold"/>
      </w:pPr>
      <w:r w:rsidRPr="00CE45E2">
        <w:rPr>
          <w:rStyle w:val="HideTWBExt"/>
          <w:b w:val="0"/>
        </w:rPr>
        <w:t>&lt;Article&gt;</w:t>
      </w:r>
      <w:r w:rsidRPr="00CE45E2">
        <w:t>Motyw 12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2D49B1D" w14:textId="77777777" w:rsidTr="006476FB">
        <w:trPr>
          <w:trHeight w:hRule="exact" w:val="240"/>
          <w:jc w:val="center"/>
        </w:trPr>
        <w:tc>
          <w:tcPr>
            <w:tcW w:w="9752" w:type="dxa"/>
            <w:gridSpan w:val="2"/>
            <w:tcBorders>
              <w:top w:val="nil"/>
              <w:left w:val="nil"/>
              <w:bottom w:val="nil"/>
              <w:right w:val="nil"/>
            </w:tcBorders>
          </w:tcPr>
          <w:p w14:paraId="1CC4BEB3" w14:textId="77777777" w:rsidR="00CE45E2" w:rsidRPr="00CE45E2" w:rsidRDefault="00CE45E2" w:rsidP="006476FB"/>
        </w:tc>
      </w:tr>
      <w:tr w:rsidR="00CE45E2" w:rsidRPr="00CE45E2" w14:paraId="0F8CD9AA" w14:textId="77777777" w:rsidTr="006476FB">
        <w:trPr>
          <w:trHeight w:val="240"/>
          <w:jc w:val="center"/>
        </w:trPr>
        <w:tc>
          <w:tcPr>
            <w:tcW w:w="4876" w:type="dxa"/>
            <w:tcBorders>
              <w:top w:val="nil"/>
              <w:left w:val="nil"/>
              <w:bottom w:val="nil"/>
              <w:right w:val="nil"/>
            </w:tcBorders>
          </w:tcPr>
          <w:p w14:paraId="714F895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353C3D7" w14:textId="77777777" w:rsidR="00CE45E2" w:rsidRPr="00CE45E2" w:rsidRDefault="00CE45E2" w:rsidP="006476FB">
            <w:pPr>
              <w:pStyle w:val="AmColumnHeading"/>
            </w:pPr>
            <w:r w:rsidRPr="00CE45E2">
              <w:t>Poprawka</w:t>
            </w:r>
          </w:p>
        </w:tc>
      </w:tr>
      <w:tr w:rsidR="00CE45E2" w:rsidRPr="00CE45E2" w14:paraId="7090EEF6" w14:textId="77777777" w:rsidTr="006476FB">
        <w:trPr>
          <w:jc w:val="center"/>
        </w:trPr>
        <w:tc>
          <w:tcPr>
            <w:tcW w:w="4876" w:type="dxa"/>
            <w:tcBorders>
              <w:top w:val="nil"/>
              <w:left w:val="nil"/>
              <w:bottom w:val="nil"/>
              <w:right w:val="nil"/>
            </w:tcBorders>
          </w:tcPr>
          <w:p w14:paraId="2986F7F8" w14:textId="77777777" w:rsidR="00CE45E2" w:rsidRPr="00CE45E2" w:rsidRDefault="00CE45E2" w:rsidP="006476FB">
            <w:pPr>
              <w:pStyle w:val="Normal6a"/>
            </w:pPr>
          </w:p>
        </w:tc>
        <w:tc>
          <w:tcPr>
            <w:tcW w:w="4876" w:type="dxa"/>
            <w:tcBorders>
              <w:top w:val="nil"/>
              <w:left w:val="nil"/>
              <w:bottom w:val="nil"/>
              <w:right w:val="nil"/>
            </w:tcBorders>
          </w:tcPr>
          <w:p w14:paraId="39E3BB30" w14:textId="77777777" w:rsidR="00CE45E2" w:rsidRPr="00CE45E2" w:rsidRDefault="00CE45E2" w:rsidP="006476FB">
            <w:pPr>
              <w:pStyle w:val="Normal6a"/>
            </w:pPr>
            <w:r w:rsidRPr="00CE45E2">
              <w:rPr>
                <w:b/>
                <w:i/>
              </w:rPr>
              <w:t>(12a)</w:t>
            </w:r>
            <w:r w:rsidRPr="00CE45E2">
              <w:tab/>
            </w:r>
            <w:r w:rsidRPr="00CE45E2">
              <w:rPr>
                <w:b/>
                <w:i/>
              </w:rPr>
              <w:t>Państwa członkowskie powinny aktywnie promować tworzenie IORP z inicjatywy publicznej jako strategicznego narzędzia służącego rozszerzeniu zasięgu systemów emerytalnych. Instytucje te powinny służyć jako główny kanał mobilizacji długoterminowych oszczędności na rzecz ekologicznej i społecznej transformacji Unii, w szczególności poprzez inwestycje w specjalne państwowe obligacje społeczne i ekologiczne. Aby zapewnić najwyższy poziom ochrony, państwa członkowskie gwarantują ścisłe prawne oddzielenie aktywów tych IORP od budżetu państwa, gwarantując, że strategie inwestycyjne są prowadzone wyłącznie zgodnie z najlepszym długoterminowym interesem uczestników oraz z zasadą „ostrożnego inwestora”.</w:t>
            </w:r>
          </w:p>
        </w:tc>
      </w:tr>
    </w:tbl>
    <w:p w14:paraId="032C3AF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2E00434" w14:textId="77777777" w:rsidR="00CE45E2" w:rsidRPr="00CE45E2" w:rsidRDefault="00CE45E2" w:rsidP="00CE45E2">
      <w:r w:rsidRPr="00CE45E2">
        <w:rPr>
          <w:rStyle w:val="HideTWBExt"/>
        </w:rPr>
        <w:t>&lt;/Amend&gt;</w:t>
      </w:r>
    </w:p>
    <w:p w14:paraId="3DC7BE72" w14:textId="4029147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142</w:t>
      </w:r>
      <w:r w:rsidRPr="00CE45E2">
        <w:rPr>
          <w:rStyle w:val="HideTWBExt"/>
          <w:b w:val="0"/>
        </w:rPr>
        <w:t>&lt;/NumAm&gt;</w:t>
      </w:r>
    </w:p>
    <w:p w14:paraId="32E1F0C2"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20DE180C" w14:textId="77777777" w:rsidR="00CE45E2" w:rsidRPr="00CE45E2" w:rsidRDefault="00CE45E2" w:rsidP="00CE45E2">
      <w:pPr>
        <w:pStyle w:val="NormalBold"/>
      </w:pPr>
      <w:r w:rsidRPr="00CE45E2">
        <w:rPr>
          <w:rStyle w:val="HideTWBExt"/>
          <w:b w:val="0"/>
        </w:rPr>
        <w:t>&lt;/RepeatBlock-By&gt;</w:t>
      </w:r>
    </w:p>
    <w:p w14:paraId="034D487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6E201B4" w14:textId="77777777" w:rsidR="00CE45E2" w:rsidRPr="00CE45E2" w:rsidRDefault="00CE45E2" w:rsidP="00CE45E2">
      <w:pPr>
        <w:pStyle w:val="NormalBold"/>
      </w:pPr>
      <w:r w:rsidRPr="00CE45E2">
        <w:rPr>
          <w:rStyle w:val="HideTWBExt"/>
          <w:b w:val="0"/>
        </w:rPr>
        <w:t>&lt;Article&gt;</w:t>
      </w:r>
      <w:r w:rsidRPr="00CE45E2">
        <w:t>Motyw 12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3DE26CD" w14:textId="77777777" w:rsidTr="006476FB">
        <w:trPr>
          <w:trHeight w:hRule="exact" w:val="240"/>
          <w:jc w:val="center"/>
        </w:trPr>
        <w:tc>
          <w:tcPr>
            <w:tcW w:w="9752" w:type="dxa"/>
            <w:gridSpan w:val="2"/>
            <w:tcBorders>
              <w:top w:val="nil"/>
              <w:left w:val="nil"/>
              <w:bottom w:val="nil"/>
              <w:right w:val="nil"/>
            </w:tcBorders>
          </w:tcPr>
          <w:p w14:paraId="676835A0" w14:textId="77777777" w:rsidR="00CE45E2" w:rsidRPr="00CE45E2" w:rsidRDefault="00CE45E2" w:rsidP="006476FB"/>
        </w:tc>
      </w:tr>
      <w:tr w:rsidR="00CE45E2" w:rsidRPr="00CE45E2" w14:paraId="766C2CAE" w14:textId="77777777" w:rsidTr="006476FB">
        <w:trPr>
          <w:trHeight w:val="240"/>
          <w:jc w:val="center"/>
        </w:trPr>
        <w:tc>
          <w:tcPr>
            <w:tcW w:w="4876" w:type="dxa"/>
            <w:tcBorders>
              <w:top w:val="nil"/>
              <w:left w:val="nil"/>
              <w:bottom w:val="nil"/>
              <w:right w:val="nil"/>
            </w:tcBorders>
          </w:tcPr>
          <w:p w14:paraId="1C833AA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16CCFC8" w14:textId="77777777" w:rsidR="00CE45E2" w:rsidRPr="00CE45E2" w:rsidRDefault="00CE45E2" w:rsidP="006476FB">
            <w:pPr>
              <w:pStyle w:val="AmColumnHeading"/>
            </w:pPr>
            <w:r w:rsidRPr="00CE45E2">
              <w:t>Poprawka</w:t>
            </w:r>
          </w:p>
        </w:tc>
      </w:tr>
      <w:tr w:rsidR="00CE45E2" w:rsidRPr="00CE45E2" w14:paraId="1FB91CC8" w14:textId="77777777" w:rsidTr="006476FB">
        <w:trPr>
          <w:jc w:val="center"/>
        </w:trPr>
        <w:tc>
          <w:tcPr>
            <w:tcW w:w="4876" w:type="dxa"/>
            <w:tcBorders>
              <w:top w:val="nil"/>
              <w:left w:val="nil"/>
              <w:bottom w:val="nil"/>
              <w:right w:val="nil"/>
            </w:tcBorders>
          </w:tcPr>
          <w:p w14:paraId="2EFB0753" w14:textId="77777777" w:rsidR="00CE45E2" w:rsidRPr="00CE45E2" w:rsidRDefault="00CE45E2" w:rsidP="006476FB">
            <w:pPr>
              <w:pStyle w:val="Normal6a"/>
            </w:pPr>
          </w:p>
        </w:tc>
        <w:tc>
          <w:tcPr>
            <w:tcW w:w="4876" w:type="dxa"/>
            <w:tcBorders>
              <w:top w:val="nil"/>
              <w:left w:val="nil"/>
              <w:bottom w:val="nil"/>
              <w:right w:val="nil"/>
            </w:tcBorders>
          </w:tcPr>
          <w:p w14:paraId="6F54B538" w14:textId="77777777" w:rsidR="00CE45E2" w:rsidRPr="00CE45E2" w:rsidRDefault="00CE45E2" w:rsidP="006476FB">
            <w:pPr>
              <w:pStyle w:val="Normal6a"/>
            </w:pPr>
            <w:r w:rsidRPr="00CE45E2">
              <w:rPr>
                <w:b/>
                <w:i/>
              </w:rPr>
              <w:t>(12a)</w:t>
            </w:r>
            <w:r w:rsidRPr="00CE45E2">
              <w:tab/>
            </w:r>
            <w:r w:rsidRPr="00CE45E2">
              <w:rPr>
                <w:b/>
                <w:i/>
              </w:rPr>
              <w:t>Składki wpłacane przez uczestników lub w ich imieniu do instytucji pracowniczych programów emerytalnych stanowią wynagrodzenie uzyskane w ramach zatrudnienia, ale odroczone do momentu przejścia na emeryturę. Składki te oraz nabyte dzięki nim aktywa powinny zatem być prawnie uznane za należące indywidualnie do uczestników i beneficjentów danego programu emerytalnego. Nie powinny one stanowić własności IORP, instytucji finansującej, uprawnionego podmiotu prowadzącego IORP, członków jej organu administracyjnego, zarządzającego lub nadzorczego, ani żadnego usługodawcy lub podmiotu zarządzającego aktywami działającego w jej imieniu.</w:t>
            </w:r>
          </w:p>
        </w:tc>
      </w:tr>
    </w:tbl>
    <w:p w14:paraId="1B91ECD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836BE54"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7308364" w14:textId="77777777" w:rsidR="00CE45E2" w:rsidRPr="00CE45E2" w:rsidRDefault="00CE45E2" w:rsidP="00CE45E2">
      <w:pPr>
        <w:pStyle w:val="AmJustText"/>
      </w:pPr>
      <w:r w:rsidRPr="00CE45E2">
        <w:t>Składki na pracownicze programy emerytalne stanowią odroczone wynagrodzenie i powinny być prawnie za takie uznane. Przepisy powinny uznać, że aktywa emerytalne są utrzymywane wyłącznie na rzecz poszczególnych uczestników i beneficjentów i nie mogą być traktowane jako aktywa należące do zbiorowości, instytucji, jej kierownictwa lub innych pośredników.</w:t>
      </w:r>
    </w:p>
    <w:p w14:paraId="1B2D7C3B" w14:textId="77777777" w:rsidR="00CE45E2" w:rsidRPr="00CE45E2" w:rsidRDefault="00CE45E2" w:rsidP="00CE45E2">
      <w:r w:rsidRPr="00CE45E2">
        <w:rPr>
          <w:rStyle w:val="HideTWBExt"/>
        </w:rPr>
        <w:t>&lt;/Amend&gt;</w:t>
      </w:r>
    </w:p>
    <w:p w14:paraId="41BBE800" w14:textId="04D1692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143</w:t>
      </w:r>
      <w:r w:rsidRPr="00CE45E2">
        <w:rPr>
          <w:rStyle w:val="HideTWBExt"/>
          <w:b w:val="0"/>
        </w:rPr>
        <w:t>&lt;/NumAm&gt;</w:t>
      </w:r>
    </w:p>
    <w:p w14:paraId="60C0158D"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44079BFD" w14:textId="77777777" w:rsidR="00CE45E2" w:rsidRPr="00CE45E2" w:rsidRDefault="00CE45E2" w:rsidP="00CE45E2">
      <w:pPr>
        <w:pStyle w:val="NormalBold"/>
      </w:pPr>
      <w:r w:rsidRPr="00CE45E2">
        <w:rPr>
          <w:rStyle w:val="HideTWBExt"/>
          <w:b w:val="0"/>
        </w:rPr>
        <w:t>&lt;/RepeatBlock-By&gt;</w:t>
      </w:r>
    </w:p>
    <w:p w14:paraId="72F8039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FAF7B8C" w14:textId="77777777" w:rsidR="00CE45E2" w:rsidRPr="00CE45E2" w:rsidRDefault="00CE45E2" w:rsidP="00CE45E2">
      <w:pPr>
        <w:pStyle w:val="NormalBold"/>
      </w:pPr>
      <w:r w:rsidRPr="00CE45E2">
        <w:rPr>
          <w:rStyle w:val="HideTWBExt"/>
          <w:b w:val="0"/>
        </w:rPr>
        <w:t>&lt;Article&gt;</w:t>
      </w:r>
      <w:r w:rsidRPr="00CE45E2">
        <w:t>Motyw 14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DB45064" w14:textId="77777777" w:rsidTr="006476FB">
        <w:trPr>
          <w:trHeight w:hRule="exact" w:val="240"/>
          <w:jc w:val="center"/>
        </w:trPr>
        <w:tc>
          <w:tcPr>
            <w:tcW w:w="9752" w:type="dxa"/>
            <w:gridSpan w:val="2"/>
            <w:tcBorders>
              <w:top w:val="nil"/>
              <w:left w:val="nil"/>
              <w:bottom w:val="nil"/>
              <w:right w:val="nil"/>
            </w:tcBorders>
          </w:tcPr>
          <w:p w14:paraId="7A2377B5" w14:textId="77777777" w:rsidR="00CE45E2" w:rsidRPr="00CE45E2" w:rsidRDefault="00CE45E2" w:rsidP="006476FB"/>
        </w:tc>
      </w:tr>
      <w:tr w:rsidR="00CE45E2" w:rsidRPr="00CE45E2" w14:paraId="71361193" w14:textId="77777777" w:rsidTr="006476FB">
        <w:trPr>
          <w:trHeight w:val="240"/>
          <w:jc w:val="center"/>
        </w:trPr>
        <w:tc>
          <w:tcPr>
            <w:tcW w:w="4876" w:type="dxa"/>
            <w:tcBorders>
              <w:top w:val="nil"/>
              <w:left w:val="nil"/>
              <w:bottom w:val="nil"/>
              <w:right w:val="nil"/>
            </w:tcBorders>
          </w:tcPr>
          <w:p w14:paraId="497CED0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89F4565" w14:textId="77777777" w:rsidR="00CE45E2" w:rsidRPr="00CE45E2" w:rsidRDefault="00CE45E2" w:rsidP="006476FB">
            <w:pPr>
              <w:pStyle w:val="AmColumnHeading"/>
            </w:pPr>
            <w:r w:rsidRPr="00CE45E2">
              <w:t>Poprawka</w:t>
            </w:r>
          </w:p>
        </w:tc>
      </w:tr>
      <w:tr w:rsidR="00CE45E2" w:rsidRPr="00CE45E2" w14:paraId="7FFEAA34" w14:textId="77777777" w:rsidTr="006476FB">
        <w:trPr>
          <w:jc w:val="center"/>
        </w:trPr>
        <w:tc>
          <w:tcPr>
            <w:tcW w:w="4876" w:type="dxa"/>
            <w:tcBorders>
              <w:top w:val="nil"/>
              <w:left w:val="nil"/>
              <w:bottom w:val="nil"/>
              <w:right w:val="nil"/>
            </w:tcBorders>
          </w:tcPr>
          <w:p w14:paraId="424D2518" w14:textId="77777777" w:rsidR="00CE45E2" w:rsidRPr="00CE45E2" w:rsidRDefault="00CE45E2" w:rsidP="006476FB">
            <w:pPr>
              <w:pStyle w:val="Normal6a"/>
            </w:pPr>
            <w:r w:rsidRPr="00CE45E2">
              <w:rPr>
                <w:b/>
                <w:i/>
              </w:rPr>
              <w:t>(14)</w:t>
            </w:r>
            <w:r w:rsidRPr="00CE45E2">
              <w:tab/>
            </w:r>
            <w:r w:rsidRPr="00CE45E2">
              <w:rPr>
                <w:b/>
                <w:i/>
              </w:rPr>
              <w:t>W niektórych państwach członkowskich IORP mogą również mieć możliwość oferowania indywidualnych produktów emerytalnych, w tym ogólnoeuropejskiego indywidualnego produktu emerytalnego, co znajduje odzwierciedlenie w rozporządzeniu Parlamentu Europejskiego i Rady (UE) 2019/1238</w:t>
            </w:r>
            <w:r w:rsidRPr="00CE45E2">
              <w:rPr>
                <w:b/>
                <w:i/>
                <w:vertAlign w:val="superscript"/>
              </w:rPr>
              <w:t>10</w:t>
            </w:r>
            <w:r w:rsidRPr="00CE45E2">
              <w:rPr>
                <w:b/>
                <w:i/>
              </w:rPr>
              <w:t>. Aby zapewnić jasną i właściwą organizację takiej działalności oraz spójny i skuteczny nadzór w odniesieniu do różnych form świadczeń emerytalnych, należy to odzwierciedlić w dyrektywie (UE) 2016/2341.</w:t>
            </w:r>
          </w:p>
        </w:tc>
        <w:tc>
          <w:tcPr>
            <w:tcW w:w="4876" w:type="dxa"/>
            <w:tcBorders>
              <w:top w:val="nil"/>
              <w:left w:val="nil"/>
              <w:bottom w:val="nil"/>
              <w:right w:val="nil"/>
            </w:tcBorders>
          </w:tcPr>
          <w:p w14:paraId="2494EAC1" w14:textId="77777777" w:rsidR="00CE45E2" w:rsidRPr="00CE45E2" w:rsidRDefault="00CE45E2" w:rsidP="006476FB">
            <w:pPr>
              <w:pStyle w:val="Normal6a"/>
            </w:pPr>
            <w:r w:rsidRPr="00CE45E2">
              <w:rPr>
                <w:b/>
                <w:i/>
              </w:rPr>
              <w:t>skreśla się</w:t>
            </w:r>
          </w:p>
        </w:tc>
      </w:tr>
      <w:tr w:rsidR="00CE45E2" w:rsidRPr="00CE45E2" w14:paraId="032442BE" w14:textId="77777777" w:rsidTr="006476FB">
        <w:trPr>
          <w:jc w:val="center"/>
        </w:trPr>
        <w:tc>
          <w:tcPr>
            <w:tcW w:w="4876" w:type="dxa"/>
            <w:tcBorders>
              <w:top w:val="nil"/>
              <w:left w:val="nil"/>
              <w:bottom w:val="nil"/>
              <w:right w:val="nil"/>
            </w:tcBorders>
          </w:tcPr>
          <w:p w14:paraId="67D480A7"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5E5878EF" w14:textId="77777777" w:rsidR="00CE45E2" w:rsidRPr="00CE45E2" w:rsidRDefault="00CE45E2" w:rsidP="006476FB"/>
        </w:tc>
      </w:tr>
      <w:tr w:rsidR="00CE45E2" w:rsidRPr="00CE45E2" w14:paraId="2761C021" w14:textId="77777777" w:rsidTr="006476FB">
        <w:trPr>
          <w:jc w:val="center"/>
        </w:trPr>
        <w:tc>
          <w:tcPr>
            <w:tcW w:w="4876" w:type="dxa"/>
            <w:tcBorders>
              <w:top w:val="nil"/>
              <w:left w:val="nil"/>
              <w:bottom w:val="nil"/>
              <w:right w:val="nil"/>
            </w:tcBorders>
          </w:tcPr>
          <w:p w14:paraId="2121254D" w14:textId="77777777" w:rsidR="00CE45E2" w:rsidRPr="00CE45E2" w:rsidRDefault="00CE45E2" w:rsidP="006476FB">
            <w:pPr>
              <w:pStyle w:val="Normal6a"/>
            </w:pPr>
            <w:r w:rsidRPr="00CE45E2">
              <w:rPr>
                <w:b/>
                <w:bCs/>
                <w:i/>
                <w:iCs/>
                <w:vertAlign w:val="superscript"/>
              </w:rPr>
              <w:t>10</w:t>
            </w:r>
            <w:r w:rsidRPr="00CE45E2">
              <w:rPr>
                <w:b/>
                <w:bCs/>
                <w:i/>
                <w:iCs/>
              </w:rPr>
              <w:t xml:space="preserve"> Rozporządzenie Parlamentu Europejskiego i Rady (UE) 2019/1238 z dnia 20 czerwca 2019 r. w sprawie ogólnoeuropejskiego indywidualnego produktu emerytalnego (OIPE) (Dz.U. L 198 z </w:t>
            </w:r>
            <w:proofErr w:type="gramStart"/>
            <w:r w:rsidRPr="00CE45E2">
              <w:rPr>
                <w:b/>
                <w:bCs/>
                <w:i/>
                <w:iCs/>
              </w:rPr>
              <w:t>25.7.2019</w:t>
            </w:r>
            <w:proofErr w:type="gramEnd"/>
            <w:r w:rsidRPr="00CE45E2">
              <w:rPr>
                <w:b/>
                <w:bCs/>
                <w:i/>
                <w:iCs/>
              </w:rPr>
              <w:t>, s. 1, ELI:</w:t>
            </w:r>
            <w:r w:rsidRPr="00CE45E2">
              <w:rPr>
                <w:b/>
                <w:i/>
              </w:rPr>
              <w:t xml:space="preserve"> http://data.europa.eu/eli/reg/2019/1238/oj).</w:t>
            </w:r>
          </w:p>
        </w:tc>
        <w:tc>
          <w:tcPr>
            <w:tcW w:w="4876" w:type="dxa"/>
            <w:tcBorders>
              <w:top w:val="nil"/>
              <w:left w:val="nil"/>
              <w:bottom w:val="nil"/>
              <w:right w:val="nil"/>
            </w:tcBorders>
          </w:tcPr>
          <w:p w14:paraId="0FA0D03F" w14:textId="77777777" w:rsidR="00CE45E2" w:rsidRPr="00CE45E2" w:rsidRDefault="00CE45E2" w:rsidP="006476FB"/>
        </w:tc>
      </w:tr>
    </w:tbl>
    <w:p w14:paraId="6C14712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745C3BA" w14:textId="77777777" w:rsidR="00CE45E2" w:rsidRPr="00CE45E2" w:rsidRDefault="00CE45E2" w:rsidP="00CE45E2">
      <w:r w:rsidRPr="00CE45E2">
        <w:rPr>
          <w:rStyle w:val="HideTWBExt"/>
        </w:rPr>
        <w:t>&lt;/Amend&gt;</w:t>
      </w:r>
    </w:p>
    <w:p w14:paraId="53E6CDA2" w14:textId="06505D4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144</w:t>
      </w:r>
      <w:r w:rsidRPr="00CE45E2">
        <w:rPr>
          <w:rStyle w:val="HideTWBExt"/>
          <w:b w:val="0"/>
        </w:rPr>
        <w:t>&lt;/NumAm&gt;</w:t>
      </w:r>
    </w:p>
    <w:p w14:paraId="586BB08B"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3660A587"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34BB0E80" w14:textId="77777777" w:rsidR="00CE45E2" w:rsidRPr="00CE45E2" w:rsidRDefault="00CE45E2" w:rsidP="00CE45E2">
      <w:pPr>
        <w:pStyle w:val="NormalBold"/>
      </w:pPr>
      <w:r w:rsidRPr="00CE45E2">
        <w:rPr>
          <w:rStyle w:val="HideTWBExt"/>
          <w:b w:val="0"/>
        </w:rPr>
        <w:t>&lt;/RepeatBlock-By&gt;</w:t>
      </w:r>
    </w:p>
    <w:p w14:paraId="072811E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74396BF" w14:textId="77777777" w:rsidR="00CE45E2" w:rsidRPr="00CE45E2" w:rsidRDefault="00CE45E2" w:rsidP="00CE45E2">
      <w:pPr>
        <w:pStyle w:val="NormalBold"/>
      </w:pPr>
      <w:r w:rsidRPr="00CE45E2">
        <w:rPr>
          <w:rStyle w:val="HideTWBExt"/>
          <w:b w:val="0"/>
        </w:rPr>
        <w:t>&lt;Article&gt;</w:t>
      </w:r>
      <w:r w:rsidRPr="00CE45E2">
        <w:t>Motyw 14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3E2C9A4" w14:textId="77777777" w:rsidTr="006476FB">
        <w:trPr>
          <w:trHeight w:hRule="exact" w:val="240"/>
          <w:jc w:val="center"/>
        </w:trPr>
        <w:tc>
          <w:tcPr>
            <w:tcW w:w="9752" w:type="dxa"/>
            <w:gridSpan w:val="2"/>
            <w:tcBorders>
              <w:top w:val="nil"/>
              <w:left w:val="nil"/>
              <w:bottom w:val="nil"/>
              <w:right w:val="nil"/>
            </w:tcBorders>
          </w:tcPr>
          <w:p w14:paraId="66FAF055" w14:textId="77777777" w:rsidR="00CE45E2" w:rsidRPr="00CE45E2" w:rsidRDefault="00CE45E2" w:rsidP="006476FB"/>
        </w:tc>
      </w:tr>
      <w:tr w:rsidR="00CE45E2" w:rsidRPr="00CE45E2" w14:paraId="3F23151A" w14:textId="77777777" w:rsidTr="006476FB">
        <w:trPr>
          <w:trHeight w:val="240"/>
          <w:jc w:val="center"/>
        </w:trPr>
        <w:tc>
          <w:tcPr>
            <w:tcW w:w="4876" w:type="dxa"/>
            <w:tcBorders>
              <w:top w:val="nil"/>
              <w:left w:val="nil"/>
              <w:bottom w:val="nil"/>
              <w:right w:val="nil"/>
            </w:tcBorders>
          </w:tcPr>
          <w:p w14:paraId="6E5E6D7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79A8D14" w14:textId="77777777" w:rsidR="00CE45E2" w:rsidRPr="00CE45E2" w:rsidRDefault="00CE45E2" w:rsidP="006476FB">
            <w:pPr>
              <w:pStyle w:val="AmColumnHeading"/>
            </w:pPr>
            <w:r w:rsidRPr="00CE45E2">
              <w:t>Poprawka</w:t>
            </w:r>
          </w:p>
        </w:tc>
      </w:tr>
      <w:tr w:rsidR="00CE45E2" w:rsidRPr="00CE45E2" w14:paraId="2C2F363D" w14:textId="77777777" w:rsidTr="006476FB">
        <w:trPr>
          <w:jc w:val="center"/>
        </w:trPr>
        <w:tc>
          <w:tcPr>
            <w:tcW w:w="4876" w:type="dxa"/>
            <w:tcBorders>
              <w:top w:val="nil"/>
              <w:left w:val="nil"/>
              <w:bottom w:val="nil"/>
              <w:right w:val="nil"/>
            </w:tcBorders>
          </w:tcPr>
          <w:p w14:paraId="3FED624F" w14:textId="77777777" w:rsidR="00CE45E2" w:rsidRPr="00CE45E2" w:rsidRDefault="00CE45E2" w:rsidP="006476FB">
            <w:pPr>
              <w:pStyle w:val="Normal6a"/>
            </w:pPr>
            <w:r w:rsidRPr="00CE45E2">
              <w:t>(14)</w:t>
            </w:r>
            <w:r w:rsidRPr="00CE45E2">
              <w:tab/>
            </w:r>
            <w:r w:rsidRPr="00CE45E2">
              <w:rPr>
                <w:b/>
                <w:bCs/>
                <w:i/>
                <w:iCs/>
              </w:rPr>
              <w:t>W niektórych państwach członkowskich</w:t>
            </w:r>
            <w:r w:rsidRPr="00CE45E2">
              <w:t xml:space="preserve"> IORP</w:t>
            </w:r>
            <w:r w:rsidRPr="00CE45E2">
              <w:rPr>
                <w:b/>
                <w:bCs/>
                <w:i/>
                <w:iCs/>
              </w:rPr>
              <w:t xml:space="preserve"> mogą również mieć możliwość oferowania indywidualnych produktów emerytalnych, w tym ogólnoeuropejskiego indywidualnego produktu emerytalnego, co znajduje odzwierciedlenie w rozporządzeniu Parlamentu Europejskiego i Rady (UE) 2019/1238</w:t>
            </w:r>
            <w:r w:rsidRPr="00CE45E2">
              <w:rPr>
                <w:b/>
                <w:bCs/>
                <w:i/>
                <w:iCs/>
                <w:vertAlign w:val="superscript"/>
              </w:rPr>
              <w:t>10</w:t>
            </w:r>
            <w:r w:rsidRPr="00CE45E2">
              <w:rPr>
                <w:b/>
                <w:bCs/>
                <w:i/>
                <w:iCs/>
              </w:rPr>
              <w:t>.</w:t>
            </w:r>
            <w:r w:rsidRPr="00CE45E2">
              <w:rPr>
                <w:b/>
                <w:i/>
              </w:rPr>
              <w:t xml:space="preserve"> </w:t>
            </w:r>
            <w:r w:rsidRPr="00CE45E2">
              <w:rPr>
                <w:b/>
                <w:bCs/>
                <w:i/>
                <w:iCs/>
              </w:rPr>
              <w:t>Aby zapewnić jasną i właściwą organizację takiej działalności oraz spójny i skuteczny nadzór w odniesieniu do różnych form świadczeń emerytalnych, należy to odzwierciedlić</w:t>
            </w:r>
            <w:r w:rsidRPr="00CE45E2">
              <w:t xml:space="preserve"> w dyrektywie (UE) 2016/2341.</w:t>
            </w:r>
          </w:p>
        </w:tc>
        <w:tc>
          <w:tcPr>
            <w:tcW w:w="4876" w:type="dxa"/>
            <w:tcBorders>
              <w:top w:val="nil"/>
              <w:left w:val="nil"/>
              <w:bottom w:val="nil"/>
              <w:right w:val="nil"/>
            </w:tcBorders>
          </w:tcPr>
          <w:p w14:paraId="10E13EB4" w14:textId="77777777" w:rsidR="00CE45E2" w:rsidRPr="00CE45E2" w:rsidRDefault="00CE45E2" w:rsidP="006476FB">
            <w:pPr>
              <w:pStyle w:val="Normal6a"/>
            </w:pPr>
            <w:r w:rsidRPr="00CE45E2">
              <w:t>(14)</w:t>
            </w:r>
            <w:r w:rsidRPr="00CE45E2">
              <w:tab/>
            </w:r>
            <w:r w:rsidRPr="00CE45E2">
              <w:rPr>
                <w:b/>
                <w:bCs/>
                <w:i/>
                <w:iCs/>
              </w:rPr>
              <w:t>Niektóre państwa członkowskie zezwalają</w:t>
            </w:r>
            <w:r w:rsidRPr="00CE45E2">
              <w:t xml:space="preserve"> IORP </w:t>
            </w:r>
            <w:r w:rsidRPr="00CE45E2">
              <w:rPr>
                <w:b/>
                <w:bCs/>
                <w:i/>
                <w:iCs/>
              </w:rPr>
              <w:t>na prowadzenie działalności w zakresie indywidualnych programów emerytalnych bez podlegania, w odniesieniu do tej działalności, wszystkim wymogom określonym</w:t>
            </w:r>
            <w:r w:rsidRPr="00CE45E2">
              <w:t xml:space="preserve"> w dyrektywie (UE) 2016/2341. </w:t>
            </w:r>
            <w:r w:rsidRPr="00CE45E2">
              <w:rPr>
                <w:b/>
                <w:i/>
              </w:rPr>
              <w:t xml:space="preserve">Aby uwzględnić takie rozwiązania krajowe, państwa członkowskie powinny zachować możliwość niestosowania wszystkich przepisów tej dyrektywy do działalności w zakresie </w:t>
            </w:r>
            <w:proofErr w:type="spellStart"/>
            <w:r w:rsidRPr="00CE45E2">
              <w:rPr>
                <w:b/>
                <w:i/>
              </w:rPr>
              <w:t>pozapracowniczych</w:t>
            </w:r>
            <w:proofErr w:type="spellEnd"/>
            <w:r w:rsidRPr="00CE45E2">
              <w:rPr>
                <w:b/>
                <w:i/>
              </w:rPr>
              <w:t xml:space="preserve"> indywidualnych programów emerytalnych prowadzonej przez IORP. W celu zapewnienia odpowiedniego poziomu ochrony uczestników i beneficjentów w innych państwach członkowskich, w </w:t>
            </w:r>
            <w:proofErr w:type="gramStart"/>
            <w:r w:rsidRPr="00CE45E2">
              <w:rPr>
                <w:b/>
                <w:i/>
              </w:rPr>
              <w:t>przypadku</w:t>
            </w:r>
            <w:proofErr w:type="gramEnd"/>
            <w:r w:rsidRPr="00CE45E2">
              <w:rPr>
                <w:b/>
                <w:i/>
              </w:rPr>
              <w:t xml:space="preserve"> gdy IORP nie podlega wszystkim przepisom dyrektywy (UE) 2016/2341 w odniesieniu do takiej działalności, państwa członkowskie powinny jednak zapewnić, by IORP nie prowadziła działalności transgranicznej oraz by wprowadzono odpowiednie rozwiązania w zakresie wyodrębnienia aktywów.</w:t>
            </w:r>
          </w:p>
        </w:tc>
      </w:tr>
      <w:tr w:rsidR="00CE45E2" w:rsidRPr="00CE45E2" w14:paraId="7C3AC30F" w14:textId="77777777" w:rsidTr="006476FB">
        <w:trPr>
          <w:jc w:val="center"/>
        </w:trPr>
        <w:tc>
          <w:tcPr>
            <w:tcW w:w="4876" w:type="dxa"/>
            <w:tcBorders>
              <w:top w:val="nil"/>
              <w:left w:val="nil"/>
              <w:bottom w:val="nil"/>
              <w:right w:val="nil"/>
            </w:tcBorders>
          </w:tcPr>
          <w:p w14:paraId="2A409A81"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0B740043" w14:textId="77777777" w:rsidR="00CE45E2" w:rsidRPr="00CE45E2" w:rsidRDefault="00CE45E2" w:rsidP="006476FB"/>
        </w:tc>
      </w:tr>
      <w:tr w:rsidR="00CE45E2" w:rsidRPr="00CE45E2" w14:paraId="4DBF26F3" w14:textId="77777777" w:rsidTr="006476FB">
        <w:trPr>
          <w:jc w:val="center"/>
        </w:trPr>
        <w:tc>
          <w:tcPr>
            <w:tcW w:w="4876" w:type="dxa"/>
            <w:tcBorders>
              <w:top w:val="nil"/>
              <w:left w:val="nil"/>
              <w:bottom w:val="nil"/>
              <w:right w:val="nil"/>
            </w:tcBorders>
          </w:tcPr>
          <w:p w14:paraId="755A038B" w14:textId="77777777" w:rsidR="00CE45E2" w:rsidRPr="00CE45E2" w:rsidRDefault="00CE45E2" w:rsidP="006476FB">
            <w:pPr>
              <w:pStyle w:val="Normal6a"/>
            </w:pPr>
            <w:r w:rsidRPr="00CE45E2">
              <w:rPr>
                <w:b/>
                <w:bCs/>
                <w:i/>
                <w:iCs/>
                <w:vertAlign w:val="superscript"/>
              </w:rPr>
              <w:t>10</w:t>
            </w:r>
            <w:r w:rsidRPr="00CE45E2">
              <w:rPr>
                <w:b/>
                <w:bCs/>
                <w:i/>
                <w:iCs/>
              </w:rPr>
              <w:t xml:space="preserve"> Rozporządzenie Parlamentu Europejskiego i Rady (UE) 2019/1238 z dnia 20 czerwca 2019 r. w sprawie ogólnoeuropejskiego indywidualnego produktu emerytalnego (OIPE) (Dz.U. L 198 z </w:t>
            </w:r>
            <w:proofErr w:type="gramStart"/>
            <w:r w:rsidRPr="00CE45E2">
              <w:rPr>
                <w:b/>
                <w:bCs/>
                <w:i/>
                <w:iCs/>
              </w:rPr>
              <w:t>25.7.2019</w:t>
            </w:r>
            <w:proofErr w:type="gramEnd"/>
            <w:r w:rsidRPr="00CE45E2">
              <w:rPr>
                <w:b/>
                <w:bCs/>
                <w:i/>
                <w:iCs/>
              </w:rPr>
              <w:t>, s. 1, ELI:</w:t>
            </w:r>
            <w:r w:rsidRPr="00CE45E2">
              <w:rPr>
                <w:b/>
                <w:i/>
              </w:rPr>
              <w:t xml:space="preserve"> http://data.europa.eu/eli/reg/2019/1238/oj).</w:t>
            </w:r>
          </w:p>
        </w:tc>
        <w:tc>
          <w:tcPr>
            <w:tcW w:w="4876" w:type="dxa"/>
            <w:tcBorders>
              <w:top w:val="nil"/>
              <w:left w:val="nil"/>
              <w:bottom w:val="nil"/>
              <w:right w:val="nil"/>
            </w:tcBorders>
          </w:tcPr>
          <w:p w14:paraId="1946D752" w14:textId="77777777" w:rsidR="00CE45E2" w:rsidRPr="00CE45E2" w:rsidRDefault="00CE45E2" w:rsidP="006476FB"/>
        </w:tc>
      </w:tr>
    </w:tbl>
    <w:p w14:paraId="3946210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26DE0D5" w14:textId="77777777" w:rsidR="00CE45E2" w:rsidRPr="00CE45E2" w:rsidRDefault="00CE45E2" w:rsidP="00CE45E2">
      <w:r w:rsidRPr="00CE45E2">
        <w:rPr>
          <w:rStyle w:val="HideTWBExt"/>
        </w:rPr>
        <w:t>&lt;/Amend&gt;</w:t>
      </w:r>
    </w:p>
    <w:p w14:paraId="08D9ACC7" w14:textId="018EF6F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145</w:t>
      </w:r>
      <w:r w:rsidRPr="00CE45E2">
        <w:rPr>
          <w:rStyle w:val="HideTWBExt"/>
          <w:b w:val="0"/>
        </w:rPr>
        <w:t>&lt;/NumAm&gt;</w:t>
      </w:r>
    </w:p>
    <w:p w14:paraId="21C606DE" w14:textId="77777777" w:rsidR="00CE45E2" w:rsidRPr="00CE45E2" w:rsidRDefault="00CE45E2" w:rsidP="00CE45E2">
      <w:pPr>
        <w:pStyle w:val="NormalBold"/>
      </w:pPr>
      <w:r w:rsidRPr="00CE45E2">
        <w:rPr>
          <w:rStyle w:val="HideTWBExt"/>
          <w:b w:val="0"/>
        </w:rPr>
        <w:t>&lt;RepeatBlock-By&gt;&lt;Members&gt;</w:t>
      </w:r>
      <w:proofErr w:type="spellStart"/>
      <w:r w:rsidRPr="00CE45E2">
        <w:t>Danuše</w:t>
      </w:r>
      <w:proofErr w:type="spellEnd"/>
      <w:r w:rsidRPr="00CE45E2">
        <w:t xml:space="preserve"> </w:t>
      </w:r>
      <w:proofErr w:type="spellStart"/>
      <w:r w:rsidRPr="00CE45E2">
        <w:t>Nerudová</w:t>
      </w:r>
      <w:proofErr w:type="spellEnd"/>
      <w:r w:rsidRPr="00CE45E2">
        <w:rPr>
          <w:rStyle w:val="HideTWBExt"/>
          <w:b w:val="0"/>
        </w:rPr>
        <w:t>&lt;/Members&gt;</w:t>
      </w:r>
    </w:p>
    <w:p w14:paraId="45022B72" w14:textId="77777777" w:rsidR="00CE45E2" w:rsidRPr="00CE45E2" w:rsidRDefault="00CE45E2" w:rsidP="00CE45E2">
      <w:pPr>
        <w:pStyle w:val="NormalBold"/>
      </w:pPr>
      <w:r w:rsidRPr="00CE45E2">
        <w:rPr>
          <w:rStyle w:val="HideTWBExt"/>
          <w:b w:val="0"/>
        </w:rPr>
        <w:t>&lt;/RepeatBlock-By&gt;</w:t>
      </w:r>
    </w:p>
    <w:p w14:paraId="7F49821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2117A3C" w14:textId="77777777" w:rsidR="00CE45E2" w:rsidRPr="00CE45E2" w:rsidRDefault="00CE45E2" w:rsidP="00CE45E2">
      <w:pPr>
        <w:pStyle w:val="NormalBold"/>
      </w:pPr>
      <w:r w:rsidRPr="00CE45E2">
        <w:rPr>
          <w:rStyle w:val="HideTWBExt"/>
          <w:b w:val="0"/>
        </w:rPr>
        <w:t>&lt;Article&gt;</w:t>
      </w:r>
      <w:r w:rsidRPr="00CE45E2">
        <w:t>Motyw 14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F080A05" w14:textId="77777777" w:rsidTr="006476FB">
        <w:trPr>
          <w:trHeight w:hRule="exact" w:val="240"/>
          <w:jc w:val="center"/>
        </w:trPr>
        <w:tc>
          <w:tcPr>
            <w:tcW w:w="9752" w:type="dxa"/>
            <w:gridSpan w:val="2"/>
            <w:tcBorders>
              <w:top w:val="nil"/>
              <w:left w:val="nil"/>
              <w:bottom w:val="nil"/>
              <w:right w:val="nil"/>
            </w:tcBorders>
          </w:tcPr>
          <w:p w14:paraId="338B389F" w14:textId="77777777" w:rsidR="00CE45E2" w:rsidRPr="00CE45E2" w:rsidRDefault="00CE45E2" w:rsidP="006476FB"/>
        </w:tc>
      </w:tr>
      <w:tr w:rsidR="00CE45E2" w:rsidRPr="00CE45E2" w14:paraId="2E3D0385" w14:textId="77777777" w:rsidTr="006476FB">
        <w:trPr>
          <w:trHeight w:val="240"/>
          <w:jc w:val="center"/>
        </w:trPr>
        <w:tc>
          <w:tcPr>
            <w:tcW w:w="4876" w:type="dxa"/>
            <w:tcBorders>
              <w:top w:val="nil"/>
              <w:left w:val="nil"/>
              <w:bottom w:val="nil"/>
              <w:right w:val="nil"/>
            </w:tcBorders>
          </w:tcPr>
          <w:p w14:paraId="72754EF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9640C6A" w14:textId="77777777" w:rsidR="00CE45E2" w:rsidRPr="00CE45E2" w:rsidRDefault="00CE45E2" w:rsidP="006476FB">
            <w:pPr>
              <w:pStyle w:val="AmColumnHeading"/>
            </w:pPr>
            <w:r w:rsidRPr="00CE45E2">
              <w:t>Poprawka</w:t>
            </w:r>
          </w:p>
        </w:tc>
      </w:tr>
      <w:tr w:rsidR="00CE45E2" w:rsidRPr="00CE45E2" w14:paraId="20E0250C" w14:textId="77777777" w:rsidTr="006476FB">
        <w:trPr>
          <w:jc w:val="center"/>
        </w:trPr>
        <w:tc>
          <w:tcPr>
            <w:tcW w:w="4876" w:type="dxa"/>
            <w:tcBorders>
              <w:top w:val="nil"/>
              <w:left w:val="nil"/>
              <w:bottom w:val="nil"/>
              <w:right w:val="nil"/>
            </w:tcBorders>
          </w:tcPr>
          <w:p w14:paraId="75BCC3F4" w14:textId="77777777" w:rsidR="00CE45E2" w:rsidRPr="00CE45E2" w:rsidRDefault="00CE45E2" w:rsidP="006476FB">
            <w:pPr>
              <w:pStyle w:val="Normal6a"/>
            </w:pPr>
          </w:p>
        </w:tc>
        <w:tc>
          <w:tcPr>
            <w:tcW w:w="4876" w:type="dxa"/>
            <w:tcBorders>
              <w:top w:val="nil"/>
              <w:left w:val="nil"/>
              <w:bottom w:val="nil"/>
              <w:right w:val="nil"/>
            </w:tcBorders>
          </w:tcPr>
          <w:p w14:paraId="65B66225" w14:textId="77777777" w:rsidR="00CE45E2" w:rsidRPr="00CE45E2" w:rsidRDefault="00CE45E2" w:rsidP="006476FB">
            <w:pPr>
              <w:pStyle w:val="Normal6a"/>
            </w:pPr>
            <w:r w:rsidRPr="00CE45E2">
              <w:rPr>
                <w:b/>
                <w:i/>
              </w:rPr>
              <w:t>(14a)</w:t>
            </w:r>
            <w:r w:rsidRPr="00CE45E2">
              <w:tab/>
            </w:r>
            <w:r w:rsidRPr="00CE45E2">
              <w:rPr>
                <w:b/>
                <w:i/>
              </w:rPr>
              <w:t>Aby poprawić dostęp do pracowniczych programów emerytalnych, w szczególności dla pracowników małych i średnich przedsiębiorstw oraz osób samozatrudnionych, państwa członkowskie powinny zapewnić, by co najmniej jedna IORP była gotowa przyjąć wsparcie finansowe od dowolnego przedsiębiorstwa oraz zapewnić udział takich pracowników i osób samozatrudnionych na obiektywnych, przejrzystych i niedyskryminujących warunkach. Obowiązek ten dotyczy wyłącznie dostępności takiej IORP i nie narusza kompetencji państw członkowskich w zakresie organizacji ich systemów emerytalnych. Państwa członkowskie mogą wypełnić ten obowiązek wspólnie, w tym poprzez skorzystanie z usług IORP posiadającej zezwolenie w innym państwie członkowskim zgodnie z niniejszą dyrektywą oraz bez uszczerbku dla obowiązującego prawa socjalnego i prawa pracy przyjmującego państwa członkowskiego.</w:t>
            </w:r>
          </w:p>
        </w:tc>
      </w:tr>
    </w:tbl>
    <w:p w14:paraId="51F9FDA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E849D4C" w14:textId="77777777" w:rsidR="00CE45E2" w:rsidRPr="00CE45E2" w:rsidRDefault="00CE45E2" w:rsidP="00CE45E2">
      <w:r w:rsidRPr="00CE45E2">
        <w:rPr>
          <w:rStyle w:val="HideTWBExt"/>
        </w:rPr>
        <w:t>&lt;/Amend&gt;</w:t>
      </w:r>
    </w:p>
    <w:p w14:paraId="0F552519" w14:textId="259CAF7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146</w:t>
      </w:r>
      <w:r w:rsidRPr="00CE45E2">
        <w:rPr>
          <w:rStyle w:val="HideTWBExt"/>
          <w:b w:val="0"/>
        </w:rPr>
        <w:t>&lt;/NumAm&gt;</w:t>
      </w:r>
    </w:p>
    <w:p w14:paraId="507CE3DB"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623E361A"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07AE72B8" w14:textId="77777777" w:rsidR="00CE45E2" w:rsidRPr="00CE45E2" w:rsidRDefault="00CE45E2" w:rsidP="00CE45E2">
      <w:pPr>
        <w:pStyle w:val="NormalBold"/>
      </w:pPr>
      <w:r w:rsidRPr="00CE45E2">
        <w:rPr>
          <w:rStyle w:val="HideTWBExt"/>
          <w:b w:val="0"/>
        </w:rPr>
        <w:t>&lt;/RepeatBlock-By&gt;</w:t>
      </w:r>
    </w:p>
    <w:p w14:paraId="4A73A63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1BBFCEB" w14:textId="77777777" w:rsidR="00CE45E2" w:rsidRPr="00CE45E2" w:rsidRDefault="00CE45E2" w:rsidP="00CE45E2">
      <w:pPr>
        <w:pStyle w:val="NormalBold"/>
      </w:pPr>
      <w:r w:rsidRPr="00CE45E2">
        <w:rPr>
          <w:rStyle w:val="HideTWBExt"/>
          <w:b w:val="0"/>
        </w:rPr>
        <w:t>&lt;Article&gt;</w:t>
      </w:r>
      <w:r w:rsidRPr="00CE45E2">
        <w:t>Motyw 14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A8771D5" w14:textId="77777777" w:rsidTr="006476FB">
        <w:trPr>
          <w:trHeight w:hRule="exact" w:val="240"/>
          <w:jc w:val="center"/>
        </w:trPr>
        <w:tc>
          <w:tcPr>
            <w:tcW w:w="9752" w:type="dxa"/>
            <w:gridSpan w:val="2"/>
            <w:tcBorders>
              <w:top w:val="nil"/>
              <w:left w:val="nil"/>
              <w:bottom w:val="nil"/>
              <w:right w:val="nil"/>
            </w:tcBorders>
          </w:tcPr>
          <w:p w14:paraId="33E2B005" w14:textId="77777777" w:rsidR="00CE45E2" w:rsidRPr="00CE45E2" w:rsidRDefault="00CE45E2" w:rsidP="006476FB"/>
        </w:tc>
      </w:tr>
      <w:tr w:rsidR="00CE45E2" w:rsidRPr="00CE45E2" w14:paraId="7B0A8B66" w14:textId="77777777" w:rsidTr="006476FB">
        <w:trPr>
          <w:trHeight w:val="240"/>
          <w:jc w:val="center"/>
        </w:trPr>
        <w:tc>
          <w:tcPr>
            <w:tcW w:w="4876" w:type="dxa"/>
            <w:tcBorders>
              <w:top w:val="nil"/>
              <w:left w:val="nil"/>
              <w:bottom w:val="nil"/>
              <w:right w:val="nil"/>
            </w:tcBorders>
          </w:tcPr>
          <w:p w14:paraId="5926ACD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BC1208D" w14:textId="77777777" w:rsidR="00CE45E2" w:rsidRPr="00CE45E2" w:rsidRDefault="00CE45E2" w:rsidP="006476FB">
            <w:pPr>
              <w:pStyle w:val="AmColumnHeading"/>
            </w:pPr>
            <w:r w:rsidRPr="00CE45E2">
              <w:t>Poprawka</w:t>
            </w:r>
          </w:p>
        </w:tc>
      </w:tr>
      <w:tr w:rsidR="00CE45E2" w:rsidRPr="00CE45E2" w14:paraId="636C2867" w14:textId="77777777" w:rsidTr="006476FB">
        <w:trPr>
          <w:jc w:val="center"/>
        </w:trPr>
        <w:tc>
          <w:tcPr>
            <w:tcW w:w="4876" w:type="dxa"/>
            <w:tcBorders>
              <w:top w:val="nil"/>
              <w:left w:val="nil"/>
              <w:bottom w:val="nil"/>
              <w:right w:val="nil"/>
            </w:tcBorders>
          </w:tcPr>
          <w:p w14:paraId="5E92C183" w14:textId="77777777" w:rsidR="00CE45E2" w:rsidRPr="00CE45E2" w:rsidRDefault="00CE45E2" w:rsidP="006476FB">
            <w:pPr>
              <w:pStyle w:val="Normal6a"/>
            </w:pPr>
          </w:p>
        </w:tc>
        <w:tc>
          <w:tcPr>
            <w:tcW w:w="4876" w:type="dxa"/>
            <w:tcBorders>
              <w:top w:val="nil"/>
              <w:left w:val="nil"/>
              <w:bottom w:val="nil"/>
              <w:right w:val="nil"/>
            </w:tcBorders>
          </w:tcPr>
          <w:p w14:paraId="3F16A95D" w14:textId="77777777" w:rsidR="00CE45E2" w:rsidRPr="00CE45E2" w:rsidRDefault="00CE45E2" w:rsidP="006476FB">
            <w:pPr>
              <w:pStyle w:val="Normal6a"/>
            </w:pPr>
            <w:r w:rsidRPr="00CE45E2">
              <w:rPr>
                <w:b/>
                <w:i/>
              </w:rPr>
              <w:t>(14a)</w:t>
            </w:r>
            <w:r w:rsidRPr="00CE45E2">
              <w:tab/>
            </w:r>
            <w:r w:rsidRPr="00CE45E2">
              <w:rPr>
                <w:b/>
                <w:i/>
              </w:rPr>
              <w:t>Art. 11 określa zharmonizowane procedury dotyczące działalności transgranicznej w dziedzinie pracowniczych programów emerytalnych. Dystrybucja indywidualnych produktów emerytalnych innych niż OIPE przez IORP w państwie członkowskim innym niż to, w którym IORP uzyskała zezwolenie, powinna podlegać przepisom krajowym tego innego państwa członkowskiego w zakresie dystrybucji.</w:t>
            </w:r>
          </w:p>
        </w:tc>
      </w:tr>
    </w:tbl>
    <w:p w14:paraId="4756EC8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CBCF392" w14:textId="77777777" w:rsidR="00CE45E2" w:rsidRPr="00CE45E2" w:rsidRDefault="00CE45E2" w:rsidP="00CE45E2">
      <w:r w:rsidRPr="00CE45E2">
        <w:rPr>
          <w:rStyle w:val="HideTWBExt"/>
        </w:rPr>
        <w:t>&lt;/Amend&gt;</w:t>
      </w:r>
    </w:p>
    <w:p w14:paraId="64E8FF97" w14:textId="3847E36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147</w:t>
      </w:r>
      <w:r w:rsidRPr="00CE45E2">
        <w:rPr>
          <w:rStyle w:val="HideTWBExt"/>
          <w:b w:val="0"/>
        </w:rPr>
        <w:t>&lt;/NumAm&gt;</w:t>
      </w:r>
    </w:p>
    <w:p w14:paraId="59A22E8D"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DE0CA3D" w14:textId="77777777" w:rsidR="00CE45E2" w:rsidRPr="00CE45E2" w:rsidRDefault="00CE45E2" w:rsidP="00CE45E2">
      <w:pPr>
        <w:pStyle w:val="NormalBold"/>
      </w:pPr>
      <w:r w:rsidRPr="00CE45E2">
        <w:rPr>
          <w:rStyle w:val="HideTWBExt"/>
          <w:b w:val="0"/>
        </w:rPr>
        <w:t>&lt;/RepeatBlock-By&gt;</w:t>
      </w:r>
    </w:p>
    <w:p w14:paraId="73BB590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5535DB2" w14:textId="77777777" w:rsidR="00CE45E2" w:rsidRPr="00CE45E2" w:rsidRDefault="00CE45E2" w:rsidP="00CE45E2">
      <w:pPr>
        <w:pStyle w:val="NormalBold"/>
      </w:pPr>
      <w:r w:rsidRPr="00CE45E2">
        <w:rPr>
          <w:rStyle w:val="HideTWBExt"/>
          <w:b w:val="0"/>
        </w:rPr>
        <w:t>&lt;Article&gt;</w:t>
      </w:r>
      <w:r w:rsidRPr="00CE45E2">
        <w:t>Motyw 15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91FD8B0" w14:textId="77777777" w:rsidTr="006476FB">
        <w:trPr>
          <w:trHeight w:hRule="exact" w:val="240"/>
          <w:jc w:val="center"/>
        </w:trPr>
        <w:tc>
          <w:tcPr>
            <w:tcW w:w="9752" w:type="dxa"/>
            <w:gridSpan w:val="2"/>
            <w:tcBorders>
              <w:top w:val="nil"/>
              <w:left w:val="nil"/>
              <w:bottom w:val="nil"/>
              <w:right w:val="nil"/>
            </w:tcBorders>
          </w:tcPr>
          <w:p w14:paraId="1A3E751F" w14:textId="77777777" w:rsidR="00CE45E2" w:rsidRPr="00CE45E2" w:rsidRDefault="00CE45E2" w:rsidP="006476FB"/>
        </w:tc>
      </w:tr>
      <w:tr w:rsidR="00CE45E2" w:rsidRPr="00CE45E2" w14:paraId="6A82C173" w14:textId="77777777" w:rsidTr="006476FB">
        <w:trPr>
          <w:trHeight w:val="240"/>
          <w:jc w:val="center"/>
        </w:trPr>
        <w:tc>
          <w:tcPr>
            <w:tcW w:w="4876" w:type="dxa"/>
            <w:tcBorders>
              <w:top w:val="nil"/>
              <w:left w:val="nil"/>
              <w:bottom w:val="nil"/>
              <w:right w:val="nil"/>
            </w:tcBorders>
          </w:tcPr>
          <w:p w14:paraId="05C8BB2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0C040CE" w14:textId="77777777" w:rsidR="00CE45E2" w:rsidRPr="00CE45E2" w:rsidRDefault="00CE45E2" w:rsidP="006476FB">
            <w:pPr>
              <w:pStyle w:val="AmColumnHeading"/>
            </w:pPr>
            <w:r w:rsidRPr="00CE45E2">
              <w:t>Poprawka</w:t>
            </w:r>
          </w:p>
        </w:tc>
      </w:tr>
      <w:tr w:rsidR="00CE45E2" w:rsidRPr="00CE45E2" w14:paraId="529F25C1" w14:textId="77777777" w:rsidTr="006476FB">
        <w:trPr>
          <w:jc w:val="center"/>
        </w:trPr>
        <w:tc>
          <w:tcPr>
            <w:tcW w:w="4876" w:type="dxa"/>
            <w:tcBorders>
              <w:top w:val="nil"/>
              <w:left w:val="nil"/>
              <w:bottom w:val="nil"/>
              <w:right w:val="nil"/>
            </w:tcBorders>
          </w:tcPr>
          <w:p w14:paraId="354455D6" w14:textId="77777777" w:rsidR="00CE45E2" w:rsidRPr="00CE45E2" w:rsidRDefault="00CE45E2" w:rsidP="006476FB">
            <w:pPr>
              <w:pStyle w:val="Normal6a"/>
            </w:pPr>
            <w:r w:rsidRPr="00CE45E2">
              <w:t>(15)</w:t>
            </w:r>
            <w:r w:rsidRPr="00CE45E2">
              <w:tab/>
              <w:t xml:space="preserve">Funkcjonowanie pracowniczych programów emerytalnych może zyskać dzięki zapewnieniu IORP większej elastyczności w zakresie organizacji programów emerytalnych i ustaleń dotyczących finansowania oraz zarządzania nimi. W związku z tym państwa członkowskie powinny zapewnić IORP możliwość obsługi różnych programów emerytalnych, w tym programów o różnej polityce </w:t>
            </w:r>
            <w:proofErr w:type="gramStart"/>
            <w:r w:rsidRPr="00CE45E2">
              <w:t>inwestycyjnej,</w:t>
            </w:r>
            <w:proofErr w:type="gramEnd"/>
            <w:r w:rsidRPr="00CE45E2">
              <w:t xml:space="preserve"> oraz przyjmowania finansowania ze strony wielu instytucji finansujących, w tym w ramach tego samego programu emerytalnego. Elastyczność ta może ułatwić osiągnięcie większej skali, zwiększając tym samym efektywność kosztową, dywersyfikację ryzyka i zdolność zarządzania, z korzyścią dla uczestników i beneficjentów.</w:t>
            </w:r>
          </w:p>
        </w:tc>
        <w:tc>
          <w:tcPr>
            <w:tcW w:w="4876" w:type="dxa"/>
            <w:tcBorders>
              <w:top w:val="nil"/>
              <w:left w:val="nil"/>
              <w:bottom w:val="nil"/>
              <w:right w:val="nil"/>
            </w:tcBorders>
          </w:tcPr>
          <w:p w14:paraId="199DB7C1" w14:textId="77777777" w:rsidR="00CE45E2" w:rsidRPr="00CE45E2" w:rsidRDefault="00CE45E2" w:rsidP="006476FB">
            <w:pPr>
              <w:pStyle w:val="Normal6a"/>
            </w:pPr>
            <w:r w:rsidRPr="00CE45E2">
              <w:t>(15)</w:t>
            </w:r>
            <w:r w:rsidRPr="00CE45E2">
              <w:tab/>
              <w:t xml:space="preserve">Funkcjonowanie pracowniczych programów emerytalnych może zyskać dzięki zapewnieniu IORP większej elastyczności w zakresie organizacji programów emerytalnych i ustaleń dotyczących finansowania oraz zarządzania nimi. W związku z tym państwa członkowskie powinny zapewnić </w:t>
            </w:r>
            <w:r w:rsidRPr="00CE45E2">
              <w:rPr>
                <w:b/>
                <w:bCs/>
                <w:i/>
                <w:iCs/>
              </w:rPr>
              <w:t>określonym kategoriom</w:t>
            </w:r>
            <w:r w:rsidRPr="00CE45E2">
              <w:t xml:space="preserve"> IORP możliwość obsługi różnych programów emerytalnych, w tym programów o różnej polityce </w:t>
            </w:r>
            <w:proofErr w:type="gramStart"/>
            <w:r w:rsidRPr="00CE45E2">
              <w:t>inwestycyjnej,</w:t>
            </w:r>
            <w:proofErr w:type="gramEnd"/>
            <w:r w:rsidRPr="00CE45E2">
              <w:t xml:space="preserve"> oraz przyjmowania finansowania ze strony wielu instytucji finansujących, w tym w ramach tego samego programu emerytalnego. Elastyczność ta może ułatwić osiągnięcie większej skali, zwiększając tym samym efektywność kosztową, dywersyfikację ryzyka i zdolność zarządzania, z korzyścią dla uczestników i beneficjentów.</w:t>
            </w:r>
          </w:p>
        </w:tc>
      </w:tr>
    </w:tbl>
    <w:p w14:paraId="3E78314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4068A25" w14:textId="77777777" w:rsidR="00CE45E2" w:rsidRPr="00CE45E2" w:rsidRDefault="00CE45E2" w:rsidP="00CE45E2">
      <w:r w:rsidRPr="00CE45E2">
        <w:rPr>
          <w:rStyle w:val="HideTWBExt"/>
        </w:rPr>
        <w:t>&lt;/Amend&gt;</w:t>
      </w:r>
    </w:p>
    <w:p w14:paraId="35A0CDAC" w14:textId="741CD0B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148</w:t>
      </w:r>
      <w:r w:rsidRPr="00CE45E2">
        <w:rPr>
          <w:rStyle w:val="HideTWBExt"/>
          <w:b w:val="0"/>
        </w:rPr>
        <w:t>&lt;/NumAm&gt;</w:t>
      </w:r>
    </w:p>
    <w:p w14:paraId="74FF0444"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6539B29" w14:textId="77777777" w:rsidR="00CE45E2" w:rsidRPr="00CE45E2" w:rsidRDefault="00CE45E2" w:rsidP="00CE45E2">
      <w:pPr>
        <w:pStyle w:val="NormalBold"/>
      </w:pPr>
      <w:r w:rsidRPr="00CE45E2">
        <w:rPr>
          <w:rStyle w:val="HideTWBExt"/>
          <w:b w:val="0"/>
        </w:rPr>
        <w:t>&lt;/RepeatBlock-By&gt;</w:t>
      </w:r>
    </w:p>
    <w:p w14:paraId="00747AD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F996931" w14:textId="77777777" w:rsidR="00CE45E2" w:rsidRPr="00CE45E2" w:rsidRDefault="00CE45E2" w:rsidP="00CE45E2">
      <w:pPr>
        <w:pStyle w:val="NormalBold"/>
      </w:pPr>
      <w:r w:rsidRPr="00CE45E2">
        <w:rPr>
          <w:rStyle w:val="HideTWBExt"/>
          <w:b w:val="0"/>
        </w:rPr>
        <w:t>&lt;Article&gt;</w:t>
      </w:r>
      <w:r w:rsidRPr="00CE45E2">
        <w:t>Motyw 16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6DCAFBB" w14:textId="77777777" w:rsidTr="006476FB">
        <w:trPr>
          <w:trHeight w:hRule="exact" w:val="240"/>
          <w:jc w:val="center"/>
        </w:trPr>
        <w:tc>
          <w:tcPr>
            <w:tcW w:w="9752" w:type="dxa"/>
            <w:gridSpan w:val="2"/>
            <w:tcBorders>
              <w:top w:val="nil"/>
              <w:left w:val="nil"/>
              <w:bottom w:val="nil"/>
              <w:right w:val="nil"/>
            </w:tcBorders>
          </w:tcPr>
          <w:p w14:paraId="0B65438A" w14:textId="77777777" w:rsidR="00CE45E2" w:rsidRPr="00CE45E2" w:rsidRDefault="00CE45E2" w:rsidP="006476FB"/>
        </w:tc>
      </w:tr>
      <w:tr w:rsidR="00CE45E2" w:rsidRPr="00CE45E2" w14:paraId="5A7626AF" w14:textId="77777777" w:rsidTr="006476FB">
        <w:trPr>
          <w:trHeight w:val="240"/>
          <w:jc w:val="center"/>
        </w:trPr>
        <w:tc>
          <w:tcPr>
            <w:tcW w:w="4876" w:type="dxa"/>
            <w:tcBorders>
              <w:top w:val="nil"/>
              <w:left w:val="nil"/>
              <w:bottom w:val="nil"/>
              <w:right w:val="nil"/>
            </w:tcBorders>
          </w:tcPr>
          <w:p w14:paraId="1B4E69A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A38A747" w14:textId="77777777" w:rsidR="00CE45E2" w:rsidRPr="00CE45E2" w:rsidRDefault="00CE45E2" w:rsidP="006476FB">
            <w:pPr>
              <w:pStyle w:val="AmColumnHeading"/>
            </w:pPr>
            <w:r w:rsidRPr="00CE45E2">
              <w:t>Poprawka</w:t>
            </w:r>
          </w:p>
        </w:tc>
      </w:tr>
      <w:tr w:rsidR="00CE45E2" w:rsidRPr="00CE45E2" w14:paraId="2A00717F" w14:textId="77777777" w:rsidTr="006476FB">
        <w:trPr>
          <w:jc w:val="center"/>
        </w:trPr>
        <w:tc>
          <w:tcPr>
            <w:tcW w:w="4876" w:type="dxa"/>
            <w:tcBorders>
              <w:top w:val="nil"/>
              <w:left w:val="nil"/>
              <w:bottom w:val="nil"/>
              <w:right w:val="nil"/>
            </w:tcBorders>
          </w:tcPr>
          <w:p w14:paraId="01B6E3E4" w14:textId="77777777" w:rsidR="00CE45E2" w:rsidRPr="00CE45E2" w:rsidRDefault="00CE45E2" w:rsidP="006476FB">
            <w:pPr>
              <w:pStyle w:val="Normal6a"/>
            </w:pPr>
            <w:r w:rsidRPr="00CE45E2">
              <w:rPr>
                <w:b/>
                <w:i/>
              </w:rPr>
              <w:t>(16)</w:t>
            </w:r>
            <w:r w:rsidRPr="00CE45E2">
              <w:tab/>
            </w:r>
            <w:r w:rsidRPr="00CE45E2">
              <w:rPr>
                <w:b/>
                <w:i/>
              </w:rPr>
              <w:t xml:space="preserve">W dyrektywie (UE) 2016/2341 wprowadzono rozróżnienie między udzielaniem zezwoleń IORP a rejestracją tych instytucji, ale nie zdefiniowano żadnego z tych pojęć, a jednocześnie zobowiązano państwa członkowskie do prowadzenia krajowego rejestru IORP. Doprowadziło to do rozbieżnych praktyk nadzorczych, w tym w przypadkach, gdy właściwe organy nie przeprowadzają oceny ostrożnościowej ex </w:t>
            </w:r>
            <w:proofErr w:type="spellStart"/>
            <w:r w:rsidRPr="00CE45E2">
              <w:rPr>
                <w:b/>
                <w:i/>
              </w:rPr>
              <w:t>ante</w:t>
            </w:r>
            <w:proofErr w:type="spellEnd"/>
            <w:r w:rsidRPr="00CE45E2">
              <w:rPr>
                <w:b/>
                <w:i/>
              </w:rPr>
              <w:t xml:space="preserve"> </w:t>
            </w:r>
            <w:proofErr w:type="gramStart"/>
            <w:r w:rsidRPr="00CE45E2">
              <w:rPr>
                <w:b/>
                <w:i/>
              </w:rPr>
              <w:t>lub,</w:t>
            </w:r>
            <w:proofErr w:type="gramEnd"/>
            <w:r w:rsidRPr="00CE45E2">
              <w:rPr>
                <w:b/>
                <w:i/>
              </w:rPr>
              <w:t xml:space="preserve"> w niektórych przypadkach, gdy w ogóle nie przeprowadza się oceny ostrożnościowej. Brak oceny ostrożnościowej w ramach procesu rejestracji lub udzielania zezwolenia może zagrozić prawidłowemu funkcjonowaniu rynku wewnętrznego oraz ochronie praw uczestników i beneficjentów. Aby uniknąć arbitrażu regulacyjnego i chronić interesy oszczędzających na emeryturę, wszystkie IORP powinny podlegać procedurze udzielania zezwoleń, która obejmuje odpowiednią ocenę ostrożnościową przeprowadzaną przez właściwy organ. Zgodnie z opinią techniczną EIOPA na potrzeby przeglądu dyrektywy IORP II oraz z wytycznymi wykonawczymi do zalecenia OECD w sprawie podstawowych zasad regulacji emerytur prywatnych w procesie udzielania zezwoleń należy również zobowiązać IORP do opracowania i prowadzenia biznesplanu w odniesieniu do wszystkich planowanych rodzajów działalności.</w:t>
            </w:r>
          </w:p>
        </w:tc>
        <w:tc>
          <w:tcPr>
            <w:tcW w:w="4876" w:type="dxa"/>
            <w:tcBorders>
              <w:top w:val="nil"/>
              <w:left w:val="nil"/>
              <w:bottom w:val="nil"/>
              <w:right w:val="nil"/>
            </w:tcBorders>
          </w:tcPr>
          <w:p w14:paraId="60514CE9" w14:textId="77777777" w:rsidR="00CE45E2" w:rsidRPr="00CE45E2" w:rsidRDefault="00CE45E2" w:rsidP="006476FB">
            <w:pPr>
              <w:pStyle w:val="Normal6a"/>
            </w:pPr>
            <w:r w:rsidRPr="00CE45E2">
              <w:rPr>
                <w:b/>
                <w:i/>
              </w:rPr>
              <w:t>skreśla się</w:t>
            </w:r>
          </w:p>
        </w:tc>
      </w:tr>
    </w:tbl>
    <w:p w14:paraId="6E0EE05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BC237B6" w14:textId="77777777" w:rsidR="00CE45E2" w:rsidRPr="00CE45E2" w:rsidRDefault="00CE45E2" w:rsidP="00CE45E2">
      <w:r w:rsidRPr="00CE45E2">
        <w:rPr>
          <w:rStyle w:val="HideTWBExt"/>
        </w:rPr>
        <w:t>&lt;/Amend&gt;</w:t>
      </w:r>
    </w:p>
    <w:p w14:paraId="062F390B" w14:textId="2DE1C77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149</w:t>
      </w:r>
      <w:r w:rsidRPr="00CE45E2">
        <w:rPr>
          <w:rStyle w:val="HideTWBExt"/>
          <w:b w:val="0"/>
        </w:rPr>
        <w:t>&lt;/NumAm&gt;</w:t>
      </w:r>
    </w:p>
    <w:p w14:paraId="5CAC2014"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52578B3D" w14:textId="77777777" w:rsidR="00CE45E2" w:rsidRPr="00CE45E2" w:rsidRDefault="00CE45E2" w:rsidP="00CE45E2">
      <w:pPr>
        <w:pStyle w:val="NormalBold"/>
      </w:pPr>
      <w:r w:rsidRPr="00CE45E2">
        <w:rPr>
          <w:rStyle w:val="HideTWBExt"/>
          <w:b w:val="0"/>
        </w:rPr>
        <w:t>&lt;/RepeatBlock-By&gt;</w:t>
      </w:r>
    </w:p>
    <w:p w14:paraId="0385733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1A0AB9D" w14:textId="77777777" w:rsidR="00CE45E2" w:rsidRPr="00CE45E2" w:rsidRDefault="00CE45E2" w:rsidP="00CE45E2">
      <w:pPr>
        <w:pStyle w:val="NormalBold"/>
      </w:pPr>
      <w:r w:rsidRPr="00CE45E2">
        <w:rPr>
          <w:rStyle w:val="HideTWBExt"/>
          <w:b w:val="0"/>
        </w:rPr>
        <w:t>&lt;Article&gt;</w:t>
      </w:r>
      <w:r w:rsidRPr="00CE45E2">
        <w:t>Motyw 17</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863A20B" w14:textId="77777777" w:rsidTr="006476FB">
        <w:trPr>
          <w:trHeight w:hRule="exact" w:val="240"/>
          <w:jc w:val="center"/>
        </w:trPr>
        <w:tc>
          <w:tcPr>
            <w:tcW w:w="9752" w:type="dxa"/>
            <w:gridSpan w:val="2"/>
            <w:tcBorders>
              <w:top w:val="nil"/>
              <w:left w:val="nil"/>
              <w:bottom w:val="nil"/>
              <w:right w:val="nil"/>
            </w:tcBorders>
          </w:tcPr>
          <w:p w14:paraId="7BE48232" w14:textId="77777777" w:rsidR="00CE45E2" w:rsidRPr="00CE45E2" w:rsidRDefault="00CE45E2" w:rsidP="006476FB"/>
        </w:tc>
      </w:tr>
      <w:tr w:rsidR="00CE45E2" w:rsidRPr="00CE45E2" w14:paraId="5D1452E7" w14:textId="77777777" w:rsidTr="006476FB">
        <w:trPr>
          <w:trHeight w:val="240"/>
          <w:jc w:val="center"/>
        </w:trPr>
        <w:tc>
          <w:tcPr>
            <w:tcW w:w="4876" w:type="dxa"/>
            <w:tcBorders>
              <w:top w:val="nil"/>
              <w:left w:val="nil"/>
              <w:bottom w:val="nil"/>
              <w:right w:val="nil"/>
            </w:tcBorders>
          </w:tcPr>
          <w:p w14:paraId="714C266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16B5122" w14:textId="77777777" w:rsidR="00CE45E2" w:rsidRPr="00CE45E2" w:rsidRDefault="00CE45E2" w:rsidP="006476FB">
            <w:pPr>
              <w:pStyle w:val="AmColumnHeading"/>
            </w:pPr>
            <w:r w:rsidRPr="00CE45E2">
              <w:t>Poprawka</w:t>
            </w:r>
          </w:p>
        </w:tc>
      </w:tr>
      <w:tr w:rsidR="00CE45E2" w:rsidRPr="00CE45E2" w14:paraId="3670FE61" w14:textId="77777777" w:rsidTr="006476FB">
        <w:trPr>
          <w:jc w:val="center"/>
        </w:trPr>
        <w:tc>
          <w:tcPr>
            <w:tcW w:w="4876" w:type="dxa"/>
            <w:tcBorders>
              <w:top w:val="nil"/>
              <w:left w:val="nil"/>
              <w:bottom w:val="nil"/>
              <w:right w:val="nil"/>
            </w:tcBorders>
          </w:tcPr>
          <w:p w14:paraId="6FBD41AE" w14:textId="77777777" w:rsidR="00CE45E2" w:rsidRPr="00CE45E2" w:rsidRDefault="00CE45E2" w:rsidP="006476FB">
            <w:pPr>
              <w:pStyle w:val="Normal6a"/>
            </w:pPr>
            <w:r w:rsidRPr="00CE45E2">
              <w:t>(17)</w:t>
            </w:r>
            <w:r w:rsidRPr="00CE45E2">
              <w:tab/>
              <w:t>Aby zwiększyć skuteczność i elastyczność pracowniczych programów emerytalnych, a także korzyści skali, IORP powinny mieć możliwość prowadzenia kilku programów emerytalnych, w tym programów o różnych podejściach inwestycyjnych, oraz akceptowania finansowania przez kilka instytucji w ramach tego samego programu, przy jednoczesnym zapewnieniu właściwego zarządzania oraz ochrony uczestników i beneficjentów.</w:t>
            </w:r>
          </w:p>
        </w:tc>
        <w:tc>
          <w:tcPr>
            <w:tcW w:w="4876" w:type="dxa"/>
            <w:tcBorders>
              <w:top w:val="nil"/>
              <w:left w:val="nil"/>
              <w:bottom w:val="nil"/>
              <w:right w:val="nil"/>
            </w:tcBorders>
          </w:tcPr>
          <w:p w14:paraId="4A8DA147" w14:textId="77777777" w:rsidR="00CE45E2" w:rsidRPr="00CE45E2" w:rsidRDefault="00CE45E2" w:rsidP="006476FB">
            <w:pPr>
              <w:pStyle w:val="Normal6a"/>
            </w:pPr>
            <w:r w:rsidRPr="00CE45E2">
              <w:t>(17)</w:t>
            </w:r>
            <w:r w:rsidRPr="00CE45E2">
              <w:tab/>
              <w:t xml:space="preserve">Aby zwiększyć skuteczność i elastyczność pracowniczych programów emerytalnych, a także korzyści skali, IORP powinny mieć możliwość prowadzenia kilku programów emerytalnych, w tym programów o różnych podejściach inwestycyjnych, oraz akceptowania finansowania przez kilka instytucji w ramach tego samego programu, przy jednoczesnym zapewnieniu właściwego zarządzania oraz ochrony uczestników i beneficjentów. </w:t>
            </w:r>
            <w:r w:rsidRPr="00CE45E2">
              <w:rPr>
                <w:b/>
                <w:i/>
              </w:rPr>
              <w:t>Możliwość prowadzenia różnych programów emerytalnych i przyjmowania finansowania ze strony wielu instytucji w ramach tego samego programu powinna pozostawać bez uszczerbku dla zgodności z wszelkimi wymogami ustanowionymi w prawie rodzimego państwa członkowskiego w odniesieniu do funkcjonowania różnych programów lub programów z wieloma instytucjami finansującymi. Każda IORP, która ze względu na charakter swojej działalności określony w statucie prowadzi jeden program lub może przyjmować wsparcie finansowe wyłącznie od jednej instytucji finansującej, powinna mieć możliwość przekształcenia się w rodzaj IORP, która może przyjmować wsparcie finansowe od wielu instytucji finansujących lub prowadzić wiele programów. Przepisy krajowe przyjmującego państwa członkowskiego, które do prowadzenia takich programów wymagają określonej formy prawnej, nie powinny mieć zastosowania do IORP przyjmujących wsparcie finansowe od wielu instytucji finansujących lub prowadzących wiele programów, zarejestrowanych w innym państwie członkowskim zgodnie z przepisami tego państwa. Nie powinno to również naruszać możliwości, by rodzime państwo członkowskie wymagało, aby programy obejmujące wiele instytucji finansujących były na podstawie dyrektywy 2009/138/WE.</w:t>
            </w:r>
          </w:p>
        </w:tc>
      </w:tr>
    </w:tbl>
    <w:p w14:paraId="27DBA40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0319E9B"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A9E5AE6" w14:textId="77777777" w:rsidR="00CE45E2" w:rsidRPr="00CE45E2" w:rsidRDefault="00CE45E2" w:rsidP="00CE45E2">
      <w:pPr>
        <w:pStyle w:val="AmJustText"/>
      </w:pPr>
      <w:r w:rsidRPr="00CE45E2">
        <w:t>Nie każda IORP ma prawo przyjmować wiele instytucji finansujących na mocy przepisów krajowych. Należy uwzględnić tę specyfikę.</w:t>
      </w:r>
    </w:p>
    <w:p w14:paraId="28122B68" w14:textId="77777777" w:rsidR="00CE45E2" w:rsidRPr="00CE45E2" w:rsidRDefault="00CE45E2" w:rsidP="00CE45E2">
      <w:r w:rsidRPr="00CE45E2">
        <w:rPr>
          <w:rStyle w:val="HideTWBExt"/>
        </w:rPr>
        <w:t>&lt;/Amend&gt;</w:t>
      </w:r>
    </w:p>
    <w:p w14:paraId="79D47C6E" w14:textId="60D8DEE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150</w:t>
      </w:r>
      <w:r w:rsidRPr="00CE45E2">
        <w:rPr>
          <w:rStyle w:val="HideTWBExt"/>
          <w:b w:val="0"/>
        </w:rPr>
        <w:t>&lt;/NumAm&gt;</w:t>
      </w:r>
    </w:p>
    <w:p w14:paraId="67B68F34"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61A0B8D9"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6DE03971" w14:textId="77777777" w:rsidR="00CE45E2" w:rsidRPr="00CE45E2" w:rsidRDefault="00CE45E2" w:rsidP="00CE45E2">
      <w:pPr>
        <w:pStyle w:val="NormalBold"/>
      </w:pPr>
      <w:r w:rsidRPr="00CE45E2">
        <w:rPr>
          <w:rStyle w:val="HideTWBExt"/>
          <w:b w:val="0"/>
        </w:rPr>
        <w:t>&lt;/RepeatBlock-By&gt;</w:t>
      </w:r>
    </w:p>
    <w:p w14:paraId="4E08915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9BDC3F3" w14:textId="77777777" w:rsidR="00CE45E2" w:rsidRPr="00CE45E2" w:rsidRDefault="00CE45E2" w:rsidP="00CE45E2">
      <w:pPr>
        <w:pStyle w:val="NormalBold"/>
      </w:pPr>
      <w:r w:rsidRPr="00CE45E2">
        <w:rPr>
          <w:rStyle w:val="HideTWBExt"/>
          <w:b w:val="0"/>
        </w:rPr>
        <w:t>&lt;Article&gt;</w:t>
      </w:r>
      <w:r w:rsidRPr="00CE45E2">
        <w:t>Motyw 19</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965AFAA" w14:textId="77777777" w:rsidTr="006476FB">
        <w:trPr>
          <w:trHeight w:hRule="exact" w:val="240"/>
          <w:jc w:val="center"/>
        </w:trPr>
        <w:tc>
          <w:tcPr>
            <w:tcW w:w="9752" w:type="dxa"/>
            <w:gridSpan w:val="2"/>
            <w:tcBorders>
              <w:top w:val="nil"/>
              <w:left w:val="nil"/>
              <w:bottom w:val="nil"/>
              <w:right w:val="nil"/>
            </w:tcBorders>
          </w:tcPr>
          <w:p w14:paraId="40132455" w14:textId="77777777" w:rsidR="00CE45E2" w:rsidRPr="00CE45E2" w:rsidRDefault="00CE45E2" w:rsidP="006476FB"/>
        </w:tc>
      </w:tr>
      <w:tr w:rsidR="00CE45E2" w:rsidRPr="00CE45E2" w14:paraId="11DDFE94" w14:textId="77777777" w:rsidTr="006476FB">
        <w:trPr>
          <w:trHeight w:val="240"/>
          <w:jc w:val="center"/>
        </w:trPr>
        <w:tc>
          <w:tcPr>
            <w:tcW w:w="4876" w:type="dxa"/>
            <w:tcBorders>
              <w:top w:val="nil"/>
              <w:left w:val="nil"/>
              <w:bottom w:val="nil"/>
              <w:right w:val="nil"/>
            </w:tcBorders>
          </w:tcPr>
          <w:p w14:paraId="0D10DDF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B20BC20" w14:textId="77777777" w:rsidR="00CE45E2" w:rsidRPr="00CE45E2" w:rsidRDefault="00CE45E2" w:rsidP="006476FB">
            <w:pPr>
              <w:pStyle w:val="AmColumnHeading"/>
            </w:pPr>
            <w:r w:rsidRPr="00CE45E2">
              <w:t>Poprawka</w:t>
            </w:r>
          </w:p>
        </w:tc>
      </w:tr>
      <w:tr w:rsidR="00CE45E2" w:rsidRPr="00CE45E2" w14:paraId="6E67BE68" w14:textId="77777777" w:rsidTr="006476FB">
        <w:trPr>
          <w:jc w:val="center"/>
        </w:trPr>
        <w:tc>
          <w:tcPr>
            <w:tcW w:w="4876" w:type="dxa"/>
            <w:tcBorders>
              <w:top w:val="nil"/>
              <w:left w:val="nil"/>
              <w:bottom w:val="nil"/>
              <w:right w:val="nil"/>
            </w:tcBorders>
          </w:tcPr>
          <w:p w14:paraId="0C7C3D46" w14:textId="77777777" w:rsidR="00CE45E2" w:rsidRPr="00CE45E2" w:rsidRDefault="00CE45E2" w:rsidP="006476FB">
            <w:pPr>
              <w:pStyle w:val="Normal6a"/>
            </w:pPr>
            <w:r w:rsidRPr="00CE45E2">
              <w:t>(19)</w:t>
            </w:r>
            <w:r w:rsidRPr="00CE45E2">
              <w:tab/>
              <w:t xml:space="preserve">Nakładanie na IORP, która prowadzi działalność transgraniczną w przyjmującym państwie członkowskim, pełnych wstępnych </w:t>
            </w:r>
            <w:r w:rsidRPr="00CE45E2">
              <w:rPr>
                <w:b/>
                <w:bCs/>
                <w:i/>
                <w:iCs/>
              </w:rPr>
              <w:t>procedur</w:t>
            </w:r>
            <w:r w:rsidRPr="00CE45E2">
              <w:t xml:space="preserve"> transgranicznych jest niepotrzebnie uciążliwe, jeżeli taka IORP chce rozszerzyć tę działalność na dodatkowe instytucje finansujące lub programy w tym samym przyjmującym państwie członkowskim. Takie podejście mogłoby prowadzić do powielania procedur, wzrostu kosztów administracyjnych i opóźnień, bez poprawy ochrony uczestników i beneficjentów. Aby ułatwić proporcjonalny i skuteczny nadzór oraz zapewnić skuteczną współpracę między właściwymi organami rodzimego państwa członkowskiego i przyjmującego państwa członkowskiego, takie rozszerzenia powinny podlegać uproszczonej procedurze powiadamiania, którą należy przeprowadzić w terminie jednego miesiąca. Harmonogram ten zapewnia właściwym organom możliwość prowadzenia niezbędnej koordynacji i nadzoru bez powodowania zbędnych opóźnień lub obciążeń dla IORP.</w:t>
            </w:r>
          </w:p>
        </w:tc>
        <w:tc>
          <w:tcPr>
            <w:tcW w:w="4876" w:type="dxa"/>
            <w:tcBorders>
              <w:top w:val="nil"/>
              <w:left w:val="nil"/>
              <w:bottom w:val="nil"/>
              <w:right w:val="nil"/>
            </w:tcBorders>
          </w:tcPr>
          <w:p w14:paraId="1547612D" w14:textId="77777777" w:rsidR="00CE45E2" w:rsidRPr="00CE45E2" w:rsidRDefault="00CE45E2" w:rsidP="006476FB">
            <w:pPr>
              <w:pStyle w:val="Normal6a"/>
            </w:pPr>
            <w:r w:rsidRPr="00CE45E2">
              <w:t>(19)</w:t>
            </w:r>
            <w:r w:rsidRPr="00CE45E2">
              <w:tab/>
              <w:t xml:space="preserve">Nakładanie na IORP, która prowadzi działalność transgraniczną w przyjmującym państwie członkowskim, pełnych wstępnych transgranicznych </w:t>
            </w:r>
            <w:r w:rsidRPr="00CE45E2">
              <w:rPr>
                <w:b/>
                <w:bCs/>
                <w:i/>
                <w:iCs/>
              </w:rPr>
              <w:t>procedur powiadamiania</w:t>
            </w:r>
            <w:r w:rsidRPr="00CE45E2">
              <w:t xml:space="preserve"> jest niepotrzebnie uciążliwe, jeżeli taka IORP chce rozszerzyć tę działalność na dodatkowe instytucje finansujące lub programy w tym samym przyjmującym państwie członkowskim. Takie podejście mogłoby prowadzić do powielania procedur, wzrostu kosztów administracyjnych i opóźnień, bez poprawy ochrony uczestników i beneficjentów. Aby ułatwić proporcjonalny i skuteczny nadzór oraz zapewnić skuteczną współpracę między właściwymi organami rodzimego państwa członkowskiego i przyjmującego państwa członkowskiego, takie rozszerzenia powinny podlegać uproszczonej procedurze powiadamiania, którą należy przeprowadzić w terminie jednego miesiąca. Harmonogram ten zapewnia właściwym organom możliwość prowadzenia niezbędnej koordynacji i nadzoru bez powodowania zbędnych opóźnień lub obciążeń dla IORP. </w:t>
            </w:r>
            <w:r w:rsidRPr="00CE45E2">
              <w:rPr>
                <w:b/>
                <w:i/>
              </w:rPr>
              <w:t>Uproszczona procedura powiadamiania powinna mieć również zastosowanie w odniesieniu do nieistotnych zmian. Są to zmiany, które nie wpływają na podstawowe cechy zgłoszonego programu emerytalnego, w tym na strukturę świadczeń, prawa uczestników lub profil ryzyka, i które nie mają znaczącego wpływu na uczestników lub beneficjentów. Właściwy organ rodzimego państwa członkowskiego może wymagać od IORP, aby nie korzystała z uproszczonej procedury powiadamiania, jeżeli uzna, że planowane zmiany są w rzeczywistości istotne.</w:t>
            </w:r>
          </w:p>
        </w:tc>
      </w:tr>
    </w:tbl>
    <w:p w14:paraId="1D008B6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8F1A0F3" w14:textId="77777777" w:rsidR="00CE45E2" w:rsidRPr="00CE45E2" w:rsidRDefault="00CE45E2" w:rsidP="00CE45E2">
      <w:r w:rsidRPr="00CE45E2">
        <w:rPr>
          <w:rStyle w:val="HideTWBExt"/>
        </w:rPr>
        <w:t>&lt;/Amend&gt;</w:t>
      </w:r>
    </w:p>
    <w:p w14:paraId="7B4AC2AC" w14:textId="799BE53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151</w:t>
      </w:r>
      <w:r w:rsidRPr="00CE45E2">
        <w:rPr>
          <w:rStyle w:val="HideTWBExt"/>
          <w:b w:val="0"/>
        </w:rPr>
        <w:t>&lt;/NumAm&gt;</w:t>
      </w:r>
    </w:p>
    <w:p w14:paraId="7E1B2D5A"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73A7D30C" w14:textId="77777777" w:rsidR="00CE45E2" w:rsidRPr="00CE45E2" w:rsidRDefault="00CE45E2" w:rsidP="00CE45E2">
      <w:pPr>
        <w:pStyle w:val="NormalBold"/>
      </w:pPr>
      <w:r w:rsidRPr="00CE45E2">
        <w:rPr>
          <w:rStyle w:val="HideTWBExt"/>
          <w:b w:val="0"/>
        </w:rPr>
        <w:t>&lt;/RepeatBlock-By&gt;</w:t>
      </w:r>
    </w:p>
    <w:p w14:paraId="08586F3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3AF748F" w14:textId="77777777" w:rsidR="00CE45E2" w:rsidRPr="00CE45E2" w:rsidRDefault="00CE45E2" w:rsidP="00CE45E2">
      <w:pPr>
        <w:pStyle w:val="NormalBold"/>
      </w:pPr>
      <w:r w:rsidRPr="00CE45E2">
        <w:rPr>
          <w:rStyle w:val="HideTWBExt"/>
          <w:b w:val="0"/>
        </w:rPr>
        <w:t>&lt;Article&gt;</w:t>
      </w:r>
      <w:r w:rsidRPr="00CE45E2">
        <w:t>Motyw 19</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8DC3B8B" w14:textId="77777777" w:rsidTr="006476FB">
        <w:trPr>
          <w:trHeight w:hRule="exact" w:val="240"/>
          <w:jc w:val="center"/>
        </w:trPr>
        <w:tc>
          <w:tcPr>
            <w:tcW w:w="9752" w:type="dxa"/>
            <w:gridSpan w:val="2"/>
            <w:tcBorders>
              <w:top w:val="nil"/>
              <w:left w:val="nil"/>
              <w:bottom w:val="nil"/>
              <w:right w:val="nil"/>
            </w:tcBorders>
          </w:tcPr>
          <w:p w14:paraId="3D177B26" w14:textId="77777777" w:rsidR="00CE45E2" w:rsidRPr="00CE45E2" w:rsidRDefault="00CE45E2" w:rsidP="006476FB"/>
        </w:tc>
      </w:tr>
      <w:tr w:rsidR="00CE45E2" w:rsidRPr="00CE45E2" w14:paraId="09DE0B42" w14:textId="77777777" w:rsidTr="006476FB">
        <w:trPr>
          <w:trHeight w:val="240"/>
          <w:jc w:val="center"/>
        </w:trPr>
        <w:tc>
          <w:tcPr>
            <w:tcW w:w="4876" w:type="dxa"/>
            <w:tcBorders>
              <w:top w:val="nil"/>
              <w:left w:val="nil"/>
              <w:bottom w:val="nil"/>
              <w:right w:val="nil"/>
            </w:tcBorders>
          </w:tcPr>
          <w:p w14:paraId="43E51C1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772601D" w14:textId="77777777" w:rsidR="00CE45E2" w:rsidRPr="00CE45E2" w:rsidRDefault="00CE45E2" w:rsidP="006476FB">
            <w:pPr>
              <w:pStyle w:val="AmColumnHeading"/>
            </w:pPr>
            <w:r w:rsidRPr="00CE45E2">
              <w:t>Poprawka</w:t>
            </w:r>
          </w:p>
        </w:tc>
      </w:tr>
      <w:tr w:rsidR="00CE45E2" w:rsidRPr="00CE45E2" w14:paraId="71ACD436" w14:textId="77777777" w:rsidTr="006476FB">
        <w:trPr>
          <w:jc w:val="center"/>
        </w:trPr>
        <w:tc>
          <w:tcPr>
            <w:tcW w:w="4876" w:type="dxa"/>
            <w:tcBorders>
              <w:top w:val="nil"/>
              <w:left w:val="nil"/>
              <w:bottom w:val="nil"/>
              <w:right w:val="nil"/>
            </w:tcBorders>
          </w:tcPr>
          <w:p w14:paraId="2662AAD6" w14:textId="77777777" w:rsidR="00CE45E2" w:rsidRPr="00CE45E2" w:rsidRDefault="00CE45E2" w:rsidP="006476FB">
            <w:pPr>
              <w:pStyle w:val="Normal6a"/>
            </w:pPr>
            <w:r w:rsidRPr="00CE45E2">
              <w:t>(19)</w:t>
            </w:r>
            <w:r w:rsidRPr="00CE45E2">
              <w:tab/>
              <w:t xml:space="preserve">Nakładanie na IORP, która prowadzi działalność transgraniczną w przyjmującym państwie członkowskim, pełnych wstępnych procedur transgranicznych jest niepotrzebnie uciążliwe, jeżeli taka IORP chce rozszerzyć tę działalność na dodatkowe instytucje finansujące lub programy w tym samym przyjmującym państwie członkowskim. Takie podejście mogłoby prowadzić do powielania procedur, wzrostu kosztów administracyjnych i opóźnień, bez poprawy ochrony uczestników i beneficjentów. Aby ułatwić proporcjonalny i skuteczny nadzór oraz zapewnić skuteczną współpracę między właściwymi organami rodzimego państwa członkowskiego i przyjmującego państwa członkowskiego, takie rozszerzenia powinny podlegać uproszczonej procedurze powiadamiania, którą należy przeprowadzić w terminie </w:t>
            </w:r>
            <w:r w:rsidRPr="00CE45E2">
              <w:rPr>
                <w:b/>
                <w:bCs/>
                <w:i/>
                <w:iCs/>
              </w:rPr>
              <w:t>jednego miesiąca</w:t>
            </w:r>
            <w:r w:rsidRPr="00CE45E2">
              <w:t>. Harmonogram ten zapewnia właściwym organom możliwość prowadzenia niezbędnej koordynacji i nadzoru bez powodowania zbędnych opóźnień lub obciążeń dla IORP.</w:t>
            </w:r>
          </w:p>
        </w:tc>
        <w:tc>
          <w:tcPr>
            <w:tcW w:w="4876" w:type="dxa"/>
            <w:tcBorders>
              <w:top w:val="nil"/>
              <w:left w:val="nil"/>
              <w:bottom w:val="nil"/>
              <w:right w:val="nil"/>
            </w:tcBorders>
          </w:tcPr>
          <w:p w14:paraId="32408EA3" w14:textId="77777777" w:rsidR="00CE45E2" w:rsidRPr="00CE45E2" w:rsidRDefault="00CE45E2" w:rsidP="006476FB">
            <w:pPr>
              <w:pStyle w:val="Normal6a"/>
            </w:pPr>
            <w:r w:rsidRPr="00CE45E2">
              <w:t>(19)</w:t>
            </w:r>
            <w:r w:rsidRPr="00CE45E2">
              <w:tab/>
              <w:t xml:space="preserve">Nakładanie na IORP, która prowadzi działalność transgraniczną w przyjmującym państwie członkowskim, pełnych wstępnych procedur transgranicznych jest niepotrzebnie uciążliwe, jeżeli taka IORP chce rozszerzyć tę działalność na dodatkowe instytucje finansujące lub programy w tym samym przyjmującym państwie członkowskim. Takie podejście mogłoby prowadzić do powielania procedur, wzrostu kosztów administracyjnych i opóźnień, bez poprawy ochrony uczestników i beneficjentów. Aby ułatwić proporcjonalny i skuteczny nadzór oraz zapewnić skuteczną współpracę między właściwymi organami rodzimego państwa członkowskiego i przyjmującego państwa członkowskiego, takie rozszerzenia powinny podlegać uproszczonej procedurze powiadamiania, którą należy przeprowadzić w terminie </w:t>
            </w:r>
            <w:r w:rsidRPr="00CE45E2">
              <w:rPr>
                <w:b/>
                <w:bCs/>
                <w:i/>
                <w:iCs/>
              </w:rPr>
              <w:t>trzech miesięcy</w:t>
            </w:r>
            <w:r w:rsidRPr="00CE45E2">
              <w:t>. Harmonogram ten zapewnia właściwym organom możliwość prowadzenia niezbędnej koordynacji i nadzoru bez powodowania zbędnych opóźnień lub obciążeń dla IORP.</w:t>
            </w:r>
          </w:p>
        </w:tc>
      </w:tr>
    </w:tbl>
    <w:p w14:paraId="0E56030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4BEA3C5" w14:textId="77777777" w:rsidR="00CE45E2" w:rsidRPr="00CE45E2" w:rsidRDefault="00CE45E2" w:rsidP="00CE45E2">
      <w:r w:rsidRPr="00CE45E2">
        <w:rPr>
          <w:rStyle w:val="HideTWBExt"/>
        </w:rPr>
        <w:t>&lt;/Amend&gt;</w:t>
      </w:r>
    </w:p>
    <w:p w14:paraId="3428C811" w14:textId="6EAC4D5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152</w:t>
      </w:r>
      <w:r w:rsidRPr="00CE45E2">
        <w:rPr>
          <w:rStyle w:val="HideTWBExt"/>
          <w:b w:val="0"/>
        </w:rPr>
        <w:t>&lt;/NumAm&gt;</w:t>
      </w:r>
    </w:p>
    <w:p w14:paraId="1B90060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F42EEF6" w14:textId="77777777" w:rsidR="00CE45E2" w:rsidRPr="00CE45E2" w:rsidRDefault="00CE45E2" w:rsidP="00CE45E2">
      <w:pPr>
        <w:pStyle w:val="NormalBold"/>
      </w:pPr>
      <w:r w:rsidRPr="00CE45E2">
        <w:rPr>
          <w:rStyle w:val="HideTWBExt"/>
          <w:b w:val="0"/>
        </w:rPr>
        <w:t>&lt;/RepeatBlock-By&gt;</w:t>
      </w:r>
    </w:p>
    <w:p w14:paraId="45D63FB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7571C22" w14:textId="77777777" w:rsidR="00CE45E2" w:rsidRPr="00CE45E2" w:rsidRDefault="00CE45E2" w:rsidP="00CE45E2">
      <w:pPr>
        <w:pStyle w:val="NormalBold"/>
      </w:pPr>
      <w:r w:rsidRPr="00CE45E2">
        <w:rPr>
          <w:rStyle w:val="HideTWBExt"/>
          <w:b w:val="0"/>
        </w:rPr>
        <w:t>&lt;Article&gt;</w:t>
      </w:r>
      <w:r w:rsidRPr="00CE45E2">
        <w:t>Motyw 20</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08ABB80" w14:textId="77777777" w:rsidTr="006476FB">
        <w:trPr>
          <w:trHeight w:hRule="exact" w:val="240"/>
          <w:jc w:val="center"/>
        </w:trPr>
        <w:tc>
          <w:tcPr>
            <w:tcW w:w="9752" w:type="dxa"/>
            <w:gridSpan w:val="2"/>
            <w:tcBorders>
              <w:top w:val="nil"/>
              <w:left w:val="nil"/>
              <w:bottom w:val="nil"/>
              <w:right w:val="nil"/>
            </w:tcBorders>
          </w:tcPr>
          <w:p w14:paraId="73DF1738" w14:textId="77777777" w:rsidR="00CE45E2" w:rsidRPr="00CE45E2" w:rsidRDefault="00CE45E2" w:rsidP="006476FB"/>
        </w:tc>
      </w:tr>
      <w:tr w:rsidR="00CE45E2" w:rsidRPr="00CE45E2" w14:paraId="7B19D846" w14:textId="77777777" w:rsidTr="006476FB">
        <w:trPr>
          <w:trHeight w:val="240"/>
          <w:jc w:val="center"/>
        </w:trPr>
        <w:tc>
          <w:tcPr>
            <w:tcW w:w="4876" w:type="dxa"/>
            <w:tcBorders>
              <w:top w:val="nil"/>
              <w:left w:val="nil"/>
              <w:bottom w:val="nil"/>
              <w:right w:val="nil"/>
            </w:tcBorders>
          </w:tcPr>
          <w:p w14:paraId="7547F69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CBD792" w14:textId="77777777" w:rsidR="00CE45E2" w:rsidRPr="00CE45E2" w:rsidRDefault="00CE45E2" w:rsidP="006476FB">
            <w:pPr>
              <w:pStyle w:val="AmColumnHeading"/>
            </w:pPr>
            <w:r w:rsidRPr="00CE45E2">
              <w:t>Poprawka</w:t>
            </w:r>
          </w:p>
        </w:tc>
      </w:tr>
      <w:tr w:rsidR="00CE45E2" w:rsidRPr="00CE45E2" w14:paraId="2AC8F73A" w14:textId="77777777" w:rsidTr="006476FB">
        <w:trPr>
          <w:jc w:val="center"/>
        </w:trPr>
        <w:tc>
          <w:tcPr>
            <w:tcW w:w="4876" w:type="dxa"/>
            <w:tcBorders>
              <w:top w:val="nil"/>
              <w:left w:val="nil"/>
              <w:bottom w:val="nil"/>
              <w:right w:val="nil"/>
            </w:tcBorders>
          </w:tcPr>
          <w:p w14:paraId="298AE646" w14:textId="77777777" w:rsidR="00CE45E2" w:rsidRPr="00CE45E2" w:rsidRDefault="00CE45E2" w:rsidP="006476FB">
            <w:pPr>
              <w:pStyle w:val="Normal6a"/>
            </w:pPr>
            <w:r w:rsidRPr="00CE45E2">
              <w:t>(20)</w:t>
            </w:r>
            <w:r w:rsidRPr="00CE45E2">
              <w:tab/>
              <w:t xml:space="preserve">Zasady regulujące zbiorowe przenoszenie w całości lub częściowo zobowiązań programu emerytalnego, rezerw techniczno-ubezpieczeniowych oraz innych zobowiązań i praw </w:t>
            </w:r>
            <w:r w:rsidRPr="00CE45E2">
              <w:rPr>
                <w:b/>
                <w:bCs/>
                <w:i/>
                <w:iCs/>
              </w:rPr>
              <w:t>odgrywają kluczową rolę we wspieraniu konsolidacji i osiągania skali w pracowniczych programach emerytalnych.</w:t>
            </w:r>
            <w:r w:rsidRPr="00CE45E2">
              <w:rPr>
                <w:b/>
                <w:i/>
              </w:rPr>
              <w:t xml:space="preserve"> </w:t>
            </w:r>
            <w:r w:rsidRPr="00CE45E2">
              <w:rPr>
                <w:b/>
                <w:bCs/>
                <w:i/>
                <w:iCs/>
              </w:rPr>
              <w:t>Jeżeli takie przepisy są zbyt rygorystyczne, stwarzają nadmierne przeszkody w osiąganiu skali i ułatwianiu konsolidacji, co może być szkodliwe dla długoterminowych interesów oszczędzających</w:t>
            </w:r>
            <w:r w:rsidRPr="00CE45E2">
              <w:t xml:space="preserve">. </w:t>
            </w:r>
            <w:r w:rsidRPr="00CE45E2">
              <w:rPr>
                <w:b/>
                <w:bCs/>
                <w:i/>
                <w:iCs/>
              </w:rPr>
              <w:t>Jednocześnie</w:t>
            </w:r>
            <w:r w:rsidRPr="00CE45E2">
              <w:t xml:space="preserve"> ważne jest, aby uczestnicy i beneficjenci lub ich przedstawiciele mogli skutecznie wyrażać swoje poglądy na temat proponowanych przeniesień transgranicznych. </w:t>
            </w:r>
            <w:r w:rsidRPr="00CE45E2">
              <w:rPr>
                <w:b/>
                <w:bCs/>
                <w:i/>
                <w:iCs/>
              </w:rPr>
              <w:t>Aby ułatwić takie przeniesienia</w:t>
            </w:r>
            <w:r w:rsidRPr="00CE45E2">
              <w:t xml:space="preserve">, należy </w:t>
            </w:r>
            <w:r w:rsidRPr="00CE45E2">
              <w:rPr>
                <w:b/>
                <w:bCs/>
                <w:i/>
                <w:iCs/>
              </w:rPr>
              <w:t>zatem</w:t>
            </w:r>
            <w:r w:rsidRPr="00CE45E2">
              <w:t xml:space="preserve"> doprecyzować i uprościć mające zastosowanie przepisy unijne, zapewniając, aby procedury pozostały przejrzyste, proporcjonalne i spójne z ochroną uczestników i beneficjentów, a jednocześnie umożliwiały większą efektywność</w:t>
            </w:r>
            <w:r w:rsidRPr="00CE45E2">
              <w:rPr>
                <w:b/>
                <w:bCs/>
                <w:i/>
                <w:iCs/>
              </w:rPr>
              <w:t xml:space="preserve"> i integrację na rynku wewnętrznym</w:t>
            </w:r>
            <w:r w:rsidRPr="00CE45E2">
              <w:t xml:space="preserve">. Powinno to obejmować przepisy dotyczące terminowego powiadamiania, zatwierdzania przez instytucję finansującą, w stosownych </w:t>
            </w:r>
            <w:proofErr w:type="gramStart"/>
            <w:r w:rsidRPr="00CE45E2">
              <w:t>przypadkach,</w:t>
            </w:r>
            <w:proofErr w:type="gramEnd"/>
            <w:r w:rsidRPr="00CE45E2">
              <w:t xml:space="preserve"> oraz możliwości formalnego wyrażenia sprzeciwu przez uczestników i beneficjentów.</w:t>
            </w:r>
          </w:p>
        </w:tc>
        <w:tc>
          <w:tcPr>
            <w:tcW w:w="4876" w:type="dxa"/>
            <w:tcBorders>
              <w:top w:val="nil"/>
              <w:left w:val="nil"/>
              <w:bottom w:val="nil"/>
              <w:right w:val="nil"/>
            </w:tcBorders>
          </w:tcPr>
          <w:p w14:paraId="50B0D42F" w14:textId="77777777" w:rsidR="00CE45E2" w:rsidRPr="00CE45E2" w:rsidRDefault="00CE45E2" w:rsidP="006476FB">
            <w:pPr>
              <w:pStyle w:val="Normal6a"/>
            </w:pPr>
            <w:r w:rsidRPr="00CE45E2">
              <w:t>(20)</w:t>
            </w:r>
            <w:r w:rsidRPr="00CE45E2">
              <w:tab/>
              <w:t xml:space="preserve">Zasady regulujące zbiorowe przenoszenie w całości lub częściowo zobowiązań programu emerytalnego, rezerw techniczno-ubezpieczeniowych oraz innych zobowiązań i praw </w:t>
            </w:r>
            <w:r w:rsidRPr="00CE45E2">
              <w:rPr>
                <w:b/>
                <w:bCs/>
                <w:i/>
                <w:iCs/>
              </w:rPr>
              <w:t>powinny być wyważone</w:t>
            </w:r>
            <w:r w:rsidRPr="00CE45E2">
              <w:t xml:space="preserve">. Ważne jest, aby uczestnicy i beneficjenci lub ich przedstawiciele mogli skutecznie wyrażać swoje poglądy na temat proponowanych przeniesień transgranicznych. Należy doprecyzować i uprościć mające zastosowanie przepisy unijne, zapewniając, aby procedury pozostały przejrzyste, proporcjonalne i spójne z ochroną uczestników i beneficjentów, a jednocześnie umożliwiały większą efektywność. Powinno to obejmować przepisy dotyczące terminowego powiadamiania, zatwierdzania przez instytucję finansującą, w stosownych </w:t>
            </w:r>
            <w:proofErr w:type="gramStart"/>
            <w:r w:rsidRPr="00CE45E2">
              <w:t>przypadkach,</w:t>
            </w:r>
            <w:proofErr w:type="gramEnd"/>
            <w:r w:rsidRPr="00CE45E2">
              <w:t xml:space="preserve"> oraz możliwości formalnego wyrażenia sprzeciwu przez uczestników i beneficjentów.</w:t>
            </w:r>
          </w:p>
        </w:tc>
      </w:tr>
    </w:tbl>
    <w:p w14:paraId="7AC131F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0A72FB7" w14:textId="77777777" w:rsidR="00CE45E2" w:rsidRPr="00CE45E2" w:rsidRDefault="00CE45E2" w:rsidP="00CE45E2">
      <w:r w:rsidRPr="00CE45E2">
        <w:rPr>
          <w:rStyle w:val="HideTWBExt"/>
        </w:rPr>
        <w:t>&lt;/Amend&gt;</w:t>
      </w:r>
    </w:p>
    <w:p w14:paraId="797F00FA" w14:textId="0867A9A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153</w:t>
      </w:r>
      <w:r w:rsidRPr="00CE45E2">
        <w:rPr>
          <w:rStyle w:val="HideTWBExt"/>
          <w:b w:val="0"/>
        </w:rPr>
        <w:t>&lt;/NumAm&gt;</w:t>
      </w:r>
    </w:p>
    <w:p w14:paraId="18556498"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1F00D2BE" w14:textId="77777777" w:rsidR="00CE45E2" w:rsidRPr="00CE45E2" w:rsidRDefault="00CE45E2" w:rsidP="00CE45E2">
      <w:pPr>
        <w:pStyle w:val="NormalBold"/>
      </w:pPr>
      <w:r w:rsidRPr="00CE45E2">
        <w:rPr>
          <w:rStyle w:val="HideTWBExt"/>
          <w:b w:val="0"/>
        </w:rPr>
        <w:t>&lt;/RepeatBlock-By&gt;</w:t>
      </w:r>
    </w:p>
    <w:p w14:paraId="7DA18D5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9B896BA" w14:textId="77777777" w:rsidR="00CE45E2" w:rsidRPr="00CE45E2" w:rsidRDefault="00CE45E2" w:rsidP="00CE45E2">
      <w:pPr>
        <w:pStyle w:val="NormalBold"/>
      </w:pPr>
      <w:r w:rsidRPr="00CE45E2">
        <w:rPr>
          <w:rStyle w:val="HideTWBExt"/>
          <w:b w:val="0"/>
        </w:rPr>
        <w:t>&lt;Article&gt;</w:t>
      </w:r>
      <w:r w:rsidRPr="00CE45E2">
        <w:t>Motyw 21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856F9D1" w14:textId="77777777" w:rsidTr="006476FB">
        <w:trPr>
          <w:trHeight w:hRule="exact" w:val="240"/>
          <w:jc w:val="center"/>
        </w:trPr>
        <w:tc>
          <w:tcPr>
            <w:tcW w:w="9752" w:type="dxa"/>
            <w:gridSpan w:val="2"/>
            <w:tcBorders>
              <w:top w:val="nil"/>
              <w:left w:val="nil"/>
              <w:bottom w:val="nil"/>
              <w:right w:val="nil"/>
            </w:tcBorders>
          </w:tcPr>
          <w:p w14:paraId="797B4019" w14:textId="77777777" w:rsidR="00CE45E2" w:rsidRPr="00CE45E2" w:rsidRDefault="00CE45E2" w:rsidP="006476FB"/>
        </w:tc>
      </w:tr>
      <w:tr w:rsidR="00CE45E2" w:rsidRPr="00CE45E2" w14:paraId="38463502" w14:textId="77777777" w:rsidTr="006476FB">
        <w:trPr>
          <w:trHeight w:val="240"/>
          <w:jc w:val="center"/>
        </w:trPr>
        <w:tc>
          <w:tcPr>
            <w:tcW w:w="4876" w:type="dxa"/>
            <w:tcBorders>
              <w:top w:val="nil"/>
              <w:left w:val="nil"/>
              <w:bottom w:val="nil"/>
              <w:right w:val="nil"/>
            </w:tcBorders>
          </w:tcPr>
          <w:p w14:paraId="0BBA8EC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F046FEB" w14:textId="77777777" w:rsidR="00CE45E2" w:rsidRPr="00CE45E2" w:rsidRDefault="00CE45E2" w:rsidP="006476FB">
            <w:pPr>
              <w:pStyle w:val="AmColumnHeading"/>
            </w:pPr>
            <w:r w:rsidRPr="00CE45E2">
              <w:t>Poprawka</w:t>
            </w:r>
          </w:p>
        </w:tc>
      </w:tr>
      <w:tr w:rsidR="00CE45E2" w:rsidRPr="00CE45E2" w14:paraId="708C00FC" w14:textId="77777777" w:rsidTr="006476FB">
        <w:trPr>
          <w:jc w:val="center"/>
        </w:trPr>
        <w:tc>
          <w:tcPr>
            <w:tcW w:w="4876" w:type="dxa"/>
            <w:tcBorders>
              <w:top w:val="nil"/>
              <w:left w:val="nil"/>
              <w:bottom w:val="nil"/>
              <w:right w:val="nil"/>
            </w:tcBorders>
          </w:tcPr>
          <w:p w14:paraId="786C4EC3" w14:textId="77777777" w:rsidR="00CE45E2" w:rsidRPr="00CE45E2" w:rsidRDefault="00CE45E2" w:rsidP="006476FB">
            <w:pPr>
              <w:pStyle w:val="Normal6a"/>
            </w:pPr>
            <w:r w:rsidRPr="00CE45E2">
              <w:rPr>
                <w:b/>
                <w:i/>
              </w:rPr>
              <w:t>(21)</w:t>
            </w:r>
            <w:r w:rsidRPr="00CE45E2">
              <w:tab/>
            </w:r>
            <w:r w:rsidRPr="00CE45E2">
              <w:rPr>
                <w:b/>
                <w:i/>
              </w:rPr>
              <w:t>W przypadku krajowych przeniesień zbiorowych z jednej IORP do drugiej państwa członkowskie powinny zapewnić wprowadzenie prostych, przejrzystych i skutecznych pod względem operacyjnym procedur umożliwiających konsolidację i restrukturyzację programów emerytalnych na ich terytorium. Takie procedury powinny ułatwiać osiągnięcie skali i oszczędności kosztowej oraz nie powinny być bardziej restrykcyjne niż procedury mające zastosowanie do przeniesień transgranicznych.</w:t>
            </w:r>
          </w:p>
        </w:tc>
        <w:tc>
          <w:tcPr>
            <w:tcW w:w="4876" w:type="dxa"/>
            <w:tcBorders>
              <w:top w:val="nil"/>
              <w:left w:val="nil"/>
              <w:bottom w:val="nil"/>
              <w:right w:val="nil"/>
            </w:tcBorders>
          </w:tcPr>
          <w:p w14:paraId="6E168227" w14:textId="77777777" w:rsidR="00CE45E2" w:rsidRPr="00CE45E2" w:rsidRDefault="00CE45E2" w:rsidP="006476FB">
            <w:pPr>
              <w:pStyle w:val="Normal6a"/>
            </w:pPr>
            <w:r w:rsidRPr="00CE45E2">
              <w:rPr>
                <w:b/>
                <w:i/>
              </w:rPr>
              <w:t>skreśla się</w:t>
            </w:r>
          </w:p>
        </w:tc>
      </w:tr>
    </w:tbl>
    <w:p w14:paraId="460EB64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D7305C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0B16A2E" w14:textId="77777777" w:rsidR="00CE45E2" w:rsidRPr="00CE45E2" w:rsidRDefault="00CE45E2" w:rsidP="00CE45E2">
      <w:pPr>
        <w:pStyle w:val="AmJustText"/>
      </w:pPr>
      <w:r w:rsidRPr="00CE45E2">
        <w:t>Poprawkę należy odczytywać w połączeniu z proponowanym skreśleniem art. 12a.</w:t>
      </w:r>
    </w:p>
    <w:p w14:paraId="314313BE" w14:textId="77777777" w:rsidR="00CE45E2" w:rsidRPr="00CE45E2" w:rsidRDefault="00CE45E2" w:rsidP="00CE45E2">
      <w:r w:rsidRPr="00CE45E2">
        <w:rPr>
          <w:rStyle w:val="HideTWBExt"/>
        </w:rPr>
        <w:t>&lt;/Amend&gt;</w:t>
      </w:r>
    </w:p>
    <w:p w14:paraId="3307D608" w14:textId="461EE78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154</w:t>
      </w:r>
      <w:r w:rsidRPr="00CE45E2">
        <w:rPr>
          <w:rStyle w:val="HideTWBExt"/>
          <w:b w:val="0"/>
        </w:rPr>
        <w:t>&lt;/NumAm&gt;</w:t>
      </w:r>
    </w:p>
    <w:p w14:paraId="4EAAC7D3"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8C0B81B" w14:textId="77777777" w:rsidR="00CE45E2" w:rsidRPr="00CE45E2" w:rsidRDefault="00CE45E2" w:rsidP="00CE45E2">
      <w:pPr>
        <w:pStyle w:val="NormalBold"/>
      </w:pPr>
      <w:r w:rsidRPr="00CE45E2">
        <w:rPr>
          <w:rStyle w:val="HideTWBExt"/>
          <w:b w:val="0"/>
        </w:rPr>
        <w:t>&lt;/RepeatBlock-By&gt;</w:t>
      </w:r>
    </w:p>
    <w:p w14:paraId="64639E1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CB5316C" w14:textId="77777777" w:rsidR="00CE45E2" w:rsidRPr="00CE45E2" w:rsidRDefault="00CE45E2" w:rsidP="00CE45E2">
      <w:pPr>
        <w:pStyle w:val="NormalBold"/>
      </w:pPr>
      <w:r w:rsidRPr="00CE45E2">
        <w:rPr>
          <w:rStyle w:val="HideTWBExt"/>
          <w:b w:val="0"/>
        </w:rPr>
        <w:t>&lt;Article&gt;</w:t>
      </w:r>
      <w:r w:rsidRPr="00CE45E2">
        <w:t>Motyw 21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39BBA7A" w14:textId="77777777" w:rsidTr="006476FB">
        <w:trPr>
          <w:trHeight w:hRule="exact" w:val="240"/>
          <w:jc w:val="center"/>
        </w:trPr>
        <w:tc>
          <w:tcPr>
            <w:tcW w:w="9752" w:type="dxa"/>
            <w:gridSpan w:val="2"/>
            <w:tcBorders>
              <w:top w:val="nil"/>
              <w:left w:val="nil"/>
              <w:bottom w:val="nil"/>
              <w:right w:val="nil"/>
            </w:tcBorders>
          </w:tcPr>
          <w:p w14:paraId="2E35DE3E" w14:textId="77777777" w:rsidR="00CE45E2" w:rsidRPr="00CE45E2" w:rsidRDefault="00CE45E2" w:rsidP="006476FB"/>
        </w:tc>
      </w:tr>
      <w:tr w:rsidR="00CE45E2" w:rsidRPr="00CE45E2" w14:paraId="69C56C6E" w14:textId="77777777" w:rsidTr="006476FB">
        <w:trPr>
          <w:trHeight w:val="240"/>
          <w:jc w:val="center"/>
        </w:trPr>
        <w:tc>
          <w:tcPr>
            <w:tcW w:w="4876" w:type="dxa"/>
            <w:tcBorders>
              <w:top w:val="nil"/>
              <w:left w:val="nil"/>
              <w:bottom w:val="nil"/>
              <w:right w:val="nil"/>
            </w:tcBorders>
          </w:tcPr>
          <w:p w14:paraId="684DBED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9A06814" w14:textId="77777777" w:rsidR="00CE45E2" w:rsidRPr="00CE45E2" w:rsidRDefault="00CE45E2" w:rsidP="006476FB">
            <w:pPr>
              <w:pStyle w:val="AmColumnHeading"/>
            </w:pPr>
            <w:r w:rsidRPr="00CE45E2">
              <w:t>Poprawka</w:t>
            </w:r>
          </w:p>
        </w:tc>
      </w:tr>
      <w:tr w:rsidR="00CE45E2" w:rsidRPr="00CE45E2" w14:paraId="4B973A95" w14:textId="77777777" w:rsidTr="006476FB">
        <w:trPr>
          <w:jc w:val="center"/>
        </w:trPr>
        <w:tc>
          <w:tcPr>
            <w:tcW w:w="4876" w:type="dxa"/>
            <w:tcBorders>
              <w:top w:val="nil"/>
              <w:left w:val="nil"/>
              <w:bottom w:val="nil"/>
              <w:right w:val="nil"/>
            </w:tcBorders>
          </w:tcPr>
          <w:p w14:paraId="55DD9565" w14:textId="77777777" w:rsidR="00CE45E2" w:rsidRPr="00CE45E2" w:rsidRDefault="00CE45E2" w:rsidP="006476FB">
            <w:pPr>
              <w:pStyle w:val="Normal6a"/>
            </w:pPr>
            <w:r w:rsidRPr="00CE45E2">
              <w:t>(21)</w:t>
            </w:r>
            <w:r w:rsidRPr="00CE45E2">
              <w:tab/>
              <w:t>W przypadku krajowych przeniesień zbiorowych z jednej IORP do drugiej państwa członkowskie powinny zapewnić wprowadzenie prostych, przejrzystych i skutecznych pod względem operacyjnym procedur</w:t>
            </w:r>
            <w:r w:rsidRPr="00CE45E2">
              <w:rPr>
                <w:b/>
                <w:bCs/>
                <w:i/>
                <w:iCs/>
              </w:rPr>
              <w:t xml:space="preserve"> umożliwiających konsolidację i restrukturyzację programów emerytalnych na ich terytorium</w:t>
            </w:r>
            <w:r w:rsidRPr="00CE45E2">
              <w:t>. Takie procedury powinny ułatwiać osiągnięcie</w:t>
            </w:r>
            <w:r w:rsidRPr="00CE45E2">
              <w:rPr>
                <w:b/>
                <w:bCs/>
                <w:i/>
                <w:iCs/>
              </w:rPr>
              <w:t xml:space="preserve"> skali i</w:t>
            </w:r>
            <w:r w:rsidRPr="00CE45E2">
              <w:t xml:space="preserve"> oszczędności kosztowej oraz nie powinny być bardziej restrykcyjne niż procedury mające zastosowanie do przeniesień transgranicznych.</w:t>
            </w:r>
          </w:p>
        </w:tc>
        <w:tc>
          <w:tcPr>
            <w:tcW w:w="4876" w:type="dxa"/>
            <w:tcBorders>
              <w:top w:val="nil"/>
              <w:left w:val="nil"/>
              <w:bottom w:val="nil"/>
              <w:right w:val="nil"/>
            </w:tcBorders>
          </w:tcPr>
          <w:p w14:paraId="30B930F0" w14:textId="77777777" w:rsidR="00CE45E2" w:rsidRPr="00CE45E2" w:rsidRDefault="00CE45E2" w:rsidP="006476FB">
            <w:pPr>
              <w:pStyle w:val="Normal6a"/>
            </w:pPr>
            <w:r w:rsidRPr="00CE45E2">
              <w:t>(21)</w:t>
            </w:r>
            <w:r w:rsidRPr="00CE45E2">
              <w:tab/>
              <w:t>W przypadku krajowych przeniesień zbiorowych z jednej IORP do drugiej państwa członkowskie powinny zapewnić wprowadzenie prostych, przejrzystych i skutecznych pod względem operacyjnym procedur. Takie procedury powinny ułatwiać osiągnięcie oszczędności kosztowej oraz nie powinny być bardziej restrykcyjne niż procedury mające zastosowanie do przeniesień transgranicznych.</w:t>
            </w:r>
          </w:p>
        </w:tc>
      </w:tr>
    </w:tbl>
    <w:p w14:paraId="03AF465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62A33C5" w14:textId="77777777" w:rsidR="00CE45E2" w:rsidRPr="00CE45E2" w:rsidRDefault="00CE45E2" w:rsidP="00CE45E2">
      <w:r w:rsidRPr="00CE45E2">
        <w:rPr>
          <w:rStyle w:val="HideTWBExt"/>
        </w:rPr>
        <w:t>&lt;/Amend&gt;</w:t>
      </w:r>
    </w:p>
    <w:p w14:paraId="13322FB0" w14:textId="438A317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155</w:t>
      </w:r>
      <w:r w:rsidRPr="00CE45E2">
        <w:rPr>
          <w:rStyle w:val="HideTWBExt"/>
          <w:b w:val="0"/>
        </w:rPr>
        <w:t>&lt;/NumAm&gt;</w:t>
      </w:r>
    </w:p>
    <w:p w14:paraId="075C2585"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751803BB" w14:textId="77777777" w:rsidR="00CE45E2" w:rsidRPr="00CE45E2" w:rsidRDefault="00CE45E2" w:rsidP="00CE45E2">
      <w:pPr>
        <w:pStyle w:val="NormalBold"/>
      </w:pPr>
      <w:r w:rsidRPr="00CE45E2">
        <w:rPr>
          <w:rStyle w:val="HideTWBExt"/>
          <w:b w:val="0"/>
        </w:rPr>
        <w:t>&lt;/RepeatBlock-By&gt;</w:t>
      </w:r>
    </w:p>
    <w:p w14:paraId="3554016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2C7094F" w14:textId="77777777" w:rsidR="00CE45E2" w:rsidRPr="00CE45E2" w:rsidRDefault="00CE45E2" w:rsidP="00CE45E2">
      <w:pPr>
        <w:pStyle w:val="NormalBold"/>
      </w:pPr>
      <w:r w:rsidRPr="00CE45E2">
        <w:rPr>
          <w:rStyle w:val="HideTWBExt"/>
          <w:b w:val="0"/>
        </w:rPr>
        <w:t>&lt;Article&gt;</w:t>
      </w:r>
      <w:r w:rsidRPr="00CE45E2">
        <w:t>Motyw 22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968A426" w14:textId="77777777" w:rsidTr="006476FB">
        <w:trPr>
          <w:trHeight w:hRule="exact" w:val="240"/>
          <w:jc w:val="center"/>
        </w:trPr>
        <w:tc>
          <w:tcPr>
            <w:tcW w:w="9752" w:type="dxa"/>
            <w:gridSpan w:val="2"/>
            <w:tcBorders>
              <w:top w:val="nil"/>
              <w:left w:val="nil"/>
              <w:bottom w:val="nil"/>
              <w:right w:val="nil"/>
            </w:tcBorders>
          </w:tcPr>
          <w:p w14:paraId="58BD18AE" w14:textId="77777777" w:rsidR="00CE45E2" w:rsidRPr="00CE45E2" w:rsidRDefault="00CE45E2" w:rsidP="006476FB"/>
        </w:tc>
      </w:tr>
      <w:tr w:rsidR="00CE45E2" w:rsidRPr="00CE45E2" w14:paraId="244DDA7F" w14:textId="77777777" w:rsidTr="006476FB">
        <w:trPr>
          <w:trHeight w:val="240"/>
          <w:jc w:val="center"/>
        </w:trPr>
        <w:tc>
          <w:tcPr>
            <w:tcW w:w="4876" w:type="dxa"/>
            <w:tcBorders>
              <w:top w:val="nil"/>
              <w:left w:val="nil"/>
              <w:bottom w:val="nil"/>
              <w:right w:val="nil"/>
            </w:tcBorders>
          </w:tcPr>
          <w:p w14:paraId="6E6E36F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53EC665" w14:textId="77777777" w:rsidR="00CE45E2" w:rsidRPr="00CE45E2" w:rsidRDefault="00CE45E2" w:rsidP="006476FB">
            <w:pPr>
              <w:pStyle w:val="AmColumnHeading"/>
            </w:pPr>
            <w:r w:rsidRPr="00CE45E2">
              <w:t>Poprawka</w:t>
            </w:r>
          </w:p>
        </w:tc>
      </w:tr>
      <w:tr w:rsidR="00CE45E2" w:rsidRPr="00CE45E2" w14:paraId="573A04DD" w14:textId="77777777" w:rsidTr="006476FB">
        <w:trPr>
          <w:jc w:val="center"/>
        </w:trPr>
        <w:tc>
          <w:tcPr>
            <w:tcW w:w="4876" w:type="dxa"/>
            <w:tcBorders>
              <w:top w:val="nil"/>
              <w:left w:val="nil"/>
              <w:bottom w:val="nil"/>
              <w:right w:val="nil"/>
            </w:tcBorders>
          </w:tcPr>
          <w:p w14:paraId="59C410C1" w14:textId="77777777" w:rsidR="00CE45E2" w:rsidRPr="00CE45E2" w:rsidRDefault="00CE45E2" w:rsidP="006476FB">
            <w:pPr>
              <w:pStyle w:val="Normal6a"/>
            </w:pPr>
            <w:r w:rsidRPr="00CE45E2">
              <w:t>(22)</w:t>
            </w:r>
            <w:r w:rsidRPr="00CE45E2">
              <w:tab/>
              <w:t xml:space="preserve">Państwa członkowskie mogą dopuścić niepełne finansowanie pracowniczych programów emerytalnych na okres przejściowy. Różne państwa członkowskie wdrożyły tę opcję na różne sposoby, podczas gdy inne zdecydowały się z niej nie korzystać, co prowadzi do niespójności, które mogą mieć wpływ na ochronę uczestników i beneficjentów. Chociaż zapobieganie niepełnemu finansowaniu jest ważne, bezwzględny zakaz mógłby w niektórych przypadkach spowodować nagłe obniżenie przyrzeczeń emerytury, co może być szkodliwe dla uczestników i beneficjentów. Aby zapewnić zrównoważone i proporcjonalne podejście oraz odpowiednią ochronę uczestników i beneficjentów, państwa członkowskie powinny dopuścić niepełne finansowanie programów emerytalnych na okres przejściowy, określony w prawie krajowym, który w żadnym przypadku nie powinien przekraczać </w:t>
            </w:r>
            <w:r w:rsidRPr="00CE45E2">
              <w:rPr>
                <w:b/>
                <w:bCs/>
                <w:i/>
                <w:iCs/>
              </w:rPr>
              <w:t>dziesięciu</w:t>
            </w:r>
            <w:r w:rsidRPr="00CE45E2">
              <w:t xml:space="preserve"> lat.</w:t>
            </w:r>
          </w:p>
        </w:tc>
        <w:tc>
          <w:tcPr>
            <w:tcW w:w="4876" w:type="dxa"/>
            <w:tcBorders>
              <w:top w:val="nil"/>
              <w:left w:val="nil"/>
              <w:bottom w:val="nil"/>
              <w:right w:val="nil"/>
            </w:tcBorders>
          </w:tcPr>
          <w:p w14:paraId="51C3950D" w14:textId="77777777" w:rsidR="00CE45E2" w:rsidRPr="00CE45E2" w:rsidRDefault="00CE45E2" w:rsidP="006476FB">
            <w:pPr>
              <w:pStyle w:val="Normal6a"/>
            </w:pPr>
            <w:r w:rsidRPr="00CE45E2">
              <w:t>(22)</w:t>
            </w:r>
            <w:r w:rsidRPr="00CE45E2">
              <w:tab/>
              <w:t xml:space="preserve">Państwa członkowskie mogą dopuścić niepełne finansowanie pracowniczych programów emerytalnych na okres przejściowy. Różne państwa członkowskie wdrożyły tę opcję na różne sposoby, podczas gdy inne zdecydowały się z niej nie korzystać, co prowadzi do niespójności, które mogą mieć wpływ na ochronę uczestników i beneficjentów. Chociaż zapobieganie niepełnemu finansowaniu jest ważne, bezwzględny zakaz mógłby w niektórych przypadkach spowodować nagłe obniżenie przyrzeczeń emerytury, co może być szkodliwe dla uczestników i beneficjentów. Aby zapewnić zrównoważone i proporcjonalne podejście oraz odpowiednią ochronę uczestników i beneficjentów, państwa członkowskie powinny dopuścić niepełne finansowanie programów emerytalnych na okres przejściowy, określony w prawie krajowym, który w żadnym przypadku nie powinien przekraczać </w:t>
            </w:r>
            <w:r w:rsidRPr="00CE45E2">
              <w:rPr>
                <w:b/>
                <w:bCs/>
                <w:i/>
                <w:iCs/>
              </w:rPr>
              <w:t>dwóch</w:t>
            </w:r>
            <w:r w:rsidRPr="00CE45E2">
              <w:t xml:space="preserve"> lat.</w:t>
            </w:r>
          </w:p>
        </w:tc>
      </w:tr>
    </w:tbl>
    <w:p w14:paraId="67D976C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CAE06EF" w14:textId="77777777" w:rsidR="00CE45E2" w:rsidRPr="00CE45E2" w:rsidRDefault="00CE45E2" w:rsidP="00CE45E2">
      <w:r w:rsidRPr="00CE45E2">
        <w:rPr>
          <w:rStyle w:val="HideTWBExt"/>
        </w:rPr>
        <w:t>&lt;/Amend&gt;</w:t>
      </w:r>
    </w:p>
    <w:p w14:paraId="61DBCDA3" w14:textId="34BC3FC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156</w:t>
      </w:r>
      <w:r w:rsidRPr="00CE45E2">
        <w:rPr>
          <w:rStyle w:val="HideTWBExt"/>
          <w:b w:val="0"/>
        </w:rPr>
        <w:t>&lt;/NumAm&gt;</w:t>
      </w:r>
    </w:p>
    <w:p w14:paraId="486CDD8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137A57F0" w14:textId="77777777" w:rsidR="00CE45E2" w:rsidRPr="00CE45E2" w:rsidRDefault="00CE45E2" w:rsidP="00CE45E2">
      <w:pPr>
        <w:pStyle w:val="NormalBold"/>
      </w:pPr>
      <w:r w:rsidRPr="00CE45E2">
        <w:rPr>
          <w:rStyle w:val="HideTWBExt"/>
          <w:b w:val="0"/>
        </w:rPr>
        <w:t>&lt;/RepeatBlock-By&gt;</w:t>
      </w:r>
    </w:p>
    <w:p w14:paraId="578C3CE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A090B90" w14:textId="77777777" w:rsidR="00CE45E2" w:rsidRPr="00CE45E2" w:rsidRDefault="00CE45E2" w:rsidP="00CE45E2">
      <w:pPr>
        <w:pStyle w:val="NormalBold"/>
      </w:pPr>
      <w:r w:rsidRPr="00CE45E2">
        <w:rPr>
          <w:rStyle w:val="HideTWBExt"/>
          <w:b w:val="0"/>
        </w:rPr>
        <w:t>&lt;Article&gt;</w:t>
      </w:r>
      <w:r w:rsidRPr="00CE45E2">
        <w:t>Motyw 22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394C033" w14:textId="77777777" w:rsidTr="006476FB">
        <w:trPr>
          <w:trHeight w:hRule="exact" w:val="240"/>
          <w:jc w:val="center"/>
        </w:trPr>
        <w:tc>
          <w:tcPr>
            <w:tcW w:w="9752" w:type="dxa"/>
            <w:gridSpan w:val="2"/>
            <w:tcBorders>
              <w:top w:val="nil"/>
              <w:left w:val="nil"/>
              <w:bottom w:val="nil"/>
              <w:right w:val="nil"/>
            </w:tcBorders>
          </w:tcPr>
          <w:p w14:paraId="080D5C26" w14:textId="77777777" w:rsidR="00CE45E2" w:rsidRPr="00CE45E2" w:rsidRDefault="00CE45E2" w:rsidP="006476FB"/>
        </w:tc>
      </w:tr>
      <w:tr w:rsidR="00CE45E2" w:rsidRPr="00CE45E2" w14:paraId="19F623DA" w14:textId="77777777" w:rsidTr="006476FB">
        <w:trPr>
          <w:trHeight w:val="240"/>
          <w:jc w:val="center"/>
        </w:trPr>
        <w:tc>
          <w:tcPr>
            <w:tcW w:w="4876" w:type="dxa"/>
            <w:tcBorders>
              <w:top w:val="nil"/>
              <w:left w:val="nil"/>
              <w:bottom w:val="nil"/>
              <w:right w:val="nil"/>
            </w:tcBorders>
          </w:tcPr>
          <w:p w14:paraId="7C9E265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A30B755" w14:textId="77777777" w:rsidR="00CE45E2" w:rsidRPr="00CE45E2" w:rsidRDefault="00CE45E2" w:rsidP="006476FB">
            <w:pPr>
              <w:pStyle w:val="AmColumnHeading"/>
            </w:pPr>
            <w:r w:rsidRPr="00CE45E2">
              <w:t>Poprawka</w:t>
            </w:r>
          </w:p>
        </w:tc>
      </w:tr>
      <w:tr w:rsidR="00CE45E2" w:rsidRPr="00CE45E2" w14:paraId="6E9F2543" w14:textId="77777777" w:rsidTr="006476FB">
        <w:trPr>
          <w:jc w:val="center"/>
        </w:trPr>
        <w:tc>
          <w:tcPr>
            <w:tcW w:w="4876" w:type="dxa"/>
            <w:tcBorders>
              <w:top w:val="nil"/>
              <w:left w:val="nil"/>
              <w:bottom w:val="nil"/>
              <w:right w:val="nil"/>
            </w:tcBorders>
          </w:tcPr>
          <w:p w14:paraId="12CA3239" w14:textId="77777777" w:rsidR="00CE45E2" w:rsidRPr="00CE45E2" w:rsidRDefault="00CE45E2" w:rsidP="006476FB">
            <w:pPr>
              <w:pStyle w:val="Normal6a"/>
            </w:pPr>
            <w:r w:rsidRPr="00CE45E2">
              <w:t>(22)</w:t>
            </w:r>
            <w:r w:rsidRPr="00CE45E2">
              <w:tab/>
              <w:t xml:space="preserve">Państwa członkowskie mogą dopuścić niepełne finansowanie pracowniczych programów emerytalnych na okres przejściowy. Różne państwa członkowskie wdrożyły tę opcję na różne sposoby, podczas gdy inne zdecydowały się z niej nie korzystać, co prowadzi do niespójności, które mogą mieć wpływ na ochronę uczestników i beneficjentów. Chociaż zapobieganie niepełnemu finansowaniu jest ważne, bezwzględny zakaz mógłby w niektórych przypadkach spowodować nagłe obniżenie przyrzeczeń emerytury, co może być szkodliwe dla uczestników i beneficjentów. Aby zapewnić zrównoważone i proporcjonalne podejście oraz odpowiednią ochronę uczestników i beneficjentów, państwa członkowskie powinny dopuścić niepełne finansowanie programów emerytalnych na okres przejściowy, określony w prawie krajowym, który w żadnym przypadku nie powinien przekraczać </w:t>
            </w:r>
            <w:r w:rsidRPr="00CE45E2">
              <w:rPr>
                <w:b/>
                <w:bCs/>
                <w:i/>
                <w:iCs/>
              </w:rPr>
              <w:t>dziesięciu</w:t>
            </w:r>
            <w:r w:rsidRPr="00CE45E2">
              <w:t xml:space="preserve"> lat.</w:t>
            </w:r>
          </w:p>
        </w:tc>
        <w:tc>
          <w:tcPr>
            <w:tcW w:w="4876" w:type="dxa"/>
            <w:tcBorders>
              <w:top w:val="nil"/>
              <w:left w:val="nil"/>
              <w:bottom w:val="nil"/>
              <w:right w:val="nil"/>
            </w:tcBorders>
          </w:tcPr>
          <w:p w14:paraId="71F567E1" w14:textId="77777777" w:rsidR="00CE45E2" w:rsidRPr="00CE45E2" w:rsidRDefault="00CE45E2" w:rsidP="006476FB">
            <w:pPr>
              <w:pStyle w:val="Normal6a"/>
            </w:pPr>
            <w:r w:rsidRPr="00CE45E2">
              <w:t>(22)</w:t>
            </w:r>
            <w:r w:rsidRPr="00CE45E2">
              <w:tab/>
              <w:t xml:space="preserve">Państwa członkowskie mogą dopuścić niepełne finansowanie pracowniczych programów emerytalnych na okres przejściowy. Różne państwa członkowskie wdrożyły tę opcję na różne sposoby, podczas gdy inne zdecydowały się z niej nie korzystać, co prowadzi do niespójności, które mogą mieć wpływ na ochronę uczestników i beneficjentów. Chociaż zapobieganie niepełnemu finansowaniu jest ważne, bezwzględny zakaz mógłby w niektórych przypadkach spowodować nagłe obniżenie przyrzeczeń emerytury, co może być szkodliwe dla uczestników i beneficjentów. Aby zapewnić zrównoważone i proporcjonalne podejście oraz odpowiednią ochronę uczestników i beneficjentów, państwa członkowskie powinny dopuścić niepełne finansowanie programów emerytalnych na okres przejściowy, określony w prawie krajowym, który w żadnym przypadku nie powinien przekraczać </w:t>
            </w:r>
            <w:r w:rsidRPr="00CE45E2">
              <w:rPr>
                <w:b/>
                <w:bCs/>
                <w:i/>
                <w:iCs/>
              </w:rPr>
              <w:t>dwóch</w:t>
            </w:r>
            <w:r w:rsidRPr="00CE45E2">
              <w:t xml:space="preserve"> lat.</w:t>
            </w:r>
          </w:p>
        </w:tc>
      </w:tr>
    </w:tbl>
    <w:p w14:paraId="6A65655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EEE7B86" w14:textId="77777777" w:rsidR="00CE45E2" w:rsidRPr="00CE45E2" w:rsidRDefault="00CE45E2" w:rsidP="00CE45E2">
      <w:r w:rsidRPr="00CE45E2">
        <w:rPr>
          <w:rStyle w:val="HideTWBExt"/>
        </w:rPr>
        <w:t>&lt;/Amend&gt;</w:t>
      </w:r>
    </w:p>
    <w:p w14:paraId="4B4C0A23" w14:textId="4B1620E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157</w:t>
      </w:r>
      <w:r w:rsidRPr="00CE45E2">
        <w:rPr>
          <w:rStyle w:val="HideTWBExt"/>
          <w:b w:val="0"/>
        </w:rPr>
        <w:t>&lt;/NumAm&gt;</w:t>
      </w:r>
    </w:p>
    <w:p w14:paraId="3F2DAC65"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563B63B3" w14:textId="77777777" w:rsidR="00CE45E2" w:rsidRPr="00CE45E2" w:rsidRDefault="00CE45E2" w:rsidP="00CE45E2">
      <w:pPr>
        <w:pStyle w:val="NormalBold"/>
      </w:pPr>
      <w:r w:rsidRPr="00CE45E2">
        <w:rPr>
          <w:rStyle w:val="HideTWBExt"/>
          <w:b w:val="0"/>
        </w:rPr>
        <w:t>&lt;/RepeatBlock-By&gt;</w:t>
      </w:r>
    </w:p>
    <w:p w14:paraId="3F6CAF0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7839A0D" w14:textId="77777777" w:rsidR="00CE45E2" w:rsidRPr="00CE45E2" w:rsidRDefault="00CE45E2" w:rsidP="00CE45E2">
      <w:pPr>
        <w:pStyle w:val="NormalBold"/>
      </w:pPr>
      <w:r w:rsidRPr="00CE45E2">
        <w:rPr>
          <w:rStyle w:val="HideTWBExt"/>
          <w:b w:val="0"/>
        </w:rPr>
        <w:t>&lt;Article&gt;</w:t>
      </w:r>
      <w:r w:rsidRPr="00CE45E2">
        <w:t>Motyw 23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6B68D26" w14:textId="77777777" w:rsidTr="006476FB">
        <w:trPr>
          <w:trHeight w:hRule="exact" w:val="240"/>
          <w:jc w:val="center"/>
        </w:trPr>
        <w:tc>
          <w:tcPr>
            <w:tcW w:w="9752" w:type="dxa"/>
            <w:gridSpan w:val="2"/>
            <w:tcBorders>
              <w:top w:val="nil"/>
              <w:left w:val="nil"/>
              <w:bottom w:val="nil"/>
              <w:right w:val="nil"/>
            </w:tcBorders>
          </w:tcPr>
          <w:p w14:paraId="1EB9BDE4" w14:textId="77777777" w:rsidR="00CE45E2" w:rsidRPr="00CE45E2" w:rsidRDefault="00CE45E2" w:rsidP="006476FB"/>
        </w:tc>
      </w:tr>
      <w:tr w:rsidR="00CE45E2" w:rsidRPr="00CE45E2" w14:paraId="4FFD3FF0" w14:textId="77777777" w:rsidTr="006476FB">
        <w:trPr>
          <w:trHeight w:val="240"/>
          <w:jc w:val="center"/>
        </w:trPr>
        <w:tc>
          <w:tcPr>
            <w:tcW w:w="4876" w:type="dxa"/>
            <w:tcBorders>
              <w:top w:val="nil"/>
              <w:left w:val="nil"/>
              <w:bottom w:val="nil"/>
              <w:right w:val="nil"/>
            </w:tcBorders>
          </w:tcPr>
          <w:p w14:paraId="3451C2E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FAFA297" w14:textId="77777777" w:rsidR="00CE45E2" w:rsidRPr="00CE45E2" w:rsidRDefault="00CE45E2" w:rsidP="006476FB">
            <w:pPr>
              <w:pStyle w:val="AmColumnHeading"/>
            </w:pPr>
            <w:r w:rsidRPr="00CE45E2">
              <w:t>Poprawka</w:t>
            </w:r>
          </w:p>
        </w:tc>
      </w:tr>
      <w:tr w:rsidR="00CE45E2" w:rsidRPr="00CE45E2" w14:paraId="656E2AE9" w14:textId="77777777" w:rsidTr="006476FB">
        <w:trPr>
          <w:jc w:val="center"/>
        </w:trPr>
        <w:tc>
          <w:tcPr>
            <w:tcW w:w="4876" w:type="dxa"/>
            <w:tcBorders>
              <w:top w:val="nil"/>
              <w:left w:val="nil"/>
              <w:bottom w:val="nil"/>
              <w:right w:val="nil"/>
            </w:tcBorders>
          </w:tcPr>
          <w:p w14:paraId="418AC629" w14:textId="77777777" w:rsidR="00CE45E2" w:rsidRPr="00CE45E2" w:rsidRDefault="00CE45E2" w:rsidP="006476FB">
            <w:pPr>
              <w:pStyle w:val="Normal6a"/>
            </w:pPr>
            <w:r w:rsidRPr="00CE45E2">
              <w:rPr>
                <w:b/>
                <w:i/>
              </w:rPr>
              <w:t>(23)</w:t>
            </w:r>
            <w:r w:rsidRPr="00CE45E2">
              <w:tab/>
            </w:r>
            <w:r w:rsidRPr="00CE45E2">
              <w:rPr>
                <w:b/>
                <w:i/>
              </w:rPr>
              <w:t>Niektóre parametry techniczne określone w dyrektywie (UE) 2016/2341 wynikają z dyrektywy Rady 79/267/EWG</w:t>
            </w:r>
            <w:r w:rsidRPr="00CE45E2">
              <w:rPr>
                <w:b/>
                <w:i/>
                <w:vertAlign w:val="superscript"/>
              </w:rPr>
              <w:t>11</w:t>
            </w:r>
            <w:r w:rsidRPr="00CE45E2">
              <w:rPr>
                <w:b/>
                <w:i/>
              </w:rPr>
              <w:t>, pierwszej dyrektywy w sprawie ubezpieczeń na życie, i pozostają niezmienione od czasu ich wprowadzenia. Należy zatem przewidzieć możliwość ich dostosowania w drodze aktów delegowanych, jeżeli zostanie to uznane za konieczne w celu zapewnienia, aby pozostały one odpowiednie w świetle zmian na rynku i praktyk nadzorczych.</w:t>
            </w:r>
          </w:p>
        </w:tc>
        <w:tc>
          <w:tcPr>
            <w:tcW w:w="4876" w:type="dxa"/>
            <w:tcBorders>
              <w:top w:val="nil"/>
              <w:left w:val="nil"/>
              <w:bottom w:val="nil"/>
              <w:right w:val="nil"/>
            </w:tcBorders>
          </w:tcPr>
          <w:p w14:paraId="03E0E2EC" w14:textId="77777777" w:rsidR="00CE45E2" w:rsidRPr="00CE45E2" w:rsidRDefault="00CE45E2" w:rsidP="006476FB">
            <w:pPr>
              <w:pStyle w:val="Normal6a"/>
            </w:pPr>
            <w:r w:rsidRPr="00CE45E2">
              <w:rPr>
                <w:b/>
                <w:i/>
              </w:rPr>
              <w:t>skreśla się</w:t>
            </w:r>
          </w:p>
        </w:tc>
      </w:tr>
      <w:tr w:rsidR="00CE45E2" w:rsidRPr="00CE45E2" w14:paraId="7B6702D7" w14:textId="77777777" w:rsidTr="006476FB">
        <w:trPr>
          <w:jc w:val="center"/>
        </w:trPr>
        <w:tc>
          <w:tcPr>
            <w:tcW w:w="4876" w:type="dxa"/>
            <w:tcBorders>
              <w:top w:val="nil"/>
              <w:left w:val="nil"/>
              <w:bottom w:val="nil"/>
              <w:right w:val="nil"/>
            </w:tcBorders>
          </w:tcPr>
          <w:p w14:paraId="4E7108CE"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616BB0B5" w14:textId="77777777" w:rsidR="00CE45E2" w:rsidRPr="00CE45E2" w:rsidRDefault="00CE45E2" w:rsidP="006476FB"/>
        </w:tc>
      </w:tr>
      <w:tr w:rsidR="00CE45E2" w:rsidRPr="00CE45E2" w14:paraId="256EFFC6" w14:textId="77777777" w:rsidTr="006476FB">
        <w:trPr>
          <w:jc w:val="center"/>
        </w:trPr>
        <w:tc>
          <w:tcPr>
            <w:tcW w:w="4876" w:type="dxa"/>
            <w:tcBorders>
              <w:top w:val="nil"/>
              <w:left w:val="nil"/>
              <w:bottom w:val="nil"/>
              <w:right w:val="nil"/>
            </w:tcBorders>
          </w:tcPr>
          <w:p w14:paraId="39E4F24F" w14:textId="77777777" w:rsidR="00CE45E2" w:rsidRPr="00CE45E2" w:rsidRDefault="00CE45E2" w:rsidP="006476FB">
            <w:pPr>
              <w:pStyle w:val="Normal6a"/>
            </w:pPr>
            <w:r w:rsidRPr="00CE45E2">
              <w:rPr>
                <w:b/>
                <w:bCs/>
                <w:i/>
                <w:iCs/>
                <w:vertAlign w:val="superscript"/>
              </w:rPr>
              <w:t>11</w:t>
            </w:r>
            <w:r w:rsidRPr="00CE45E2">
              <w:rPr>
                <w:b/>
                <w:bCs/>
                <w:i/>
                <w:iCs/>
              </w:rPr>
              <w:t xml:space="preserve"> Pierwsza dyrektywa Rady 79/267/EWG z dnia 5 marca 1979 r. w sprawie koordynacji przepisów ustawowych, wykonawczych i administracyjnych dotyczących podejmowania i prowadzenia działalności w zakresie bezpośrednich ubezpieczeń na życie (Dz.U. L 63 z </w:t>
            </w:r>
            <w:proofErr w:type="gramStart"/>
            <w:r w:rsidRPr="00CE45E2">
              <w:rPr>
                <w:b/>
                <w:bCs/>
                <w:i/>
                <w:iCs/>
              </w:rPr>
              <w:t>13.3.1979</w:t>
            </w:r>
            <w:proofErr w:type="gramEnd"/>
            <w:r w:rsidRPr="00CE45E2">
              <w:rPr>
                <w:b/>
                <w:bCs/>
                <w:i/>
                <w:iCs/>
              </w:rPr>
              <w:t>, s. 1, ELI:</w:t>
            </w:r>
            <w:r w:rsidRPr="00CE45E2">
              <w:rPr>
                <w:b/>
                <w:i/>
              </w:rPr>
              <w:t xml:space="preserve"> http://data.europa.eu/eli/dir/1979/267/oj)</w:t>
            </w:r>
          </w:p>
        </w:tc>
        <w:tc>
          <w:tcPr>
            <w:tcW w:w="4876" w:type="dxa"/>
            <w:tcBorders>
              <w:top w:val="nil"/>
              <w:left w:val="nil"/>
              <w:bottom w:val="nil"/>
              <w:right w:val="nil"/>
            </w:tcBorders>
          </w:tcPr>
          <w:p w14:paraId="1F309273" w14:textId="77777777" w:rsidR="00CE45E2" w:rsidRPr="00CE45E2" w:rsidRDefault="00CE45E2" w:rsidP="006476FB"/>
        </w:tc>
      </w:tr>
    </w:tbl>
    <w:p w14:paraId="2E57190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E683A65" w14:textId="77777777" w:rsidR="00CE45E2" w:rsidRPr="00CE45E2" w:rsidRDefault="00CE45E2" w:rsidP="00CE45E2">
      <w:r w:rsidRPr="00CE45E2">
        <w:rPr>
          <w:rStyle w:val="HideTWBExt"/>
        </w:rPr>
        <w:t>&lt;/Amend&gt;</w:t>
      </w:r>
    </w:p>
    <w:p w14:paraId="2F39CFE4" w14:textId="2577E4B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158</w:t>
      </w:r>
      <w:r w:rsidRPr="00CE45E2">
        <w:rPr>
          <w:rStyle w:val="HideTWBExt"/>
          <w:b w:val="0"/>
        </w:rPr>
        <w:t>&lt;/NumAm&gt;</w:t>
      </w:r>
    </w:p>
    <w:p w14:paraId="57E93172"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rPr>
          <w:rStyle w:val="HideTWBExt"/>
          <w:b w:val="0"/>
        </w:rPr>
        <w:t>&lt;/Members&gt;</w:t>
      </w:r>
    </w:p>
    <w:p w14:paraId="281AD787" w14:textId="77777777" w:rsidR="00CE45E2" w:rsidRPr="00CE45E2" w:rsidRDefault="00CE45E2" w:rsidP="00CE45E2">
      <w:pPr>
        <w:pStyle w:val="NormalBold"/>
      </w:pPr>
      <w:r w:rsidRPr="00CE45E2">
        <w:rPr>
          <w:rStyle w:val="HideTWBExt"/>
          <w:b w:val="0"/>
        </w:rPr>
        <w:t>&lt;/RepeatBlock-By&gt;</w:t>
      </w:r>
    </w:p>
    <w:p w14:paraId="28CB2C3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56BE91D" w14:textId="77777777" w:rsidR="00CE45E2" w:rsidRPr="00CE45E2" w:rsidRDefault="00CE45E2" w:rsidP="00CE45E2">
      <w:pPr>
        <w:pStyle w:val="NormalBold"/>
      </w:pPr>
      <w:r w:rsidRPr="00CE45E2">
        <w:rPr>
          <w:rStyle w:val="HideTWBExt"/>
          <w:b w:val="0"/>
        </w:rPr>
        <w:t>&lt;Article&gt;</w:t>
      </w:r>
      <w:r w:rsidRPr="00CE45E2">
        <w:t>Motyw 23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D386114" w14:textId="77777777" w:rsidTr="006476FB">
        <w:trPr>
          <w:trHeight w:hRule="exact" w:val="240"/>
          <w:jc w:val="center"/>
        </w:trPr>
        <w:tc>
          <w:tcPr>
            <w:tcW w:w="9752" w:type="dxa"/>
            <w:gridSpan w:val="2"/>
            <w:tcBorders>
              <w:top w:val="nil"/>
              <w:left w:val="nil"/>
              <w:bottom w:val="nil"/>
              <w:right w:val="nil"/>
            </w:tcBorders>
          </w:tcPr>
          <w:p w14:paraId="67DABAAD" w14:textId="77777777" w:rsidR="00CE45E2" w:rsidRPr="00CE45E2" w:rsidRDefault="00CE45E2" w:rsidP="006476FB"/>
        </w:tc>
      </w:tr>
      <w:tr w:rsidR="00CE45E2" w:rsidRPr="00CE45E2" w14:paraId="28038DC0" w14:textId="77777777" w:rsidTr="006476FB">
        <w:trPr>
          <w:trHeight w:val="240"/>
          <w:jc w:val="center"/>
        </w:trPr>
        <w:tc>
          <w:tcPr>
            <w:tcW w:w="4876" w:type="dxa"/>
            <w:tcBorders>
              <w:top w:val="nil"/>
              <w:left w:val="nil"/>
              <w:bottom w:val="nil"/>
              <w:right w:val="nil"/>
            </w:tcBorders>
          </w:tcPr>
          <w:p w14:paraId="06F11B2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AAA72D0" w14:textId="77777777" w:rsidR="00CE45E2" w:rsidRPr="00CE45E2" w:rsidRDefault="00CE45E2" w:rsidP="006476FB">
            <w:pPr>
              <w:pStyle w:val="AmColumnHeading"/>
            </w:pPr>
            <w:r w:rsidRPr="00CE45E2">
              <w:t>Poprawka</w:t>
            </w:r>
          </w:p>
        </w:tc>
      </w:tr>
      <w:tr w:rsidR="00CE45E2" w:rsidRPr="00CE45E2" w14:paraId="2AE6C2BC" w14:textId="77777777" w:rsidTr="006476FB">
        <w:trPr>
          <w:jc w:val="center"/>
        </w:trPr>
        <w:tc>
          <w:tcPr>
            <w:tcW w:w="4876" w:type="dxa"/>
            <w:tcBorders>
              <w:top w:val="nil"/>
              <w:left w:val="nil"/>
              <w:bottom w:val="nil"/>
              <w:right w:val="nil"/>
            </w:tcBorders>
          </w:tcPr>
          <w:p w14:paraId="2B61BFB7" w14:textId="77777777" w:rsidR="00CE45E2" w:rsidRPr="00CE45E2" w:rsidRDefault="00CE45E2" w:rsidP="006476FB">
            <w:pPr>
              <w:pStyle w:val="Normal6a"/>
            </w:pPr>
            <w:r w:rsidRPr="00CE45E2">
              <w:t>(23)</w:t>
            </w:r>
            <w:r w:rsidRPr="00CE45E2">
              <w:tab/>
              <w:t>Niektóre parametry techniczne określone w dyrektywie (UE) 2016/2341 wynikają z dyrektywy Rady 79/267/EWG</w:t>
            </w:r>
            <w:r w:rsidRPr="00CE45E2">
              <w:rPr>
                <w:vertAlign w:val="superscript"/>
              </w:rPr>
              <w:t>11</w:t>
            </w:r>
            <w:r w:rsidRPr="00CE45E2">
              <w:t xml:space="preserve">, pierwszej dyrektywy w sprawie ubezpieczeń na życie, i pozostają niezmienione od czasu ich wprowadzenia. </w:t>
            </w:r>
            <w:r w:rsidRPr="00CE45E2">
              <w:rPr>
                <w:b/>
                <w:bCs/>
                <w:i/>
                <w:iCs/>
              </w:rPr>
              <w:t>Należy zatem przewidzieć możliwość</w:t>
            </w:r>
            <w:r w:rsidRPr="00CE45E2">
              <w:t xml:space="preserve"> ich dostosowania w drodze aktów delegowanych, jeżeli zostanie to uznane za konieczne w celu zapewnienia, aby pozostały one odpowiednie w świetle zmian na rynku i praktyk nadzorczych.</w:t>
            </w:r>
          </w:p>
        </w:tc>
        <w:tc>
          <w:tcPr>
            <w:tcW w:w="4876" w:type="dxa"/>
            <w:tcBorders>
              <w:top w:val="nil"/>
              <w:left w:val="nil"/>
              <w:bottom w:val="nil"/>
              <w:right w:val="nil"/>
            </w:tcBorders>
          </w:tcPr>
          <w:p w14:paraId="60049576" w14:textId="77777777" w:rsidR="00CE45E2" w:rsidRPr="00CE45E2" w:rsidRDefault="00CE45E2" w:rsidP="006476FB">
            <w:pPr>
              <w:pStyle w:val="Normal6a"/>
            </w:pPr>
            <w:r w:rsidRPr="00CE45E2">
              <w:t>(23)</w:t>
            </w:r>
            <w:r w:rsidRPr="00CE45E2">
              <w:tab/>
              <w:t>Niektóre parametry techniczne określone w dyrektywie (UE) 2016/2341 wynikają z dyrektywy Rady 79/267/EWG</w:t>
            </w:r>
            <w:r w:rsidRPr="00CE45E2">
              <w:rPr>
                <w:vertAlign w:val="superscript"/>
              </w:rPr>
              <w:t>11</w:t>
            </w:r>
            <w:r w:rsidRPr="00CE45E2">
              <w:t xml:space="preserve">, pierwszej dyrektywy w sprawie ubezpieczeń na życie, i pozostają niezmienione od czasu ich wprowadzenia. </w:t>
            </w:r>
            <w:r w:rsidRPr="00CE45E2">
              <w:rPr>
                <w:b/>
                <w:bCs/>
                <w:i/>
                <w:iCs/>
              </w:rPr>
              <w:t>Wymaga to jednak od decydentów i prawodawców starannej oceny zasadności</w:t>
            </w:r>
            <w:r w:rsidRPr="00CE45E2">
              <w:t xml:space="preserve"> ich dostosowania w drodze aktów delegowanych, jeżeli zostanie to uznane za konieczne w celu zapewnienia, aby pozostały one odpowiednie w świetle zmian na rynku i praktyk nadzorczych. </w:t>
            </w:r>
            <w:r w:rsidRPr="00CE45E2">
              <w:rPr>
                <w:b/>
                <w:i/>
              </w:rPr>
              <w:t>Należy koniecznie uznać, że takie opcje mogą z jednej strony zapewnić większą elastyczność w reagowaniu na zmiany na rynku. Z drugiej strony mogą one osłabić zasadę minimalnej harmonizacji, nadwyrężyć możliwości właściwych organów krajowych, ograniczyć kontrolę polityczną, zwiększyć technokratyczne zarządzanie, ograniczyć zaangażowanie partnerów społecznych oraz wywrzeć niepożądany wpływ na ochronę socjalną, stosunki pracy, rokowania zbiorowe i krajowe modele opieki społecznej.</w:t>
            </w:r>
          </w:p>
        </w:tc>
      </w:tr>
      <w:tr w:rsidR="00CE45E2" w:rsidRPr="00CE45E2" w14:paraId="0B0397F0" w14:textId="77777777" w:rsidTr="006476FB">
        <w:trPr>
          <w:jc w:val="center"/>
        </w:trPr>
        <w:tc>
          <w:tcPr>
            <w:tcW w:w="4876" w:type="dxa"/>
            <w:tcBorders>
              <w:top w:val="nil"/>
              <w:left w:val="nil"/>
              <w:bottom w:val="nil"/>
              <w:right w:val="nil"/>
            </w:tcBorders>
          </w:tcPr>
          <w:p w14:paraId="71C96B3A"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57239478" w14:textId="77777777" w:rsidR="00CE45E2" w:rsidRPr="00CE45E2" w:rsidRDefault="00CE45E2" w:rsidP="006476FB">
            <w:pPr>
              <w:pStyle w:val="Normal6a"/>
            </w:pPr>
            <w:r w:rsidRPr="00CE45E2">
              <w:rPr>
                <w:b/>
                <w:i/>
              </w:rPr>
              <w:t>_________________</w:t>
            </w:r>
          </w:p>
        </w:tc>
      </w:tr>
      <w:tr w:rsidR="00CE45E2" w:rsidRPr="00CE45E2" w14:paraId="45A4AEB6" w14:textId="77777777" w:rsidTr="006476FB">
        <w:trPr>
          <w:jc w:val="center"/>
        </w:trPr>
        <w:tc>
          <w:tcPr>
            <w:tcW w:w="4876" w:type="dxa"/>
            <w:tcBorders>
              <w:top w:val="nil"/>
              <w:left w:val="nil"/>
              <w:bottom w:val="nil"/>
              <w:right w:val="nil"/>
            </w:tcBorders>
          </w:tcPr>
          <w:p w14:paraId="23E88B96" w14:textId="77777777" w:rsidR="00CE45E2" w:rsidRPr="00CE45E2" w:rsidRDefault="00CE45E2" w:rsidP="006476FB">
            <w:pPr>
              <w:pStyle w:val="Normal6a"/>
            </w:pPr>
            <w:r w:rsidRPr="00CE45E2">
              <w:rPr>
                <w:vertAlign w:val="superscript"/>
              </w:rPr>
              <w:t>11</w:t>
            </w:r>
            <w:r w:rsidRPr="00CE45E2">
              <w:t xml:space="preserve"> Pierwsza dyrektywa Rady 79/267/EWG z dnia 5 marca 1979 r. w sprawie koordynacji przepisów ustawowych, wykonawczych i administracyjnych dotyczących podejmowania i prowadzenia działalności w zakresie bezpośrednich ubezpieczeń na życie (Dz.U. L 63 z </w:t>
            </w:r>
            <w:proofErr w:type="gramStart"/>
            <w:r w:rsidRPr="00CE45E2">
              <w:t>13.3.1979</w:t>
            </w:r>
            <w:proofErr w:type="gramEnd"/>
            <w:r w:rsidRPr="00CE45E2">
              <w:t>, s. 1, ELI: http://data.europa.eu/eli/dir/1979/267/oj)</w:t>
            </w:r>
          </w:p>
        </w:tc>
        <w:tc>
          <w:tcPr>
            <w:tcW w:w="4876" w:type="dxa"/>
            <w:tcBorders>
              <w:top w:val="nil"/>
              <w:left w:val="nil"/>
              <w:bottom w:val="nil"/>
              <w:right w:val="nil"/>
            </w:tcBorders>
          </w:tcPr>
          <w:p w14:paraId="2B3FB237" w14:textId="77777777" w:rsidR="00CE45E2" w:rsidRPr="00CE45E2" w:rsidRDefault="00CE45E2" w:rsidP="006476FB">
            <w:pPr>
              <w:pStyle w:val="Normal6a"/>
            </w:pPr>
            <w:r w:rsidRPr="00CE45E2">
              <w:rPr>
                <w:vertAlign w:val="superscript"/>
              </w:rPr>
              <w:t>11</w:t>
            </w:r>
            <w:r w:rsidRPr="00CE45E2">
              <w:t xml:space="preserve"> Pierwsza dyrektywa Rady 79/267/EWG z dnia 5 marca 1979 r. w sprawie koordynacji przepisów ustawowych, wykonawczych i administracyjnych dotyczących podejmowania i prowadzenia działalności w zakresie bezpośrednich ubezpieczeń na życie (Dz.U. L 63 z </w:t>
            </w:r>
            <w:proofErr w:type="gramStart"/>
            <w:r w:rsidRPr="00CE45E2">
              <w:t>13.3.1979</w:t>
            </w:r>
            <w:proofErr w:type="gramEnd"/>
            <w:r w:rsidRPr="00CE45E2">
              <w:t>, s. 1, ELI: http://data.europa.eu/eli/dir/1979/267/oj)</w:t>
            </w:r>
          </w:p>
        </w:tc>
      </w:tr>
    </w:tbl>
    <w:p w14:paraId="59CF67F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4D34AA4" w14:textId="77777777" w:rsidR="00CE45E2" w:rsidRPr="00CE45E2" w:rsidRDefault="00CE45E2" w:rsidP="00CE45E2">
      <w:r w:rsidRPr="00CE45E2">
        <w:rPr>
          <w:rStyle w:val="HideTWBExt"/>
        </w:rPr>
        <w:t>&lt;/Amend&gt;</w:t>
      </w:r>
    </w:p>
    <w:p w14:paraId="620B329C" w14:textId="2590A0E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159</w:t>
      </w:r>
      <w:r w:rsidRPr="00CE45E2">
        <w:rPr>
          <w:rStyle w:val="HideTWBExt"/>
          <w:b w:val="0"/>
        </w:rPr>
        <w:t>&lt;/NumAm&gt;</w:t>
      </w:r>
    </w:p>
    <w:p w14:paraId="62A17CB6"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683A3D7D" w14:textId="77777777" w:rsidR="00CE45E2" w:rsidRPr="00CE45E2" w:rsidRDefault="00CE45E2" w:rsidP="00CE45E2">
      <w:pPr>
        <w:pStyle w:val="NormalBold"/>
      </w:pPr>
      <w:r w:rsidRPr="00CE45E2">
        <w:rPr>
          <w:rStyle w:val="HideTWBExt"/>
          <w:b w:val="0"/>
        </w:rPr>
        <w:t>&lt;/RepeatBlock-By&gt;</w:t>
      </w:r>
    </w:p>
    <w:p w14:paraId="1D55C96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F1CBBA6" w14:textId="77777777" w:rsidR="00CE45E2" w:rsidRPr="00CE45E2" w:rsidRDefault="00CE45E2" w:rsidP="00CE45E2">
      <w:pPr>
        <w:pStyle w:val="NormalBold"/>
      </w:pPr>
      <w:r w:rsidRPr="00CE45E2">
        <w:rPr>
          <w:rStyle w:val="HideTWBExt"/>
          <w:b w:val="0"/>
        </w:rPr>
        <w:t>&lt;Article&gt;</w:t>
      </w:r>
      <w:r w:rsidRPr="00CE45E2">
        <w:t>Motyw 24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FA6A137" w14:textId="77777777" w:rsidTr="006476FB">
        <w:trPr>
          <w:trHeight w:hRule="exact" w:val="240"/>
          <w:jc w:val="center"/>
        </w:trPr>
        <w:tc>
          <w:tcPr>
            <w:tcW w:w="9752" w:type="dxa"/>
            <w:gridSpan w:val="2"/>
            <w:tcBorders>
              <w:top w:val="nil"/>
              <w:left w:val="nil"/>
              <w:bottom w:val="nil"/>
              <w:right w:val="nil"/>
            </w:tcBorders>
          </w:tcPr>
          <w:p w14:paraId="0C57CED6" w14:textId="77777777" w:rsidR="00CE45E2" w:rsidRPr="00CE45E2" w:rsidRDefault="00CE45E2" w:rsidP="006476FB"/>
        </w:tc>
      </w:tr>
      <w:tr w:rsidR="00CE45E2" w:rsidRPr="00CE45E2" w14:paraId="34B313EB" w14:textId="77777777" w:rsidTr="006476FB">
        <w:trPr>
          <w:trHeight w:val="240"/>
          <w:jc w:val="center"/>
        </w:trPr>
        <w:tc>
          <w:tcPr>
            <w:tcW w:w="4876" w:type="dxa"/>
            <w:tcBorders>
              <w:top w:val="nil"/>
              <w:left w:val="nil"/>
              <w:bottom w:val="nil"/>
              <w:right w:val="nil"/>
            </w:tcBorders>
          </w:tcPr>
          <w:p w14:paraId="56837AA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D05DB19" w14:textId="77777777" w:rsidR="00CE45E2" w:rsidRPr="00CE45E2" w:rsidRDefault="00CE45E2" w:rsidP="006476FB">
            <w:pPr>
              <w:pStyle w:val="AmColumnHeading"/>
            </w:pPr>
            <w:r w:rsidRPr="00CE45E2">
              <w:t>Poprawka</w:t>
            </w:r>
          </w:p>
        </w:tc>
      </w:tr>
      <w:tr w:rsidR="00CE45E2" w:rsidRPr="00CE45E2" w14:paraId="5BC9BD12" w14:textId="77777777" w:rsidTr="006476FB">
        <w:trPr>
          <w:jc w:val="center"/>
        </w:trPr>
        <w:tc>
          <w:tcPr>
            <w:tcW w:w="4876" w:type="dxa"/>
            <w:tcBorders>
              <w:top w:val="nil"/>
              <w:left w:val="nil"/>
              <w:bottom w:val="nil"/>
              <w:right w:val="nil"/>
            </w:tcBorders>
          </w:tcPr>
          <w:p w14:paraId="550FDCEF" w14:textId="77777777" w:rsidR="00CE45E2" w:rsidRPr="00CE45E2" w:rsidRDefault="00CE45E2" w:rsidP="006476FB">
            <w:pPr>
              <w:pStyle w:val="Normal6a"/>
            </w:pPr>
            <w:r w:rsidRPr="00CE45E2">
              <w:rPr>
                <w:b/>
                <w:i/>
              </w:rPr>
              <w:t>(24)</w:t>
            </w:r>
            <w:r w:rsidRPr="00CE45E2">
              <w:tab/>
            </w:r>
            <w:r w:rsidRPr="00CE45E2">
              <w:rPr>
                <w:b/>
                <w:i/>
              </w:rPr>
              <w:t xml:space="preserve">Dyrektywa (UE) 2016/2341 wymaga, aby IORP posiadały odpowiedni dostępny margines wypłacalności. Ten margines wypłacalności nie obejmuje w pełni ekspozycji na ryzyko rynkowe i ryzyko długowieczności, w tym w </w:t>
            </w:r>
            <w:proofErr w:type="gramStart"/>
            <w:r w:rsidRPr="00CE45E2">
              <w:rPr>
                <w:b/>
                <w:i/>
              </w:rPr>
              <w:t>przypadku</w:t>
            </w:r>
            <w:proofErr w:type="gramEnd"/>
            <w:r w:rsidRPr="00CE45E2">
              <w:rPr>
                <w:b/>
                <w:i/>
              </w:rPr>
              <w:t xml:space="preserve"> gdy IORP ponosi zobowiązania z tytułu biometrycznych rodzajów ryzyka lub gwarantuje określone wyniki inwestycyjne lub określony poziom korzyści. Niektóre państwa członkowskie wymagają, aby IORP posiadały dodatkowe, oparte na analizie ryzyka, ustawowe fundusze własne powyżej wymaganego marginesu wypłacalności. W państwach członkowskich, w których takie wymogi oparte na analizie ryzyka nie istnieją, należy zapewnić porównywalną ochronę oszczędzających i beneficjentów. W szczególności IORP pokrywające biometryczne rodzaje ryzyka lub oferujące gwarancje, które nie podlegają wymogom kapitałowym opartym na analizie ryzyka, powinny przeprowadzać regularne testy warunków skrajnych w celu oceny ich zdolności do utrzymania finansowania w perspektywie długoterminowej, w tym w niekorzystnych scenariuszach rynkowych i demograficznych, a właściwe organy powinny być uprawnione do żądania podjęcia działań naprawczych w przypadku stwierdzenia niepełnego finansowania.</w:t>
            </w:r>
          </w:p>
        </w:tc>
        <w:tc>
          <w:tcPr>
            <w:tcW w:w="4876" w:type="dxa"/>
            <w:tcBorders>
              <w:top w:val="nil"/>
              <w:left w:val="nil"/>
              <w:bottom w:val="nil"/>
              <w:right w:val="nil"/>
            </w:tcBorders>
          </w:tcPr>
          <w:p w14:paraId="5C9BB05D" w14:textId="77777777" w:rsidR="00CE45E2" w:rsidRPr="00CE45E2" w:rsidRDefault="00CE45E2" w:rsidP="006476FB">
            <w:pPr>
              <w:pStyle w:val="Normal6a"/>
            </w:pPr>
            <w:r w:rsidRPr="00CE45E2">
              <w:rPr>
                <w:b/>
                <w:i/>
              </w:rPr>
              <w:t>skreśla się</w:t>
            </w:r>
          </w:p>
        </w:tc>
      </w:tr>
    </w:tbl>
    <w:p w14:paraId="65673AD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449727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0B9450D" w14:textId="77777777" w:rsidR="00CE45E2" w:rsidRPr="00CE45E2" w:rsidRDefault="00CE45E2" w:rsidP="00CE45E2">
      <w:pPr>
        <w:pStyle w:val="AmJustText"/>
      </w:pPr>
      <w:r w:rsidRPr="00CE45E2">
        <w:t>Poprawkę należy odczytywać w połączeniu z proponowanym skreśleniem art. 18a.</w:t>
      </w:r>
    </w:p>
    <w:p w14:paraId="6E9AED4B" w14:textId="77777777" w:rsidR="00CE45E2" w:rsidRPr="00CE45E2" w:rsidRDefault="00CE45E2" w:rsidP="00CE45E2">
      <w:r w:rsidRPr="00CE45E2">
        <w:rPr>
          <w:rStyle w:val="HideTWBExt"/>
        </w:rPr>
        <w:t>&lt;/Amend&gt;</w:t>
      </w:r>
    </w:p>
    <w:p w14:paraId="10B10295" w14:textId="56A1714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160</w:t>
      </w:r>
      <w:r w:rsidRPr="00CE45E2">
        <w:rPr>
          <w:rStyle w:val="HideTWBExt"/>
          <w:b w:val="0"/>
        </w:rPr>
        <w:t>&lt;/NumAm&gt;</w:t>
      </w:r>
    </w:p>
    <w:p w14:paraId="71BCC0B4"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7139AA88" w14:textId="77777777" w:rsidR="00CE45E2" w:rsidRPr="00CE45E2" w:rsidRDefault="00CE45E2" w:rsidP="00CE45E2">
      <w:pPr>
        <w:pStyle w:val="NormalBold"/>
      </w:pPr>
      <w:r w:rsidRPr="00CE45E2">
        <w:rPr>
          <w:rStyle w:val="HideTWBExt"/>
          <w:b w:val="0"/>
        </w:rPr>
        <w:t>&lt;/RepeatBlock-By&gt;</w:t>
      </w:r>
    </w:p>
    <w:p w14:paraId="4C50080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5511903" w14:textId="77777777" w:rsidR="00CE45E2" w:rsidRPr="00CE45E2" w:rsidRDefault="00CE45E2" w:rsidP="00CE45E2">
      <w:pPr>
        <w:pStyle w:val="NormalBold"/>
      </w:pPr>
      <w:r w:rsidRPr="00CE45E2">
        <w:rPr>
          <w:rStyle w:val="HideTWBExt"/>
          <w:b w:val="0"/>
        </w:rPr>
        <w:t>&lt;Article&gt;</w:t>
      </w:r>
      <w:r w:rsidRPr="00CE45E2">
        <w:t>Motyw 24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9B6ECEB" w14:textId="77777777" w:rsidTr="006476FB">
        <w:trPr>
          <w:trHeight w:hRule="exact" w:val="240"/>
          <w:jc w:val="center"/>
        </w:trPr>
        <w:tc>
          <w:tcPr>
            <w:tcW w:w="9752" w:type="dxa"/>
            <w:gridSpan w:val="2"/>
            <w:tcBorders>
              <w:top w:val="nil"/>
              <w:left w:val="nil"/>
              <w:bottom w:val="nil"/>
              <w:right w:val="nil"/>
            </w:tcBorders>
          </w:tcPr>
          <w:p w14:paraId="03395678" w14:textId="77777777" w:rsidR="00CE45E2" w:rsidRPr="00CE45E2" w:rsidRDefault="00CE45E2" w:rsidP="006476FB"/>
        </w:tc>
      </w:tr>
      <w:tr w:rsidR="00CE45E2" w:rsidRPr="00CE45E2" w14:paraId="6AA5C4D7" w14:textId="77777777" w:rsidTr="006476FB">
        <w:trPr>
          <w:trHeight w:val="240"/>
          <w:jc w:val="center"/>
        </w:trPr>
        <w:tc>
          <w:tcPr>
            <w:tcW w:w="4876" w:type="dxa"/>
            <w:tcBorders>
              <w:top w:val="nil"/>
              <w:left w:val="nil"/>
              <w:bottom w:val="nil"/>
              <w:right w:val="nil"/>
            </w:tcBorders>
          </w:tcPr>
          <w:p w14:paraId="09ABDD7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15C3D3B" w14:textId="77777777" w:rsidR="00CE45E2" w:rsidRPr="00CE45E2" w:rsidRDefault="00CE45E2" w:rsidP="006476FB">
            <w:pPr>
              <w:pStyle w:val="AmColumnHeading"/>
            </w:pPr>
            <w:r w:rsidRPr="00CE45E2">
              <w:t>Poprawka</w:t>
            </w:r>
          </w:p>
        </w:tc>
      </w:tr>
      <w:tr w:rsidR="00CE45E2" w:rsidRPr="00CE45E2" w14:paraId="7E61950C" w14:textId="77777777" w:rsidTr="006476FB">
        <w:trPr>
          <w:jc w:val="center"/>
        </w:trPr>
        <w:tc>
          <w:tcPr>
            <w:tcW w:w="4876" w:type="dxa"/>
            <w:tcBorders>
              <w:top w:val="nil"/>
              <w:left w:val="nil"/>
              <w:bottom w:val="nil"/>
              <w:right w:val="nil"/>
            </w:tcBorders>
          </w:tcPr>
          <w:p w14:paraId="747D6616" w14:textId="77777777" w:rsidR="00CE45E2" w:rsidRPr="00CE45E2" w:rsidRDefault="00CE45E2" w:rsidP="006476FB">
            <w:pPr>
              <w:pStyle w:val="Normal6a"/>
            </w:pPr>
            <w:r w:rsidRPr="00CE45E2">
              <w:t>(24)</w:t>
            </w:r>
            <w:r w:rsidRPr="00CE45E2">
              <w:tab/>
              <w:t xml:space="preserve">Dyrektywa (UE) 2016/2341 wymaga, aby IORP posiadały odpowiedni dostępny margines wypłacalności. Ten margines wypłacalności nie obejmuje w pełni ekspozycji na ryzyko rynkowe i ryzyko długowieczności, w tym w </w:t>
            </w:r>
            <w:proofErr w:type="gramStart"/>
            <w:r w:rsidRPr="00CE45E2">
              <w:t>przypadku</w:t>
            </w:r>
            <w:proofErr w:type="gramEnd"/>
            <w:r w:rsidRPr="00CE45E2">
              <w:t xml:space="preserve"> gdy IORP ponosi zobowiązania z tytułu biometrycznych rodzajów ryzyka lub gwarantuje określone wyniki inwestycyjne lub określony poziom korzyści. Niektóre państwa członkowskie wymagają, aby IORP posiadały dodatkowe, oparte na analizie ryzyka, ustawowe fundusze własne powyżej wymaganego marginesu wypłacalności. W państwach członkowskich, w których takie wymogi oparte na analizie ryzyka nie istnieją, należy zapewnić porównywalną ochronę oszczędzających i beneficjentów. W szczególności IORP pokrywające biometryczne rodzaje ryzyka lub oferujące gwarancje, które nie podlegają wymogom kapitałowym opartym na analizie ryzyka, powinny przeprowadzać regularne testy warunków skrajnych w celu oceny ich zdolności do utrzymania finansowania w perspektywie długoterminowej, w tym w niekorzystnych scenariuszach rynkowych i demograficznych, a właściwe organy powinny być uprawnione do żądania podjęcia działań naprawczych w przypadku stwierdzenia niepełnego finansowania.</w:t>
            </w:r>
          </w:p>
        </w:tc>
        <w:tc>
          <w:tcPr>
            <w:tcW w:w="4876" w:type="dxa"/>
            <w:tcBorders>
              <w:top w:val="nil"/>
              <w:left w:val="nil"/>
              <w:bottom w:val="nil"/>
              <w:right w:val="nil"/>
            </w:tcBorders>
          </w:tcPr>
          <w:p w14:paraId="09C24F1C" w14:textId="77777777" w:rsidR="00CE45E2" w:rsidRPr="00CE45E2" w:rsidRDefault="00CE45E2" w:rsidP="006476FB">
            <w:pPr>
              <w:pStyle w:val="Normal6a"/>
            </w:pPr>
            <w:r w:rsidRPr="00CE45E2">
              <w:t>(24)</w:t>
            </w:r>
            <w:r w:rsidRPr="00CE45E2">
              <w:tab/>
              <w:t xml:space="preserve">Dyrektywa (UE) 2016/2341 wymaga, aby IORP posiadały odpowiedni dostępny margines wypłacalności. Ten margines wypłacalności nie obejmuje w pełni ekspozycji na ryzyko rynkowe i ryzyko długowieczności, w tym w </w:t>
            </w:r>
            <w:proofErr w:type="gramStart"/>
            <w:r w:rsidRPr="00CE45E2">
              <w:t>przypadku</w:t>
            </w:r>
            <w:proofErr w:type="gramEnd"/>
            <w:r w:rsidRPr="00CE45E2">
              <w:t xml:space="preserve"> gdy IORP ponosi zobowiązania z tytułu biometrycznych rodzajów ryzyka lub gwarantuje określone wyniki inwestycyjne lub określony poziom korzyści. Niektóre państwa członkowskie wymagają, aby IORP posiadały dodatkowe, oparte na analizie ryzyka, ustawowe fundusze własne powyżej wymaganego marginesu wypłacalności. W państwach członkowskich, w których takie wymogi oparte na analizie ryzyka nie istnieją, należy zapewnić porównywalną ochronę oszczędzających i beneficjentów. W szczególności IORP pokrywające biometryczne rodzaje ryzyka lub oferujące gwarancje, które nie podlegają wymogom kapitałowym opartym na analizie ryzyka, powinny przeprowadzać regularne testy warunków skrajnych w celu oceny ich zdolności do utrzymania finansowania w perspektywie długoterminowej, w tym w niekorzystnych scenariuszach rynkowych i demograficznych, a właściwe organy powinny być uprawnione do żądania podjęcia działań naprawczych w przypadku stwierdzenia niepełnego finansowania. </w:t>
            </w:r>
            <w:r w:rsidRPr="00CE45E2">
              <w:rPr>
                <w:b/>
                <w:i/>
              </w:rPr>
              <w:t>IORP zabezpiecza swoje zobowiązania w odniesieniu do pokrycia biometrycznych rodzajów ryzyka w zakresie, w jakim posiada umowę z podmiotem zewnętrznym, takim jak zakład ubezpieczeń lub zakład reasekuracji, który gwarantuje pokrycie tych rodzajów ryzyka, lub w zakresie, w jakim IORP zawiera umowę ubezpieczenia lub reasekuracji – częściową lub nie – z podmiotem zewnętrznym. W takich przypadkach instytucja emerytalna ponosi jedynie ryzyko kredytowe związane z tym podmiotem zewnętrznym. W przypadku gdy świadczenie jest wypłacane w formie zmiennej renty, co oznacza, że IORP nie ponosi biometrycznych rodzajów ryzyka lub ponosi je jedynie częściowo, IORP powinna stosować rezerwy techniczno-ubezpieczeniowe określone w art. 13 dyrektywy (UE) 2016/2341 jedynie w zakresie, w jakim sama pokrywa te biometryczne rodzaje ryzyka.</w:t>
            </w:r>
          </w:p>
        </w:tc>
      </w:tr>
    </w:tbl>
    <w:p w14:paraId="009FF03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2CE1A9C" w14:textId="77777777" w:rsidR="00CE45E2" w:rsidRPr="00CE45E2" w:rsidRDefault="00CE45E2" w:rsidP="00CE45E2">
      <w:r w:rsidRPr="00CE45E2">
        <w:rPr>
          <w:rStyle w:val="HideTWBExt"/>
        </w:rPr>
        <w:t>&lt;/Amend&gt;</w:t>
      </w:r>
    </w:p>
    <w:p w14:paraId="60AEFD6D" w14:textId="4F7338C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161</w:t>
      </w:r>
      <w:r w:rsidRPr="00CE45E2">
        <w:rPr>
          <w:rStyle w:val="HideTWBExt"/>
          <w:b w:val="0"/>
        </w:rPr>
        <w:t>&lt;/NumAm&gt;</w:t>
      </w:r>
    </w:p>
    <w:p w14:paraId="343D2A32"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298893B6" w14:textId="77777777" w:rsidR="00CE45E2" w:rsidRPr="00CE45E2" w:rsidRDefault="00CE45E2" w:rsidP="00CE45E2">
      <w:pPr>
        <w:pStyle w:val="NormalBold"/>
      </w:pPr>
      <w:r w:rsidRPr="00CE45E2">
        <w:rPr>
          <w:rStyle w:val="HideTWBExt"/>
          <w:b w:val="0"/>
        </w:rPr>
        <w:t>&lt;/RepeatBlock-By&gt;</w:t>
      </w:r>
    </w:p>
    <w:p w14:paraId="779774E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86C75D9" w14:textId="77777777" w:rsidR="00CE45E2" w:rsidRPr="00CE45E2" w:rsidRDefault="00CE45E2" w:rsidP="00CE45E2">
      <w:pPr>
        <w:pStyle w:val="NormalBold"/>
      </w:pPr>
      <w:r w:rsidRPr="00CE45E2">
        <w:rPr>
          <w:rStyle w:val="HideTWBExt"/>
          <w:b w:val="0"/>
        </w:rPr>
        <w:t>&lt;Article&gt;</w:t>
      </w:r>
      <w:r w:rsidRPr="00CE45E2">
        <w:t>Motyw 25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AACA564" w14:textId="77777777" w:rsidTr="006476FB">
        <w:trPr>
          <w:trHeight w:hRule="exact" w:val="240"/>
          <w:jc w:val="center"/>
        </w:trPr>
        <w:tc>
          <w:tcPr>
            <w:tcW w:w="9752" w:type="dxa"/>
            <w:gridSpan w:val="2"/>
            <w:tcBorders>
              <w:top w:val="nil"/>
              <w:left w:val="nil"/>
              <w:bottom w:val="nil"/>
              <w:right w:val="nil"/>
            </w:tcBorders>
          </w:tcPr>
          <w:p w14:paraId="43F1B4AA" w14:textId="77777777" w:rsidR="00CE45E2" w:rsidRPr="00CE45E2" w:rsidRDefault="00CE45E2" w:rsidP="006476FB"/>
        </w:tc>
      </w:tr>
      <w:tr w:rsidR="00CE45E2" w:rsidRPr="00CE45E2" w14:paraId="78A73850" w14:textId="77777777" w:rsidTr="006476FB">
        <w:trPr>
          <w:trHeight w:val="240"/>
          <w:jc w:val="center"/>
        </w:trPr>
        <w:tc>
          <w:tcPr>
            <w:tcW w:w="4876" w:type="dxa"/>
            <w:tcBorders>
              <w:top w:val="nil"/>
              <w:left w:val="nil"/>
              <w:bottom w:val="nil"/>
              <w:right w:val="nil"/>
            </w:tcBorders>
          </w:tcPr>
          <w:p w14:paraId="3C51B9A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64D2593" w14:textId="77777777" w:rsidR="00CE45E2" w:rsidRPr="00CE45E2" w:rsidRDefault="00CE45E2" w:rsidP="006476FB">
            <w:pPr>
              <w:pStyle w:val="AmColumnHeading"/>
            </w:pPr>
            <w:r w:rsidRPr="00CE45E2">
              <w:t>Poprawka</w:t>
            </w:r>
          </w:p>
        </w:tc>
      </w:tr>
      <w:tr w:rsidR="00CE45E2" w:rsidRPr="00CE45E2" w14:paraId="25A7E0A8" w14:textId="77777777" w:rsidTr="006476FB">
        <w:trPr>
          <w:jc w:val="center"/>
        </w:trPr>
        <w:tc>
          <w:tcPr>
            <w:tcW w:w="4876" w:type="dxa"/>
            <w:tcBorders>
              <w:top w:val="nil"/>
              <w:left w:val="nil"/>
              <w:bottom w:val="nil"/>
              <w:right w:val="nil"/>
            </w:tcBorders>
          </w:tcPr>
          <w:p w14:paraId="422852F1" w14:textId="77777777" w:rsidR="00CE45E2" w:rsidRPr="00CE45E2" w:rsidRDefault="00CE45E2" w:rsidP="006476FB">
            <w:pPr>
              <w:pStyle w:val="Normal6a"/>
            </w:pPr>
            <w:r w:rsidRPr="00CE45E2">
              <w:rPr>
                <w:b/>
                <w:i/>
              </w:rPr>
              <w:t>(25)</w:t>
            </w:r>
            <w:r w:rsidRPr="00CE45E2">
              <w:tab/>
            </w:r>
            <w:r w:rsidRPr="00CE45E2">
              <w:rPr>
                <w:b/>
                <w:i/>
              </w:rPr>
              <w:t xml:space="preserve">Aktywa prywatne, w tym kapitał </w:t>
            </w:r>
            <w:proofErr w:type="spellStart"/>
            <w:r w:rsidRPr="00CE45E2">
              <w:rPr>
                <w:b/>
                <w:i/>
              </w:rPr>
              <w:t>private</w:t>
            </w:r>
            <w:proofErr w:type="spellEnd"/>
            <w:r w:rsidRPr="00CE45E2">
              <w:rPr>
                <w:b/>
                <w:i/>
              </w:rPr>
              <w:t xml:space="preserve"> equity, dług prywatny i kapitał wysokiego ryzyka, mogą poprawić charakterystykę stosunku ryzyka do zwrotu portfeli inwestycyjnych przez zwiększenie dywersyfikacji i potencjalne zapewnienie wyższych zwrotów długoterminowych. Takie aktywa są jednak często bardziej złożone pod względem wartości i oceny ryzyka, w związku z czym wymagają znacznej wiedzy fachowej. Zgodnie z art. 19 dyrektywy (UE) 2016/2341 IORP powinny inwestować w najlepszym długoterminowym interesie uczestników i beneficjentów oraz zgodnie z zasadą „ostrożnego inwestora”. Zasada ta nie jest jednak wystarczająco precyzyjna, a kilka państw członkowskich wprowadziło, zgodnie z tym artykułem, szczegółowe, a czasem restrykcyjne limity inwestycyjne. Takie ogólne ograniczenia mogą uniemożliwić dobrze zarządzanym instytucjom o odpowiedniej zdolności zarządzania ryzykiem skuteczne inwestowanie w aktywa alternatywne. Należy zatem określić, że kluczowe ramy inwestycyjne stanowią opartą na analizie ryzyka zasadę „ostrożnego inwestora”, umożliwiającą instytucjom inwestowanie w dowolny rodzaj aktywów, pod </w:t>
            </w:r>
            <w:proofErr w:type="gramStart"/>
            <w:r w:rsidRPr="00CE45E2">
              <w:rPr>
                <w:b/>
                <w:i/>
              </w:rPr>
              <w:t>warunkiem</w:t>
            </w:r>
            <w:proofErr w:type="gramEnd"/>
            <w:r w:rsidRPr="00CE45E2">
              <w:rPr>
                <w:b/>
                <w:i/>
              </w:rPr>
              <w:t xml:space="preserve"> że instytucje te są w stanie właściwie określać, mierzyć i monitorować powiązane rodzaje ryzyka, zarządzać nimi i składać sprawozdań w związku z nimi. W związku z </w:t>
            </w:r>
            <w:proofErr w:type="gramStart"/>
            <w:r w:rsidRPr="00CE45E2">
              <w:rPr>
                <w:b/>
                <w:i/>
              </w:rPr>
              <w:t>tym,</w:t>
            </w:r>
            <w:proofErr w:type="gramEnd"/>
            <w:r w:rsidRPr="00CE45E2">
              <w:rPr>
                <w:b/>
                <w:i/>
              </w:rPr>
              <w:t xml:space="preserve"> jako zabezpieczenie dla uczestników i beneficjentów, możliwość stosowania przez państwa członkowskie ograniczeń inwestycyjnych powinna być ograniczona do przypadków, w których ryzyko inwestycyjne ponoszą uczestnicy i beneficjenci, a ograniczenia te nie powinny skutkować ogólnym zakazem inwestowania w niektóre klasy aktywów. Komunikat ogólny z dnia 19 listopada 2025 r.</w:t>
            </w:r>
            <w:r w:rsidRPr="00CE45E2">
              <w:rPr>
                <w:b/>
                <w:i/>
                <w:vertAlign w:val="superscript"/>
              </w:rPr>
              <w:t>12</w:t>
            </w:r>
            <w:r w:rsidRPr="00CE45E2">
              <w:rPr>
                <w:b/>
                <w:i/>
              </w:rPr>
              <w:t xml:space="preserve"> zawiera dalsze niewiążące wytyczne dotyczące stosowania zasady „ostrożnego inwestora”, w tym dotyczące sposobu, w jaki powinna ona wspierać skuteczną alokację oszczędności długoterminowych.</w:t>
            </w:r>
          </w:p>
        </w:tc>
        <w:tc>
          <w:tcPr>
            <w:tcW w:w="4876" w:type="dxa"/>
            <w:tcBorders>
              <w:top w:val="nil"/>
              <w:left w:val="nil"/>
              <w:bottom w:val="nil"/>
              <w:right w:val="nil"/>
            </w:tcBorders>
          </w:tcPr>
          <w:p w14:paraId="2002C763" w14:textId="77777777" w:rsidR="00CE45E2" w:rsidRPr="00CE45E2" w:rsidRDefault="00CE45E2" w:rsidP="006476FB">
            <w:pPr>
              <w:pStyle w:val="Normal6a"/>
            </w:pPr>
            <w:r w:rsidRPr="00CE45E2">
              <w:rPr>
                <w:b/>
                <w:i/>
              </w:rPr>
              <w:t>skreśla się</w:t>
            </w:r>
          </w:p>
        </w:tc>
      </w:tr>
      <w:tr w:rsidR="00CE45E2" w:rsidRPr="00CE45E2" w14:paraId="2F26BADC" w14:textId="77777777" w:rsidTr="006476FB">
        <w:trPr>
          <w:jc w:val="center"/>
        </w:trPr>
        <w:tc>
          <w:tcPr>
            <w:tcW w:w="4876" w:type="dxa"/>
            <w:tcBorders>
              <w:top w:val="nil"/>
              <w:left w:val="nil"/>
              <w:bottom w:val="nil"/>
              <w:right w:val="nil"/>
            </w:tcBorders>
          </w:tcPr>
          <w:p w14:paraId="34624FA5"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3A9632C6" w14:textId="77777777" w:rsidR="00CE45E2" w:rsidRPr="00CE45E2" w:rsidRDefault="00CE45E2" w:rsidP="006476FB"/>
        </w:tc>
      </w:tr>
      <w:tr w:rsidR="00CE45E2" w:rsidRPr="00CE45E2" w14:paraId="7EBDF087" w14:textId="77777777" w:rsidTr="006476FB">
        <w:trPr>
          <w:jc w:val="center"/>
        </w:trPr>
        <w:tc>
          <w:tcPr>
            <w:tcW w:w="4876" w:type="dxa"/>
            <w:tcBorders>
              <w:top w:val="nil"/>
              <w:left w:val="nil"/>
              <w:bottom w:val="nil"/>
              <w:right w:val="nil"/>
            </w:tcBorders>
          </w:tcPr>
          <w:p w14:paraId="7BDB5718" w14:textId="77777777" w:rsidR="00CE45E2" w:rsidRPr="00CE45E2" w:rsidRDefault="00CE45E2" w:rsidP="006476FB">
            <w:pPr>
              <w:pStyle w:val="Normal6a"/>
            </w:pPr>
            <w:r w:rsidRPr="00CE45E2">
              <w:rPr>
                <w:b/>
                <w:bCs/>
                <w:i/>
                <w:iCs/>
                <w:vertAlign w:val="superscript"/>
              </w:rPr>
              <w:t>12</w:t>
            </w:r>
            <w:r w:rsidRPr="00CE45E2">
              <w:rPr>
                <w:b/>
                <w:bCs/>
                <w:i/>
                <w:iCs/>
              </w:rPr>
              <w:t xml:space="preserve"> Komunikat Komisji do Parlamentu Europejskiego, Rady Europejskiej, Rady, Europejskiego Banku Centralnego, Europejskiego Komitetu Ekonomiczno-Społecznego i Komitetu Regionów – Zwiększenie zdolności unijnego sektora emerytur dodatkowych w celu poprawy dochodów emerytalnych i dostarczenia długoterminowego kapitału gospodarce UE. [Urząd Publikacji = proszę podać numer dokumentu i link internetowy].</w:t>
            </w:r>
          </w:p>
        </w:tc>
        <w:tc>
          <w:tcPr>
            <w:tcW w:w="4876" w:type="dxa"/>
            <w:tcBorders>
              <w:top w:val="nil"/>
              <w:left w:val="nil"/>
              <w:bottom w:val="nil"/>
              <w:right w:val="nil"/>
            </w:tcBorders>
          </w:tcPr>
          <w:p w14:paraId="28A9375F" w14:textId="77777777" w:rsidR="00CE45E2" w:rsidRPr="00CE45E2" w:rsidRDefault="00CE45E2" w:rsidP="006476FB"/>
        </w:tc>
      </w:tr>
    </w:tbl>
    <w:p w14:paraId="57C1740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38C726E" w14:textId="77777777" w:rsidR="00CE45E2" w:rsidRPr="00CE45E2" w:rsidRDefault="00CE45E2" w:rsidP="00CE45E2">
      <w:r w:rsidRPr="00CE45E2">
        <w:rPr>
          <w:rStyle w:val="HideTWBExt"/>
        </w:rPr>
        <w:t>&lt;/Amend&gt;</w:t>
      </w:r>
    </w:p>
    <w:p w14:paraId="4315C031" w14:textId="66C4074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162</w:t>
      </w:r>
      <w:r w:rsidRPr="00CE45E2">
        <w:rPr>
          <w:rStyle w:val="HideTWBExt"/>
          <w:b w:val="0"/>
        </w:rPr>
        <w:t>&lt;/NumAm&gt;</w:t>
      </w:r>
    </w:p>
    <w:p w14:paraId="347AF9F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6CD403E4" w14:textId="77777777" w:rsidR="00CE45E2" w:rsidRPr="00CE45E2" w:rsidRDefault="00CE45E2" w:rsidP="00CE45E2">
      <w:pPr>
        <w:pStyle w:val="NormalBold"/>
      </w:pPr>
      <w:r w:rsidRPr="00CE45E2">
        <w:rPr>
          <w:rStyle w:val="HideTWBExt"/>
          <w:b w:val="0"/>
        </w:rPr>
        <w:t>&lt;/RepeatBlock-By&gt;</w:t>
      </w:r>
    </w:p>
    <w:p w14:paraId="1CA6448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19EDA50" w14:textId="77777777" w:rsidR="00CE45E2" w:rsidRPr="00CE45E2" w:rsidRDefault="00CE45E2" w:rsidP="00CE45E2">
      <w:pPr>
        <w:pStyle w:val="NormalBold"/>
      </w:pPr>
      <w:r w:rsidRPr="00CE45E2">
        <w:rPr>
          <w:rStyle w:val="HideTWBExt"/>
          <w:b w:val="0"/>
        </w:rPr>
        <w:t>&lt;Article&gt;</w:t>
      </w:r>
      <w:r w:rsidRPr="00CE45E2">
        <w:t>Motyw 25</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2711C74" w14:textId="77777777" w:rsidTr="006476FB">
        <w:trPr>
          <w:trHeight w:hRule="exact" w:val="240"/>
          <w:jc w:val="center"/>
        </w:trPr>
        <w:tc>
          <w:tcPr>
            <w:tcW w:w="9752" w:type="dxa"/>
            <w:gridSpan w:val="2"/>
            <w:tcBorders>
              <w:top w:val="nil"/>
              <w:left w:val="nil"/>
              <w:bottom w:val="nil"/>
              <w:right w:val="nil"/>
            </w:tcBorders>
          </w:tcPr>
          <w:p w14:paraId="3629F38C" w14:textId="77777777" w:rsidR="00CE45E2" w:rsidRPr="00CE45E2" w:rsidRDefault="00CE45E2" w:rsidP="006476FB"/>
        </w:tc>
      </w:tr>
      <w:tr w:rsidR="00CE45E2" w:rsidRPr="00CE45E2" w14:paraId="198AD721" w14:textId="77777777" w:rsidTr="006476FB">
        <w:trPr>
          <w:trHeight w:val="240"/>
          <w:jc w:val="center"/>
        </w:trPr>
        <w:tc>
          <w:tcPr>
            <w:tcW w:w="4876" w:type="dxa"/>
            <w:tcBorders>
              <w:top w:val="nil"/>
              <w:left w:val="nil"/>
              <w:bottom w:val="nil"/>
              <w:right w:val="nil"/>
            </w:tcBorders>
          </w:tcPr>
          <w:p w14:paraId="485D326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A639654" w14:textId="77777777" w:rsidR="00CE45E2" w:rsidRPr="00CE45E2" w:rsidRDefault="00CE45E2" w:rsidP="006476FB">
            <w:pPr>
              <w:pStyle w:val="AmColumnHeading"/>
            </w:pPr>
            <w:r w:rsidRPr="00CE45E2">
              <w:t>Poprawka</w:t>
            </w:r>
          </w:p>
        </w:tc>
      </w:tr>
      <w:tr w:rsidR="00CE45E2" w:rsidRPr="00CE45E2" w14:paraId="1AB2DC99" w14:textId="77777777" w:rsidTr="006476FB">
        <w:trPr>
          <w:jc w:val="center"/>
        </w:trPr>
        <w:tc>
          <w:tcPr>
            <w:tcW w:w="4876" w:type="dxa"/>
            <w:tcBorders>
              <w:top w:val="nil"/>
              <w:left w:val="nil"/>
              <w:bottom w:val="nil"/>
              <w:right w:val="nil"/>
            </w:tcBorders>
          </w:tcPr>
          <w:p w14:paraId="7E6BD2D1" w14:textId="77777777" w:rsidR="00CE45E2" w:rsidRPr="00CE45E2" w:rsidRDefault="00CE45E2" w:rsidP="006476FB">
            <w:pPr>
              <w:pStyle w:val="Normal6a"/>
            </w:pPr>
            <w:r w:rsidRPr="00CE45E2">
              <w:t>(25)</w:t>
            </w:r>
            <w:r w:rsidRPr="00CE45E2">
              <w:tab/>
              <w:t xml:space="preserve">Aktywa prywatne, w tym kapitał </w:t>
            </w:r>
            <w:proofErr w:type="spellStart"/>
            <w:r w:rsidRPr="00CE45E2">
              <w:t>private</w:t>
            </w:r>
            <w:proofErr w:type="spellEnd"/>
            <w:r w:rsidRPr="00CE45E2">
              <w:t xml:space="preserve"> equity, dług prywatny i kapitał wysokiego ryzyka, mogą poprawić charakterystykę stosunku ryzyka do zwrotu portfeli inwestycyjnych przez zwiększenie dywersyfikacji i potencjalne zapewnienie wyższych zwrotów długoterminowych. Takie aktywa są jednak często bardziej złożone pod względem wartości i oceny ryzyka, w związku z czym wymagają znacznej wiedzy fachowej. Zgodnie z art. 19 dyrektywy (UE) 2016/2341 IORP powinny inwestować w najlepszym długoterminowym interesie uczestników i beneficjentów oraz zgodnie z zasadą „ostrożnego inwestora”. Zasada ta nie jest jednak wystarczająco precyzyjna, a kilka państw członkowskich wprowadziło, zgodnie z tym artykułem, szczegółowe, a czasem restrykcyjne limity inwestycyjne. Takie ogólne ograniczenia mogą uniemożliwić dobrze zarządzanym instytucjom o odpowiedniej zdolności zarządzania ryzykiem skuteczne inwestowanie w aktywa alternatywne. Należy zatem określić, że kluczowe ramy inwestycyjne stanowią opartą na analizie ryzyka zasadę „ostrożnego inwestora”, umożliwiającą instytucjom inwestowanie w dowolny rodzaj aktywów, pod </w:t>
            </w:r>
            <w:proofErr w:type="gramStart"/>
            <w:r w:rsidRPr="00CE45E2">
              <w:t>warunkiem</w:t>
            </w:r>
            <w:proofErr w:type="gramEnd"/>
            <w:r w:rsidRPr="00CE45E2">
              <w:t xml:space="preserve"> że instytucje te są w stanie właściwie określać, mierzyć i monitorować powiązane rodzaje ryzyka, zarządzać nimi i składać sprawozdań w związku z nimi. W związku z </w:t>
            </w:r>
            <w:proofErr w:type="gramStart"/>
            <w:r w:rsidRPr="00CE45E2">
              <w:t>tym,</w:t>
            </w:r>
            <w:proofErr w:type="gramEnd"/>
            <w:r w:rsidRPr="00CE45E2">
              <w:t xml:space="preserve"> jako zabezpieczenie dla uczestników i beneficjentów, możliwość stosowania przez państwa członkowskie ograniczeń inwestycyjnych powinna być ograniczona do przypadków, w których ryzyko inwestycyjne ponoszą uczestnicy i beneficjenci, a ograniczenia te nie powinny skutkować ogólnym zakazem inwestowania w niektóre klasy aktywów. Komunikat ogólny z dnia 19 listopada 2025 r.</w:t>
            </w:r>
            <w:r w:rsidRPr="00CE45E2">
              <w:rPr>
                <w:vertAlign w:val="superscript"/>
              </w:rPr>
              <w:t>12</w:t>
            </w:r>
            <w:r w:rsidRPr="00CE45E2">
              <w:t xml:space="preserve"> zawiera dalsze niewiążące wytyczne dotyczące stosowania zasady „ostrożnego inwestora”, w tym dotyczące sposobu, w jaki powinna ona wspierać skuteczną alokację oszczędności długoterminowych.</w:t>
            </w:r>
          </w:p>
        </w:tc>
        <w:tc>
          <w:tcPr>
            <w:tcW w:w="4876" w:type="dxa"/>
            <w:tcBorders>
              <w:top w:val="nil"/>
              <w:left w:val="nil"/>
              <w:bottom w:val="nil"/>
              <w:right w:val="nil"/>
            </w:tcBorders>
          </w:tcPr>
          <w:p w14:paraId="0983A739" w14:textId="77777777" w:rsidR="00CE45E2" w:rsidRPr="00CE45E2" w:rsidRDefault="00CE45E2" w:rsidP="006476FB">
            <w:pPr>
              <w:pStyle w:val="Normal6a"/>
            </w:pPr>
            <w:r w:rsidRPr="00CE45E2">
              <w:t>(25)</w:t>
            </w:r>
            <w:r w:rsidRPr="00CE45E2">
              <w:tab/>
              <w:t xml:space="preserve">Aktywa prywatne, w tym kapitał </w:t>
            </w:r>
            <w:proofErr w:type="spellStart"/>
            <w:r w:rsidRPr="00CE45E2">
              <w:t>private</w:t>
            </w:r>
            <w:proofErr w:type="spellEnd"/>
            <w:r w:rsidRPr="00CE45E2">
              <w:t xml:space="preserve"> equity, dług prywatny i kapitał wysokiego ryzyka, mogą poprawić charakterystykę stosunku ryzyka do zwrotu portfeli inwestycyjnych przez zwiększenie dywersyfikacji i potencjalne zapewnienie wyższych zwrotów długoterminowych. Takie aktywa są jednak często bardziej złożone pod względem wartości i oceny ryzyka, w związku z czym wymagają znacznej wiedzy fachowej. Zgodnie z art. 19 dyrektywy (UE) 2016/2341 IORP powinny inwestować w najlepszym długoterminowym interesie uczestników i beneficjentów oraz zgodnie z zasadą „ostrożnego inwestora”. Zasada ta nie jest jednak wystarczająco precyzyjna, a kilka państw członkowskich wprowadziło, zgodnie z tym artykułem, szczegółowe, a czasem restrykcyjne limity inwestycyjne. Takie ogólne ograniczenia mogą uniemożliwić dobrze zarządzanym instytucjom o odpowiedniej zdolności zarządzania ryzykiem skuteczne inwestowanie w aktywa alternatywne. Należy zatem określić, że kluczowe ramy inwestycyjne stanowią opartą na analizie ryzyka zasadę „ostrożnego inwestora”, umożliwiającą instytucjom inwestowanie w dowolny rodzaj aktywów, pod </w:t>
            </w:r>
            <w:proofErr w:type="gramStart"/>
            <w:r w:rsidRPr="00CE45E2">
              <w:t>warunkiem</w:t>
            </w:r>
            <w:proofErr w:type="gramEnd"/>
            <w:r w:rsidRPr="00CE45E2">
              <w:t xml:space="preserve"> że instytucje te są w stanie właściwie określać, mierzyć i monitorować powiązane rodzaje ryzyka, zarządzać nimi i składać sprawozdań w związku z nimi. W związku z </w:t>
            </w:r>
            <w:proofErr w:type="gramStart"/>
            <w:r w:rsidRPr="00CE45E2">
              <w:t>tym,</w:t>
            </w:r>
            <w:proofErr w:type="gramEnd"/>
            <w:r w:rsidRPr="00CE45E2">
              <w:t xml:space="preserve"> jako zabezpieczenie dla uczestników i beneficjentów, możliwość stosowania przez państwa członkowskie ograniczeń inwestycyjnych powinna być ograniczona do przypadków, w których ryzyko inwestycyjne ponoszą uczestnicy i beneficjenci, a ograniczenia te nie powinny skutkować ogólnym zakazem inwestowania w niektóre klasy aktywów. Komunikat ogólny z dnia 19 listopada 2025 r.</w:t>
            </w:r>
            <w:r w:rsidRPr="00CE45E2">
              <w:rPr>
                <w:vertAlign w:val="superscript"/>
              </w:rPr>
              <w:t>12</w:t>
            </w:r>
            <w:r w:rsidRPr="00CE45E2">
              <w:t xml:space="preserve"> zawiera dalsze niewiążące wytyczne dotyczące stosowania zasady „ostrożnego inwestora”, w tym dotyczące sposobu, w jaki powinna ona wspierać skuteczną alokację oszczędności długoterminowych. </w:t>
            </w:r>
            <w:r w:rsidRPr="00CE45E2">
              <w:rPr>
                <w:b/>
                <w:i/>
              </w:rPr>
              <w:t>Jednocześnie konkretne, narzucone odgórnie minimalne kwoty lub restrykcyjne wytyczne dotyczące polityki inwestycyjnej mogą również zagrażać zdolności IORP do skutecznego utrzymania wypłacalności i dalszego zapewniania odpowiednich dochodów emerytalnych. Dotyczy to między innymi wytycznych inwestycyjnych w zakresie lokalizacji geograficznej lub klas aktywów i powinno być zabronione.</w:t>
            </w:r>
          </w:p>
        </w:tc>
      </w:tr>
      <w:tr w:rsidR="00CE45E2" w:rsidRPr="00CE45E2" w14:paraId="5D80DF74" w14:textId="77777777" w:rsidTr="006476FB">
        <w:trPr>
          <w:jc w:val="center"/>
        </w:trPr>
        <w:tc>
          <w:tcPr>
            <w:tcW w:w="4876" w:type="dxa"/>
            <w:tcBorders>
              <w:top w:val="nil"/>
              <w:left w:val="nil"/>
              <w:bottom w:val="nil"/>
              <w:right w:val="nil"/>
            </w:tcBorders>
          </w:tcPr>
          <w:p w14:paraId="5AC59779"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6950D824" w14:textId="77777777" w:rsidR="00CE45E2" w:rsidRPr="00CE45E2" w:rsidRDefault="00CE45E2" w:rsidP="006476FB">
            <w:pPr>
              <w:pStyle w:val="Normal6a"/>
            </w:pPr>
            <w:r w:rsidRPr="00CE45E2">
              <w:rPr>
                <w:b/>
                <w:i/>
              </w:rPr>
              <w:t>_________________</w:t>
            </w:r>
          </w:p>
        </w:tc>
      </w:tr>
      <w:tr w:rsidR="00CE45E2" w:rsidRPr="00CE45E2" w14:paraId="788EE3E2" w14:textId="77777777" w:rsidTr="006476FB">
        <w:trPr>
          <w:jc w:val="center"/>
        </w:trPr>
        <w:tc>
          <w:tcPr>
            <w:tcW w:w="4876" w:type="dxa"/>
            <w:tcBorders>
              <w:top w:val="nil"/>
              <w:left w:val="nil"/>
              <w:bottom w:val="nil"/>
              <w:right w:val="nil"/>
            </w:tcBorders>
          </w:tcPr>
          <w:p w14:paraId="34094114" w14:textId="77777777" w:rsidR="00CE45E2" w:rsidRPr="00CE45E2" w:rsidRDefault="00CE45E2" w:rsidP="006476FB">
            <w:pPr>
              <w:pStyle w:val="Normal6a"/>
            </w:pPr>
            <w:r w:rsidRPr="00CE45E2">
              <w:rPr>
                <w:vertAlign w:val="superscript"/>
              </w:rPr>
              <w:t>12</w:t>
            </w:r>
            <w:r w:rsidRPr="00CE45E2">
              <w:t xml:space="preserve"> Komunikat Komisji do Parlamentu Europejskiego, Rady Europejskiej, Rady, Europejskiego Banku Centralnego, Europejskiego Komitetu Ekonomiczno-Społecznego i Komitetu Regionów – Zwiększenie zdolności unijnego sektora emerytur dodatkowych w celu poprawy dochodów emerytalnych i dostarczenia długoterminowego kapitału gospodarce UE. [Urząd Publikacji = proszę podać numer dokumentu i link internetowy].</w:t>
            </w:r>
          </w:p>
        </w:tc>
        <w:tc>
          <w:tcPr>
            <w:tcW w:w="4876" w:type="dxa"/>
            <w:tcBorders>
              <w:top w:val="nil"/>
              <w:left w:val="nil"/>
              <w:bottom w:val="nil"/>
              <w:right w:val="nil"/>
            </w:tcBorders>
          </w:tcPr>
          <w:p w14:paraId="6212713C" w14:textId="77777777" w:rsidR="00CE45E2" w:rsidRPr="00CE45E2" w:rsidRDefault="00CE45E2" w:rsidP="006476FB">
            <w:pPr>
              <w:pStyle w:val="Normal6a"/>
            </w:pPr>
            <w:r w:rsidRPr="00CE45E2">
              <w:rPr>
                <w:vertAlign w:val="superscript"/>
              </w:rPr>
              <w:t>12</w:t>
            </w:r>
            <w:r w:rsidRPr="00CE45E2">
              <w:t xml:space="preserve"> Komunikat Komisji do Parlamentu Europejskiego, Rady Europejskiej, Rady, Europejskiego Banku Centralnego, Europejskiego Komitetu Ekonomiczno-Społecznego i Komitetu Regionów – Zwiększenie zdolności unijnego sektora emerytur dodatkowych w celu poprawy dochodów emerytalnych i dostarczenia długoterminowego kapitału gospodarce UE. [Urząd Publikacji = proszę podać numer dokumentu i link internetowy].</w:t>
            </w:r>
          </w:p>
        </w:tc>
      </w:tr>
    </w:tbl>
    <w:p w14:paraId="1CC9542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AF44F2" w14:textId="77777777" w:rsidR="00CE45E2" w:rsidRPr="00CE45E2" w:rsidRDefault="00CE45E2" w:rsidP="00CE45E2">
      <w:r w:rsidRPr="00CE45E2">
        <w:rPr>
          <w:rStyle w:val="HideTWBExt"/>
        </w:rPr>
        <w:t>&lt;/Amend&gt;</w:t>
      </w:r>
    </w:p>
    <w:p w14:paraId="52E72B7F" w14:textId="379727A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163</w:t>
      </w:r>
      <w:r w:rsidRPr="00CE45E2">
        <w:rPr>
          <w:rStyle w:val="HideTWBExt"/>
          <w:b w:val="0"/>
        </w:rPr>
        <w:t>&lt;/NumAm&gt;</w:t>
      </w:r>
    </w:p>
    <w:p w14:paraId="097C99DB"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0C271D8F" w14:textId="77777777" w:rsidR="00CE45E2" w:rsidRPr="00CE45E2" w:rsidRDefault="00CE45E2" w:rsidP="00CE45E2">
      <w:pPr>
        <w:pStyle w:val="NormalBold"/>
      </w:pPr>
      <w:r w:rsidRPr="00CE45E2">
        <w:rPr>
          <w:rStyle w:val="HideTWBExt"/>
          <w:b w:val="0"/>
        </w:rPr>
        <w:t>&lt;/RepeatBlock-By&gt;</w:t>
      </w:r>
    </w:p>
    <w:p w14:paraId="53A5B6D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76513CE"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CE1B964" w14:textId="77777777" w:rsidTr="006476FB">
        <w:trPr>
          <w:trHeight w:hRule="exact" w:val="240"/>
          <w:jc w:val="center"/>
        </w:trPr>
        <w:tc>
          <w:tcPr>
            <w:tcW w:w="9752" w:type="dxa"/>
            <w:gridSpan w:val="2"/>
            <w:tcBorders>
              <w:top w:val="nil"/>
              <w:left w:val="nil"/>
              <w:bottom w:val="nil"/>
              <w:right w:val="nil"/>
            </w:tcBorders>
          </w:tcPr>
          <w:p w14:paraId="1BB57F4F" w14:textId="77777777" w:rsidR="00CE45E2" w:rsidRPr="00CE45E2" w:rsidRDefault="00CE45E2" w:rsidP="006476FB"/>
        </w:tc>
      </w:tr>
      <w:tr w:rsidR="00CE45E2" w:rsidRPr="00CE45E2" w14:paraId="278ED688" w14:textId="77777777" w:rsidTr="006476FB">
        <w:trPr>
          <w:trHeight w:val="240"/>
          <w:jc w:val="center"/>
        </w:trPr>
        <w:tc>
          <w:tcPr>
            <w:tcW w:w="4876" w:type="dxa"/>
            <w:tcBorders>
              <w:top w:val="nil"/>
              <w:left w:val="nil"/>
              <w:bottom w:val="nil"/>
              <w:right w:val="nil"/>
            </w:tcBorders>
          </w:tcPr>
          <w:p w14:paraId="1A91F3F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C482A62" w14:textId="77777777" w:rsidR="00CE45E2" w:rsidRPr="00CE45E2" w:rsidRDefault="00CE45E2" w:rsidP="006476FB">
            <w:pPr>
              <w:pStyle w:val="AmColumnHeading"/>
            </w:pPr>
            <w:r w:rsidRPr="00CE45E2">
              <w:t>Poprawka</w:t>
            </w:r>
          </w:p>
        </w:tc>
      </w:tr>
      <w:tr w:rsidR="00CE45E2" w:rsidRPr="00CE45E2" w14:paraId="7B6F44B4" w14:textId="77777777" w:rsidTr="006476FB">
        <w:trPr>
          <w:jc w:val="center"/>
        </w:trPr>
        <w:tc>
          <w:tcPr>
            <w:tcW w:w="4876" w:type="dxa"/>
            <w:tcBorders>
              <w:top w:val="nil"/>
              <w:left w:val="nil"/>
              <w:bottom w:val="nil"/>
              <w:right w:val="nil"/>
            </w:tcBorders>
          </w:tcPr>
          <w:p w14:paraId="2DC8ECA9" w14:textId="77777777" w:rsidR="00CE45E2" w:rsidRPr="00CE45E2" w:rsidRDefault="00CE45E2" w:rsidP="006476FB">
            <w:pPr>
              <w:pStyle w:val="Normal6a"/>
            </w:pPr>
          </w:p>
        </w:tc>
        <w:tc>
          <w:tcPr>
            <w:tcW w:w="4876" w:type="dxa"/>
            <w:tcBorders>
              <w:top w:val="nil"/>
              <w:left w:val="nil"/>
              <w:bottom w:val="nil"/>
              <w:right w:val="nil"/>
            </w:tcBorders>
          </w:tcPr>
          <w:p w14:paraId="102BCD4A" w14:textId="77777777" w:rsidR="00CE45E2" w:rsidRPr="00CE45E2" w:rsidRDefault="00CE45E2" w:rsidP="006476FB">
            <w:pPr>
              <w:pStyle w:val="Normal6a"/>
            </w:pPr>
            <w:r w:rsidRPr="00CE45E2">
              <w:rPr>
                <w:b/>
                <w:i/>
              </w:rPr>
              <w:t>(25a)</w:t>
            </w:r>
            <w:r w:rsidRPr="00CE45E2">
              <w:tab/>
            </w:r>
            <w:r w:rsidRPr="00CE45E2">
              <w:rPr>
                <w:b/>
                <w:i/>
              </w:rPr>
              <w:t>Instytucje pracowniczych programów emerytalnych prowadzące programy emerytalne o zdefiniowanych świadczeniach lub programy, w których sama IORP różni się zasadniczo od zakładów ubezpieczeń pod względem struktury zobowiązań, roli instytucji finansującej jako źródła wsparcia ostatniej szansy, długoterminowego i niepłynnego charakteru swoich zobowiązań oraz ram społecznych i umownych regulujących ich działalność. Wymogi kapitałowe oparte na ryzyku, mające zastosowanie do zakładów ubezpieczeń zgodnie z dyrektywą Parlamentu Europejskiego i Rady 2009/138/WE, są dostosowane do specyficznego profilu ryzyka zobowiązań ubezpieczeniowych i nie są odpowiednie dla struktury pracowniczych programów emerytalnych. Zasada „ostrożnego inwestora” określona w art. 19 dyrektywy (UE) 2016/2341, zmienionej niniejszą dyrektywą, stanowi odpowiednie i kompletne ramy zarządzania inwestycjami dla IORP. Żaden z przepisów niniejszej dyrektywy nie może być interpretowany jako nakładający na państwa członkowskie lub właściwe organy obowiązek stosowania wobec IORP wymogów kapitałowych dostosowanych w oparciu o standardową formułę lub wymogi dotyczące modeli wewnętrznych określone w dyrektywie 2009/138/WE. Zastosowanie wymogów kapitałowych równoważnych z wymogami określonymi w dyrektywie Wypłacalność II do IORP narzuciłoby nieproporcjonalne koszty na instytucje finansujące i uczestników, zniechęciłoby do inwestowania w akcje i długoterminowe aktywa produkcyjne, a tym samym stałoby w bezpośredniej sprzeczności z celami niniejszej dyrektywy oraz unii oszczędności i inwestycji.</w:t>
            </w:r>
          </w:p>
        </w:tc>
      </w:tr>
    </w:tbl>
    <w:p w14:paraId="76ABAFC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382CE24"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C2B101F" w14:textId="77777777" w:rsidR="00CE45E2" w:rsidRPr="00CE45E2" w:rsidRDefault="00CE45E2" w:rsidP="00CE45E2">
      <w:pPr>
        <w:pStyle w:val="AmJustText"/>
      </w:pPr>
      <w:r w:rsidRPr="00CE45E2">
        <w:t>Wniosek Komisji tworzy domyślną ścieżkę nadzorczą prowadzącą do kapitalizacji równoważnej z wymogami określonymi w dyrektywie Wypłacalność II. Niniejszy motyw wyraźnie wyklucza tę ścieżkę.</w:t>
      </w:r>
    </w:p>
    <w:p w14:paraId="5B165552" w14:textId="77777777" w:rsidR="00CE45E2" w:rsidRPr="00CE45E2" w:rsidRDefault="00CE45E2" w:rsidP="00CE45E2">
      <w:r w:rsidRPr="00CE45E2">
        <w:rPr>
          <w:rStyle w:val="HideTWBExt"/>
        </w:rPr>
        <w:t>&lt;/Amend&gt;</w:t>
      </w:r>
    </w:p>
    <w:p w14:paraId="5B638CB0" w14:textId="6C61F9F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164</w:t>
      </w:r>
      <w:r w:rsidRPr="00CE45E2">
        <w:rPr>
          <w:rStyle w:val="HideTWBExt"/>
          <w:b w:val="0"/>
        </w:rPr>
        <w:t>&lt;/NumAm&gt;</w:t>
      </w:r>
    </w:p>
    <w:p w14:paraId="15191C13"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7F56BA19" w14:textId="77777777" w:rsidR="00CE45E2" w:rsidRPr="00CE45E2" w:rsidRDefault="00CE45E2" w:rsidP="00CE45E2">
      <w:pPr>
        <w:pStyle w:val="NormalBold"/>
      </w:pPr>
      <w:r w:rsidRPr="00CE45E2">
        <w:rPr>
          <w:rStyle w:val="HideTWBExt"/>
          <w:b w:val="0"/>
        </w:rPr>
        <w:t>&lt;/RepeatBlock-By&gt;</w:t>
      </w:r>
    </w:p>
    <w:p w14:paraId="3D2E4FF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4BD7198"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5A9A044" w14:textId="77777777" w:rsidTr="006476FB">
        <w:trPr>
          <w:trHeight w:hRule="exact" w:val="240"/>
          <w:jc w:val="center"/>
        </w:trPr>
        <w:tc>
          <w:tcPr>
            <w:tcW w:w="9752" w:type="dxa"/>
            <w:gridSpan w:val="2"/>
            <w:tcBorders>
              <w:top w:val="nil"/>
              <w:left w:val="nil"/>
              <w:bottom w:val="nil"/>
              <w:right w:val="nil"/>
            </w:tcBorders>
          </w:tcPr>
          <w:p w14:paraId="62BBB207" w14:textId="77777777" w:rsidR="00CE45E2" w:rsidRPr="00CE45E2" w:rsidRDefault="00CE45E2" w:rsidP="006476FB"/>
        </w:tc>
      </w:tr>
      <w:tr w:rsidR="00CE45E2" w:rsidRPr="00CE45E2" w14:paraId="4F420880" w14:textId="77777777" w:rsidTr="006476FB">
        <w:trPr>
          <w:trHeight w:val="240"/>
          <w:jc w:val="center"/>
        </w:trPr>
        <w:tc>
          <w:tcPr>
            <w:tcW w:w="4876" w:type="dxa"/>
            <w:tcBorders>
              <w:top w:val="nil"/>
              <w:left w:val="nil"/>
              <w:bottom w:val="nil"/>
              <w:right w:val="nil"/>
            </w:tcBorders>
          </w:tcPr>
          <w:p w14:paraId="677635D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CFCF4A4" w14:textId="77777777" w:rsidR="00CE45E2" w:rsidRPr="00CE45E2" w:rsidRDefault="00CE45E2" w:rsidP="006476FB">
            <w:pPr>
              <w:pStyle w:val="AmColumnHeading"/>
            </w:pPr>
            <w:r w:rsidRPr="00CE45E2">
              <w:t>Poprawka</w:t>
            </w:r>
          </w:p>
        </w:tc>
      </w:tr>
      <w:tr w:rsidR="00CE45E2" w:rsidRPr="00CE45E2" w14:paraId="56CAE28F" w14:textId="77777777" w:rsidTr="006476FB">
        <w:trPr>
          <w:jc w:val="center"/>
        </w:trPr>
        <w:tc>
          <w:tcPr>
            <w:tcW w:w="4876" w:type="dxa"/>
            <w:tcBorders>
              <w:top w:val="nil"/>
              <w:left w:val="nil"/>
              <w:bottom w:val="nil"/>
              <w:right w:val="nil"/>
            </w:tcBorders>
          </w:tcPr>
          <w:p w14:paraId="334CF6EF" w14:textId="77777777" w:rsidR="00CE45E2" w:rsidRPr="00CE45E2" w:rsidRDefault="00CE45E2" w:rsidP="006476FB">
            <w:pPr>
              <w:pStyle w:val="Normal6a"/>
            </w:pPr>
          </w:p>
        </w:tc>
        <w:tc>
          <w:tcPr>
            <w:tcW w:w="4876" w:type="dxa"/>
            <w:tcBorders>
              <w:top w:val="nil"/>
              <w:left w:val="nil"/>
              <w:bottom w:val="nil"/>
              <w:right w:val="nil"/>
            </w:tcBorders>
          </w:tcPr>
          <w:p w14:paraId="2AA9FFE6" w14:textId="77777777" w:rsidR="00CE45E2" w:rsidRPr="00CE45E2" w:rsidRDefault="00CE45E2" w:rsidP="006476FB">
            <w:pPr>
              <w:pStyle w:val="Normal6a"/>
            </w:pPr>
            <w:r w:rsidRPr="00CE45E2">
              <w:rPr>
                <w:b/>
                <w:i/>
              </w:rPr>
              <w:t>(25a)</w:t>
            </w:r>
            <w:r w:rsidRPr="00CE45E2">
              <w:tab/>
            </w:r>
            <w:r w:rsidRPr="00CE45E2">
              <w:rPr>
                <w:b/>
                <w:i/>
              </w:rPr>
              <w:t xml:space="preserve">Dyrektywa 2016/2341 stanowi, że IORP powinny uwzględniać w swojej polityce inwestycyjnej rodzaje ryzyka dla zrównoważonego rozwoju, takie jak ryzyko związane ze zmianą klimatu oraz wykorzystaniem zasobów i środowiskiem, ryzyko społeczne oraz ryzyko związane z utratą wartości aktywów wynikającą ze zmian regulacyjnych. Uwzględnienie tych rodzajów </w:t>
            </w:r>
            <w:proofErr w:type="spellStart"/>
            <w:r w:rsidRPr="00CE45E2">
              <w:rPr>
                <w:b/>
                <w:i/>
              </w:rPr>
              <w:t>ryzyk</w:t>
            </w:r>
            <w:proofErr w:type="spellEnd"/>
            <w:r w:rsidRPr="00CE45E2">
              <w:rPr>
                <w:b/>
                <w:i/>
              </w:rPr>
              <w:t xml:space="preserve"> powinno być zintegrowane z szerszą zasadą „ostrożnego inwestora” i nie powinno zastępować uwzględnienia bezpieczeństwa, jakości, płynności i rentowności całego portfela. IORP powinny również uwzględniać preferencje w zakresie zrównoważonego rozwoju swoich uczestników i beneficjentów, w imieniu których dokonują inwestycji. Ze względu na różnorodność modeli zarządzania oraz sposobów przystępowania uczestników do instytucji emerytalnych, IORP powinny mieć możliwość określenia, w jaki sposób preferencje te mają być oceniane, w tym poprzez udział uczestników i beneficjentów lub ich przedstawicieli w strukturach zarządzania IORP, a także poprzez ankiety.</w:t>
            </w:r>
          </w:p>
        </w:tc>
      </w:tr>
    </w:tbl>
    <w:p w14:paraId="4062772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C818F33" w14:textId="77777777" w:rsidR="00CE45E2" w:rsidRPr="00CE45E2" w:rsidRDefault="00CE45E2" w:rsidP="00CE45E2">
      <w:r w:rsidRPr="00CE45E2">
        <w:rPr>
          <w:rStyle w:val="HideTWBExt"/>
        </w:rPr>
        <w:t>&lt;/Amend&gt;</w:t>
      </w:r>
    </w:p>
    <w:p w14:paraId="14227017" w14:textId="440FDF0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165</w:t>
      </w:r>
      <w:r w:rsidRPr="00CE45E2">
        <w:rPr>
          <w:rStyle w:val="HideTWBExt"/>
          <w:b w:val="0"/>
        </w:rPr>
        <w:t>&lt;/NumAm&gt;</w:t>
      </w:r>
    </w:p>
    <w:p w14:paraId="0832E771"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23E59FA9" w14:textId="77777777" w:rsidR="00CE45E2" w:rsidRPr="00CE45E2" w:rsidRDefault="00CE45E2" w:rsidP="00CE45E2">
      <w:pPr>
        <w:pStyle w:val="NormalBold"/>
      </w:pPr>
      <w:r w:rsidRPr="00CE45E2">
        <w:rPr>
          <w:rStyle w:val="HideTWBExt"/>
          <w:b w:val="0"/>
        </w:rPr>
        <w:t>&lt;/RepeatBlock-By&gt;</w:t>
      </w:r>
    </w:p>
    <w:p w14:paraId="3B2AE66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7D67068"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B19C25C" w14:textId="77777777" w:rsidTr="006476FB">
        <w:trPr>
          <w:trHeight w:hRule="exact" w:val="240"/>
          <w:jc w:val="center"/>
        </w:trPr>
        <w:tc>
          <w:tcPr>
            <w:tcW w:w="9752" w:type="dxa"/>
            <w:gridSpan w:val="2"/>
            <w:tcBorders>
              <w:top w:val="nil"/>
              <w:left w:val="nil"/>
              <w:bottom w:val="nil"/>
              <w:right w:val="nil"/>
            </w:tcBorders>
          </w:tcPr>
          <w:p w14:paraId="78A3484E" w14:textId="77777777" w:rsidR="00CE45E2" w:rsidRPr="00CE45E2" w:rsidRDefault="00CE45E2" w:rsidP="006476FB"/>
        </w:tc>
      </w:tr>
      <w:tr w:rsidR="00CE45E2" w:rsidRPr="00CE45E2" w14:paraId="6EA1F42A" w14:textId="77777777" w:rsidTr="006476FB">
        <w:trPr>
          <w:trHeight w:val="240"/>
          <w:jc w:val="center"/>
        </w:trPr>
        <w:tc>
          <w:tcPr>
            <w:tcW w:w="4876" w:type="dxa"/>
            <w:tcBorders>
              <w:top w:val="nil"/>
              <w:left w:val="nil"/>
              <w:bottom w:val="nil"/>
              <w:right w:val="nil"/>
            </w:tcBorders>
          </w:tcPr>
          <w:p w14:paraId="16421E2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18BE377" w14:textId="77777777" w:rsidR="00CE45E2" w:rsidRPr="00CE45E2" w:rsidRDefault="00CE45E2" w:rsidP="006476FB">
            <w:pPr>
              <w:pStyle w:val="AmColumnHeading"/>
            </w:pPr>
            <w:r w:rsidRPr="00CE45E2">
              <w:t>Poprawka</w:t>
            </w:r>
          </w:p>
        </w:tc>
      </w:tr>
      <w:tr w:rsidR="00CE45E2" w:rsidRPr="00CE45E2" w14:paraId="531E0EFE" w14:textId="77777777" w:rsidTr="006476FB">
        <w:trPr>
          <w:jc w:val="center"/>
        </w:trPr>
        <w:tc>
          <w:tcPr>
            <w:tcW w:w="4876" w:type="dxa"/>
            <w:tcBorders>
              <w:top w:val="nil"/>
              <w:left w:val="nil"/>
              <w:bottom w:val="nil"/>
              <w:right w:val="nil"/>
            </w:tcBorders>
          </w:tcPr>
          <w:p w14:paraId="5620E858" w14:textId="77777777" w:rsidR="00CE45E2" w:rsidRPr="00CE45E2" w:rsidRDefault="00CE45E2" w:rsidP="006476FB">
            <w:pPr>
              <w:pStyle w:val="Normal6a"/>
            </w:pPr>
          </w:p>
        </w:tc>
        <w:tc>
          <w:tcPr>
            <w:tcW w:w="4876" w:type="dxa"/>
            <w:tcBorders>
              <w:top w:val="nil"/>
              <w:left w:val="nil"/>
              <w:bottom w:val="nil"/>
              <w:right w:val="nil"/>
            </w:tcBorders>
          </w:tcPr>
          <w:p w14:paraId="477E4B5D" w14:textId="77777777" w:rsidR="00CE45E2" w:rsidRPr="00CE45E2" w:rsidRDefault="00CE45E2" w:rsidP="006476FB">
            <w:pPr>
              <w:pStyle w:val="Normal6a"/>
            </w:pPr>
            <w:r w:rsidRPr="00CE45E2">
              <w:rPr>
                <w:b/>
                <w:i/>
              </w:rPr>
              <w:t>(25a)</w:t>
            </w:r>
            <w:r w:rsidRPr="00CE45E2">
              <w:tab/>
            </w:r>
            <w:r w:rsidRPr="00CE45E2">
              <w:rPr>
                <w:b/>
                <w:i/>
              </w:rPr>
              <w:t>Aby w większym stopniu wspierać przekierowywanie długoterminowych oszczędności na inwestycje produkcyjne, Komisja powinna nadal oceniać, w ścisłej współpracy z państwami członkowskimi i odpowiednimi zainteresowanymi stronami, czy dobrowolne narzędzia na szczeblu unijnym mogłyby ułatwić rozwój prostych, przejrzystych i opłacalnych długoterminowych produktów oszczędnościowych lub inwestycyjnych, odpowiednich dla inwestorów detalicznych. Narzędzia takie mogłyby obejmować, w stosownych przypadkach, dobrowolny znak unijny oparty na wspólnych cechach, takich jak prostota produktu, niskie koszty, zdywersyfikowana alokacja aktywów, odpowiednie ograniczanie ryzyka oraz przejrzyste informacje. We wszelkich tego rodzaju ocenach należy odpowiednio uwzględnić krajowe systemy emerytalne i oszczędnościowe, kompetencje państw członkowskich, w tym w dziedzinie opodatkowania, ochronę inwestorów oraz potrzebę unikania dodatkowej złożoności lub obciążeń administracyjnych.</w:t>
            </w:r>
          </w:p>
        </w:tc>
      </w:tr>
    </w:tbl>
    <w:p w14:paraId="433208C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1889B34"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0B707F6" w14:textId="77777777" w:rsidR="00CE45E2" w:rsidRPr="00CE45E2" w:rsidRDefault="00CE45E2" w:rsidP="00CE45E2">
      <w:pPr>
        <w:pStyle w:val="AmJustText"/>
      </w:pPr>
      <w:r w:rsidRPr="00CE45E2">
        <w:t>Dobrowolne narzędzie na szczeblu unijnym mogłoby pomóc we wspieraniu rozwoju prostych, przejrzystych i opłacalnych długoterminowych produktów oszczędnościowych, przy pełnym poszanowaniu kompetencji krajowych i unikaniu dodatkowych obciążeń.</w:t>
      </w:r>
    </w:p>
    <w:p w14:paraId="28B93BC4" w14:textId="77777777" w:rsidR="00CE45E2" w:rsidRPr="00CE45E2" w:rsidRDefault="00CE45E2" w:rsidP="00CE45E2">
      <w:r w:rsidRPr="00CE45E2">
        <w:rPr>
          <w:rStyle w:val="HideTWBExt"/>
        </w:rPr>
        <w:t>&lt;/Amend&gt;</w:t>
      </w:r>
    </w:p>
    <w:p w14:paraId="3B2F62F0" w14:textId="1790978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166</w:t>
      </w:r>
      <w:r w:rsidRPr="00CE45E2">
        <w:rPr>
          <w:rStyle w:val="HideTWBExt"/>
          <w:b w:val="0"/>
        </w:rPr>
        <w:t>&lt;/NumAm&gt;</w:t>
      </w:r>
    </w:p>
    <w:p w14:paraId="23F36EA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CE7B702" w14:textId="77777777" w:rsidR="00CE45E2" w:rsidRPr="00CE45E2" w:rsidRDefault="00CE45E2" w:rsidP="00CE45E2">
      <w:pPr>
        <w:pStyle w:val="NormalBold"/>
      </w:pPr>
      <w:r w:rsidRPr="00CE45E2">
        <w:rPr>
          <w:rStyle w:val="HideTWBExt"/>
          <w:b w:val="0"/>
        </w:rPr>
        <w:t>&lt;/RepeatBlock-By&gt;</w:t>
      </w:r>
    </w:p>
    <w:p w14:paraId="70649B1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E9FD478"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13DBA00" w14:textId="77777777" w:rsidTr="006476FB">
        <w:trPr>
          <w:trHeight w:hRule="exact" w:val="240"/>
          <w:jc w:val="center"/>
        </w:trPr>
        <w:tc>
          <w:tcPr>
            <w:tcW w:w="9752" w:type="dxa"/>
            <w:gridSpan w:val="2"/>
            <w:tcBorders>
              <w:top w:val="nil"/>
              <w:left w:val="nil"/>
              <w:bottom w:val="nil"/>
              <w:right w:val="nil"/>
            </w:tcBorders>
          </w:tcPr>
          <w:p w14:paraId="34A6E220" w14:textId="77777777" w:rsidR="00CE45E2" w:rsidRPr="00CE45E2" w:rsidRDefault="00CE45E2" w:rsidP="006476FB"/>
        </w:tc>
      </w:tr>
      <w:tr w:rsidR="00CE45E2" w:rsidRPr="00CE45E2" w14:paraId="0C491D97" w14:textId="77777777" w:rsidTr="006476FB">
        <w:trPr>
          <w:trHeight w:val="240"/>
          <w:jc w:val="center"/>
        </w:trPr>
        <w:tc>
          <w:tcPr>
            <w:tcW w:w="4876" w:type="dxa"/>
            <w:tcBorders>
              <w:top w:val="nil"/>
              <w:left w:val="nil"/>
              <w:bottom w:val="nil"/>
              <w:right w:val="nil"/>
            </w:tcBorders>
          </w:tcPr>
          <w:p w14:paraId="3815335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05F8A4B" w14:textId="77777777" w:rsidR="00CE45E2" w:rsidRPr="00CE45E2" w:rsidRDefault="00CE45E2" w:rsidP="006476FB">
            <w:pPr>
              <w:pStyle w:val="AmColumnHeading"/>
            </w:pPr>
            <w:r w:rsidRPr="00CE45E2">
              <w:t>Poprawka</w:t>
            </w:r>
          </w:p>
        </w:tc>
      </w:tr>
      <w:tr w:rsidR="00CE45E2" w:rsidRPr="00CE45E2" w14:paraId="22EF8EC4" w14:textId="77777777" w:rsidTr="006476FB">
        <w:trPr>
          <w:jc w:val="center"/>
        </w:trPr>
        <w:tc>
          <w:tcPr>
            <w:tcW w:w="4876" w:type="dxa"/>
            <w:tcBorders>
              <w:top w:val="nil"/>
              <w:left w:val="nil"/>
              <w:bottom w:val="nil"/>
              <w:right w:val="nil"/>
            </w:tcBorders>
          </w:tcPr>
          <w:p w14:paraId="6C00E220" w14:textId="77777777" w:rsidR="00CE45E2" w:rsidRPr="00CE45E2" w:rsidRDefault="00CE45E2" w:rsidP="006476FB">
            <w:pPr>
              <w:pStyle w:val="Normal6a"/>
            </w:pPr>
          </w:p>
        </w:tc>
        <w:tc>
          <w:tcPr>
            <w:tcW w:w="4876" w:type="dxa"/>
            <w:tcBorders>
              <w:top w:val="nil"/>
              <w:left w:val="nil"/>
              <w:bottom w:val="nil"/>
              <w:right w:val="nil"/>
            </w:tcBorders>
          </w:tcPr>
          <w:p w14:paraId="78EFCF45" w14:textId="77777777" w:rsidR="00CE45E2" w:rsidRPr="00CE45E2" w:rsidRDefault="00CE45E2" w:rsidP="006476FB">
            <w:pPr>
              <w:pStyle w:val="Normal6a"/>
            </w:pPr>
            <w:r w:rsidRPr="00CE45E2">
              <w:rPr>
                <w:b/>
                <w:i/>
              </w:rPr>
              <w:t>(25a)</w:t>
            </w:r>
            <w:r w:rsidRPr="00CE45E2">
              <w:tab/>
            </w:r>
            <w:r w:rsidRPr="00CE45E2">
              <w:rPr>
                <w:b/>
                <w:i/>
              </w:rPr>
              <w:t>Jeżeli polityka i decyzje IORP w sposób strukturalny prowadzą do obniżenia siły nabywczej uczestników i beneficjentów, podważając zaufanie do pracowniczych systemów emerytalnych, uzasadnia to przeprowadzenie otwartego dialogu na temat wrażliwości IORP na ryzyko. Chociaż niezbędne jest, aby IORP posiadały wystarczające aktywa, by zawsze wywiązywać się ze swoich zobowiązań i zachować wypłacalność, nadmierna niechęć do ryzyka również wiąże się z kosztami i może wpływać na interesy uczestników i beneficjentów. W szczególności wybory dokonywane przez IORP mogą wpływać na siłę nabywczą (przyszłych) beneficjentów. Chociaż niektóre decyzje można uzasadnić wieloma czynnikami, w tym trendami demograficznymi i niepewnością rynkową, IORP powinny również brać pod uwagę skutki nadmiernie ostrożnego postępowania w zakresie nadzoru ostrożnościowego, odbywającego się kosztem interesów osób oszczędzających na emeryturę.</w:t>
            </w:r>
          </w:p>
        </w:tc>
      </w:tr>
    </w:tbl>
    <w:p w14:paraId="5B44C30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7FBBF5B" w14:textId="77777777" w:rsidR="00CE45E2" w:rsidRPr="00CE45E2" w:rsidRDefault="00CE45E2" w:rsidP="00CE45E2">
      <w:r w:rsidRPr="00CE45E2">
        <w:rPr>
          <w:rStyle w:val="HideTWBExt"/>
        </w:rPr>
        <w:t>&lt;/Amend&gt;</w:t>
      </w:r>
    </w:p>
    <w:p w14:paraId="6C234E6D" w14:textId="6F9E9C7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167</w:t>
      </w:r>
      <w:r w:rsidRPr="00CE45E2">
        <w:rPr>
          <w:rStyle w:val="HideTWBExt"/>
          <w:b w:val="0"/>
        </w:rPr>
        <w:t>&lt;/NumAm&gt;</w:t>
      </w:r>
    </w:p>
    <w:p w14:paraId="2184A090"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78107C9D" w14:textId="77777777" w:rsidR="00CE45E2" w:rsidRPr="00CE45E2" w:rsidRDefault="00CE45E2" w:rsidP="00CE45E2">
      <w:pPr>
        <w:pStyle w:val="NormalBold"/>
      </w:pPr>
      <w:r w:rsidRPr="00CE45E2">
        <w:rPr>
          <w:rStyle w:val="HideTWBExt"/>
          <w:b w:val="0"/>
        </w:rPr>
        <w:t>&lt;/RepeatBlock-By&gt;</w:t>
      </w:r>
    </w:p>
    <w:p w14:paraId="2B899E1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9832A14"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0653131" w14:textId="77777777" w:rsidTr="006476FB">
        <w:trPr>
          <w:trHeight w:hRule="exact" w:val="240"/>
          <w:jc w:val="center"/>
        </w:trPr>
        <w:tc>
          <w:tcPr>
            <w:tcW w:w="9752" w:type="dxa"/>
            <w:gridSpan w:val="2"/>
            <w:tcBorders>
              <w:top w:val="nil"/>
              <w:left w:val="nil"/>
              <w:bottom w:val="nil"/>
              <w:right w:val="nil"/>
            </w:tcBorders>
          </w:tcPr>
          <w:p w14:paraId="17F22AEB" w14:textId="77777777" w:rsidR="00CE45E2" w:rsidRPr="00CE45E2" w:rsidRDefault="00CE45E2" w:rsidP="006476FB"/>
        </w:tc>
      </w:tr>
      <w:tr w:rsidR="00CE45E2" w:rsidRPr="00CE45E2" w14:paraId="0555CF9A" w14:textId="77777777" w:rsidTr="006476FB">
        <w:trPr>
          <w:trHeight w:val="240"/>
          <w:jc w:val="center"/>
        </w:trPr>
        <w:tc>
          <w:tcPr>
            <w:tcW w:w="4876" w:type="dxa"/>
            <w:tcBorders>
              <w:top w:val="nil"/>
              <w:left w:val="nil"/>
              <w:bottom w:val="nil"/>
              <w:right w:val="nil"/>
            </w:tcBorders>
          </w:tcPr>
          <w:p w14:paraId="051D0B0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63BF5E9" w14:textId="77777777" w:rsidR="00CE45E2" w:rsidRPr="00CE45E2" w:rsidRDefault="00CE45E2" w:rsidP="006476FB">
            <w:pPr>
              <w:pStyle w:val="AmColumnHeading"/>
            </w:pPr>
            <w:r w:rsidRPr="00CE45E2">
              <w:t>Poprawka</w:t>
            </w:r>
          </w:p>
        </w:tc>
      </w:tr>
      <w:tr w:rsidR="00CE45E2" w:rsidRPr="00CE45E2" w14:paraId="45954265" w14:textId="77777777" w:rsidTr="006476FB">
        <w:trPr>
          <w:jc w:val="center"/>
        </w:trPr>
        <w:tc>
          <w:tcPr>
            <w:tcW w:w="4876" w:type="dxa"/>
            <w:tcBorders>
              <w:top w:val="nil"/>
              <w:left w:val="nil"/>
              <w:bottom w:val="nil"/>
              <w:right w:val="nil"/>
            </w:tcBorders>
          </w:tcPr>
          <w:p w14:paraId="480A0642" w14:textId="77777777" w:rsidR="00CE45E2" w:rsidRPr="00CE45E2" w:rsidRDefault="00CE45E2" w:rsidP="006476FB">
            <w:pPr>
              <w:pStyle w:val="Normal6a"/>
            </w:pPr>
          </w:p>
        </w:tc>
        <w:tc>
          <w:tcPr>
            <w:tcW w:w="4876" w:type="dxa"/>
            <w:tcBorders>
              <w:top w:val="nil"/>
              <w:left w:val="nil"/>
              <w:bottom w:val="nil"/>
              <w:right w:val="nil"/>
            </w:tcBorders>
          </w:tcPr>
          <w:p w14:paraId="439EFE79" w14:textId="77777777" w:rsidR="00CE45E2" w:rsidRPr="00CE45E2" w:rsidRDefault="00CE45E2" w:rsidP="006476FB">
            <w:pPr>
              <w:pStyle w:val="Normal6a"/>
            </w:pPr>
            <w:r w:rsidRPr="00CE45E2">
              <w:rPr>
                <w:b/>
                <w:i/>
              </w:rPr>
              <w:t>(25a)</w:t>
            </w:r>
            <w:r w:rsidRPr="00CE45E2">
              <w:tab/>
            </w:r>
            <w:r w:rsidRPr="00CE45E2">
              <w:rPr>
                <w:b/>
                <w:i/>
              </w:rPr>
              <w:t>Głównym i nadrzędnym celem IORP powinno być maksymalizowanie zysków finansowych netto skorygowanych o ryzyko, wyłącznie w najlepszym długoterminowym interesie uczestników i beneficjentów, z uwzględnieniem bezpieczeństwa, jakości, płynności, rentowności, dywersyfikacji oraz charakteru i okresu trwania zobowiązań. Aktywów emerytalnych nie należy wykorzystywać jako instrumentów finansowania sektorów, przedsiębiorstw, technologii lub projektów preferowanych w ramach polityki publicznej Unii lub polityki krajowej.</w:t>
            </w:r>
          </w:p>
        </w:tc>
      </w:tr>
    </w:tbl>
    <w:p w14:paraId="0A20FFC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F00212C"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3056635" w14:textId="77777777" w:rsidR="00CE45E2" w:rsidRPr="00CE45E2" w:rsidRDefault="00CE45E2" w:rsidP="00CE45E2">
      <w:pPr>
        <w:pStyle w:val="AmJustText"/>
      </w:pPr>
      <w:r w:rsidRPr="00CE45E2">
        <w:t>Instytucje emerytalne ponoszą odpowiedzialność powierniczą wobec oszczędzających na emeryturę, a nie wobec programów politycznych. Władze publiczne nie powinny wykorzystywać odroczonych wynagrodzeń pracowników jako pozabudżetowego źródła finansowania projektów preferowanych z politycznego punktu widzenia.</w:t>
      </w:r>
    </w:p>
    <w:p w14:paraId="712ED532" w14:textId="77777777" w:rsidR="00CE45E2" w:rsidRPr="00CE45E2" w:rsidRDefault="00CE45E2" w:rsidP="00CE45E2">
      <w:r w:rsidRPr="00CE45E2">
        <w:rPr>
          <w:rStyle w:val="HideTWBExt"/>
        </w:rPr>
        <w:t>&lt;/Amend&gt;</w:t>
      </w:r>
    </w:p>
    <w:p w14:paraId="3FDA7924" w14:textId="106E137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168</w:t>
      </w:r>
      <w:r w:rsidRPr="00CE45E2">
        <w:rPr>
          <w:rStyle w:val="HideTWBExt"/>
          <w:b w:val="0"/>
        </w:rPr>
        <w:t>&lt;/NumAm&gt;</w:t>
      </w:r>
    </w:p>
    <w:p w14:paraId="3B6624EF" w14:textId="77777777" w:rsidR="00CE45E2" w:rsidRPr="00CE45E2" w:rsidRDefault="00CE45E2" w:rsidP="00CE45E2">
      <w:pPr>
        <w:pStyle w:val="NormalBold"/>
      </w:pPr>
      <w:r w:rsidRPr="00CE45E2">
        <w:rPr>
          <w:rStyle w:val="HideTWBExt"/>
          <w:b w:val="0"/>
        </w:rPr>
        <w:t>&lt;RepeatBlock-By&gt;&lt;Members&gt;</w:t>
      </w:r>
      <w:proofErr w:type="spellStart"/>
      <w:r w:rsidRPr="00CE45E2">
        <w:t>Danuše</w:t>
      </w:r>
      <w:proofErr w:type="spellEnd"/>
      <w:r w:rsidRPr="00CE45E2">
        <w:t xml:space="preserve"> </w:t>
      </w:r>
      <w:proofErr w:type="spellStart"/>
      <w:r w:rsidRPr="00CE45E2">
        <w:t>Nerudová</w:t>
      </w:r>
      <w:proofErr w:type="spellEnd"/>
      <w:r w:rsidRPr="00CE45E2">
        <w:rPr>
          <w:rStyle w:val="HideTWBExt"/>
          <w:b w:val="0"/>
        </w:rPr>
        <w:t>&lt;/Members&gt;</w:t>
      </w:r>
    </w:p>
    <w:p w14:paraId="58A3A9E8" w14:textId="77777777" w:rsidR="00CE45E2" w:rsidRPr="00CE45E2" w:rsidRDefault="00CE45E2" w:rsidP="00CE45E2">
      <w:pPr>
        <w:pStyle w:val="NormalBold"/>
      </w:pPr>
      <w:r w:rsidRPr="00CE45E2">
        <w:rPr>
          <w:rStyle w:val="HideTWBExt"/>
          <w:b w:val="0"/>
        </w:rPr>
        <w:t>&lt;/RepeatBlock-By&gt;</w:t>
      </w:r>
    </w:p>
    <w:p w14:paraId="19BA154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2CE2EA4" w14:textId="77777777" w:rsidR="00CE45E2" w:rsidRPr="00CE45E2" w:rsidRDefault="00CE45E2" w:rsidP="00CE45E2">
      <w:pPr>
        <w:pStyle w:val="NormalBold"/>
      </w:pPr>
      <w:r w:rsidRPr="00CE45E2">
        <w:rPr>
          <w:rStyle w:val="HideTWBExt"/>
          <w:b w:val="0"/>
        </w:rPr>
        <w:t>&lt;Article&gt;</w:t>
      </w:r>
      <w:r w:rsidRPr="00CE45E2">
        <w:t>Motyw 25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DF05446" w14:textId="77777777" w:rsidTr="006476FB">
        <w:trPr>
          <w:trHeight w:hRule="exact" w:val="240"/>
          <w:jc w:val="center"/>
        </w:trPr>
        <w:tc>
          <w:tcPr>
            <w:tcW w:w="9752" w:type="dxa"/>
            <w:gridSpan w:val="2"/>
            <w:tcBorders>
              <w:top w:val="nil"/>
              <w:left w:val="nil"/>
              <w:bottom w:val="nil"/>
              <w:right w:val="nil"/>
            </w:tcBorders>
          </w:tcPr>
          <w:p w14:paraId="0ADFFCC2" w14:textId="77777777" w:rsidR="00CE45E2" w:rsidRPr="00CE45E2" w:rsidRDefault="00CE45E2" w:rsidP="006476FB"/>
        </w:tc>
      </w:tr>
      <w:tr w:rsidR="00CE45E2" w:rsidRPr="00CE45E2" w14:paraId="7E3F2BA6" w14:textId="77777777" w:rsidTr="006476FB">
        <w:trPr>
          <w:trHeight w:val="240"/>
          <w:jc w:val="center"/>
        </w:trPr>
        <w:tc>
          <w:tcPr>
            <w:tcW w:w="4876" w:type="dxa"/>
            <w:tcBorders>
              <w:top w:val="nil"/>
              <w:left w:val="nil"/>
              <w:bottom w:val="nil"/>
              <w:right w:val="nil"/>
            </w:tcBorders>
          </w:tcPr>
          <w:p w14:paraId="17DDEB4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798DC10" w14:textId="77777777" w:rsidR="00CE45E2" w:rsidRPr="00CE45E2" w:rsidRDefault="00CE45E2" w:rsidP="006476FB">
            <w:pPr>
              <w:pStyle w:val="AmColumnHeading"/>
            </w:pPr>
            <w:r w:rsidRPr="00CE45E2">
              <w:t>Poprawka</w:t>
            </w:r>
          </w:p>
        </w:tc>
      </w:tr>
      <w:tr w:rsidR="00CE45E2" w:rsidRPr="00CE45E2" w14:paraId="762E4D9A" w14:textId="77777777" w:rsidTr="006476FB">
        <w:trPr>
          <w:jc w:val="center"/>
        </w:trPr>
        <w:tc>
          <w:tcPr>
            <w:tcW w:w="4876" w:type="dxa"/>
            <w:tcBorders>
              <w:top w:val="nil"/>
              <w:left w:val="nil"/>
              <w:bottom w:val="nil"/>
              <w:right w:val="nil"/>
            </w:tcBorders>
          </w:tcPr>
          <w:p w14:paraId="587A7757" w14:textId="77777777" w:rsidR="00CE45E2" w:rsidRPr="00CE45E2" w:rsidRDefault="00CE45E2" w:rsidP="006476FB">
            <w:pPr>
              <w:pStyle w:val="Normal6a"/>
            </w:pPr>
          </w:p>
        </w:tc>
        <w:tc>
          <w:tcPr>
            <w:tcW w:w="4876" w:type="dxa"/>
            <w:tcBorders>
              <w:top w:val="nil"/>
              <w:left w:val="nil"/>
              <w:bottom w:val="nil"/>
              <w:right w:val="nil"/>
            </w:tcBorders>
          </w:tcPr>
          <w:p w14:paraId="6D411E24" w14:textId="77777777" w:rsidR="00CE45E2" w:rsidRPr="00CE45E2" w:rsidRDefault="00CE45E2" w:rsidP="006476FB">
            <w:pPr>
              <w:pStyle w:val="Normal6a"/>
            </w:pPr>
            <w:r w:rsidRPr="00CE45E2">
              <w:rPr>
                <w:b/>
                <w:i/>
              </w:rPr>
              <w:t>(25a)</w:t>
            </w:r>
            <w:r w:rsidRPr="00CE45E2">
              <w:tab/>
            </w:r>
            <w:r w:rsidRPr="00CE45E2">
              <w:rPr>
                <w:b/>
                <w:i/>
              </w:rPr>
              <w:t xml:space="preserve">Aby zaradzić niedoinwestowaniu w europejski kapitał wysokiego ryzyka, na które zwrócono uwagę w raportach </w:t>
            </w:r>
            <w:proofErr w:type="spellStart"/>
            <w:r w:rsidRPr="00CE45E2">
              <w:rPr>
                <w:b/>
                <w:i/>
              </w:rPr>
              <w:t>Draghiego</w:t>
            </w:r>
            <w:proofErr w:type="spellEnd"/>
            <w:r w:rsidRPr="00CE45E2">
              <w:rPr>
                <w:b/>
                <w:i/>
              </w:rPr>
              <w:t xml:space="preserve"> i </w:t>
            </w:r>
            <w:proofErr w:type="spellStart"/>
            <w:r w:rsidRPr="00CE45E2">
              <w:rPr>
                <w:b/>
                <w:i/>
              </w:rPr>
              <w:t>Letty</w:t>
            </w:r>
            <w:proofErr w:type="spellEnd"/>
            <w:r w:rsidRPr="00CE45E2">
              <w:rPr>
                <w:b/>
                <w:i/>
              </w:rPr>
              <w:t>, IORP zarządzające aktywami o wartości przekraczającej 1 mld EUR powinny przeznaczać co najmniej 2 % swoich aktywów na kapitał wysokiego ryzyka.</w:t>
            </w:r>
          </w:p>
        </w:tc>
      </w:tr>
    </w:tbl>
    <w:p w14:paraId="6963F6F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B0662D5" w14:textId="77777777" w:rsidR="00CE45E2" w:rsidRPr="00CE45E2" w:rsidRDefault="00CE45E2" w:rsidP="00CE45E2">
      <w:r w:rsidRPr="00CE45E2">
        <w:rPr>
          <w:rStyle w:val="HideTWBExt"/>
        </w:rPr>
        <w:t>&lt;/Amend&gt;</w:t>
      </w:r>
    </w:p>
    <w:p w14:paraId="19EC0137" w14:textId="7495F75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169</w:t>
      </w:r>
      <w:r w:rsidRPr="00CE45E2">
        <w:rPr>
          <w:rStyle w:val="HideTWBExt"/>
          <w:b w:val="0"/>
        </w:rPr>
        <w:t>&lt;/NumAm&gt;</w:t>
      </w:r>
    </w:p>
    <w:p w14:paraId="0DF75FFE"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662A51E9" w14:textId="77777777" w:rsidR="00CE45E2" w:rsidRPr="00CE45E2" w:rsidRDefault="00CE45E2" w:rsidP="00CE45E2">
      <w:pPr>
        <w:pStyle w:val="NormalBold"/>
      </w:pPr>
      <w:r w:rsidRPr="00CE45E2">
        <w:rPr>
          <w:rStyle w:val="HideTWBExt"/>
          <w:b w:val="0"/>
        </w:rPr>
        <w:t>&lt;/RepeatBlock-By&gt;</w:t>
      </w:r>
    </w:p>
    <w:p w14:paraId="0095522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B7D7B54" w14:textId="77777777" w:rsidR="00CE45E2" w:rsidRPr="00CE45E2" w:rsidRDefault="00CE45E2" w:rsidP="00CE45E2">
      <w:pPr>
        <w:pStyle w:val="NormalBold"/>
      </w:pPr>
      <w:r w:rsidRPr="00CE45E2">
        <w:rPr>
          <w:rStyle w:val="HideTWBExt"/>
          <w:b w:val="0"/>
        </w:rPr>
        <w:t>&lt;Article&gt;</w:t>
      </w:r>
      <w:r w:rsidRPr="00CE45E2">
        <w:t>Motyw 26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EECB70B" w14:textId="77777777" w:rsidTr="006476FB">
        <w:trPr>
          <w:trHeight w:hRule="exact" w:val="240"/>
          <w:jc w:val="center"/>
        </w:trPr>
        <w:tc>
          <w:tcPr>
            <w:tcW w:w="9752" w:type="dxa"/>
            <w:gridSpan w:val="2"/>
            <w:tcBorders>
              <w:top w:val="nil"/>
              <w:left w:val="nil"/>
              <w:bottom w:val="nil"/>
              <w:right w:val="nil"/>
            </w:tcBorders>
          </w:tcPr>
          <w:p w14:paraId="17F14B91" w14:textId="77777777" w:rsidR="00CE45E2" w:rsidRPr="00CE45E2" w:rsidRDefault="00CE45E2" w:rsidP="006476FB"/>
        </w:tc>
      </w:tr>
      <w:tr w:rsidR="00CE45E2" w:rsidRPr="00CE45E2" w14:paraId="16917034" w14:textId="77777777" w:rsidTr="006476FB">
        <w:trPr>
          <w:trHeight w:val="240"/>
          <w:jc w:val="center"/>
        </w:trPr>
        <w:tc>
          <w:tcPr>
            <w:tcW w:w="4876" w:type="dxa"/>
            <w:tcBorders>
              <w:top w:val="nil"/>
              <w:left w:val="nil"/>
              <w:bottom w:val="nil"/>
              <w:right w:val="nil"/>
            </w:tcBorders>
          </w:tcPr>
          <w:p w14:paraId="7A36F1C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8E5E510" w14:textId="77777777" w:rsidR="00CE45E2" w:rsidRPr="00CE45E2" w:rsidRDefault="00CE45E2" w:rsidP="006476FB">
            <w:pPr>
              <w:pStyle w:val="AmColumnHeading"/>
            </w:pPr>
            <w:r w:rsidRPr="00CE45E2">
              <w:t>Poprawka</w:t>
            </w:r>
          </w:p>
        </w:tc>
      </w:tr>
      <w:tr w:rsidR="00CE45E2" w:rsidRPr="00CE45E2" w14:paraId="00E205A6" w14:textId="77777777" w:rsidTr="006476FB">
        <w:trPr>
          <w:jc w:val="center"/>
        </w:trPr>
        <w:tc>
          <w:tcPr>
            <w:tcW w:w="4876" w:type="dxa"/>
            <w:tcBorders>
              <w:top w:val="nil"/>
              <w:left w:val="nil"/>
              <w:bottom w:val="nil"/>
              <w:right w:val="nil"/>
            </w:tcBorders>
          </w:tcPr>
          <w:p w14:paraId="648A491D" w14:textId="77777777" w:rsidR="00CE45E2" w:rsidRPr="00CE45E2" w:rsidRDefault="00CE45E2" w:rsidP="006476FB">
            <w:pPr>
              <w:pStyle w:val="Normal6a"/>
            </w:pPr>
          </w:p>
        </w:tc>
        <w:tc>
          <w:tcPr>
            <w:tcW w:w="4876" w:type="dxa"/>
            <w:tcBorders>
              <w:top w:val="nil"/>
              <w:left w:val="nil"/>
              <w:bottom w:val="nil"/>
              <w:right w:val="nil"/>
            </w:tcBorders>
          </w:tcPr>
          <w:p w14:paraId="2823CFA7" w14:textId="77777777" w:rsidR="00CE45E2" w:rsidRPr="00CE45E2" w:rsidRDefault="00CE45E2" w:rsidP="006476FB">
            <w:pPr>
              <w:pStyle w:val="Normal6a"/>
            </w:pPr>
            <w:r w:rsidRPr="00CE45E2">
              <w:rPr>
                <w:b/>
                <w:i/>
              </w:rPr>
              <w:t>(26a)</w:t>
            </w:r>
            <w:r w:rsidRPr="00CE45E2">
              <w:tab/>
            </w:r>
            <w:r w:rsidRPr="00CE45E2">
              <w:rPr>
                <w:b/>
                <w:i/>
              </w:rPr>
              <w:t>Zasada proporcjonalności ma fundamentalne znaczenie dla skutecznego funkcjonowania różnorodnych IORP w państwach członkowskich. System zarządzania mający zastosowanie do IORP powinien być dostosowany do jej wielkości i organizacji wewnętrznej, a także do charakteru, skali i złożoności jej działalności. Absolutna wielkość IORP stanowi odrębną i istotną zmienną: obowiązkowe wymogi w zakresie zarządzania generują koszty stałe, które nieproporcjonalnie obciążają małe IORP, niezależnie od ich profilu ryzyka. Usunięcie wielkości jako wyraźnego kryterium proporcjonalności oraz dostosowanie tego kryterium do podejścia stosowanego w odniesieniu do zakładów ubezpieczeń podlegających dyrektywie 2009/138/WE nie jest właściwe w przypadku IORP, biorąc pod uwagę różnice strukturalne między tymi dwoma sektorami, społeczną funkcję IORP oraz trójstronną relację między pracownikiem, pracodawcą a IORP, uznaną w niniejszej dyrektywie. Należy zatem zachować pełne kryteria proporcjonalności mające zastosowanie na mocy dyrektywy (UE) 2016/2341.</w:t>
            </w:r>
          </w:p>
        </w:tc>
      </w:tr>
    </w:tbl>
    <w:p w14:paraId="79FF6BD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6D8522C" w14:textId="77777777" w:rsidR="00CE45E2" w:rsidRPr="00CE45E2" w:rsidRDefault="00CE45E2" w:rsidP="00CE45E2">
      <w:r w:rsidRPr="00CE45E2">
        <w:rPr>
          <w:rStyle w:val="HideTWBExt"/>
        </w:rPr>
        <w:t>&lt;/Amend&gt;</w:t>
      </w:r>
    </w:p>
    <w:p w14:paraId="52F03D2B" w14:textId="53CD3E8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170</w:t>
      </w:r>
      <w:r w:rsidRPr="00CE45E2">
        <w:rPr>
          <w:rStyle w:val="HideTWBExt"/>
          <w:b w:val="0"/>
        </w:rPr>
        <w:t>&lt;/NumAm&gt;</w:t>
      </w:r>
    </w:p>
    <w:p w14:paraId="65677ECC"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4E7852B1" w14:textId="77777777" w:rsidR="00CE45E2" w:rsidRPr="00CE45E2" w:rsidRDefault="00CE45E2" w:rsidP="00CE45E2">
      <w:pPr>
        <w:pStyle w:val="NormalBold"/>
      </w:pPr>
      <w:r w:rsidRPr="00CE45E2">
        <w:rPr>
          <w:rStyle w:val="HideTWBExt"/>
          <w:b w:val="0"/>
        </w:rPr>
        <w:t>&lt;/RepeatBlock-By&gt;</w:t>
      </w:r>
    </w:p>
    <w:p w14:paraId="7909306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093EDE2" w14:textId="77777777" w:rsidR="00CE45E2" w:rsidRPr="00CE45E2" w:rsidRDefault="00CE45E2" w:rsidP="00CE45E2">
      <w:pPr>
        <w:pStyle w:val="NormalBold"/>
      </w:pPr>
      <w:r w:rsidRPr="00CE45E2">
        <w:rPr>
          <w:rStyle w:val="HideTWBExt"/>
          <w:b w:val="0"/>
        </w:rPr>
        <w:t>&lt;Article&gt;</w:t>
      </w:r>
      <w:r w:rsidRPr="00CE45E2">
        <w:t>Motyw 28</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D033F27" w14:textId="77777777" w:rsidTr="006476FB">
        <w:trPr>
          <w:trHeight w:hRule="exact" w:val="240"/>
          <w:jc w:val="center"/>
        </w:trPr>
        <w:tc>
          <w:tcPr>
            <w:tcW w:w="9752" w:type="dxa"/>
            <w:gridSpan w:val="2"/>
            <w:tcBorders>
              <w:top w:val="nil"/>
              <w:left w:val="nil"/>
              <w:bottom w:val="nil"/>
              <w:right w:val="nil"/>
            </w:tcBorders>
          </w:tcPr>
          <w:p w14:paraId="7619F61A" w14:textId="77777777" w:rsidR="00CE45E2" w:rsidRPr="00CE45E2" w:rsidRDefault="00CE45E2" w:rsidP="006476FB"/>
        </w:tc>
      </w:tr>
      <w:tr w:rsidR="00CE45E2" w:rsidRPr="00CE45E2" w14:paraId="664CDB91" w14:textId="77777777" w:rsidTr="006476FB">
        <w:trPr>
          <w:trHeight w:val="240"/>
          <w:jc w:val="center"/>
        </w:trPr>
        <w:tc>
          <w:tcPr>
            <w:tcW w:w="4876" w:type="dxa"/>
            <w:tcBorders>
              <w:top w:val="nil"/>
              <w:left w:val="nil"/>
              <w:bottom w:val="nil"/>
              <w:right w:val="nil"/>
            </w:tcBorders>
          </w:tcPr>
          <w:p w14:paraId="609A90C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4B246A5" w14:textId="77777777" w:rsidR="00CE45E2" w:rsidRPr="00CE45E2" w:rsidRDefault="00CE45E2" w:rsidP="006476FB">
            <w:pPr>
              <w:pStyle w:val="AmColumnHeading"/>
            </w:pPr>
            <w:r w:rsidRPr="00CE45E2">
              <w:t>Poprawka</w:t>
            </w:r>
          </w:p>
        </w:tc>
      </w:tr>
      <w:tr w:rsidR="00CE45E2" w:rsidRPr="00CE45E2" w14:paraId="44E2BD18" w14:textId="77777777" w:rsidTr="006476FB">
        <w:trPr>
          <w:jc w:val="center"/>
        </w:trPr>
        <w:tc>
          <w:tcPr>
            <w:tcW w:w="4876" w:type="dxa"/>
            <w:tcBorders>
              <w:top w:val="nil"/>
              <w:left w:val="nil"/>
              <w:bottom w:val="nil"/>
              <w:right w:val="nil"/>
            </w:tcBorders>
          </w:tcPr>
          <w:p w14:paraId="2D902949" w14:textId="77777777" w:rsidR="00CE45E2" w:rsidRPr="00CE45E2" w:rsidRDefault="00CE45E2" w:rsidP="006476FB">
            <w:pPr>
              <w:pStyle w:val="Normal6a"/>
            </w:pPr>
            <w:r w:rsidRPr="00CE45E2">
              <w:t>(28)</w:t>
            </w:r>
            <w:r w:rsidRPr="00CE45E2">
              <w:tab/>
              <w:t>Skuteczne zarządzanie ryzykiem ma zasadnicze znaczenie dla zapewnienia należytego i ostrożnego funkcjonowania IORP oraz ochrony uczestników i beneficjentów. Wybory operacyjne i strukturalne IORP, w tym udział w zbiorczych strukturach inwestycyjnych, usługach dzielonych lub przeniesieniach, mogą mieć wpływ na ich ogólny profil ryzyka. W celu zapewnienia należytego i ostrożnego zarządzania IORP powinny oceniać rodzaje ryzyka, na które są lub mogą być narażone, w stosunku do limitów tolerancji ryzyka zatwierdzonych przez ich organ zarządzający lub nadzorczy, biorąc pod uwagę zdolność i skłonność uczestników i beneficjentów do podejmowania ryzyka. Korzyści skali i warianty w zakresie efektywności mogą zmniejszyć ryzyko operacyjne i inwestycyjne dla uczestników i beneficjentów, w związku z czym należy je uwzględnić we własnej ocenie ryzyka.</w:t>
            </w:r>
          </w:p>
        </w:tc>
        <w:tc>
          <w:tcPr>
            <w:tcW w:w="4876" w:type="dxa"/>
            <w:tcBorders>
              <w:top w:val="nil"/>
              <w:left w:val="nil"/>
              <w:bottom w:val="nil"/>
              <w:right w:val="nil"/>
            </w:tcBorders>
          </w:tcPr>
          <w:p w14:paraId="0E8CA6AC" w14:textId="77777777" w:rsidR="00CE45E2" w:rsidRPr="00CE45E2" w:rsidRDefault="00CE45E2" w:rsidP="006476FB">
            <w:pPr>
              <w:pStyle w:val="Normal6a"/>
            </w:pPr>
            <w:r w:rsidRPr="00CE45E2">
              <w:t>(28)</w:t>
            </w:r>
            <w:r w:rsidRPr="00CE45E2">
              <w:tab/>
              <w:t xml:space="preserve">Skuteczne zarządzanie ryzykiem ma zasadnicze znaczenie dla zapewnienia należytego i ostrożnego funkcjonowania IORP oraz ochrony uczestników i beneficjentów. Wybory operacyjne i strukturalne IORP, w tym udział w zbiorczych strukturach inwestycyjnych, usługach dzielonych lub przeniesieniach, mogą mieć wpływ na ich ogólny profil ryzyka. W celu zapewnienia należytego i ostrożnego zarządzania IORP powinny oceniać rodzaje ryzyka, na które są lub mogą być narażone, w stosunku do limitów tolerancji ryzyka zatwierdzonych przez ich organ zarządzający lub nadzorczy, biorąc pod uwagę zdolność i skłonność uczestników i beneficjentów do podejmowania ryzyka. Korzyści skali i warianty w zakresie efektywności mogą zmniejszyć ryzyko operacyjne i inwestycyjne dla uczestników i beneficjentów, w związku z czym należy je uwzględnić we własnej ocenie ryzyka. </w:t>
            </w:r>
            <w:r w:rsidRPr="00CE45E2">
              <w:rPr>
                <w:b/>
                <w:i/>
              </w:rPr>
              <w:t>Wszelkie wymogi dotyczące oceny ryzyka, w tym w odniesieniu do ryzyka finansowego związanego z klimatem, powinny pozostać proporcjonalne do charakteru, skali i złożoności danej IORP i nie powinny przybierać formy obowiązkowych, jednolicie określonych testów warunków skrajnych narzucanych na szczeblu unijnym.</w:t>
            </w:r>
          </w:p>
        </w:tc>
      </w:tr>
    </w:tbl>
    <w:p w14:paraId="497D2CC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22C30E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45BE601" w14:textId="77777777" w:rsidR="00CE45E2" w:rsidRPr="00CE45E2" w:rsidRDefault="00CE45E2" w:rsidP="00CE45E2">
      <w:pPr>
        <w:pStyle w:val="AmJustText"/>
      </w:pPr>
      <w:r w:rsidRPr="00CE45E2">
        <w:t>Ryzyka związane z klimatem mają znaczenie dla długoterminowego zarządzania inwestycjami, jednak ich istotność różni się znacznie w poszczególnych IORP w zależności od wielkości, rodzaju programu oraz alokacji aktywów. Obowiązkowe testy warunków skrajnych na poziomie unijnym byłyby nieproporcjonalne w przypadku mniejszych IORP i niezgodne z charakterem dyrektywy, polegającym na minimalnej harmonizacji.</w:t>
      </w:r>
    </w:p>
    <w:p w14:paraId="64938C07" w14:textId="77777777" w:rsidR="00CE45E2" w:rsidRPr="00CE45E2" w:rsidRDefault="00CE45E2" w:rsidP="00CE45E2">
      <w:r w:rsidRPr="00CE45E2">
        <w:rPr>
          <w:rStyle w:val="HideTWBExt"/>
        </w:rPr>
        <w:t>&lt;/Amend&gt;</w:t>
      </w:r>
    </w:p>
    <w:p w14:paraId="2A5A8450" w14:textId="0DE7187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171</w:t>
      </w:r>
      <w:r w:rsidRPr="00CE45E2">
        <w:rPr>
          <w:rStyle w:val="HideTWBExt"/>
          <w:b w:val="0"/>
        </w:rPr>
        <w:t>&lt;/NumAm&gt;</w:t>
      </w:r>
    </w:p>
    <w:p w14:paraId="6D92C953"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342744F" w14:textId="77777777" w:rsidR="00CE45E2" w:rsidRPr="00CE45E2" w:rsidRDefault="00CE45E2" w:rsidP="00CE45E2">
      <w:pPr>
        <w:pStyle w:val="NormalBold"/>
      </w:pPr>
      <w:r w:rsidRPr="00CE45E2">
        <w:rPr>
          <w:rStyle w:val="HideTWBExt"/>
          <w:b w:val="0"/>
        </w:rPr>
        <w:t>&lt;/RepeatBlock-By&gt;</w:t>
      </w:r>
    </w:p>
    <w:p w14:paraId="1774B79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3B4F5B9" w14:textId="77777777" w:rsidR="00CE45E2" w:rsidRPr="00CE45E2" w:rsidRDefault="00CE45E2" w:rsidP="00CE45E2">
      <w:pPr>
        <w:pStyle w:val="NormalBold"/>
      </w:pPr>
      <w:r w:rsidRPr="00CE45E2">
        <w:rPr>
          <w:rStyle w:val="HideTWBExt"/>
          <w:b w:val="0"/>
        </w:rPr>
        <w:t>&lt;Article&gt;</w:t>
      </w:r>
      <w:r w:rsidRPr="00CE45E2">
        <w:t>Motyw 31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E2E441A" w14:textId="77777777" w:rsidTr="006476FB">
        <w:trPr>
          <w:trHeight w:hRule="exact" w:val="240"/>
          <w:jc w:val="center"/>
        </w:trPr>
        <w:tc>
          <w:tcPr>
            <w:tcW w:w="9752" w:type="dxa"/>
            <w:gridSpan w:val="2"/>
            <w:tcBorders>
              <w:top w:val="nil"/>
              <w:left w:val="nil"/>
              <w:bottom w:val="nil"/>
              <w:right w:val="nil"/>
            </w:tcBorders>
          </w:tcPr>
          <w:p w14:paraId="0043A56F" w14:textId="77777777" w:rsidR="00CE45E2" w:rsidRPr="00CE45E2" w:rsidRDefault="00CE45E2" w:rsidP="006476FB"/>
        </w:tc>
      </w:tr>
      <w:tr w:rsidR="00CE45E2" w:rsidRPr="00CE45E2" w14:paraId="36C8657A" w14:textId="77777777" w:rsidTr="006476FB">
        <w:trPr>
          <w:trHeight w:val="240"/>
          <w:jc w:val="center"/>
        </w:trPr>
        <w:tc>
          <w:tcPr>
            <w:tcW w:w="4876" w:type="dxa"/>
            <w:tcBorders>
              <w:top w:val="nil"/>
              <w:left w:val="nil"/>
              <w:bottom w:val="nil"/>
              <w:right w:val="nil"/>
            </w:tcBorders>
          </w:tcPr>
          <w:p w14:paraId="0FF77CC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47BA728" w14:textId="77777777" w:rsidR="00CE45E2" w:rsidRPr="00CE45E2" w:rsidRDefault="00CE45E2" w:rsidP="006476FB">
            <w:pPr>
              <w:pStyle w:val="AmColumnHeading"/>
            </w:pPr>
            <w:r w:rsidRPr="00CE45E2">
              <w:t>Poprawka</w:t>
            </w:r>
          </w:p>
        </w:tc>
      </w:tr>
      <w:tr w:rsidR="00CE45E2" w:rsidRPr="00CE45E2" w14:paraId="2616038E" w14:textId="77777777" w:rsidTr="006476FB">
        <w:trPr>
          <w:jc w:val="center"/>
        </w:trPr>
        <w:tc>
          <w:tcPr>
            <w:tcW w:w="4876" w:type="dxa"/>
            <w:tcBorders>
              <w:top w:val="nil"/>
              <w:left w:val="nil"/>
              <w:bottom w:val="nil"/>
              <w:right w:val="nil"/>
            </w:tcBorders>
          </w:tcPr>
          <w:p w14:paraId="40E9B8C9" w14:textId="77777777" w:rsidR="00CE45E2" w:rsidRPr="00CE45E2" w:rsidRDefault="00CE45E2" w:rsidP="006476FB">
            <w:pPr>
              <w:pStyle w:val="Normal6a"/>
            </w:pPr>
            <w:r w:rsidRPr="00CE45E2">
              <w:t>(31)</w:t>
            </w:r>
            <w:r w:rsidRPr="00CE45E2">
              <w:tab/>
              <w:t>Depozytariusze zapewniają dogodny środek ochrony aktywów i nadzoru nad zarządzaniem pracowniczymi programami emerytalnymi, zwłaszcza w systemach o zdefiniowanej składce, w których uczestnicy i beneficjenci ponoszą w pełni ryzyko inwestycyjne. Zgodnie z dyrektywą (UE) 2016/2341 państwa członkowskie mają swobodę w zakresie wymagania, co do zasady, od depozytariusza samodzielnego wykonywania tych funkcji lub zezwolenia IORP na samodzielne wykonywanie tych funkcji. Swoboda ta doprowadziła do niespójności i wyzwań nadzorczych w działalności transgranicznej. Różnice w przepisach krajowych dotyczących rodzajów podmiotów, które mogą działać jako depozytariusze, oraz zakresu ich obowiązków mogą osłabić skuteczny nadzór ostrożnościowy, zmniejszyć przejrzystość i zwiększyć ryzyko konfliktów interesów lub błędów operacyjnych. W ostatnich latach przepisy dotyczące depozytariuszy określone w dyrektywie Parlamentu Europejskiego i Rady 2009/65/WE</w:t>
            </w:r>
            <w:r w:rsidRPr="00CE45E2">
              <w:rPr>
                <w:vertAlign w:val="superscript"/>
              </w:rPr>
              <w:t>13</w:t>
            </w:r>
            <w:r w:rsidRPr="00CE45E2">
              <w:t xml:space="preserve"> zostały zaktualizowane i wzmocnione w celu zapewnienia wysokiego poziomu ochrony inwestorów. Uczestnicy i beneficjenci IORP, którzy podobnie powierzają swoje oszczędności emerytalne profesjonalnym zarządzającym, powinni korzystać z nie mniejszej ochrony niż inwestorzy objęci dyrektywą 2009/65/WE. W związku z tym, aby zapewnić spójną ochronę uczestników i beneficjentów, zwiększyć zaufanie do systemu emerytalnego i ułatwić działalność transgraniczną, w dyrektywie (UE) 2016/2341 należy </w:t>
            </w:r>
            <w:r w:rsidRPr="00CE45E2">
              <w:rPr>
                <w:b/>
                <w:bCs/>
                <w:i/>
                <w:iCs/>
              </w:rPr>
              <w:t>wprowadzić wymóg</w:t>
            </w:r>
            <w:r w:rsidRPr="00CE45E2">
              <w:t xml:space="preserve"> wyznaczenia </w:t>
            </w:r>
            <w:r w:rsidRPr="00CE45E2">
              <w:rPr>
                <w:b/>
                <w:bCs/>
                <w:i/>
                <w:iCs/>
              </w:rPr>
              <w:t>profesjonalnego</w:t>
            </w:r>
            <w:r w:rsidRPr="00CE45E2">
              <w:t xml:space="preserve"> </w:t>
            </w:r>
            <w:r w:rsidRPr="00CE45E2">
              <w:rPr>
                <w:b/>
                <w:bCs/>
                <w:i/>
                <w:iCs/>
              </w:rPr>
              <w:t>depozytariusza</w:t>
            </w:r>
            <w:r w:rsidRPr="00CE45E2">
              <w:t xml:space="preserve"> na potrzeby pracowniczych programów emerytalnych, w których uczestnicy i beneficjenci ponoszą w pełni ryzyko inwestycyjne. Zmiany powinny określać jasne zasady dla takiego depozytariusza dotyczące przechowywania aktywów i obowiązków nadzorczych dla depozytariuszy, przy jednoczesnym umożliwieniu większej elastyczności w odniesieniu do innych systemów i zapewnieniu, aby właściwe organy nie mogły nadmiernie ograniczać wyboru depozytariuszy mających siedzibę w innym państwie członkowskim. Aby jednak uniknąć niepotrzebnych obciążeń dla IORP, państwa członkowskie mogą utrzymać istniejące środki w zakresie przechowywania zapewniające poziom ochrony porównywalny z poziomem zapewnianym przez depozytariuszy.</w:t>
            </w:r>
          </w:p>
        </w:tc>
        <w:tc>
          <w:tcPr>
            <w:tcW w:w="4876" w:type="dxa"/>
            <w:tcBorders>
              <w:top w:val="nil"/>
              <w:left w:val="nil"/>
              <w:bottom w:val="nil"/>
              <w:right w:val="nil"/>
            </w:tcBorders>
          </w:tcPr>
          <w:p w14:paraId="6162CB16" w14:textId="77777777" w:rsidR="00CE45E2" w:rsidRPr="00CE45E2" w:rsidRDefault="00CE45E2" w:rsidP="006476FB">
            <w:pPr>
              <w:pStyle w:val="Normal6a"/>
            </w:pPr>
            <w:r w:rsidRPr="00CE45E2">
              <w:t>(31)</w:t>
            </w:r>
            <w:r w:rsidRPr="00CE45E2">
              <w:tab/>
              <w:t>Depozytariusze zapewniają dogodny środek ochrony aktywów i nadzoru nad zarządzaniem pracowniczymi programami emerytalnymi, zwłaszcza w systemach o zdefiniowanej składce, w których uczestnicy i beneficjenci ponoszą w pełni ryzyko inwestycyjne. Zgodnie z dyrektywą (UE) 2016/2341 państwa członkowskie mają swobodę w zakresie wymagania, co do zasady, od depozytariusza samodzielnego wykonywania tych funkcji lub zezwolenia IORP na samodzielne wykonywanie tych funkcji. Swoboda ta doprowadziła do niespójności i wyzwań nadzorczych w działalności transgranicznej. Różnice w przepisach krajowych dotyczących rodzajów podmiotów, które mogą działać jako depozytariusze, oraz zakresu ich obowiązków mogą osłabić skuteczny nadzór ostrożnościowy, zmniejszyć przejrzystość i zwiększyć ryzyko konfliktów interesów lub błędów operacyjnych. W ostatnich latach przepisy dotyczące depozytariuszy określone w dyrektywie Parlamentu Europejskiego i Rady 2009/65/WE</w:t>
            </w:r>
            <w:r w:rsidRPr="00CE45E2">
              <w:rPr>
                <w:vertAlign w:val="superscript"/>
              </w:rPr>
              <w:t>13</w:t>
            </w:r>
            <w:r w:rsidRPr="00CE45E2">
              <w:t xml:space="preserve"> zostały zaktualizowane i wzmocnione w celu zapewnienia wysokiego poziomu ochrony inwestorów. Uczestnicy i beneficjenci IORP, którzy podobnie powierzają swoje oszczędności emerytalne profesjonalnym zarządzającym, powinni korzystać z nie mniejszej ochrony niż inwestorzy objęci dyrektywą 2009/65/WE. W związku z tym, aby zapewnić spójną ochronę uczestników i beneficjentów, zwiększyć zaufanie do systemu emerytalnego i ułatwić działalność transgraniczną, w dyrektywie (UE) 2016/2341 należy </w:t>
            </w:r>
            <w:r w:rsidRPr="00CE45E2">
              <w:rPr>
                <w:b/>
                <w:bCs/>
                <w:i/>
                <w:iCs/>
              </w:rPr>
              <w:t>przyznać właściwym organom uprawnienia do wprowadzenia wymogu</w:t>
            </w:r>
            <w:r w:rsidRPr="00CE45E2">
              <w:t xml:space="preserve"> wyznaczenia </w:t>
            </w:r>
            <w:r w:rsidRPr="00CE45E2">
              <w:rPr>
                <w:b/>
                <w:bCs/>
                <w:i/>
                <w:iCs/>
              </w:rPr>
              <w:t>profesjonalnych depozytariuszy</w:t>
            </w:r>
            <w:r w:rsidRPr="00CE45E2">
              <w:t xml:space="preserve"> na potrzeby pracowniczych programów emerytalnych, w których uczestnicy i beneficjenci ponoszą w pełni ryzyko inwestycyjne. Zmiany powinny określać jasne zasady dla takiego depozytariusza dotyczące przechowywania aktywów i obowiązków nadzorczych dla depozytariuszy, przy jednoczesnym umożliwieniu większej elastyczności w odniesieniu do innych systemów i zapewnieniu, aby właściwe organy nie mogły nadmiernie ograniczać wyboru depozytariuszy mających siedzibę w innym państwie członkowskim. Aby jednak uniknąć niepotrzebnych obciążeń dla IORP, państwa członkowskie mogą utrzymać istniejące środki w zakresie przechowywania zapewniające poziom ochrony porównywalny z poziomem zapewnianym przez depozytariuszy.</w:t>
            </w:r>
          </w:p>
        </w:tc>
      </w:tr>
      <w:tr w:rsidR="00CE45E2" w:rsidRPr="00CE45E2" w14:paraId="0F288EE6" w14:textId="77777777" w:rsidTr="006476FB">
        <w:trPr>
          <w:jc w:val="center"/>
        </w:trPr>
        <w:tc>
          <w:tcPr>
            <w:tcW w:w="4876" w:type="dxa"/>
            <w:tcBorders>
              <w:top w:val="nil"/>
              <w:left w:val="nil"/>
              <w:bottom w:val="nil"/>
              <w:right w:val="nil"/>
            </w:tcBorders>
          </w:tcPr>
          <w:p w14:paraId="35931C07"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67A71048" w14:textId="77777777" w:rsidR="00CE45E2" w:rsidRPr="00CE45E2" w:rsidRDefault="00CE45E2" w:rsidP="006476FB">
            <w:pPr>
              <w:pStyle w:val="Normal6a"/>
            </w:pPr>
            <w:r w:rsidRPr="00CE45E2">
              <w:rPr>
                <w:b/>
                <w:i/>
              </w:rPr>
              <w:t>_________________</w:t>
            </w:r>
          </w:p>
        </w:tc>
      </w:tr>
      <w:tr w:rsidR="00CE45E2" w:rsidRPr="00CE45E2" w14:paraId="6BC8305F" w14:textId="77777777" w:rsidTr="006476FB">
        <w:trPr>
          <w:jc w:val="center"/>
        </w:trPr>
        <w:tc>
          <w:tcPr>
            <w:tcW w:w="4876" w:type="dxa"/>
            <w:tcBorders>
              <w:top w:val="nil"/>
              <w:left w:val="nil"/>
              <w:bottom w:val="nil"/>
              <w:right w:val="nil"/>
            </w:tcBorders>
          </w:tcPr>
          <w:p w14:paraId="21FEC0E2" w14:textId="77777777" w:rsidR="00CE45E2" w:rsidRPr="00CE45E2" w:rsidRDefault="00CE45E2" w:rsidP="006476FB">
            <w:pPr>
              <w:pStyle w:val="Normal6a"/>
            </w:pPr>
            <w:r w:rsidRPr="00CE45E2">
              <w:rPr>
                <w:vertAlign w:val="superscript"/>
              </w:rPr>
              <w:t>13</w:t>
            </w:r>
            <w:r w:rsidRPr="00CE45E2">
              <w:t xml:space="preserve"> Dyrektywa Parlamentu Europejskiego i Rady 2009/65/WE z dnia 13 lipca 2009 r. w sprawie koordynacji przepisów ustawowych, wykonawczych i administracyjnych odnoszących się do przedsiębiorstw zbiorowego inwestowania w zbywalne papiery wartościowe (UCITS) (Dz.U. L 302 z 17.11.2009, s. 32, ELI: http://data.europa.eu/eli/dir/2009/65/oj)</w:t>
            </w:r>
          </w:p>
        </w:tc>
        <w:tc>
          <w:tcPr>
            <w:tcW w:w="4876" w:type="dxa"/>
            <w:tcBorders>
              <w:top w:val="nil"/>
              <w:left w:val="nil"/>
              <w:bottom w:val="nil"/>
              <w:right w:val="nil"/>
            </w:tcBorders>
          </w:tcPr>
          <w:p w14:paraId="453A61D6" w14:textId="77777777" w:rsidR="00CE45E2" w:rsidRPr="00CE45E2" w:rsidRDefault="00CE45E2" w:rsidP="006476FB">
            <w:pPr>
              <w:pStyle w:val="Normal6a"/>
            </w:pPr>
            <w:r w:rsidRPr="00CE45E2">
              <w:rPr>
                <w:vertAlign w:val="superscript"/>
              </w:rPr>
              <w:t>13</w:t>
            </w:r>
            <w:r w:rsidRPr="00CE45E2">
              <w:t xml:space="preserve"> Dyrektywa Parlamentu Europejskiego i Rady 2009/65/WE z dnia 13 lipca 2009 r. w sprawie koordynacji przepisów ustawowych, wykonawczych i administracyjnych odnoszących się do przedsiębiorstw zbiorowego inwestowania w zbywalne papiery wartościowe (UCITS) (Dz.U. L 302 z 17.11.2009, s. 32, ELI: http://data.europa.eu/eli/dir/2009/65/oj)</w:t>
            </w:r>
          </w:p>
        </w:tc>
      </w:tr>
    </w:tbl>
    <w:p w14:paraId="79F4A05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8B86FA4" w14:textId="77777777" w:rsidR="00CE45E2" w:rsidRPr="00CE45E2" w:rsidRDefault="00CE45E2" w:rsidP="00CE45E2">
      <w:r w:rsidRPr="00CE45E2">
        <w:rPr>
          <w:rStyle w:val="HideTWBExt"/>
        </w:rPr>
        <w:t>&lt;/Amend&gt;</w:t>
      </w:r>
    </w:p>
    <w:p w14:paraId="7FB2B84D" w14:textId="613F142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172</w:t>
      </w:r>
      <w:r w:rsidRPr="00CE45E2">
        <w:rPr>
          <w:rStyle w:val="HideTWBExt"/>
          <w:b w:val="0"/>
        </w:rPr>
        <w:t>&lt;/NumAm&gt;</w:t>
      </w:r>
    </w:p>
    <w:p w14:paraId="06556CAB"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163697FE" w14:textId="77777777" w:rsidR="00CE45E2" w:rsidRPr="00CE45E2" w:rsidRDefault="00CE45E2" w:rsidP="00CE45E2">
      <w:pPr>
        <w:pStyle w:val="NormalBold"/>
      </w:pPr>
      <w:r w:rsidRPr="00CE45E2">
        <w:rPr>
          <w:rStyle w:val="HideTWBExt"/>
          <w:b w:val="0"/>
        </w:rPr>
        <w:t>&lt;/RepeatBlock-By&gt;</w:t>
      </w:r>
    </w:p>
    <w:p w14:paraId="4771A3C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DA494C1" w14:textId="77777777" w:rsidR="00CE45E2" w:rsidRPr="00CE45E2" w:rsidRDefault="00CE45E2" w:rsidP="00CE45E2">
      <w:pPr>
        <w:pStyle w:val="NormalBold"/>
      </w:pPr>
      <w:r w:rsidRPr="00CE45E2">
        <w:rPr>
          <w:rStyle w:val="HideTWBExt"/>
          <w:b w:val="0"/>
        </w:rPr>
        <w:t>&lt;Article&gt;</w:t>
      </w:r>
      <w:r w:rsidRPr="00CE45E2">
        <w:t>Motyw 31</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4A452F0" w14:textId="77777777" w:rsidTr="006476FB">
        <w:trPr>
          <w:trHeight w:hRule="exact" w:val="240"/>
          <w:jc w:val="center"/>
        </w:trPr>
        <w:tc>
          <w:tcPr>
            <w:tcW w:w="9752" w:type="dxa"/>
            <w:gridSpan w:val="2"/>
            <w:tcBorders>
              <w:top w:val="nil"/>
              <w:left w:val="nil"/>
              <w:bottom w:val="nil"/>
              <w:right w:val="nil"/>
            </w:tcBorders>
          </w:tcPr>
          <w:p w14:paraId="5DEBA84C" w14:textId="77777777" w:rsidR="00CE45E2" w:rsidRPr="00CE45E2" w:rsidRDefault="00CE45E2" w:rsidP="006476FB"/>
        </w:tc>
      </w:tr>
      <w:tr w:rsidR="00CE45E2" w:rsidRPr="00CE45E2" w14:paraId="2715D359" w14:textId="77777777" w:rsidTr="006476FB">
        <w:trPr>
          <w:trHeight w:val="240"/>
          <w:jc w:val="center"/>
        </w:trPr>
        <w:tc>
          <w:tcPr>
            <w:tcW w:w="4876" w:type="dxa"/>
            <w:tcBorders>
              <w:top w:val="nil"/>
              <w:left w:val="nil"/>
              <w:bottom w:val="nil"/>
              <w:right w:val="nil"/>
            </w:tcBorders>
          </w:tcPr>
          <w:p w14:paraId="1F0E872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B646F7D" w14:textId="77777777" w:rsidR="00CE45E2" w:rsidRPr="00CE45E2" w:rsidRDefault="00CE45E2" w:rsidP="006476FB">
            <w:pPr>
              <w:pStyle w:val="AmColumnHeading"/>
            </w:pPr>
            <w:r w:rsidRPr="00CE45E2">
              <w:t>Poprawka</w:t>
            </w:r>
          </w:p>
        </w:tc>
      </w:tr>
      <w:tr w:rsidR="00CE45E2" w:rsidRPr="00CE45E2" w14:paraId="0BA15C48" w14:textId="77777777" w:rsidTr="006476FB">
        <w:trPr>
          <w:jc w:val="center"/>
        </w:trPr>
        <w:tc>
          <w:tcPr>
            <w:tcW w:w="4876" w:type="dxa"/>
            <w:tcBorders>
              <w:top w:val="nil"/>
              <w:left w:val="nil"/>
              <w:bottom w:val="nil"/>
              <w:right w:val="nil"/>
            </w:tcBorders>
          </w:tcPr>
          <w:p w14:paraId="0B59B502" w14:textId="77777777" w:rsidR="00CE45E2" w:rsidRPr="00CE45E2" w:rsidRDefault="00CE45E2" w:rsidP="006476FB">
            <w:pPr>
              <w:pStyle w:val="Normal6a"/>
            </w:pPr>
            <w:r w:rsidRPr="00CE45E2">
              <w:t>(31)</w:t>
            </w:r>
            <w:r w:rsidRPr="00CE45E2">
              <w:tab/>
              <w:t>Depozytariusze zapewniają dogodny środek ochrony aktywów i nadzoru nad zarządzaniem pracowniczymi programami emerytalnymi, zwłaszcza w systemach o zdefiniowanej składce, w których uczestnicy i beneficjenci ponoszą w pełni ryzyko inwestycyjne. Zgodnie z dyrektywą (UE) 2016/2341 państwa członkowskie mają swobodę w zakresie wymagania, co do zasady, od depozytariusza samodzielnego wykonywania tych funkcji lub zezwolenia IORP na samodzielne wykonywanie tych funkcji. Swoboda ta doprowadziła do niespójności i wyzwań nadzorczych w działalności transgranicznej. Różnice w przepisach krajowych dotyczących rodzajów podmiotów, które mogą działać jako depozytariusze, oraz zakresu ich obowiązków mogą osłabić skuteczny nadzór ostrożnościowy, zmniejszyć przejrzystość i zwiększyć ryzyko konfliktów interesów lub błędów operacyjnych. W ostatnich latach przepisy dotyczące depozytariuszy określone w dyrektywie Parlamentu Europejskiego i Rady 2009/65/WE</w:t>
            </w:r>
            <w:r w:rsidRPr="00CE45E2">
              <w:rPr>
                <w:vertAlign w:val="superscript"/>
              </w:rPr>
              <w:t>13</w:t>
            </w:r>
            <w:r w:rsidRPr="00CE45E2">
              <w:t xml:space="preserve"> zostały zaktualizowane i wzmocnione w celu zapewnienia wysokiego poziomu ochrony inwestorów. Uczestnicy i beneficjenci IORP, którzy podobnie powierzają swoje oszczędności emerytalne profesjonalnym zarządzającym, powinni korzystać z nie mniejszej ochrony niż inwestorzy objęci dyrektywą 2009/65/WE. W związku z tym, aby zapewnić spójną ochronę uczestników i beneficjentów, zwiększyć zaufanie do systemu emerytalnego i ułatwić działalność transgraniczną, w dyrektywie (UE) 2016/2341 należy wprowadzić wymóg wyznaczenia profesjonalnego depozytariusza na potrzeby pracowniczych programów emerytalnych, w których uczestnicy i beneficjenci ponoszą w pełni ryzyko inwestycyjne. Zmiany powinny określać jasne zasady dla takiego depozytariusza dotyczące przechowywania aktywów i obowiązków nadzorczych dla depozytariuszy, przy jednoczesnym umożliwieniu większej elastyczności w odniesieniu do innych systemów i zapewnieniu, aby właściwe organy nie mogły nadmiernie ograniczać wyboru depozytariuszy mających siedzibę w innym państwie członkowskim. Aby jednak uniknąć niepotrzebnych obciążeń dla IORP, państwa członkowskie mogą utrzymać istniejące środki w zakresie przechowywania zapewniające poziom ochrony porównywalny z poziomem zapewnianym przez depozytariuszy.</w:t>
            </w:r>
          </w:p>
        </w:tc>
        <w:tc>
          <w:tcPr>
            <w:tcW w:w="4876" w:type="dxa"/>
            <w:tcBorders>
              <w:top w:val="nil"/>
              <w:left w:val="nil"/>
              <w:bottom w:val="nil"/>
              <w:right w:val="nil"/>
            </w:tcBorders>
          </w:tcPr>
          <w:p w14:paraId="0B81BFA2" w14:textId="77777777" w:rsidR="00CE45E2" w:rsidRPr="00CE45E2" w:rsidRDefault="00CE45E2" w:rsidP="006476FB">
            <w:pPr>
              <w:pStyle w:val="Normal6a"/>
            </w:pPr>
            <w:r w:rsidRPr="00CE45E2">
              <w:t>(31)</w:t>
            </w:r>
            <w:r w:rsidRPr="00CE45E2">
              <w:tab/>
              <w:t>Depozytariusze zapewniają dogodny środek ochrony aktywów i nadzoru nad zarządzaniem pracowniczymi programami emerytalnymi, zwłaszcza w systemach o zdefiniowanej składce, w których uczestnicy i beneficjenci ponoszą w pełni ryzyko inwestycyjne. Zgodnie z dyrektywą (UE) 2016/2341 państwa członkowskie mają swobodę w zakresie wymagania, co do zasady, od depozytariusza samodzielnego wykonywania tych funkcji lub zezwolenia IORP na samodzielne wykonywanie tych funkcji. Swoboda ta doprowadziła do niespójności i wyzwań nadzorczych w działalności transgranicznej. Różnice w przepisach krajowych dotyczących rodzajów podmiotów, które mogą działać jako depozytariusze, oraz zakresu ich obowiązków mogą osłabić skuteczny nadzór ostrożnościowy, zmniejszyć przejrzystość i zwiększyć ryzyko konfliktów interesów lub błędów operacyjnych. W ostatnich latach przepisy dotyczące depozytariuszy określone w dyrektywie Parlamentu Europejskiego i Rady 2009/65/WE</w:t>
            </w:r>
            <w:r w:rsidRPr="00CE45E2">
              <w:rPr>
                <w:vertAlign w:val="superscript"/>
              </w:rPr>
              <w:t>13</w:t>
            </w:r>
            <w:r w:rsidRPr="00CE45E2">
              <w:t xml:space="preserve"> zostały zaktualizowane i wzmocnione w celu zapewnienia wysokiego poziomu ochrony inwestorów. Uczestnicy i beneficjenci IORP, którzy podobnie powierzają swoje oszczędności emerytalne profesjonalnym zarządzającym, powinni korzystać z nie mniejszej ochrony niż inwestorzy objęci dyrektywą 2009/65/WE. W związku z tym, aby zapewnić spójną ochronę uczestników i beneficjentów, zwiększyć zaufanie do systemu emerytalnego i ułatwić działalność transgraniczną, w dyrektywie (UE) 2016/2341 należy wprowadzić wymóg wyznaczenia profesjonalnego depozytariusza na potrzeby pracowniczych programów emerytalnych, w których uczestnicy i beneficjenci ponoszą w pełni ryzyko inwestycyjne. Zmiany powinny określać jasne zasady dla takiego depozytariusza dotyczące przechowywania aktywów i obowiązków nadzorczych dla depozytariuszy, przy jednoczesnym umożliwieniu większej elastyczności w odniesieniu do innych systemów i zapewnieniu, aby właściwe organy nie mogły nadmiernie ograniczać wyboru depozytariuszy mających siedzibę w innym państwie członkowskim. Aby jednak uniknąć niepotrzebnych obciążeń dla IORP, państwa członkowskie mogą utrzymać istniejące środki w zakresie przechowywania zapewniające poziom ochrony porównywalny z poziomem zapewnianym przez depozytariuszy</w:t>
            </w:r>
            <w:r w:rsidRPr="00CE45E2">
              <w:rPr>
                <w:b/>
                <w:i/>
                <w:vertAlign w:val="superscript"/>
              </w:rPr>
              <w:t>13a</w:t>
            </w:r>
            <w:r w:rsidRPr="00CE45E2">
              <w:t>.</w:t>
            </w:r>
          </w:p>
        </w:tc>
      </w:tr>
      <w:tr w:rsidR="00CE45E2" w:rsidRPr="00CE45E2" w14:paraId="4F4D4B67" w14:textId="77777777" w:rsidTr="006476FB">
        <w:trPr>
          <w:jc w:val="center"/>
        </w:trPr>
        <w:tc>
          <w:tcPr>
            <w:tcW w:w="4876" w:type="dxa"/>
            <w:tcBorders>
              <w:top w:val="nil"/>
              <w:left w:val="nil"/>
              <w:bottom w:val="nil"/>
              <w:right w:val="nil"/>
            </w:tcBorders>
          </w:tcPr>
          <w:p w14:paraId="485DF2FF"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57400D5B" w14:textId="77777777" w:rsidR="00CE45E2" w:rsidRPr="00CE45E2" w:rsidRDefault="00CE45E2" w:rsidP="006476FB">
            <w:pPr>
              <w:pStyle w:val="Normal6a"/>
            </w:pPr>
            <w:r w:rsidRPr="00CE45E2">
              <w:rPr>
                <w:b/>
                <w:i/>
              </w:rPr>
              <w:t>_________________</w:t>
            </w:r>
          </w:p>
        </w:tc>
      </w:tr>
      <w:tr w:rsidR="00CE45E2" w:rsidRPr="00CE45E2" w14:paraId="1BEAE34A" w14:textId="77777777" w:rsidTr="006476FB">
        <w:trPr>
          <w:jc w:val="center"/>
        </w:trPr>
        <w:tc>
          <w:tcPr>
            <w:tcW w:w="4876" w:type="dxa"/>
            <w:tcBorders>
              <w:top w:val="nil"/>
              <w:left w:val="nil"/>
              <w:bottom w:val="nil"/>
              <w:right w:val="nil"/>
            </w:tcBorders>
          </w:tcPr>
          <w:p w14:paraId="6352851C" w14:textId="77777777" w:rsidR="00CE45E2" w:rsidRPr="00CE45E2" w:rsidRDefault="00CE45E2" w:rsidP="006476FB">
            <w:pPr>
              <w:pStyle w:val="Normal6a"/>
            </w:pPr>
            <w:r w:rsidRPr="00CE45E2">
              <w:rPr>
                <w:vertAlign w:val="superscript"/>
              </w:rPr>
              <w:t>13</w:t>
            </w:r>
            <w:r w:rsidRPr="00CE45E2">
              <w:t xml:space="preserve"> Dyrektywa Parlamentu Europejskiego i Rady 2009/65/WE z dnia 13 lipca 2009 r. w sprawie koordynacji przepisów ustawowych, wykonawczych i administracyjnych odnoszących się do przedsiębiorstw zbiorowego inwestowania w zbywalne papiery wartościowe (UCITS) (Dz.U. L 302 z 17.11.2009, s. 32, ELI: http://data.europa.eu/eli/dir/2009/65/oj)</w:t>
            </w:r>
          </w:p>
        </w:tc>
        <w:tc>
          <w:tcPr>
            <w:tcW w:w="4876" w:type="dxa"/>
            <w:tcBorders>
              <w:top w:val="nil"/>
              <w:left w:val="nil"/>
              <w:bottom w:val="nil"/>
              <w:right w:val="nil"/>
            </w:tcBorders>
          </w:tcPr>
          <w:p w14:paraId="6FC96314" w14:textId="77777777" w:rsidR="00CE45E2" w:rsidRPr="00CE45E2" w:rsidRDefault="00CE45E2" w:rsidP="006476FB">
            <w:pPr>
              <w:pStyle w:val="Normal6a"/>
            </w:pPr>
            <w:r w:rsidRPr="00CE45E2">
              <w:rPr>
                <w:vertAlign w:val="superscript"/>
              </w:rPr>
              <w:t>13</w:t>
            </w:r>
            <w:r w:rsidRPr="00CE45E2">
              <w:t xml:space="preserve"> Dyrektywa Parlamentu Europejskiego i Rady 2009/65/WE z dnia 13 lipca 2009 r. w sprawie koordynacji przepisów ustawowych, wykonawczych i administracyjnych odnoszących się do przedsiębiorstw zbiorowego inwestowania w zbywalne papiery wartościowe (UCITS) (Dz.U. L 302 z 17.11.2009, s. 32, ELI: http://data.europa.eu/eli/dir/2009/65/oj)</w:t>
            </w:r>
          </w:p>
        </w:tc>
      </w:tr>
      <w:tr w:rsidR="00CE45E2" w:rsidRPr="00CE45E2" w14:paraId="593001ED" w14:textId="77777777" w:rsidTr="006476FB">
        <w:trPr>
          <w:jc w:val="center"/>
        </w:trPr>
        <w:tc>
          <w:tcPr>
            <w:tcW w:w="4876" w:type="dxa"/>
            <w:tcBorders>
              <w:top w:val="nil"/>
              <w:left w:val="nil"/>
              <w:bottom w:val="nil"/>
              <w:right w:val="nil"/>
            </w:tcBorders>
          </w:tcPr>
          <w:p w14:paraId="1D1E4C73" w14:textId="77777777" w:rsidR="00CE45E2" w:rsidRPr="00CE45E2" w:rsidRDefault="00CE45E2" w:rsidP="006476FB"/>
        </w:tc>
        <w:tc>
          <w:tcPr>
            <w:tcW w:w="4876" w:type="dxa"/>
            <w:tcBorders>
              <w:top w:val="nil"/>
              <w:left w:val="nil"/>
              <w:bottom w:val="nil"/>
              <w:right w:val="nil"/>
            </w:tcBorders>
          </w:tcPr>
          <w:p w14:paraId="2E67A4F4" w14:textId="77777777" w:rsidR="00CE45E2" w:rsidRPr="00CE45E2" w:rsidRDefault="00CE45E2" w:rsidP="006476FB">
            <w:pPr>
              <w:pStyle w:val="Normal6a"/>
            </w:pPr>
            <w:r w:rsidRPr="00CE45E2">
              <w:rPr>
                <w:b/>
                <w:i/>
                <w:vertAlign w:val="superscript"/>
              </w:rPr>
              <w:t>13a</w:t>
            </w:r>
            <w:r w:rsidRPr="00CE45E2">
              <w:t xml:space="preserve"> </w:t>
            </w:r>
            <w:r w:rsidRPr="00CE45E2">
              <w:rPr>
                <w:b/>
                <w:i/>
              </w:rPr>
              <w:t>Na przykład art. 42 holenderskiego dekretu w sprawie wykonania ustawy o emeryturach oraz ustawy o obowiązkowych pracowniczych programach emerytalnych (</w:t>
            </w:r>
            <w:proofErr w:type="spellStart"/>
            <w:r w:rsidRPr="00CE45E2">
              <w:rPr>
                <w:b/>
                <w:i/>
              </w:rPr>
              <w:t>Wvb</w:t>
            </w:r>
            <w:proofErr w:type="spellEnd"/>
            <w:r w:rsidRPr="00CE45E2">
              <w:rPr>
                <w:b/>
                <w:i/>
              </w:rPr>
              <w:t>).</w:t>
            </w:r>
          </w:p>
        </w:tc>
      </w:tr>
    </w:tbl>
    <w:p w14:paraId="21C6C06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0D0316B" w14:textId="77777777" w:rsidR="00CE45E2" w:rsidRPr="00CE45E2" w:rsidRDefault="00CE45E2" w:rsidP="00CE45E2">
      <w:r w:rsidRPr="00CE45E2">
        <w:rPr>
          <w:rStyle w:val="HideTWBExt"/>
        </w:rPr>
        <w:t>&lt;/Amend&gt;</w:t>
      </w:r>
    </w:p>
    <w:p w14:paraId="08868846" w14:textId="2FB70A0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173</w:t>
      </w:r>
      <w:r w:rsidRPr="00CE45E2">
        <w:rPr>
          <w:rStyle w:val="HideTWBExt"/>
          <w:b w:val="0"/>
        </w:rPr>
        <w:t>&lt;/NumAm&gt;</w:t>
      </w:r>
    </w:p>
    <w:p w14:paraId="2C269755"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5F8870AB"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10573354" w14:textId="77777777" w:rsidR="00CE45E2" w:rsidRPr="00CE45E2" w:rsidRDefault="00CE45E2" w:rsidP="00CE45E2">
      <w:pPr>
        <w:pStyle w:val="NormalBold"/>
      </w:pPr>
      <w:r w:rsidRPr="00CE45E2">
        <w:rPr>
          <w:rStyle w:val="HideTWBExt"/>
          <w:b w:val="0"/>
        </w:rPr>
        <w:t>&lt;/RepeatBlock-By&gt;</w:t>
      </w:r>
    </w:p>
    <w:p w14:paraId="7C58E3D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92AD15A" w14:textId="77777777" w:rsidR="00CE45E2" w:rsidRPr="00CE45E2" w:rsidRDefault="00CE45E2" w:rsidP="00CE45E2">
      <w:pPr>
        <w:pStyle w:val="NormalBold"/>
      </w:pPr>
      <w:r w:rsidRPr="00CE45E2">
        <w:rPr>
          <w:rStyle w:val="HideTWBExt"/>
          <w:b w:val="0"/>
        </w:rPr>
        <w:t>&lt;Article&gt;</w:t>
      </w:r>
      <w:r w:rsidRPr="00CE45E2">
        <w:t>Motyw 32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FAE737A" w14:textId="77777777" w:rsidTr="006476FB">
        <w:trPr>
          <w:trHeight w:hRule="exact" w:val="240"/>
          <w:jc w:val="center"/>
        </w:trPr>
        <w:tc>
          <w:tcPr>
            <w:tcW w:w="9752" w:type="dxa"/>
            <w:gridSpan w:val="2"/>
            <w:tcBorders>
              <w:top w:val="nil"/>
              <w:left w:val="nil"/>
              <w:bottom w:val="nil"/>
              <w:right w:val="nil"/>
            </w:tcBorders>
          </w:tcPr>
          <w:p w14:paraId="7AAE66E6" w14:textId="77777777" w:rsidR="00CE45E2" w:rsidRPr="00CE45E2" w:rsidRDefault="00CE45E2" w:rsidP="006476FB"/>
        </w:tc>
      </w:tr>
      <w:tr w:rsidR="00CE45E2" w:rsidRPr="00CE45E2" w14:paraId="1D8560CF" w14:textId="77777777" w:rsidTr="006476FB">
        <w:trPr>
          <w:trHeight w:val="240"/>
          <w:jc w:val="center"/>
        </w:trPr>
        <w:tc>
          <w:tcPr>
            <w:tcW w:w="4876" w:type="dxa"/>
            <w:tcBorders>
              <w:top w:val="nil"/>
              <w:left w:val="nil"/>
              <w:bottom w:val="nil"/>
              <w:right w:val="nil"/>
            </w:tcBorders>
          </w:tcPr>
          <w:p w14:paraId="3290D4C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93FBEBD" w14:textId="77777777" w:rsidR="00CE45E2" w:rsidRPr="00CE45E2" w:rsidRDefault="00CE45E2" w:rsidP="006476FB">
            <w:pPr>
              <w:pStyle w:val="AmColumnHeading"/>
            </w:pPr>
            <w:r w:rsidRPr="00CE45E2">
              <w:t>Poprawka</w:t>
            </w:r>
          </w:p>
        </w:tc>
      </w:tr>
      <w:tr w:rsidR="00CE45E2" w:rsidRPr="00CE45E2" w14:paraId="7D3B3F4C" w14:textId="77777777" w:rsidTr="006476FB">
        <w:trPr>
          <w:jc w:val="center"/>
        </w:trPr>
        <w:tc>
          <w:tcPr>
            <w:tcW w:w="4876" w:type="dxa"/>
            <w:tcBorders>
              <w:top w:val="nil"/>
              <w:left w:val="nil"/>
              <w:bottom w:val="nil"/>
              <w:right w:val="nil"/>
            </w:tcBorders>
          </w:tcPr>
          <w:p w14:paraId="20DF9A53" w14:textId="77777777" w:rsidR="00CE45E2" w:rsidRPr="00CE45E2" w:rsidRDefault="00CE45E2" w:rsidP="006476FB">
            <w:pPr>
              <w:pStyle w:val="Normal6a"/>
            </w:pPr>
            <w:r w:rsidRPr="00CE45E2">
              <w:rPr>
                <w:b/>
                <w:i/>
              </w:rPr>
              <w:t>(32)</w:t>
            </w:r>
            <w:r w:rsidRPr="00CE45E2">
              <w:tab/>
            </w:r>
            <w:r w:rsidRPr="00CE45E2">
              <w:rPr>
                <w:b/>
                <w:i/>
              </w:rPr>
              <w:t xml:space="preserve">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w znormalizowanym i </w:t>
            </w:r>
            <w:proofErr w:type="spellStart"/>
            <w:r w:rsidRPr="00CE45E2">
              <w:rPr>
                <w:b/>
                <w:i/>
              </w:rPr>
              <w:t>interoperacyjnym</w:t>
            </w:r>
            <w:proofErr w:type="spellEnd"/>
            <w:r w:rsidRPr="00CE45E2">
              <w:rPr>
                <w:b/>
                <w:i/>
              </w:rPr>
              <w:t xml:space="preserve"> formacie.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w:t>
            </w:r>
          </w:p>
        </w:tc>
        <w:tc>
          <w:tcPr>
            <w:tcW w:w="4876" w:type="dxa"/>
            <w:tcBorders>
              <w:top w:val="nil"/>
              <w:left w:val="nil"/>
              <w:bottom w:val="nil"/>
              <w:right w:val="nil"/>
            </w:tcBorders>
          </w:tcPr>
          <w:p w14:paraId="3D3033AD" w14:textId="77777777" w:rsidR="00CE45E2" w:rsidRPr="00CE45E2" w:rsidRDefault="00CE45E2" w:rsidP="006476FB">
            <w:pPr>
              <w:pStyle w:val="Normal6a"/>
            </w:pPr>
            <w:r w:rsidRPr="00CE45E2">
              <w:rPr>
                <w:b/>
                <w:i/>
              </w:rPr>
              <w:t>skreśla się</w:t>
            </w:r>
          </w:p>
        </w:tc>
      </w:tr>
    </w:tbl>
    <w:p w14:paraId="64F8437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3401135" w14:textId="77777777" w:rsidR="00CE45E2" w:rsidRPr="00CE45E2" w:rsidRDefault="00CE45E2" w:rsidP="00CE45E2">
      <w:r w:rsidRPr="00CE45E2">
        <w:rPr>
          <w:rStyle w:val="HideTWBExt"/>
        </w:rPr>
        <w:t>&lt;/Amend&gt;</w:t>
      </w:r>
    </w:p>
    <w:p w14:paraId="7E1B475C" w14:textId="738EDE5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174</w:t>
      </w:r>
      <w:r w:rsidRPr="00CE45E2">
        <w:rPr>
          <w:rStyle w:val="HideTWBExt"/>
          <w:b w:val="0"/>
        </w:rPr>
        <w:t>&lt;/NumAm&gt;</w:t>
      </w:r>
    </w:p>
    <w:p w14:paraId="778D93DF"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D6ED12B" w14:textId="77777777" w:rsidR="00CE45E2" w:rsidRPr="00CE45E2" w:rsidRDefault="00CE45E2" w:rsidP="00CE45E2">
      <w:pPr>
        <w:pStyle w:val="NormalBold"/>
      </w:pPr>
      <w:r w:rsidRPr="00CE45E2">
        <w:rPr>
          <w:rStyle w:val="HideTWBExt"/>
          <w:b w:val="0"/>
        </w:rPr>
        <w:t>&lt;/RepeatBlock-By&gt;</w:t>
      </w:r>
    </w:p>
    <w:p w14:paraId="6F5B1B8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53C4A76" w14:textId="77777777" w:rsidR="00CE45E2" w:rsidRPr="00CE45E2" w:rsidRDefault="00CE45E2" w:rsidP="00CE45E2">
      <w:pPr>
        <w:pStyle w:val="NormalBold"/>
      </w:pPr>
      <w:r w:rsidRPr="00CE45E2">
        <w:rPr>
          <w:rStyle w:val="HideTWBExt"/>
          <w:b w:val="0"/>
        </w:rPr>
        <w:t>&lt;Article&gt;</w:t>
      </w:r>
      <w:r w:rsidRPr="00CE45E2">
        <w:t>Motyw 32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F4297A3" w14:textId="77777777" w:rsidTr="006476FB">
        <w:trPr>
          <w:trHeight w:hRule="exact" w:val="240"/>
          <w:jc w:val="center"/>
        </w:trPr>
        <w:tc>
          <w:tcPr>
            <w:tcW w:w="9752" w:type="dxa"/>
            <w:gridSpan w:val="2"/>
            <w:tcBorders>
              <w:top w:val="nil"/>
              <w:left w:val="nil"/>
              <w:bottom w:val="nil"/>
              <w:right w:val="nil"/>
            </w:tcBorders>
          </w:tcPr>
          <w:p w14:paraId="450155BA" w14:textId="77777777" w:rsidR="00CE45E2" w:rsidRPr="00CE45E2" w:rsidRDefault="00CE45E2" w:rsidP="006476FB"/>
        </w:tc>
      </w:tr>
      <w:tr w:rsidR="00CE45E2" w:rsidRPr="00CE45E2" w14:paraId="719FB025" w14:textId="77777777" w:rsidTr="006476FB">
        <w:trPr>
          <w:trHeight w:val="240"/>
          <w:jc w:val="center"/>
        </w:trPr>
        <w:tc>
          <w:tcPr>
            <w:tcW w:w="4876" w:type="dxa"/>
            <w:tcBorders>
              <w:top w:val="nil"/>
              <w:left w:val="nil"/>
              <w:bottom w:val="nil"/>
              <w:right w:val="nil"/>
            </w:tcBorders>
          </w:tcPr>
          <w:p w14:paraId="18C0249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E49005D" w14:textId="77777777" w:rsidR="00CE45E2" w:rsidRPr="00CE45E2" w:rsidRDefault="00CE45E2" w:rsidP="006476FB">
            <w:pPr>
              <w:pStyle w:val="AmColumnHeading"/>
            </w:pPr>
            <w:r w:rsidRPr="00CE45E2">
              <w:t>Poprawka</w:t>
            </w:r>
          </w:p>
        </w:tc>
      </w:tr>
      <w:tr w:rsidR="00CE45E2" w:rsidRPr="00CE45E2" w14:paraId="315C6687" w14:textId="77777777" w:rsidTr="006476FB">
        <w:trPr>
          <w:jc w:val="center"/>
        </w:trPr>
        <w:tc>
          <w:tcPr>
            <w:tcW w:w="4876" w:type="dxa"/>
            <w:tcBorders>
              <w:top w:val="nil"/>
              <w:left w:val="nil"/>
              <w:bottom w:val="nil"/>
              <w:right w:val="nil"/>
            </w:tcBorders>
          </w:tcPr>
          <w:p w14:paraId="16357CC5" w14:textId="77777777" w:rsidR="00CE45E2" w:rsidRPr="00CE45E2" w:rsidRDefault="00CE45E2" w:rsidP="006476FB">
            <w:pPr>
              <w:pStyle w:val="Normal6a"/>
            </w:pPr>
            <w:r w:rsidRPr="00CE45E2">
              <w:t>(32)</w:t>
            </w:r>
            <w:r w:rsidRPr="00CE45E2">
              <w:tab/>
              <w:t>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w:t>
            </w:r>
            <w:r w:rsidRPr="00CE45E2">
              <w:rPr>
                <w:b/>
                <w:bCs/>
                <w:i/>
                <w:iCs/>
              </w:rPr>
              <w:t xml:space="preserve">, w znormalizowanym i </w:t>
            </w:r>
            <w:proofErr w:type="spellStart"/>
            <w:r w:rsidRPr="00CE45E2">
              <w:rPr>
                <w:b/>
                <w:bCs/>
                <w:i/>
                <w:iCs/>
              </w:rPr>
              <w:t>interoperacyjnym</w:t>
            </w:r>
            <w:proofErr w:type="spellEnd"/>
            <w:r w:rsidRPr="00CE45E2">
              <w:rPr>
                <w:b/>
                <w:bCs/>
                <w:i/>
                <w:iCs/>
              </w:rPr>
              <w:t xml:space="preserve"> formacie</w:t>
            </w:r>
            <w:r w:rsidRPr="00CE45E2">
              <w:t>.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w:t>
            </w:r>
          </w:p>
        </w:tc>
        <w:tc>
          <w:tcPr>
            <w:tcW w:w="4876" w:type="dxa"/>
            <w:tcBorders>
              <w:top w:val="nil"/>
              <w:left w:val="nil"/>
              <w:bottom w:val="nil"/>
              <w:right w:val="nil"/>
            </w:tcBorders>
          </w:tcPr>
          <w:p w14:paraId="1D0058D3" w14:textId="77777777" w:rsidR="00CE45E2" w:rsidRPr="00CE45E2" w:rsidRDefault="00CE45E2" w:rsidP="006476FB">
            <w:pPr>
              <w:pStyle w:val="Normal6a"/>
            </w:pPr>
            <w:r w:rsidRPr="00CE45E2">
              <w:t>(32)</w:t>
            </w:r>
            <w:r w:rsidRPr="00CE45E2">
              <w:tab/>
              <w:t>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Takie systemy powinny umożliwiać uczestnikom i beneficjentom dostęp, w spójny</w:t>
            </w:r>
            <w:r w:rsidRPr="00CE45E2">
              <w:rPr>
                <w:b/>
                <w:bCs/>
                <w:i/>
                <w:iCs/>
              </w:rPr>
              <w:t>, dokładny, wiarygodny</w:t>
            </w:r>
            <w:r w:rsidRPr="00CE45E2">
              <w:t xml:space="preserve">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w:t>
            </w:r>
          </w:p>
        </w:tc>
      </w:tr>
    </w:tbl>
    <w:p w14:paraId="40D614A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FE2E258" w14:textId="77777777" w:rsidR="00CE45E2" w:rsidRPr="00CE45E2" w:rsidRDefault="00CE45E2" w:rsidP="00CE45E2">
      <w:r w:rsidRPr="00CE45E2">
        <w:rPr>
          <w:rStyle w:val="HideTWBExt"/>
        </w:rPr>
        <w:t>&lt;/Amend&gt;</w:t>
      </w:r>
    </w:p>
    <w:p w14:paraId="18BF25DB" w14:textId="4335B0F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175</w:t>
      </w:r>
      <w:r w:rsidRPr="00CE45E2">
        <w:rPr>
          <w:rStyle w:val="HideTWBExt"/>
          <w:b w:val="0"/>
        </w:rPr>
        <w:t>&lt;/NumAm&gt;</w:t>
      </w:r>
    </w:p>
    <w:p w14:paraId="781C0085"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654CF6D5" w14:textId="77777777" w:rsidR="00CE45E2" w:rsidRPr="00CE45E2" w:rsidRDefault="00CE45E2" w:rsidP="00CE45E2">
      <w:pPr>
        <w:pStyle w:val="NormalBold"/>
      </w:pPr>
      <w:r w:rsidRPr="00CE45E2">
        <w:rPr>
          <w:rStyle w:val="HideTWBExt"/>
          <w:b w:val="0"/>
        </w:rPr>
        <w:t>&lt;/RepeatBlock-By&gt;</w:t>
      </w:r>
    </w:p>
    <w:p w14:paraId="54A647C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A1CADE8" w14:textId="77777777" w:rsidR="00CE45E2" w:rsidRPr="00CE45E2" w:rsidRDefault="00CE45E2" w:rsidP="00CE45E2">
      <w:pPr>
        <w:pStyle w:val="NormalBold"/>
      </w:pPr>
      <w:r w:rsidRPr="00CE45E2">
        <w:rPr>
          <w:rStyle w:val="HideTWBExt"/>
          <w:b w:val="0"/>
        </w:rPr>
        <w:t>&lt;Article&gt;</w:t>
      </w:r>
      <w:r w:rsidRPr="00CE45E2">
        <w:t>Motyw 32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9908EA5" w14:textId="77777777" w:rsidTr="006476FB">
        <w:trPr>
          <w:trHeight w:hRule="exact" w:val="240"/>
          <w:jc w:val="center"/>
        </w:trPr>
        <w:tc>
          <w:tcPr>
            <w:tcW w:w="9752" w:type="dxa"/>
            <w:gridSpan w:val="2"/>
            <w:tcBorders>
              <w:top w:val="nil"/>
              <w:left w:val="nil"/>
              <w:bottom w:val="nil"/>
              <w:right w:val="nil"/>
            </w:tcBorders>
          </w:tcPr>
          <w:p w14:paraId="0948667D" w14:textId="77777777" w:rsidR="00CE45E2" w:rsidRPr="00CE45E2" w:rsidRDefault="00CE45E2" w:rsidP="006476FB"/>
        </w:tc>
      </w:tr>
      <w:tr w:rsidR="00CE45E2" w:rsidRPr="00CE45E2" w14:paraId="7850443C" w14:textId="77777777" w:rsidTr="006476FB">
        <w:trPr>
          <w:trHeight w:val="240"/>
          <w:jc w:val="center"/>
        </w:trPr>
        <w:tc>
          <w:tcPr>
            <w:tcW w:w="4876" w:type="dxa"/>
            <w:tcBorders>
              <w:top w:val="nil"/>
              <w:left w:val="nil"/>
              <w:bottom w:val="nil"/>
              <w:right w:val="nil"/>
            </w:tcBorders>
          </w:tcPr>
          <w:p w14:paraId="79BD237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8073A30" w14:textId="77777777" w:rsidR="00CE45E2" w:rsidRPr="00CE45E2" w:rsidRDefault="00CE45E2" w:rsidP="006476FB">
            <w:pPr>
              <w:pStyle w:val="AmColumnHeading"/>
            </w:pPr>
            <w:r w:rsidRPr="00CE45E2">
              <w:t>Poprawka</w:t>
            </w:r>
          </w:p>
        </w:tc>
      </w:tr>
      <w:tr w:rsidR="00CE45E2" w:rsidRPr="00CE45E2" w14:paraId="6F2AEF2A" w14:textId="77777777" w:rsidTr="006476FB">
        <w:trPr>
          <w:jc w:val="center"/>
        </w:trPr>
        <w:tc>
          <w:tcPr>
            <w:tcW w:w="4876" w:type="dxa"/>
            <w:tcBorders>
              <w:top w:val="nil"/>
              <w:left w:val="nil"/>
              <w:bottom w:val="nil"/>
              <w:right w:val="nil"/>
            </w:tcBorders>
          </w:tcPr>
          <w:p w14:paraId="3A56BB37" w14:textId="77777777" w:rsidR="00CE45E2" w:rsidRPr="00CE45E2" w:rsidRDefault="00CE45E2" w:rsidP="006476FB">
            <w:pPr>
              <w:pStyle w:val="Normal6a"/>
            </w:pPr>
            <w:r w:rsidRPr="00CE45E2">
              <w:t>(32)</w:t>
            </w:r>
            <w:r w:rsidRPr="00CE45E2">
              <w:tab/>
              <w:t xml:space="preserve">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w znormalizowanym i </w:t>
            </w:r>
            <w:proofErr w:type="spellStart"/>
            <w:r w:rsidRPr="00CE45E2">
              <w:t>interoperacyjnym</w:t>
            </w:r>
            <w:proofErr w:type="spellEnd"/>
            <w:r w:rsidRPr="00CE45E2">
              <w:t xml:space="preserve"> formacie.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w:t>
            </w:r>
          </w:p>
        </w:tc>
        <w:tc>
          <w:tcPr>
            <w:tcW w:w="4876" w:type="dxa"/>
            <w:tcBorders>
              <w:top w:val="nil"/>
              <w:left w:val="nil"/>
              <w:bottom w:val="nil"/>
              <w:right w:val="nil"/>
            </w:tcBorders>
          </w:tcPr>
          <w:p w14:paraId="2C590BEB" w14:textId="77777777" w:rsidR="00CE45E2" w:rsidRPr="00CE45E2" w:rsidRDefault="00CE45E2" w:rsidP="006476FB">
            <w:pPr>
              <w:pStyle w:val="Normal6a"/>
            </w:pPr>
            <w:r w:rsidRPr="00CE45E2">
              <w:t>(32)</w:t>
            </w:r>
            <w:r w:rsidRPr="00CE45E2">
              <w:tab/>
              <w:t xml:space="preserve">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w znormalizowanym i </w:t>
            </w:r>
            <w:proofErr w:type="spellStart"/>
            <w:r w:rsidRPr="00CE45E2">
              <w:t>interoperacyjnym</w:t>
            </w:r>
            <w:proofErr w:type="spellEnd"/>
            <w:r w:rsidRPr="00CE45E2">
              <w:t xml:space="preserve"> formacie.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w:t>
            </w:r>
            <w:r w:rsidRPr="00CE45E2">
              <w:rPr>
                <w:b/>
                <w:i/>
              </w:rPr>
              <w:t>W szczególności decyzje życiowe, takie jak praca w niepełnym wymiarze godzin w celu opieki nad dzieckiem lub innym członkiem rodziny, oraz zdarzenia takie jak rozwód, mogą mieć znaczący wpływ na wysokość świadczeń emerytalnych danej osoby. Dlatego też uczestnicy programów emerytalnych powinni otrzymywać odpowiednie informacje dotyczące wpływu na ich świadczenia emerytalne wszelkich przerw w opłacaniu składek na program emerytalny lub zmian w wysokości tych składek w takich okolicznościach. Przekazywanie takich informacji poprawiłoby poziom wiedzy finansowej i umożliwiłoby obywatelom podejmowanie bardziej świadomych decyzji finansowych. Takie informacje należy również uwzględnić w systemach monitorowania emerytur.</w:t>
            </w:r>
            <w:r w:rsidRPr="00CE45E2">
              <w:t xml:space="preserve"> Aby uniknąć powielania wymogów sprawozdawczych dla IORP, format i struktura informacji powinny być spójne z informacjami zawartymi w informacjach o świadczeniach emerytalnych.</w:t>
            </w:r>
          </w:p>
        </w:tc>
      </w:tr>
    </w:tbl>
    <w:p w14:paraId="5D26125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899BB91" w14:textId="77777777" w:rsidR="00CE45E2" w:rsidRPr="00CE45E2" w:rsidRDefault="00CE45E2" w:rsidP="00CE45E2">
      <w:r w:rsidRPr="00CE45E2">
        <w:rPr>
          <w:rStyle w:val="HideTWBExt"/>
        </w:rPr>
        <w:t>&lt;/Amend&gt;</w:t>
      </w:r>
    </w:p>
    <w:p w14:paraId="3106EEEC" w14:textId="2D97F73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176</w:t>
      </w:r>
      <w:r w:rsidRPr="00CE45E2">
        <w:rPr>
          <w:rStyle w:val="HideTWBExt"/>
          <w:b w:val="0"/>
        </w:rPr>
        <w:t>&lt;/NumAm&gt;</w:t>
      </w:r>
    </w:p>
    <w:p w14:paraId="7208B2AA"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52BB2947" w14:textId="77777777" w:rsidR="00CE45E2" w:rsidRPr="00CE45E2" w:rsidRDefault="00CE45E2" w:rsidP="00CE45E2">
      <w:pPr>
        <w:pStyle w:val="NormalBold"/>
      </w:pPr>
      <w:r w:rsidRPr="00CE45E2">
        <w:rPr>
          <w:rStyle w:val="HideTWBExt"/>
          <w:b w:val="0"/>
        </w:rPr>
        <w:t>&lt;/RepeatBlock-By&gt;</w:t>
      </w:r>
    </w:p>
    <w:p w14:paraId="712B7D0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C678501" w14:textId="77777777" w:rsidR="00CE45E2" w:rsidRPr="00CE45E2" w:rsidRDefault="00CE45E2" w:rsidP="00CE45E2">
      <w:pPr>
        <w:pStyle w:val="NormalBold"/>
      </w:pPr>
      <w:r w:rsidRPr="00CE45E2">
        <w:rPr>
          <w:rStyle w:val="HideTWBExt"/>
          <w:b w:val="0"/>
        </w:rPr>
        <w:t>&lt;Article&gt;</w:t>
      </w:r>
      <w:r w:rsidRPr="00CE45E2">
        <w:t>Motyw 32</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D8EBFE1" w14:textId="77777777" w:rsidTr="006476FB">
        <w:trPr>
          <w:trHeight w:hRule="exact" w:val="240"/>
          <w:jc w:val="center"/>
        </w:trPr>
        <w:tc>
          <w:tcPr>
            <w:tcW w:w="9752" w:type="dxa"/>
            <w:gridSpan w:val="2"/>
            <w:tcBorders>
              <w:top w:val="nil"/>
              <w:left w:val="nil"/>
              <w:bottom w:val="nil"/>
              <w:right w:val="nil"/>
            </w:tcBorders>
          </w:tcPr>
          <w:p w14:paraId="1A6631BC" w14:textId="77777777" w:rsidR="00CE45E2" w:rsidRPr="00CE45E2" w:rsidRDefault="00CE45E2" w:rsidP="006476FB"/>
        </w:tc>
      </w:tr>
      <w:tr w:rsidR="00CE45E2" w:rsidRPr="00CE45E2" w14:paraId="19272F2D" w14:textId="77777777" w:rsidTr="006476FB">
        <w:trPr>
          <w:trHeight w:val="240"/>
          <w:jc w:val="center"/>
        </w:trPr>
        <w:tc>
          <w:tcPr>
            <w:tcW w:w="4876" w:type="dxa"/>
            <w:tcBorders>
              <w:top w:val="nil"/>
              <w:left w:val="nil"/>
              <w:bottom w:val="nil"/>
              <w:right w:val="nil"/>
            </w:tcBorders>
          </w:tcPr>
          <w:p w14:paraId="4863F8A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E45DC74" w14:textId="77777777" w:rsidR="00CE45E2" w:rsidRPr="00CE45E2" w:rsidRDefault="00CE45E2" w:rsidP="006476FB">
            <w:pPr>
              <w:pStyle w:val="AmColumnHeading"/>
            </w:pPr>
            <w:r w:rsidRPr="00CE45E2">
              <w:t>Poprawka</w:t>
            </w:r>
          </w:p>
        </w:tc>
      </w:tr>
      <w:tr w:rsidR="00CE45E2" w:rsidRPr="00CE45E2" w14:paraId="5FAC2EF7" w14:textId="77777777" w:rsidTr="006476FB">
        <w:trPr>
          <w:jc w:val="center"/>
        </w:trPr>
        <w:tc>
          <w:tcPr>
            <w:tcW w:w="4876" w:type="dxa"/>
            <w:tcBorders>
              <w:top w:val="nil"/>
              <w:left w:val="nil"/>
              <w:bottom w:val="nil"/>
              <w:right w:val="nil"/>
            </w:tcBorders>
          </w:tcPr>
          <w:p w14:paraId="0F498D72" w14:textId="77777777" w:rsidR="00CE45E2" w:rsidRPr="00CE45E2" w:rsidRDefault="00CE45E2" w:rsidP="006476FB">
            <w:pPr>
              <w:pStyle w:val="Normal6a"/>
            </w:pPr>
            <w:r w:rsidRPr="00CE45E2">
              <w:t>(32)</w:t>
            </w:r>
            <w:r w:rsidRPr="00CE45E2">
              <w:tab/>
              <w:t xml:space="preserve">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w znormalizowanym i </w:t>
            </w:r>
            <w:proofErr w:type="spellStart"/>
            <w:r w:rsidRPr="00CE45E2">
              <w:t>interoperacyjnym</w:t>
            </w:r>
            <w:proofErr w:type="spellEnd"/>
            <w:r w:rsidRPr="00CE45E2">
              <w:t xml:space="preserve"> formacie.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w:t>
            </w:r>
          </w:p>
        </w:tc>
        <w:tc>
          <w:tcPr>
            <w:tcW w:w="4876" w:type="dxa"/>
            <w:tcBorders>
              <w:top w:val="nil"/>
              <w:left w:val="nil"/>
              <w:bottom w:val="nil"/>
              <w:right w:val="nil"/>
            </w:tcBorders>
          </w:tcPr>
          <w:p w14:paraId="13C3F574" w14:textId="77777777" w:rsidR="00CE45E2" w:rsidRPr="00CE45E2" w:rsidRDefault="00CE45E2" w:rsidP="006476FB">
            <w:pPr>
              <w:pStyle w:val="Normal6a"/>
            </w:pPr>
            <w:r w:rsidRPr="00CE45E2">
              <w:t>(32)</w:t>
            </w:r>
            <w:r w:rsidRPr="00CE45E2">
              <w:tab/>
              <w:t xml:space="preserve">Fragmentaryczne i niekompletne informacje na temat nabytych i prognozowanych uprawnień emerytalnych utrudniają uczestnikom i beneficjentom uzyskanie jasnego oglądu ich przyszłych dochodów emerytalnych, zwłaszcza gdy uczestniczą w kilku dodatkowych programach emerytalnych. Ten brak przejrzystości może osłabić zaangażowanie w planowanie emerytury i zaufanie do systemu emerytalnego. W celu zapewnienia, aby oszczędzający otrzymywali kompleksowe, wiarygodne i aktualne informacje, państwa członkowskie powinny wymagać od IORP przekazywania danych do krajowych systemów monitorowania uprawnień emerytalnych, jeżeli takie systemy istnieją, w znormalizowanym i </w:t>
            </w:r>
            <w:proofErr w:type="spellStart"/>
            <w:r w:rsidRPr="00CE45E2">
              <w:t>interoperacyjnym</w:t>
            </w:r>
            <w:proofErr w:type="spellEnd"/>
            <w:r w:rsidRPr="00CE45E2">
              <w:t xml:space="preserve"> formacie. Takie systemy powinny umożliwiać uczestnikom i beneficjentom dostęp, w spójny i porównywalny sposób, do informacji na temat ich nabytych praw, zgromadzonego kapitału i prognozowanych świadczeń, przy jednoczesnym zapewnieniu, aby IORP pozostały odpowiedzialne za dokładność i kompletność przekazywanych danych. Aby uniknąć powielania wymogów sprawozdawczych dla IORP, format i struktura informacji powinny być spójne z informacjami zawartymi w informacjach o świadczeniach emerytalnych. </w:t>
            </w:r>
            <w:r w:rsidRPr="00CE45E2">
              <w:rPr>
                <w:b/>
                <w:i/>
              </w:rPr>
              <w:t>Przejrzystość powinna wykraczać poza samo udostępnianie informacji. Musi ona również gwarantować, że informacje są jasne i zrozumiałe dla uczestników i beneficjentów. Jeśli ujawniane informacje są zbyt skomplikowane lub mają charakter techniczny, mogą być trudne do wykorzystania w praktyce. Wymogi powinny zatem być proporcjonalne oraz wspierać wiedzę finansową i podejmowanie świadomych decyzji.</w:t>
            </w:r>
          </w:p>
        </w:tc>
      </w:tr>
    </w:tbl>
    <w:p w14:paraId="6B92B30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5EB6364" w14:textId="77777777" w:rsidR="00CE45E2" w:rsidRPr="00CE45E2" w:rsidRDefault="00CE45E2" w:rsidP="00CE45E2">
      <w:r w:rsidRPr="00CE45E2">
        <w:rPr>
          <w:rStyle w:val="HideTWBExt"/>
        </w:rPr>
        <w:t>&lt;/Amend&gt;</w:t>
      </w:r>
    </w:p>
    <w:p w14:paraId="55403D51" w14:textId="6E04EC7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177</w:t>
      </w:r>
      <w:r w:rsidRPr="00CE45E2">
        <w:rPr>
          <w:rStyle w:val="HideTWBExt"/>
          <w:b w:val="0"/>
        </w:rPr>
        <w:t>&lt;/NumAm&gt;</w:t>
      </w:r>
    </w:p>
    <w:p w14:paraId="1C7D2C90" w14:textId="77777777" w:rsidR="00CE45E2" w:rsidRPr="00CE45E2" w:rsidRDefault="00CE45E2" w:rsidP="00CE45E2">
      <w:pPr>
        <w:pStyle w:val="NormalBold"/>
      </w:pPr>
      <w:r w:rsidRPr="00CE45E2">
        <w:rPr>
          <w:rStyle w:val="HideTWBExt"/>
          <w:b w:val="0"/>
        </w:rPr>
        <w:t>&lt;RepeatBlock-By&gt;&lt;Members&gt;</w:t>
      </w:r>
      <w:r w:rsidRPr="00CE45E2">
        <w:t xml:space="preserve">Arba </w:t>
      </w:r>
      <w:proofErr w:type="spellStart"/>
      <w:r w:rsidRPr="00CE45E2">
        <w:t>Kokalari</w:t>
      </w:r>
      <w:proofErr w:type="spellEnd"/>
      <w:r w:rsidRPr="00CE45E2">
        <w:rPr>
          <w:rStyle w:val="HideTWBExt"/>
          <w:b w:val="0"/>
        </w:rPr>
        <w:t>&lt;/Members&gt;</w:t>
      </w:r>
    </w:p>
    <w:p w14:paraId="09234584" w14:textId="77777777" w:rsidR="00CE45E2" w:rsidRPr="00CE45E2" w:rsidRDefault="00CE45E2" w:rsidP="00CE45E2">
      <w:pPr>
        <w:pStyle w:val="NormalBold"/>
      </w:pPr>
      <w:r w:rsidRPr="00CE45E2">
        <w:rPr>
          <w:rStyle w:val="HideTWBExt"/>
          <w:b w:val="0"/>
        </w:rPr>
        <w:t>&lt;/RepeatBlock-By&gt;</w:t>
      </w:r>
    </w:p>
    <w:p w14:paraId="292E8B1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99A6BF5" w14:textId="77777777" w:rsidR="00CE45E2" w:rsidRPr="00CE45E2" w:rsidRDefault="00CE45E2" w:rsidP="00CE45E2">
      <w:pPr>
        <w:pStyle w:val="NormalBold"/>
      </w:pPr>
      <w:r w:rsidRPr="00CE45E2">
        <w:rPr>
          <w:rStyle w:val="HideTWBExt"/>
          <w:b w:val="0"/>
        </w:rPr>
        <w:t>&lt;Article&gt;</w:t>
      </w:r>
      <w:r w:rsidRPr="00CE45E2">
        <w:t>Motyw 33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D18462D" w14:textId="77777777" w:rsidTr="006476FB">
        <w:trPr>
          <w:trHeight w:hRule="exact" w:val="240"/>
          <w:jc w:val="center"/>
        </w:trPr>
        <w:tc>
          <w:tcPr>
            <w:tcW w:w="9752" w:type="dxa"/>
            <w:gridSpan w:val="2"/>
            <w:tcBorders>
              <w:top w:val="nil"/>
              <w:left w:val="nil"/>
              <w:bottom w:val="nil"/>
              <w:right w:val="nil"/>
            </w:tcBorders>
          </w:tcPr>
          <w:p w14:paraId="342C9336" w14:textId="77777777" w:rsidR="00CE45E2" w:rsidRPr="00CE45E2" w:rsidRDefault="00CE45E2" w:rsidP="006476FB"/>
        </w:tc>
      </w:tr>
      <w:tr w:rsidR="00CE45E2" w:rsidRPr="00CE45E2" w14:paraId="7C74EC68" w14:textId="77777777" w:rsidTr="006476FB">
        <w:trPr>
          <w:trHeight w:val="240"/>
          <w:jc w:val="center"/>
        </w:trPr>
        <w:tc>
          <w:tcPr>
            <w:tcW w:w="4876" w:type="dxa"/>
            <w:tcBorders>
              <w:top w:val="nil"/>
              <w:left w:val="nil"/>
              <w:bottom w:val="nil"/>
              <w:right w:val="nil"/>
            </w:tcBorders>
          </w:tcPr>
          <w:p w14:paraId="1748F1B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6E746A" w14:textId="77777777" w:rsidR="00CE45E2" w:rsidRPr="00CE45E2" w:rsidRDefault="00CE45E2" w:rsidP="006476FB">
            <w:pPr>
              <w:pStyle w:val="AmColumnHeading"/>
            </w:pPr>
            <w:r w:rsidRPr="00CE45E2">
              <w:t>Poprawka</w:t>
            </w:r>
          </w:p>
        </w:tc>
      </w:tr>
      <w:tr w:rsidR="00CE45E2" w:rsidRPr="00CE45E2" w14:paraId="3C1775DB" w14:textId="77777777" w:rsidTr="006476FB">
        <w:trPr>
          <w:jc w:val="center"/>
        </w:trPr>
        <w:tc>
          <w:tcPr>
            <w:tcW w:w="4876" w:type="dxa"/>
            <w:tcBorders>
              <w:top w:val="nil"/>
              <w:left w:val="nil"/>
              <w:bottom w:val="nil"/>
              <w:right w:val="nil"/>
            </w:tcBorders>
          </w:tcPr>
          <w:p w14:paraId="2C9E532F" w14:textId="77777777" w:rsidR="00CE45E2" w:rsidRPr="00CE45E2" w:rsidRDefault="00CE45E2" w:rsidP="006476FB">
            <w:pPr>
              <w:pStyle w:val="Normal6a"/>
            </w:pPr>
            <w:r w:rsidRPr="00CE45E2">
              <w:rPr>
                <w:b/>
                <w:i/>
              </w:rPr>
              <w:t>(33)</w:t>
            </w:r>
            <w:r w:rsidRPr="00CE45E2">
              <w:tab/>
            </w:r>
            <w:r w:rsidRPr="00CE45E2">
              <w:rPr>
                <w:b/>
                <w:i/>
              </w:rPr>
              <w:t xml:space="preserve">Informacja o świadczeniu emerytalnym jest podstawowym instrumentem umożliwiającym uczestnikom i beneficjentom zrozumienie, jak uprawnienia emerytalne kształtują się w czasie w różnych programach emerytalnych. Powinna ona zawierać jasne, kompleksowe i istotne informacje, które umożliwią uczestnikom i beneficjentom ocenę ich sytuacji finansowej i podjęcie wszelkich niezbędnych działań w celu zapewnienia odpowiedniej emerytury. Obecnie brak jednolitego podejścia na szczeblu państw członkowskich, wraz z faktem, że większość uczestników nabywa świadczenia emerytalne w wielu IORP w trakcie swojej kariery zawodowej, skutkuje zróżnicowaniem formatu i prezentacji informacji o świadczeniu emerytalnym, co ogranicza porównywalność i agregację. Obecne przepisy nie wymagają również uwzględnienia informacji na temat kosztów, wyników inwestycji ani wszelkich dostępnych opcji inwestycyjnych i związanego z nimi ryzyka. W celu zwiększenia przejrzystości i wspierania świadomego podejmowania decyzji konieczne jest wprowadzenie wymogów dotyczących opracowywania informacji o świadczeniu emerytalnym oraz przekazywania informacji na temat kosztów, zwrotów z inwestycji i opcji inwestycyjnych. Z tego samego powodu konieczne jest zapewnienie większej standaryzacji </w:t>
            </w:r>
            <w:proofErr w:type="gramStart"/>
            <w:r w:rsidRPr="00CE45E2">
              <w:rPr>
                <w:b/>
                <w:i/>
              </w:rPr>
              <w:t>oraz,</w:t>
            </w:r>
            <w:proofErr w:type="gramEnd"/>
            <w:r w:rsidRPr="00CE45E2">
              <w:rPr>
                <w:b/>
                <w:i/>
              </w:rPr>
              <w:t xml:space="preserve"> w miarę możliwości, dostosowanie do informacji o świadczeniach z OIPE, o której mowa w art. 36 rozporządzenia (UE) 2019/1238, przy jednoczesnym uwzględnieniu charakterystyki programów emerytalnych pod względem określonych świadczeń lub określonych składek oraz specyfiki pracowniczych programów emerytalnych.</w:t>
            </w:r>
          </w:p>
        </w:tc>
        <w:tc>
          <w:tcPr>
            <w:tcW w:w="4876" w:type="dxa"/>
            <w:tcBorders>
              <w:top w:val="nil"/>
              <w:left w:val="nil"/>
              <w:bottom w:val="nil"/>
              <w:right w:val="nil"/>
            </w:tcBorders>
          </w:tcPr>
          <w:p w14:paraId="50EA0039" w14:textId="77777777" w:rsidR="00CE45E2" w:rsidRPr="00CE45E2" w:rsidRDefault="00CE45E2" w:rsidP="006476FB">
            <w:pPr>
              <w:pStyle w:val="Normal6a"/>
            </w:pPr>
            <w:r w:rsidRPr="00CE45E2">
              <w:rPr>
                <w:b/>
                <w:i/>
              </w:rPr>
              <w:t>skreśla się</w:t>
            </w:r>
          </w:p>
        </w:tc>
      </w:tr>
    </w:tbl>
    <w:p w14:paraId="6B1122A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B6B678B" w14:textId="77777777" w:rsidR="00CE45E2" w:rsidRPr="00CE45E2" w:rsidRDefault="00CE45E2" w:rsidP="00CE45E2">
      <w:r w:rsidRPr="00CE45E2">
        <w:rPr>
          <w:rStyle w:val="HideTWBExt"/>
        </w:rPr>
        <w:t>&lt;/Amend&gt;</w:t>
      </w:r>
    </w:p>
    <w:p w14:paraId="4287ECAC" w14:textId="1F5334B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178</w:t>
      </w:r>
      <w:r w:rsidRPr="00CE45E2">
        <w:rPr>
          <w:rStyle w:val="HideTWBExt"/>
          <w:b w:val="0"/>
        </w:rPr>
        <w:t>&lt;/NumAm&gt;</w:t>
      </w:r>
    </w:p>
    <w:p w14:paraId="738F5098"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5C13D21A" w14:textId="77777777" w:rsidR="00CE45E2" w:rsidRPr="00CE45E2" w:rsidRDefault="00CE45E2" w:rsidP="00CE45E2">
      <w:pPr>
        <w:pStyle w:val="NormalBold"/>
      </w:pPr>
      <w:r w:rsidRPr="00CE45E2">
        <w:rPr>
          <w:rStyle w:val="HideTWBExt"/>
          <w:b w:val="0"/>
        </w:rPr>
        <w:t>&lt;/RepeatBlock-By&gt;</w:t>
      </w:r>
    </w:p>
    <w:p w14:paraId="7F70051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7800E70" w14:textId="77777777" w:rsidR="00CE45E2" w:rsidRPr="00CE45E2" w:rsidRDefault="00CE45E2" w:rsidP="00CE45E2">
      <w:pPr>
        <w:pStyle w:val="NormalBold"/>
      </w:pPr>
      <w:r w:rsidRPr="00CE45E2">
        <w:rPr>
          <w:rStyle w:val="HideTWBExt"/>
          <w:b w:val="0"/>
        </w:rPr>
        <w:t>&lt;Article&gt;</w:t>
      </w:r>
      <w:r w:rsidRPr="00CE45E2">
        <w:t>Motyw 33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51DA66A" w14:textId="77777777" w:rsidTr="006476FB">
        <w:trPr>
          <w:trHeight w:hRule="exact" w:val="240"/>
          <w:jc w:val="center"/>
        </w:trPr>
        <w:tc>
          <w:tcPr>
            <w:tcW w:w="9752" w:type="dxa"/>
            <w:gridSpan w:val="2"/>
            <w:tcBorders>
              <w:top w:val="nil"/>
              <w:left w:val="nil"/>
              <w:bottom w:val="nil"/>
              <w:right w:val="nil"/>
            </w:tcBorders>
          </w:tcPr>
          <w:p w14:paraId="56B69276" w14:textId="77777777" w:rsidR="00CE45E2" w:rsidRPr="00CE45E2" w:rsidRDefault="00CE45E2" w:rsidP="006476FB"/>
        </w:tc>
      </w:tr>
      <w:tr w:rsidR="00CE45E2" w:rsidRPr="00CE45E2" w14:paraId="44F3E676" w14:textId="77777777" w:rsidTr="006476FB">
        <w:trPr>
          <w:trHeight w:val="240"/>
          <w:jc w:val="center"/>
        </w:trPr>
        <w:tc>
          <w:tcPr>
            <w:tcW w:w="4876" w:type="dxa"/>
            <w:tcBorders>
              <w:top w:val="nil"/>
              <w:left w:val="nil"/>
              <w:bottom w:val="nil"/>
              <w:right w:val="nil"/>
            </w:tcBorders>
          </w:tcPr>
          <w:p w14:paraId="4D85F96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7BE273C" w14:textId="77777777" w:rsidR="00CE45E2" w:rsidRPr="00CE45E2" w:rsidRDefault="00CE45E2" w:rsidP="006476FB">
            <w:pPr>
              <w:pStyle w:val="AmColumnHeading"/>
            </w:pPr>
            <w:r w:rsidRPr="00CE45E2">
              <w:t>Poprawka</w:t>
            </w:r>
          </w:p>
        </w:tc>
      </w:tr>
      <w:tr w:rsidR="00CE45E2" w:rsidRPr="00CE45E2" w14:paraId="4943D48B" w14:textId="77777777" w:rsidTr="006476FB">
        <w:trPr>
          <w:jc w:val="center"/>
        </w:trPr>
        <w:tc>
          <w:tcPr>
            <w:tcW w:w="4876" w:type="dxa"/>
            <w:tcBorders>
              <w:top w:val="nil"/>
              <w:left w:val="nil"/>
              <w:bottom w:val="nil"/>
              <w:right w:val="nil"/>
            </w:tcBorders>
          </w:tcPr>
          <w:p w14:paraId="5BDD2983" w14:textId="77777777" w:rsidR="00CE45E2" w:rsidRPr="00CE45E2" w:rsidRDefault="00CE45E2" w:rsidP="006476FB">
            <w:pPr>
              <w:pStyle w:val="Normal6a"/>
            </w:pPr>
            <w:r w:rsidRPr="00CE45E2">
              <w:t>(33)</w:t>
            </w:r>
            <w:r w:rsidRPr="00CE45E2">
              <w:tab/>
              <w:t xml:space="preserve">Informacja o świadczeniu emerytalnym jest podstawowym instrumentem umożliwiającym uczestnikom i beneficjentom zrozumienie, jak uprawnienia emerytalne kształtują się w czasie w różnych programach emerytalnych. Powinna ona zawierać jasne, kompleksowe i istotne informacje, które umożliwią uczestnikom i beneficjentom ocenę ich sytuacji finansowej i podjęcie wszelkich niezbędnych działań w celu zapewnienia odpowiedniej emerytury. </w:t>
            </w:r>
            <w:r w:rsidRPr="00CE45E2">
              <w:rPr>
                <w:b/>
                <w:i/>
              </w:rPr>
              <w:t>Obecnie brak jednolitego podejścia na szczeblu państw członkowskich, wraz z faktem, że większość uczestników nabywa świadczenia emerytalne w wielu IORP w trakcie swojej kariery zawodowej, skutkuje zróżnicowaniem formatu i prezentacji informacji o świadczeniu emerytalnym, co ogranicza porównywalność i agregację.</w:t>
            </w:r>
            <w:r w:rsidRPr="00CE45E2">
              <w:t xml:space="preserve"> Obecne przepisy nie wymagają </w:t>
            </w:r>
            <w:r w:rsidRPr="00CE45E2">
              <w:rPr>
                <w:b/>
                <w:bCs/>
                <w:i/>
                <w:iCs/>
              </w:rPr>
              <w:t>również</w:t>
            </w:r>
            <w:r w:rsidRPr="00CE45E2">
              <w:t xml:space="preserve"> uwzględnienia informacji na temat kosztów, wyników inwestycji ani wszelkich dostępnych opcji inwestycyjnych i związanego z nimi ryzyka. W celu zwiększenia przejrzystości i wspierania świadomego podejmowania decyzji konieczne jest wprowadzenie wymogów dotyczących</w:t>
            </w:r>
            <w:r w:rsidRPr="00CE45E2">
              <w:rPr>
                <w:b/>
                <w:bCs/>
                <w:i/>
                <w:iCs/>
              </w:rPr>
              <w:t xml:space="preserve"> opracowywania informacji o świadczeniu emerytalnym oraz</w:t>
            </w:r>
            <w:r w:rsidRPr="00CE45E2">
              <w:t xml:space="preserve"> przekazywania informacji na temat kosztów, zwrotów z inwestycji i opcji inwestycyjnych. </w:t>
            </w:r>
            <w:r w:rsidRPr="00CE45E2">
              <w:rPr>
                <w:b/>
                <w:i/>
              </w:rPr>
              <w:t xml:space="preserve">Z tego samego powodu konieczne jest zapewnienie większej standaryzacji </w:t>
            </w:r>
            <w:proofErr w:type="gramStart"/>
            <w:r w:rsidRPr="00CE45E2">
              <w:rPr>
                <w:b/>
                <w:i/>
              </w:rPr>
              <w:t>oraz,</w:t>
            </w:r>
            <w:proofErr w:type="gramEnd"/>
            <w:r w:rsidRPr="00CE45E2">
              <w:rPr>
                <w:b/>
                <w:i/>
              </w:rPr>
              <w:t xml:space="preserve"> w miarę możliwości, dostosowanie do informacji o świadczeniach z OIPE, o której mowa w art. 36 rozporządzenia (UE) 2019/1238, przy jednoczesnym uwzględnieniu charakterystyki programów emerytalnych pod względem określonych świadczeń lub określonych składek oraz specyfiki pracowniczych programów emerytalnych.</w:t>
            </w:r>
          </w:p>
        </w:tc>
        <w:tc>
          <w:tcPr>
            <w:tcW w:w="4876" w:type="dxa"/>
            <w:tcBorders>
              <w:top w:val="nil"/>
              <w:left w:val="nil"/>
              <w:bottom w:val="nil"/>
              <w:right w:val="nil"/>
            </w:tcBorders>
          </w:tcPr>
          <w:p w14:paraId="4E8E6EF7" w14:textId="77777777" w:rsidR="00CE45E2" w:rsidRPr="00CE45E2" w:rsidRDefault="00CE45E2" w:rsidP="006476FB">
            <w:pPr>
              <w:pStyle w:val="Normal6a"/>
            </w:pPr>
            <w:r w:rsidRPr="00CE45E2">
              <w:t>(33)</w:t>
            </w:r>
            <w:r w:rsidRPr="00CE45E2">
              <w:tab/>
              <w:t>Informacja o świadczeniu emerytalnym jest podstawowym instrumentem umożliwiającym uczestnikom i beneficjentom zrozumienie, jak uprawnienia emerytalne kształtują się w czasie w różnych programach emerytalnych. Powinna ona zawierać jasne, kompleksowe i istotne informacje, które umożliwią uczestnikom i beneficjentom ocenę ich sytuacji finansowej i podjęcie wszelkich niezbędnych działań w celu zapewnienia odpowiedniej emerytury. Obecne przepisy nie wymagają uwzględnienia informacji na temat kosztów, wyników inwestycji ani wszelkich dostępnych opcji inwestycyjnych i związanego z nimi ryzyka. W celu zwiększenia przejrzystości i wspierania świadomego podejmowania decyzji konieczne jest wprowadzenie wymogów dotyczących</w:t>
            </w:r>
            <w:r w:rsidRPr="00CE45E2">
              <w:rPr>
                <w:b/>
                <w:bCs/>
                <w:i/>
                <w:iCs/>
              </w:rPr>
              <w:t xml:space="preserve"> opracowywania informacji o świadczeniu emerytalnym oraz</w:t>
            </w:r>
            <w:r w:rsidRPr="00CE45E2">
              <w:t xml:space="preserve"> przekazywania informacji na temat kosztów, zwrotów z inwestycji i opcji inwestycyjnych. </w:t>
            </w:r>
          </w:p>
        </w:tc>
      </w:tr>
    </w:tbl>
    <w:p w14:paraId="4A3DB80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CC9D516" w14:textId="77777777" w:rsidR="00CE45E2" w:rsidRPr="00CE45E2" w:rsidRDefault="00CE45E2" w:rsidP="00CE45E2">
      <w:r w:rsidRPr="00CE45E2">
        <w:rPr>
          <w:rStyle w:val="HideTWBExt"/>
        </w:rPr>
        <w:t>&lt;/Amend&gt;</w:t>
      </w:r>
    </w:p>
    <w:p w14:paraId="17CDF62F" w14:textId="58F295D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179</w:t>
      </w:r>
      <w:r w:rsidRPr="00CE45E2">
        <w:rPr>
          <w:rStyle w:val="HideTWBExt"/>
          <w:b w:val="0"/>
        </w:rPr>
        <w:t>&lt;/NumAm&gt;</w:t>
      </w:r>
    </w:p>
    <w:p w14:paraId="536A3773"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2CDE1BF8" w14:textId="77777777" w:rsidR="00CE45E2" w:rsidRPr="00CE45E2" w:rsidRDefault="00CE45E2" w:rsidP="00CE45E2">
      <w:pPr>
        <w:pStyle w:val="NormalBold"/>
      </w:pPr>
      <w:r w:rsidRPr="00CE45E2">
        <w:rPr>
          <w:rStyle w:val="HideTWBExt"/>
          <w:b w:val="0"/>
        </w:rPr>
        <w:t>&lt;/RepeatBlock-By&gt;</w:t>
      </w:r>
    </w:p>
    <w:p w14:paraId="5FE3CB8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103594D" w14:textId="77777777" w:rsidR="00CE45E2" w:rsidRPr="00CE45E2" w:rsidRDefault="00CE45E2" w:rsidP="00CE45E2">
      <w:pPr>
        <w:pStyle w:val="NormalBold"/>
      </w:pPr>
      <w:r w:rsidRPr="00CE45E2">
        <w:rPr>
          <w:rStyle w:val="HideTWBExt"/>
          <w:b w:val="0"/>
        </w:rPr>
        <w:t>&lt;Article&gt;</w:t>
      </w:r>
      <w:r w:rsidRPr="00CE45E2">
        <w:t>Motyw 34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AE50E31" w14:textId="77777777" w:rsidTr="006476FB">
        <w:trPr>
          <w:trHeight w:hRule="exact" w:val="240"/>
          <w:jc w:val="center"/>
        </w:trPr>
        <w:tc>
          <w:tcPr>
            <w:tcW w:w="9752" w:type="dxa"/>
            <w:gridSpan w:val="2"/>
            <w:tcBorders>
              <w:top w:val="nil"/>
              <w:left w:val="nil"/>
              <w:bottom w:val="nil"/>
              <w:right w:val="nil"/>
            </w:tcBorders>
          </w:tcPr>
          <w:p w14:paraId="3885AA5A" w14:textId="77777777" w:rsidR="00CE45E2" w:rsidRPr="00CE45E2" w:rsidRDefault="00CE45E2" w:rsidP="006476FB"/>
        </w:tc>
      </w:tr>
      <w:tr w:rsidR="00CE45E2" w:rsidRPr="00CE45E2" w14:paraId="1599824C" w14:textId="77777777" w:rsidTr="006476FB">
        <w:trPr>
          <w:trHeight w:val="240"/>
          <w:jc w:val="center"/>
        </w:trPr>
        <w:tc>
          <w:tcPr>
            <w:tcW w:w="4876" w:type="dxa"/>
            <w:tcBorders>
              <w:top w:val="nil"/>
              <w:left w:val="nil"/>
              <w:bottom w:val="nil"/>
              <w:right w:val="nil"/>
            </w:tcBorders>
          </w:tcPr>
          <w:p w14:paraId="405E634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013E088" w14:textId="77777777" w:rsidR="00CE45E2" w:rsidRPr="00CE45E2" w:rsidRDefault="00CE45E2" w:rsidP="006476FB">
            <w:pPr>
              <w:pStyle w:val="AmColumnHeading"/>
            </w:pPr>
            <w:r w:rsidRPr="00CE45E2">
              <w:t>Poprawka</w:t>
            </w:r>
          </w:p>
        </w:tc>
      </w:tr>
      <w:tr w:rsidR="00CE45E2" w:rsidRPr="00CE45E2" w14:paraId="642B08B8" w14:textId="77777777" w:rsidTr="006476FB">
        <w:trPr>
          <w:jc w:val="center"/>
        </w:trPr>
        <w:tc>
          <w:tcPr>
            <w:tcW w:w="4876" w:type="dxa"/>
            <w:tcBorders>
              <w:top w:val="nil"/>
              <w:left w:val="nil"/>
              <w:bottom w:val="nil"/>
              <w:right w:val="nil"/>
            </w:tcBorders>
          </w:tcPr>
          <w:p w14:paraId="3D285CA0" w14:textId="77777777" w:rsidR="00CE45E2" w:rsidRPr="00CE45E2" w:rsidRDefault="00CE45E2" w:rsidP="006476FB">
            <w:pPr>
              <w:pStyle w:val="Normal6a"/>
            </w:pPr>
            <w:r w:rsidRPr="00CE45E2">
              <w:rPr>
                <w:b/>
                <w:i/>
              </w:rPr>
              <w:t>(34)</w:t>
            </w:r>
            <w:r w:rsidRPr="00CE45E2">
              <w:tab/>
            </w:r>
            <w:r w:rsidRPr="00CE45E2">
              <w:rPr>
                <w:b/>
                <w:i/>
              </w:rPr>
              <w:t>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poziomów odniesienia odzwierciedlających politykę inwestycyjną. Obecnie nie istnieją zharmonizowane ramy informowania uczestników i beneficjentów o niezadowalających wynikach. Aby rozwiązać ten problem, IORP powinny być zobowiązane do niezwłocznego informowania swojego właściwego organu i przedstawiania dowodów na to, że koszty i opłaty programu są uzasadnione i proporcjonalne oraz że program jest zgodny z tolerancją ryzyka jego uczestników i beneficjentów. Jeżeli właściwy organ nie jest usatysfakcjonowany takim uzasadnieniem lub niezadowalające wyniki utrzymują się przez co najmniej trzy lata, IORP powinny wyraźnie poinformować uczestników i beneficjentów o takich niezadowalających wynikach, wyjaśnić ich przyczyny i przedstawić środki zaradcze. Państwa członkowskie powinny zapewnić ustanowienie obiektywnych poziomów odniesienia na potrzeby oceny niezadowalających wyników.</w:t>
            </w:r>
          </w:p>
        </w:tc>
        <w:tc>
          <w:tcPr>
            <w:tcW w:w="4876" w:type="dxa"/>
            <w:tcBorders>
              <w:top w:val="nil"/>
              <w:left w:val="nil"/>
              <w:bottom w:val="nil"/>
              <w:right w:val="nil"/>
            </w:tcBorders>
          </w:tcPr>
          <w:p w14:paraId="50764467" w14:textId="77777777" w:rsidR="00CE45E2" w:rsidRPr="00CE45E2" w:rsidRDefault="00CE45E2" w:rsidP="006476FB">
            <w:pPr>
              <w:pStyle w:val="Normal6a"/>
            </w:pPr>
            <w:r w:rsidRPr="00CE45E2">
              <w:rPr>
                <w:b/>
                <w:i/>
              </w:rPr>
              <w:t>skreśla się</w:t>
            </w:r>
          </w:p>
        </w:tc>
      </w:tr>
    </w:tbl>
    <w:p w14:paraId="61FA6AD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5EE268F7" w14:textId="77777777" w:rsidR="00CE45E2" w:rsidRPr="00CE45E2" w:rsidRDefault="00CE45E2" w:rsidP="00CE45E2">
      <w:r w:rsidRPr="00CE45E2">
        <w:rPr>
          <w:rStyle w:val="HideTWBExt"/>
        </w:rPr>
        <w:t>&lt;/Amend&gt;</w:t>
      </w:r>
    </w:p>
    <w:p w14:paraId="778296C1" w14:textId="423B3A5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180</w:t>
      </w:r>
      <w:r w:rsidRPr="00CE45E2">
        <w:rPr>
          <w:rStyle w:val="HideTWBExt"/>
          <w:b w:val="0"/>
        </w:rPr>
        <w:t>&lt;/NumAm&gt;</w:t>
      </w:r>
    </w:p>
    <w:p w14:paraId="67DE5FE6"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5911E913" w14:textId="77777777" w:rsidR="00CE45E2" w:rsidRPr="00CE45E2" w:rsidRDefault="00CE45E2" w:rsidP="00CE45E2">
      <w:pPr>
        <w:pStyle w:val="NormalBold"/>
      </w:pPr>
      <w:r w:rsidRPr="00CE45E2">
        <w:rPr>
          <w:rStyle w:val="HideTWBExt"/>
          <w:b w:val="0"/>
        </w:rPr>
        <w:t>&lt;/RepeatBlock-By&gt;</w:t>
      </w:r>
    </w:p>
    <w:p w14:paraId="1F2754A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2E80AFF" w14:textId="77777777" w:rsidR="00CE45E2" w:rsidRPr="00CE45E2" w:rsidRDefault="00CE45E2" w:rsidP="00CE45E2">
      <w:pPr>
        <w:pStyle w:val="NormalBold"/>
      </w:pPr>
      <w:r w:rsidRPr="00CE45E2">
        <w:rPr>
          <w:rStyle w:val="HideTWBExt"/>
          <w:b w:val="0"/>
        </w:rPr>
        <w:t>&lt;Article&gt;</w:t>
      </w:r>
      <w:r w:rsidRPr="00CE45E2">
        <w:t>Motyw 34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0DF89FF" w14:textId="77777777" w:rsidTr="006476FB">
        <w:trPr>
          <w:trHeight w:hRule="exact" w:val="240"/>
          <w:jc w:val="center"/>
        </w:trPr>
        <w:tc>
          <w:tcPr>
            <w:tcW w:w="9752" w:type="dxa"/>
            <w:gridSpan w:val="2"/>
            <w:tcBorders>
              <w:top w:val="nil"/>
              <w:left w:val="nil"/>
              <w:bottom w:val="nil"/>
              <w:right w:val="nil"/>
            </w:tcBorders>
          </w:tcPr>
          <w:p w14:paraId="5AFAC189" w14:textId="77777777" w:rsidR="00CE45E2" w:rsidRPr="00CE45E2" w:rsidRDefault="00CE45E2" w:rsidP="006476FB"/>
        </w:tc>
      </w:tr>
      <w:tr w:rsidR="00CE45E2" w:rsidRPr="00CE45E2" w14:paraId="7558338A" w14:textId="77777777" w:rsidTr="006476FB">
        <w:trPr>
          <w:trHeight w:val="240"/>
          <w:jc w:val="center"/>
        </w:trPr>
        <w:tc>
          <w:tcPr>
            <w:tcW w:w="4876" w:type="dxa"/>
            <w:tcBorders>
              <w:top w:val="nil"/>
              <w:left w:val="nil"/>
              <w:bottom w:val="nil"/>
              <w:right w:val="nil"/>
            </w:tcBorders>
          </w:tcPr>
          <w:p w14:paraId="7ABDE4A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1FB00BD" w14:textId="77777777" w:rsidR="00CE45E2" w:rsidRPr="00CE45E2" w:rsidRDefault="00CE45E2" w:rsidP="006476FB">
            <w:pPr>
              <w:pStyle w:val="AmColumnHeading"/>
            </w:pPr>
            <w:r w:rsidRPr="00CE45E2">
              <w:t>Poprawka</w:t>
            </w:r>
          </w:p>
        </w:tc>
      </w:tr>
      <w:tr w:rsidR="00CE45E2" w:rsidRPr="00CE45E2" w14:paraId="672F8D28" w14:textId="77777777" w:rsidTr="006476FB">
        <w:trPr>
          <w:jc w:val="center"/>
        </w:trPr>
        <w:tc>
          <w:tcPr>
            <w:tcW w:w="4876" w:type="dxa"/>
            <w:tcBorders>
              <w:top w:val="nil"/>
              <w:left w:val="nil"/>
              <w:bottom w:val="nil"/>
              <w:right w:val="nil"/>
            </w:tcBorders>
          </w:tcPr>
          <w:p w14:paraId="53BE3004" w14:textId="77777777" w:rsidR="00CE45E2" w:rsidRPr="00CE45E2" w:rsidRDefault="00CE45E2" w:rsidP="006476FB">
            <w:pPr>
              <w:pStyle w:val="Normal6a"/>
            </w:pPr>
            <w:r w:rsidRPr="00CE45E2">
              <w:rPr>
                <w:b/>
                <w:i/>
              </w:rPr>
              <w:t>(34)</w:t>
            </w:r>
            <w:r w:rsidRPr="00CE45E2">
              <w:tab/>
            </w:r>
            <w:r w:rsidRPr="00CE45E2">
              <w:rPr>
                <w:b/>
                <w:i/>
              </w:rPr>
              <w:t>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poziomów odniesienia odzwierciedlających politykę inwestycyjną. Obecnie nie istnieją zharmonizowane ramy informowania uczestników i beneficjentów o niezadowalających wynikach. Aby rozwiązać ten problem, IORP powinny być zobowiązane do niezwłocznego informowania swojego właściwego organu i przedstawiania dowodów na to, że koszty i opłaty programu są uzasadnione i proporcjonalne oraz że program jest zgodny z tolerancją ryzyka jego uczestników i beneficjentów. Jeżeli właściwy organ nie jest usatysfakcjonowany takim uzasadnieniem lub niezadowalające wyniki utrzymują się przez co najmniej trzy lata, IORP powinny wyraźnie poinformować uczestników i beneficjentów o takich niezadowalających wynikach, wyjaśnić ich przyczyny i przedstawić środki zaradcze. Państwa członkowskie powinny zapewnić ustanowienie obiektywnych poziomów odniesienia na potrzeby oceny niezadowalających wyników.</w:t>
            </w:r>
          </w:p>
        </w:tc>
        <w:tc>
          <w:tcPr>
            <w:tcW w:w="4876" w:type="dxa"/>
            <w:tcBorders>
              <w:top w:val="nil"/>
              <w:left w:val="nil"/>
              <w:bottom w:val="nil"/>
              <w:right w:val="nil"/>
            </w:tcBorders>
          </w:tcPr>
          <w:p w14:paraId="4244DF19" w14:textId="77777777" w:rsidR="00CE45E2" w:rsidRPr="00CE45E2" w:rsidRDefault="00CE45E2" w:rsidP="006476FB">
            <w:pPr>
              <w:pStyle w:val="Normal6a"/>
            </w:pPr>
            <w:r w:rsidRPr="00CE45E2">
              <w:rPr>
                <w:b/>
                <w:i/>
              </w:rPr>
              <w:t>skreśla się</w:t>
            </w:r>
          </w:p>
        </w:tc>
      </w:tr>
    </w:tbl>
    <w:p w14:paraId="264737E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537B8B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15B5EF44" w14:textId="77777777" w:rsidR="00CE45E2" w:rsidRPr="00CE45E2" w:rsidRDefault="00CE45E2" w:rsidP="00CE45E2">
      <w:pPr>
        <w:pStyle w:val="AmJustText"/>
      </w:pPr>
      <w:r w:rsidRPr="00CE45E2">
        <w:t>Poziomy odniesienia ustalane przez organy nadzoru nie są w stanie odzwierciedlić specyficznych dla danego programu strategii inwestycyjnych, struktur zobowiązań ani profili demograficznych. Odchylenia od jednolitego poziomu odniesienia nie wskazują na złe zarządzanie; odzwierciedlają one uzasadnione długoterminowe wybory. Przepis ten stwarza zachęty do ścisłego odwzorowywania indeksów, co zniechęca właśnie do tych niepłynnych i długoterminowych inwestycji, które unia oszczędności i inwestycji stara się promować. Istniejące uprawnienia nadzorcze na mocy art. 30, 30a i 49 zapewniają już odpowiednie narzędzia do reagowania na rzeczywiste słabe wyniki.</w:t>
      </w:r>
    </w:p>
    <w:p w14:paraId="7FA8D2AD" w14:textId="77777777" w:rsidR="00CE45E2" w:rsidRPr="00CE45E2" w:rsidRDefault="00CE45E2" w:rsidP="00CE45E2">
      <w:r w:rsidRPr="00CE45E2">
        <w:rPr>
          <w:rStyle w:val="HideTWBExt"/>
        </w:rPr>
        <w:t>&lt;/Amend&gt;</w:t>
      </w:r>
    </w:p>
    <w:p w14:paraId="02033D04" w14:textId="63D6503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181</w:t>
      </w:r>
      <w:r w:rsidRPr="00CE45E2">
        <w:rPr>
          <w:rStyle w:val="HideTWBExt"/>
          <w:b w:val="0"/>
        </w:rPr>
        <w:t>&lt;/NumAm&gt;</w:t>
      </w:r>
    </w:p>
    <w:p w14:paraId="51486EE3"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62D2C94A"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4B811005" w14:textId="77777777" w:rsidR="00CE45E2" w:rsidRPr="00CE45E2" w:rsidRDefault="00CE45E2" w:rsidP="00CE45E2">
      <w:pPr>
        <w:pStyle w:val="NormalBold"/>
      </w:pPr>
      <w:r w:rsidRPr="00CE45E2">
        <w:rPr>
          <w:rStyle w:val="HideTWBExt"/>
          <w:b w:val="0"/>
        </w:rPr>
        <w:t>&lt;/RepeatBlock-By&gt;</w:t>
      </w:r>
    </w:p>
    <w:p w14:paraId="31507E7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8113FBF" w14:textId="77777777" w:rsidR="00CE45E2" w:rsidRPr="00CE45E2" w:rsidRDefault="00CE45E2" w:rsidP="00CE45E2">
      <w:pPr>
        <w:pStyle w:val="NormalBold"/>
      </w:pPr>
      <w:r w:rsidRPr="00CE45E2">
        <w:rPr>
          <w:rStyle w:val="HideTWBExt"/>
          <w:b w:val="0"/>
        </w:rPr>
        <w:t>&lt;Article&gt;</w:t>
      </w:r>
      <w:r w:rsidRPr="00CE45E2">
        <w:t>Motyw 34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9A1A454" w14:textId="77777777" w:rsidTr="006476FB">
        <w:trPr>
          <w:trHeight w:hRule="exact" w:val="240"/>
          <w:jc w:val="center"/>
        </w:trPr>
        <w:tc>
          <w:tcPr>
            <w:tcW w:w="9752" w:type="dxa"/>
            <w:gridSpan w:val="2"/>
            <w:tcBorders>
              <w:top w:val="nil"/>
              <w:left w:val="nil"/>
              <w:bottom w:val="nil"/>
              <w:right w:val="nil"/>
            </w:tcBorders>
          </w:tcPr>
          <w:p w14:paraId="48C78762" w14:textId="77777777" w:rsidR="00CE45E2" w:rsidRPr="00CE45E2" w:rsidRDefault="00CE45E2" w:rsidP="006476FB"/>
        </w:tc>
      </w:tr>
      <w:tr w:rsidR="00CE45E2" w:rsidRPr="00CE45E2" w14:paraId="42A2D4CB" w14:textId="77777777" w:rsidTr="006476FB">
        <w:trPr>
          <w:trHeight w:val="240"/>
          <w:jc w:val="center"/>
        </w:trPr>
        <w:tc>
          <w:tcPr>
            <w:tcW w:w="4876" w:type="dxa"/>
            <w:tcBorders>
              <w:top w:val="nil"/>
              <w:left w:val="nil"/>
              <w:bottom w:val="nil"/>
              <w:right w:val="nil"/>
            </w:tcBorders>
          </w:tcPr>
          <w:p w14:paraId="3929E94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7E8376B" w14:textId="77777777" w:rsidR="00CE45E2" w:rsidRPr="00CE45E2" w:rsidRDefault="00CE45E2" w:rsidP="006476FB">
            <w:pPr>
              <w:pStyle w:val="AmColumnHeading"/>
            </w:pPr>
            <w:r w:rsidRPr="00CE45E2">
              <w:t>Poprawka</w:t>
            </w:r>
          </w:p>
        </w:tc>
      </w:tr>
      <w:tr w:rsidR="00CE45E2" w:rsidRPr="00CE45E2" w14:paraId="1D1A782E" w14:textId="77777777" w:rsidTr="006476FB">
        <w:trPr>
          <w:jc w:val="center"/>
        </w:trPr>
        <w:tc>
          <w:tcPr>
            <w:tcW w:w="4876" w:type="dxa"/>
            <w:tcBorders>
              <w:top w:val="nil"/>
              <w:left w:val="nil"/>
              <w:bottom w:val="nil"/>
              <w:right w:val="nil"/>
            </w:tcBorders>
          </w:tcPr>
          <w:p w14:paraId="7BCA502D" w14:textId="77777777" w:rsidR="00CE45E2" w:rsidRPr="00CE45E2" w:rsidRDefault="00CE45E2" w:rsidP="006476FB">
            <w:pPr>
              <w:pStyle w:val="Normal6a"/>
            </w:pPr>
            <w:r w:rsidRPr="00CE45E2">
              <w:rPr>
                <w:b/>
                <w:i/>
              </w:rPr>
              <w:t>(34)</w:t>
            </w:r>
            <w:r w:rsidRPr="00CE45E2">
              <w:tab/>
            </w:r>
            <w:r w:rsidRPr="00CE45E2">
              <w:rPr>
                <w:b/>
                <w:i/>
              </w:rPr>
              <w:t>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poziomów odniesienia odzwierciedlających politykę inwestycyjną. Obecnie nie istnieją zharmonizowane ramy informowania uczestników i beneficjentów o niezadowalających wynikach. Aby rozwiązać ten problem, IORP powinny być zobowiązane do niezwłocznego informowania swojego właściwego organu i przedstawiania dowodów na to, że koszty i opłaty programu są uzasadnione i proporcjonalne oraz że program jest zgodny z tolerancją ryzyka jego uczestników i beneficjentów. Jeżeli właściwy organ nie jest usatysfakcjonowany takim uzasadnieniem lub niezadowalające wyniki utrzymują się przez co najmniej trzy lata, IORP powinny wyraźnie poinformować uczestników i beneficjentów o takich niezadowalających wynikach, wyjaśnić ich przyczyny i przedstawić środki zaradcze. Państwa członkowskie powinny zapewnić ustanowienie obiektywnych poziomów odniesienia na potrzeby oceny niezadowalających wyników.</w:t>
            </w:r>
          </w:p>
        </w:tc>
        <w:tc>
          <w:tcPr>
            <w:tcW w:w="4876" w:type="dxa"/>
            <w:tcBorders>
              <w:top w:val="nil"/>
              <w:left w:val="nil"/>
              <w:bottom w:val="nil"/>
              <w:right w:val="nil"/>
            </w:tcBorders>
          </w:tcPr>
          <w:p w14:paraId="1B72C5C9" w14:textId="77777777" w:rsidR="00CE45E2" w:rsidRPr="00CE45E2" w:rsidRDefault="00CE45E2" w:rsidP="006476FB">
            <w:pPr>
              <w:pStyle w:val="Normal6a"/>
            </w:pPr>
            <w:r w:rsidRPr="00CE45E2">
              <w:rPr>
                <w:b/>
                <w:i/>
              </w:rPr>
              <w:t>skreśla się</w:t>
            </w:r>
          </w:p>
        </w:tc>
      </w:tr>
    </w:tbl>
    <w:p w14:paraId="1B812D1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5AC9869" w14:textId="77777777" w:rsidR="00CE45E2" w:rsidRPr="00CE45E2" w:rsidRDefault="00CE45E2" w:rsidP="00CE45E2">
      <w:r w:rsidRPr="00CE45E2">
        <w:rPr>
          <w:rStyle w:val="HideTWBExt"/>
        </w:rPr>
        <w:t>&lt;/Amend&gt;</w:t>
      </w:r>
    </w:p>
    <w:p w14:paraId="74EF12AB" w14:textId="6E21CD5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182</w:t>
      </w:r>
      <w:r w:rsidRPr="00CE45E2">
        <w:rPr>
          <w:rStyle w:val="HideTWBExt"/>
          <w:b w:val="0"/>
        </w:rPr>
        <w:t>&lt;/NumAm&gt;</w:t>
      </w:r>
    </w:p>
    <w:p w14:paraId="12AC2921" w14:textId="77777777" w:rsidR="00CE45E2" w:rsidRPr="00CE45E2" w:rsidRDefault="00CE45E2" w:rsidP="00CE45E2">
      <w:pPr>
        <w:pStyle w:val="NormalBold"/>
      </w:pPr>
      <w:r w:rsidRPr="00CE45E2">
        <w:rPr>
          <w:rStyle w:val="HideTWBExt"/>
          <w:b w:val="0"/>
        </w:rPr>
        <w:t>&lt;RepeatBlock-By&gt;&lt;Members&gt;</w:t>
      </w:r>
      <w:r w:rsidRPr="00CE45E2">
        <w:t xml:space="preserve">Arba </w:t>
      </w:r>
      <w:proofErr w:type="spellStart"/>
      <w:r w:rsidRPr="00CE45E2">
        <w:t>Kokalari</w:t>
      </w:r>
      <w:proofErr w:type="spellEnd"/>
      <w:r w:rsidRPr="00CE45E2">
        <w:rPr>
          <w:rStyle w:val="HideTWBExt"/>
          <w:b w:val="0"/>
        </w:rPr>
        <w:t>&lt;/Members&gt;</w:t>
      </w:r>
    </w:p>
    <w:p w14:paraId="71B285F7" w14:textId="77777777" w:rsidR="00CE45E2" w:rsidRPr="00CE45E2" w:rsidRDefault="00CE45E2" w:rsidP="00CE45E2">
      <w:pPr>
        <w:pStyle w:val="NormalBold"/>
      </w:pPr>
      <w:r w:rsidRPr="00CE45E2">
        <w:rPr>
          <w:rStyle w:val="HideTWBExt"/>
          <w:b w:val="0"/>
        </w:rPr>
        <w:t>&lt;/RepeatBlock-By&gt;</w:t>
      </w:r>
    </w:p>
    <w:p w14:paraId="68CA50A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4854E05" w14:textId="77777777" w:rsidR="00CE45E2" w:rsidRPr="00CE45E2" w:rsidRDefault="00CE45E2" w:rsidP="00CE45E2">
      <w:pPr>
        <w:pStyle w:val="NormalBold"/>
      </w:pPr>
      <w:r w:rsidRPr="00CE45E2">
        <w:rPr>
          <w:rStyle w:val="HideTWBExt"/>
          <w:b w:val="0"/>
        </w:rPr>
        <w:t>&lt;Article&gt;</w:t>
      </w:r>
      <w:r w:rsidRPr="00CE45E2">
        <w:t>Motyw 34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A07947E" w14:textId="77777777" w:rsidTr="006476FB">
        <w:trPr>
          <w:trHeight w:hRule="exact" w:val="240"/>
          <w:jc w:val="center"/>
        </w:trPr>
        <w:tc>
          <w:tcPr>
            <w:tcW w:w="9752" w:type="dxa"/>
            <w:gridSpan w:val="2"/>
            <w:tcBorders>
              <w:top w:val="nil"/>
              <w:left w:val="nil"/>
              <w:bottom w:val="nil"/>
              <w:right w:val="nil"/>
            </w:tcBorders>
          </w:tcPr>
          <w:p w14:paraId="790EDB7F" w14:textId="77777777" w:rsidR="00CE45E2" w:rsidRPr="00CE45E2" w:rsidRDefault="00CE45E2" w:rsidP="006476FB"/>
        </w:tc>
      </w:tr>
      <w:tr w:rsidR="00CE45E2" w:rsidRPr="00CE45E2" w14:paraId="7836AA7B" w14:textId="77777777" w:rsidTr="006476FB">
        <w:trPr>
          <w:trHeight w:val="240"/>
          <w:jc w:val="center"/>
        </w:trPr>
        <w:tc>
          <w:tcPr>
            <w:tcW w:w="4876" w:type="dxa"/>
            <w:tcBorders>
              <w:top w:val="nil"/>
              <w:left w:val="nil"/>
              <w:bottom w:val="nil"/>
              <w:right w:val="nil"/>
            </w:tcBorders>
          </w:tcPr>
          <w:p w14:paraId="1FD87B4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EFDC335" w14:textId="77777777" w:rsidR="00CE45E2" w:rsidRPr="00CE45E2" w:rsidRDefault="00CE45E2" w:rsidP="006476FB">
            <w:pPr>
              <w:pStyle w:val="AmColumnHeading"/>
            </w:pPr>
            <w:r w:rsidRPr="00CE45E2">
              <w:t>Poprawka</w:t>
            </w:r>
          </w:p>
        </w:tc>
      </w:tr>
      <w:tr w:rsidR="00CE45E2" w:rsidRPr="00CE45E2" w14:paraId="0911FC86" w14:textId="77777777" w:rsidTr="006476FB">
        <w:trPr>
          <w:jc w:val="center"/>
        </w:trPr>
        <w:tc>
          <w:tcPr>
            <w:tcW w:w="4876" w:type="dxa"/>
            <w:tcBorders>
              <w:top w:val="nil"/>
              <w:left w:val="nil"/>
              <w:bottom w:val="nil"/>
              <w:right w:val="nil"/>
            </w:tcBorders>
          </w:tcPr>
          <w:p w14:paraId="643735E7" w14:textId="77777777" w:rsidR="00CE45E2" w:rsidRPr="00CE45E2" w:rsidRDefault="00CE45E2" w:rsidP="006476FB">
            <w:pPr>
              <w:pStyle w:val="Normal6a"/>
            </w:pPr>
            <w:r w:rsidRPr="00CE45E2">
              <w:rPr>
                <w:b/>
                <w:i/>
              </w:rPr>
              <w:t>(34)</w:t>
            </w:r>
            <w:r w:rsidRPr="00CE45E2">
              <w:tab/>
            </w:r>
            <w:r w:rsidRPr="00CE45E2">
              <w:rPr>
                <w:b/>
                <w:i/>
              </w:rPr>
              <w:t>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poziomów odniesienia odzwierciedlających politykę inwestycyjną. Obecnie nie istnieją zharmonizowane ramy informowania uczestników i beneficjentów o niezadowalających wynikach. Aby rozwiązać ten problem, IORP powinny być zobowiązane do niezwłocznego informowania swojego właściwego organu i przedstawiania dowodów na to, że koszty i opłaty programu są uzasadnione i proporcjonalne oraz że program jest zgodny z tolerancją ryzyka jego uczestników i beneficjentów. Jeżeli właściwy organ nie jest usatysfakcjonowany takim uzasadnieniem lub niezadowalające wyniki utrzymują się przez co najmniej trzy lata, IORP powinny wyraźnie poinformować uczestników i beneficjentów o takich niezadowalających wynikach, wyjaśnić ich przyczyny i przedstawić środki zaradcze. Państwa członkowskie powinny zapewnić ustanowienie obiektywnych poziomów odniesienia na potrzeby oceny niezadowalających wyników.</w:t>
            </w:r>
          </w:p>
        </w:tc>
        <w:tc>
          <w:tcPr>
            <w:tcW w:w="4876" w:type="dxa"/>
            <w:tcBorders>
              <w:top w:val="nil"/>
              <w:left w:val="nil"/>
              <w:bottom w:val="nil"/>
              <w:right w:val="nil"/>
            </w:tcBorders>
          </w:tcPr>
          <w:p w14:paraId="351BDD9F" w14:textId="77777777" w:rsidR="00CE45E2" w:rsidRPr="00CE45E2" w:rsidRDefault="00CE45E2" w:rsidP="006476FB">
            <w:pPr>
              <w:pStyle w:val="Normal6a"/>
            </w:pPr>
            <w:r w:rsidRPr="00CE45E2">
              <w:rPr>
                <w:b/>
                <w:i/>
              </w:rPr>
              <w:t>skreśla się</w:t>
            </w:r>
          </w:p>
        </w:tc>
      </w:tr>
    </w:tbl>
    <w:p w14:paraId="1211596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E9F8B27" w14:textId="77777777" w:rsidR="00CE45E2" w:rsidRPr="00CE45E2" w:rsidRDefault="00CE45E2" w:rsidP="00CE45E2">
      <w:r w:rsidRPr="00CE45E2">
        <w:rPr>
          <w:rStyle w:val="HideTWBExt"/>
        </w:rPr>
        <w:t>&lt;/Amend&gt;</w:t>
      </w:r>
    </w:p>
    <w:p w14:paraId="5A661229" w14:textId="40C6199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183</w:t>
      </w:r>
      <w:r w:rsidRPr="00CE45E2">
        <w:rPr>
          <w:rStyle w:val="HideTWBExt"/>
          <w:b w:val="0"/>
        </w:rPr>
        <w:t>&lt;/NumAm&gt;</w:t>
      </w:r>
    </w:p>
    <w:p w14:paraId="18D3885D"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623069F" w14:textId="77777777" w:rsidR="00CE45E2" w:rsidRPr="00CE45E2" w:rsidRDefault="00CE45E2" w:rsidP="00CE45E2">
      <w:pPr>
        <w:pStyle w:val="NormalBold"/>
      </w:pPr>
      <w:r w:rsidRPr="00CE45E2">
        <w:rPr>
          <w:rStyle w:val="HideTWBExt"/>
          <w:b w:val="0"/>
        </w:rPr>
        <w:t>&lt;/RepeatBlock-By&gt;</w:t>
      </w:r>
    </w:p>
    <w:p w14:paraId="08C1A30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7983643" w14:textId="77777777" w:rsidR="00CE45E2" w:rsidRPr="00CE45E2" w:rsidRDefault="00CE45E2" w:rsidP="00CE45E2">
      <w:pPr>
        <w:pStyle w:val="NormalBold"/>
      </w:pPr>
      <w:r w:rsidRPr="00CE45E2">
        <w:rPr>
          <w:rStyle w:val="HideTWBExt"/>
          <w:b w:val="0"/>
        </w:rPr>
        <w:t>&lt;Article&gt;</w:t>
      </w:r>
      <w:r w:rsidRPr="00CE45E2">
        <w:t>Motyw 34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3644C84" w14:textId="77777777" w:rsidTr="006476FB">
        <w:trPr>
          <w:trHeight w:hRule="exact" w:val="240"/>
          <w:jc w:val="center"/>
        </w:trPr>
        <w:tc>
          <w:tcPr>
            <w:tcW w:w="9752" w:type="dxa"/>
            <w:gridSpan w:val="2"/>
            <w:tcBorders>
              <w:top w:val="nil"/>
              <w:left w:val="nil"/>
              <w:bottom w:val="nil"/>
              <w:right w:val="nil"/>
            </w:tcBorders>
          </w:tcPr>
          <w:p w14:paraId="75665F56" w14:textId="77777777" w:rsidR="00CE45E2" w:rsidRPr="00CE45E2" w:rsidRDefault="00CE45E2" w:rsidP="006476FB"/>
        </w:tc>
      </w:tr>
      <w:tr w:rsidR="00CE45E2" w:rsidRPr="00CE45E2" w14:paraId="48472F6E" w14:textId="77777777" w:rsidTr="006476FB">
        <w:trPr>
          <w:trHeight w:val="240"/>
          <w:jc w:val="center"/>
        </w:trPr>
        <w:tc>
          <w:tcPr>
            <w:tcW w:w="4876" w:type="dxa"/>
            <w:tcBorders>
              <w:top w:val="nil"/>
              <w:left w:val="nil"/>
              <w:bottom w:val="nil"/>
              <w:right w:val="nil"/>
            </w:tcBorders>
          </w:tcPr>
          <w:p w14:paraId="69D861E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D30E829" w14:textId="77777777" w:rsidR="00CE45E2" w:rsidRPr="00CE45E2" w:rsidRDefault="00CE45E2" w:rsidP="006476FB">
            <w:pPr>
              <w:pStyle w:val="AmColumnHeading"/>
            </w:pPr>
            <w:r w:rsidRPr="00CE45E2">
              <w:t>Poprawka</w:t>
            </w:r>
          </w:p>
        </w:tc>
      </w:tr>
      <w:tr w:rsidR="00CE45E2" w:rsidRPr="00CE45E2" w14:paraId="0A130E5D" w14:textId="77777777" w:rsidTr="006476FB">
        <w:trPr>
          <w:jc w:val="center"/>
        </w:trPr>
        <w:tc>
          <w:tcPr>
            <w:tcW w:w="4876" w:type="dxa"/>
            <w:tcBorders>
              <w:top w:val="nil"/>
              <w:left w:val="nil"/>
              <w:bottom w:val="nil"/>
              <w:right w:val="nil"/>
            </w:tcBorders>
          </w:tcPr>
          <w:p w14:paraId="6DF37430" w14:textId="77777777" w:rsidR="00CE45E2" w:rsidRPr="00CE45E2" w:rsidRDefault="00CE45E2" w:rsidP="006476FB">
            <w:pPr>
              <w:pStyle w:val="Normal6a"/>
            </w:pPr>
            <w:r w:rsidRPr="00CE45E2">
              <w:t>(34)</w:t>
            </w:r>
            <w:r w:rsidRPr="00CE45E2">
              <w:tab/>
              <w:t xml:space="preserve">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w:t>
            </w:r>
            <w:r w:rsidRPr="00CE45E2">
              <w:rPr>
                <w:b/>
                <w:bCs/>
                <w:i/>
                <w:iCs/>
              </w:rPr>
              <w:t>poziomów odniesienia</w:t>
            </w:r>
            <w:r w:rsidRPr="00CE45E2">
              <w:t xml:space="preserve"> odzwierciedlających politykę inwestycyjną. Obecnie nie istnieją </w:t>
            </w:r>
            <w:r w:rsidRPr="00CE45E2">
              <w:rPr>
                <w:b/>
                <w:bCs/>
                <w:i/>
                <w:iCs/>
              </w:rPr>
              <w:t>zharmonizowane</w:t>
            </w:r>
            <w:r w:rsidRPr="00CE45E2">
              <w:t xml:space="preserve"> ramy informowania uczestników i beneficjentów o niezadowalających wynikach. Aby rozwiązać ten problem, IORP powinny być zobowiązane do niezwłocznego informowania swojego właściwego organu i </w:t>
            </w:r>
            <w:r w:rsidRPr="00CE45E2">
              <w:rPr>
                <w:b/>
                <w:bCs/>
                <w:i/>
                <w:iCs/>
              </w:rPr>
              <w:t>przedstawiania dowodów na to, że koszty i opłaty programu są uzasadnione i proporcjonalne oraz że program jest zgodny z tolerancją ryzyka</w:t>
            </w:r>
            <w:r w:rsidRPr="00CE45E2">
              <w:t xml:space="preserve"> jego uczestników i beneficjentów.</w:t>
            </w:r>
            <w:r w:rsidRPr="00CE45E2">
              <w:rPr>
                <w:b/>
                <w:i/>
              </w:rPr>
              <w:t xml:space="preserve"> Jeżeli właściwy organ nie jest usatysfakcjonowany takim uzasadnieniem lub niezadowalające wyniki utrzymują się przez co najmniej trzy lata, IORP powinny wyraźnie poinformować uczestników i beneficjentów o takich niezadowalających wynikach, wyjaśnić ich przyczyny i przedstawić środki zaradcze. </w:t>
            </w:r>
            <w:r w:rsidRPr="00CE45E2">
              <w:rPr>
                <w:b/>
                <w:bCs/>
                <w:i/>
                <w:iCs/>
              </w:rPr>
              <w:t>Państwa członkowskie powinny zapewnić ustanowienie obiektywnych poziomów odniesienia na potrzeby oceny</w:t>
            </w:r>
            <w:r w:rsidRPr="00CE45E2">
              <w:t xml:space="preserve"> niezadowalających wyników.</w:t>
            </w:r>
          </w:p>
        </w:tc>
        <w:tc>
          <w:tcPr>
            <w:tcW w:w="4876" w:type="dxa"/>
            <w:tcBorders>
              <w:top w:val="nil"/>
              <w:left w:val="nil"/>
              <w:bottom w:val="nil"/>
              <w:right w:val="nil"/>
            </w:tcBorders>
          </w:tcPr>
          <w:p w14:paraId="2FBD3E7D" w14:textId="77777777" w:rsidR="00CE45E2" w:rsidRPr="00CE45E2" w:rsidRDefault="00CE45E2" w:rsidP="006476FB">
            <w:pPr>
              <w:pStyle w:val="Normal6a"/>
            </w:pPr>
            <w:r w:rsidRPr="00CE45E2">
              <w:t>(34)</w:t>
            </w:r>
            <w:r w:rsidRPr="00CE45E2">
              <w:tab/>
              <w:t xml:space="preserve">Utrzymujące się niezadowalające wyniki IORP mogą zmniejszyć wartość nabytych praw uczestników i beneficjentów oraz podważyć zaufanie do emerytur dodatkowych. Zgodnie z wytycznymi wykonawczymi do zalecenia OECD w sprawie podstawowych zasad regulacji emerytur prywatnych wyniki powinny być w sposób porównywalny ujawniane i oceniane na podstawie jasnych i obiektywnych </w:t>
            </w:r>
            <w:r w:rsidRPr="00CE45E2">
              <w:rPr>
                <w:b/>
                <w:bCs/>
                <w:i/>
                <w:iCs/>
              </w:rPr>
              <w:t>wytycznych oraz celów inwestycyjnych</w:t>
            </w:r>
            <w:r w:rsidRPr="00CE45E2">
              <w:t xml:space="preserve"> odzwierciedlających politykę inwestycyjną. Obecnie nie istnieją </w:t>
            </w:r>
            <w:r w:rsidRPr="00CE45E2">
              <w:rPr>
                <w:b/>
                <w:bCs/>
                <w:i/>
                <w:iCs/>
              </w:rPr>
              <w:t>jasne</w:t>
            </w:r>
            <w:r w:rsidRPr="00CE45E2">
              <w:t xml:space="preserve"> ramy informowania uczestników i beneficjentów o niezadowalających wynikach. Aby rozwiązać ten problem, IORP powinny być zobowiązane do niezwłocznego informowania swojego właściwego organu i jego uczestników i beneficjentów </w:t>
            </w:r>
            <w:r w:rsidRPr="00CE45E2">
              <w:rPr>
                <w:b/>
                <w:bCs/>
                <w:i/>
                <w:iCs/>
              </w:rPr>
              <w:t xml:space="preserve">w przypadku </w:t>
            </w:r>
            <w:r w:rsidRPr="00CE45E2">
              <w:t>niezadowalających wyników.</w:t>
            </w:r>
          </w:p>
        </w:tc>
      </w:tr>
    </w:tbl>
    <w:p w14:paraId="181ACE2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7640CEE" w14:textId="77777777" w:rsidR="00CE45E2" w:rsidRPr="00CE45E2" w:rsidRDefault="00CE45E2" w:rsidP="00CE45E2">
      <w:r w:rsidRPr="00CE45E2">
        <w:rPr>
          <w:rStyle w:val="HideTWBExt"/>
        </w:rPr>
        <w:t>&lt;/Amend&gt;</w:t>
      </w:r>
    </w:p>
    <w:p w14:paraId="4673D03D" w14:textId="55042B0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184</w:t>
      </w:r>
      <w:r w:rsidRPr="00CE45E2">
        <w:rPr>
          <w:rStyle w:val="HideTWBExt"/>
          <w:b w:val="0"/>
        </w:rPr>
        <w:t>&lt;/NumAm&gt;</w:t>
      </w:r>
    </w:p>
    <w:p w14:paraId="6408805C"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35313F36" w14:textId="77777777" w:rsidR="00CE45E2" w:rsidRPr="00CE45E2" w:rsidRDefault="00CE45E2" w:rsidP="00CE45E2">
      <w:pPr>
        <w:pStyle w:val="NormalBold"/>
      </w:pPr>
      <w:r w:rsidRPr="00CE45E2">
        <w:rPr>
          <w:rStyle w:val="HideTWBExt"/>
          <w:b w:val="0"/>
        </w:rPr>
        <w:t>&lt;/RepeatBlock-By&gt;</w:t>
      </w:r>
    </w:p>
    <w:p w14:paraId="3D52C2C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B06FCB3" w14:textId="77777777" w:rsidR="00CE45E2" w:rsidRPr="00CE45E2" w:rsidRDefault="00CE45E2" w:rsidP="00CE45E2">
      <w:pPr>
        <w:pStyle w:val="NormalBold"/>
      </w:pPr>
      <w:r w:rsidRPr="00CE45E2">
        <w:rPr>
          <w:rStyle w:val="HideTWBExt"/>
          <w:b w:val="0"/>
        </w:rPr>
        <w:t>&lt;Article&gt;</w:t>
      </w:r>
      <w:r w:rsidRPr="00CE45E2">
        <w:t>Motyw 35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DBDA08" w14:textId="77777777" w:rsidTr="006476FB">
        <w:trPr>
          <w:trHeight w:hRule="exact" w:val="240"/>
          <w:jc w:val="center"/>
        </w:trPr>
        <w:tc>
          <w:tcPr>
            <w:tcW w:w="9752" w:type="dxa"/>
            <w:gridSpan w:val="2"/>
            <w:tcBorders>
              <w:top w:val="nil"/>
              <w:left w:val="nil"/>
              <w:bottom w:val="nil"/>
              <w:right w:val="nil"/>
            </w:tcBorders>
          </w:tcPr>
          <w:p w14:paraId="46191F8A" w14:textId="77777777" w:rsidR="00CE45E2" w:rsidRPr="00CE45E2" w:rsidRDefault="00CE45E2" w:rsidP="006476FB"/>
        </w:tc>
      </w:tr>
      <w:tr w:rsidR="00CE45E2" w:rsidRPr="00CE45E2" w14:paraId="1B30B339" w14:textId="77777777" w:rsidTr="006476FB">
        <w:trPr>
          <w:trHeight w:val="240"/>
          <w:jc w:val="center"/>
        </w:trPr>
        <w:tc>
          <w:tcPr>
            <w:tcW w:w="4876" w:type="dxa"/>
            <w:tcBorders>
              <w:top w:val="nil"/>
              <w:left w:val="nil"/>
              <w:bottom w:val="nil"/>
              <w:right w:val="nil"/>
            </w:tcBorders>
          </w:tcPr>
          <w:p w14:paraId="29484A2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550E366" w14:textId="77777777" w:rsidR="00CE45E2" w:rsidRPr="00CE45E2" w:rsidRDefault="00CE45E2" w:rsidP="006476FB">
            <w:pPr>
              <w:pStyle w:val="AmColumnHeading"/>
            </w:pPr>
            <w:r w:rsidRPr="00CE45E2">
              <w:t>Poprawka</w:t>
            </w:r>
          </w:p>
        </w:tc>
      </w:tr>
      <w:tr w:rsidR="00CE45E2" w:rsidRPr="00CE45E2" w14:paraId="44DC099C" w14:textId="77777777" w:rsidTr="006476FB">
        <w:trPr>
          <w:jc w:val="center"/>
        </w:trPr>
        <w:tc>
          <w:tcPr>
            <w:tcW w:w="4876" w:type="dxa"/>
            <w:tcBorders>
              <w:top w:val="nil"/>
              <w:left w:val="nil"/>
              <w:bottom w:val="nil"/>
              <w:right w:val="nil"/>
            </w:tcBorders>
          </w:tcPr>
          <w:p w14:paraId="36584C27" w14:textId="77777777" w:rsidR="00CE45E2" w:rsidRPr="00CE45E2" w:rsidRDefault="00CE45E2" w:rsidP="006476FB">
            <w:pPr>
              <w:pStyle w:val="Normal6a"/>
            </w:pPr>
          </w:p>
        </w:tc>
        <w:tc>
          <w:tcPr>
            <w:tcW w:w="4876" w:type="dxa"/>
            <w:tcBorders>
              <w:top w:val="nil"/>
              <w:left w:val="nil"/>
              <w:bottom w:val="nil"/>
              <w:right w:val="nil"/>
            </w:tcBorders>
          </w:tcPr>
          <w:p w14:paraId="746E41B7" w14:textId="77777777" w:rsidR="00CE45E2" w:rsidRPr="00CE45E2" w:rsidRDefault="00CE45E2" w:rsidP="006476FB">
            <w:pPr>
              <w:pStyle w:val="Normal6a"/>
            </w:pPr>
            <w:r w:rsidRPr="00CE45E2">
              <w:rPr>
                <w:b/>
                <w:i/>
              </w:rPr>
              <w:t>(35a)</w:t>
            </w:r>
            <w:r w:rsidRPr="00CE45E2">
              <w:tab/>
            </w:r>
            <w:r w:rsidRPr="00CE45E2">
              <w:rPr>
                <w:b/>
                <w:i/>
              </w:rPr>
              <w:t xml:space="preserve">Bez uszczerbku dla kompetencji państw członkowskich w zakresie organizacji ich krajowych systemów emerytalnych, mechanizmy automatycznego uczestnictwa z prawem rezygnacji, o ile są ustanowione w prawie krajowym </w:t>
            </w:r>
            <w:proofErr w:type="gramStart"/>
            <w:r w:rsidRPr="00CE45E2">
              <w:rPr>
                <w:b/>
                <w:i/>
              </w:rPr>
              <w:t>oraz,</w:t>
            </w:r>
            <w:proofErr w:type="gramEnd"/>
            <w:r w:rsidRPr="00CE45E2">
              <w:rPr>
                <w:b/>
                <w:i/>
              </w:rPr>
              <w:t xml:space="preserve"> w stosownych przypadkach, w drodze rokowań zbiorowych z udziałem partnerów społecznych, mogą przyczynić się do rozszerzenia zasięgu emerytur dodatkowych, wspierania długoterminowego oszczędzania i zwiększenia adekwatności dochodów emerytalnych. Niniejsza dyrektywa nie powinna uniemożliwiać państwom członkowskim propagowania takich mechanizmów w ramach ich krajowych pracowniczych programów emerytalnych.</w:t>
            </w:r>
          </w:p>
        </w:tc>
      </w:tr>
    </w:tbl>
    <w:p w14:paraId="4869708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100EB021" w14:textId="77777777" w:rsidR="00CE45E2" w:rsidRPr="00CE45E2" w:rsidRDefault="00CE45E2" w:rsidP="00CE45E2">
      <w:r w:rsidRPr="00CE45E2">
        <w:rPr>
          <w:rStyle w:val="HideTWBExt"/>
        </w:rPr>
        <w:t>&lt;/Amend&gt;</w:t>
      </w:r>
    </w:p>
    <w:p w14:paraId="1F2306DA" w14:textId="1349835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185</w:t>
      </w:r>
      <w:r w:rsidRPr="00CE45E2">
        <w:rPr>
          <w:rStyle w:val="HideTWBExt"/>
          <w:b w:val="0"/>
        </w:rPr>
        <w:t>&lt;/NumAm&gt;</w:t>
      </w:r>
    </w:p>
    <w:p w14:paraId="1DCA9C42"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00D95943" w14:textId="77777777" w:rsidR="00CE45E2" w:rsidRPr="00CE45E2" w:rsidRDefault="00CE45E2" w:rsidP="00CE45E2">
      <w:pPr>
        <w:pStyle w:val="NormalBold"/>
      </w:pPr>
      <w:r w:rsidRPr="00CE45E2">
        <w:rPr>
          <w:rStyle w:val="HideTWBExt"/>
          <w:b w:val="0"/>
        </w:rPr>
        <w:t>&lt;/RepeatBlock-By&gt;</w:t>
      </w:r>
    </w:p>
    <w:p w14:paraId="2D42052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8CD8523" w14:textId="77777777" w:rsidR="00CE45E2" w:rsidRPr="00CE45E2" w:rsidRDefault="00CE45E2" w:rsidP="00CE45E2">
      <w:pPr>
        <w:pStyle w:val="NormalBold"/>
      </w:pPr>
      <w:r w:rsidRPr="00CE45E2">
        <w:rPr>
          <w:rStyle w:val="HideTWBExt"/>
          <w:b w:val="0"/>
        </w:rPr>
        <w:t>&lt;Article&gt;</w:t>
      </w:r>
      <w:r w:rsidRPr="00CE45E2">
        <w:t>Motyw 37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EE618F7" w14:textId="77777777" w:rsidTr="006476FB">
        <w:trPr>
          <w:trHeight w:hRule="exact" w:val="240"/>
          <w:jc w:val="center"/>
        </w:trPr>
        <w:tc>
          <w:tcPr>
            <w:tcW w:w="9752" w:type="dxa"/>
            <w:gridSpan w:val="2"/>
            <w:tcBorders>
              <w:top w:val="nil"/>
              <w:left w:val="nil"/>
              <w:bottom w:val="nil"/>
              <w:right w:val="nil"/>
            </w:tcBorders>
          </w:tcPr>
          <w:p w14:paraId="5F79635F" w14:textId="77777777" w:rsidR="00CE45E2" w:rsidRPr="00CE45E2" w:rsidRDefault="00CE45E2" w:rsidP="006476FB"/>
        </w:tc>
      </w:tr>
      <w:tr w:rsidR="00CE45E2" w:rsidRPr="00CE45E2" w14:paraId="537C5DC9" w14:textId="77777777" w:rsidTr="006476FB">
        <w:trPr>
          <w:trHeight w:val="240"/>
          <w:jc w:val="center"/>
        </w:trPr>
        <w:tc>
          <w:tcPr>
            <w:tcW w:w="4876" w:type="dxa"/>
            <w:tcBorders>
              <w:top w:val="nil"/>
              <w:left w:val="nil"/>
              <w:bottom w:val="nil"/>
              <w:right w:val="nil"/>
            </w:tcBorders>
          </w:tcPr>
          <w:p w14:paraId="6C58935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D189798" w14:textId="77777777" w:rsidR="00CE45E2" w:rsidRPr="00CE45E2" w:rsidRDefault="00CE45E2" w:rsidP="006476FB">
            <w:pPr>
              <w:pStyle w:val="AmColumnHeading"/>
            </w:pPr>
            <w:r w:rsidRPr="00CE45E2">
              <w:t>Poprawka</w:t>
            </w:r>
          </w:p>
        </w:tc>
      </w:tr>
      <w:tr w:rsidR="00CE45E2" w:rsidRPr="00CE45E2" w14:paraId="7875CDF9" w14:textId="77777777" w:rsidTr="006476FB">
        <w:trPr>
          <w:jc w:val="center"/>
        </w:trPr>
        <w:tc>
          <w:tcPr>
            <w:tcW w:w="4876" w:type="dxa"/>
            <w:tcBorders>
              <w:top w:val="nil"/>
              <w:left w:val="nil"/>
              <w:bottom w:val="nil"/>
              <w:right w:val="nil"/>
            </w:tcBorders>
          </w:tcPr>
          <w:p w14:paraId="6526D15E" w14:textId="77777777" w:rsidR="00CE45E2" w:rsidRPr="00CE45E2" w:rsidRDefault="00CE45E2" w:rsidP="006476FB">
            <w:pPr>
              <w:pStyle w:val="Normal6a"/>
            </w:pPr>
          </w:p>
        </w:tc>
        <w:tc>
          <w:tcPr>
            <w:tcW w:w="4876" w:type="dxa"/>
            <w:tcBorders>
              <w:top w:val="nil"/>
              <w:left w:val="nil"/>
              <w:bottom w:val="nil"/>
              <w:right w:val="nil"/>
            </w:tcBorders>
          </w:tcPr>
          <w:p w14:paraId="1D3AEBD3" w14:textId="77777777" w:rsidR="00CE45E2" w:rsidRPr="00CE45E2" w:rsidRDefault="00CE45E2" w:rsidP="006476FB">
            <w:pPr>
              <w:pStyle w:val="Normal6a"/>
            </w:pPr>
            <w:r w:rsidRPr="00CE45E2">
              <w:rPr>
                <w:b/>
                <w:i/>
              </w:rPr>
              <w:t>(37a)</w:t>
            </w:r>
            <w:r w:rsidRPr="00CE45E2">
              <w:tab/>
            </w:r>
            <w:r w:rsidRPr="00CE45E2">
              <w:rPr>
                <w:b/>
                <w:i/>
              </w:rPr>
              <w:t>Kobiety nadal otrzymują znacznie niższe emerytury pracownicze niż mężczyźni, co wynika w szczególności z niższych zarobków, przerw w karierze zawodowej oraz skróconego czasu pracy związanego z obowiązkami opiekuńczymi. Oceniając, czy program pozostaje odpowiedni, IORP powinny uwzględniać cechy, które mogą powodować nieuzasadnione dysproporcje – w tym dysproporcje związane z płcią – takie jak to, czy program umożliwia ciągłe gromadzenie uprawnień emerytalnych podczas urlopu rodzicielskiego, urlopu ojcowskiego lub urlopu opiekuńczego w rozumieniu dyrektywy (UE) 2019/1158. To, czy takie składki są pokrywane w całości lub w części przez pracodawcę, pozostaje kwestią do rozstrzygnięcia przez partnerów społecznych oraz krajowe prawo socjalne i prawo pracy, które powinny również wyjaśnić, czy podczas urlopu opiekuńczego zachęca się do ciągłego uczestnictwa w programie przy pełnej wysokości składek.</w:t>
            </w:r>
          </w:p>
        </w:tc>
      </w:tr>
    </w:tbl>
    <w:p w14:paraId="5A6BBED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863CC3" w14:textId="77777777" w:rsidR="00CE45E2" w:rsidRPr="00CE45E2" w:rsidRDefault="00CE45E2" w:rsidP="00CE45E2">
      <w:r w:rsidRPr="00CE45E2">
        <w:rPr>
          <w:rStyle w:val="HideTWBExt"/>
        </w:rPr>
        <w:t>&lt;/Amend&gt;</w:t>
      </w:r>
    </w:p>
    <w:p w14:paraId="05AD9647" w14:textId="77BC5E8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186</w:t>
      </w:r>
      <w:r w:rsidRPr="00CE45E2">
        <w:rPr>
          <w:rStyle w:val="HideTWBExt"/>
          <w:b w:val="0"/>
        </w:rPr>
        <w:t>&lt;/NumAm&gt;</w:t>
      </w:r>
    </w:p>
    <w:p w14:paraId="6F6AD74A"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70D2263E" w14:textId="77777777" w:rsidR="00CE45E2" w:rsidRPr="00CE45E2" w:rsidRDefault="00CE45E2" w:rsidP="00CE45E2">
      <w:pPr>
        <w:pStyle w:val="NormalBold"/>
      </w:pPr>
      <w:r w:rsidRPr="00CE45E2">
        <w:rPr>
          <w:rStyle w:val="HideTWBExt"/>
          <w:b w:val="0"/>
        </w:rPr>
        <w:t>&lt;/RepeatBlock-By&gt;</w:t>
      </w:r>
    </w:p>
    <w:p w14:paraId="49121C2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6CFA35E" w14:textId="77777777" w:rsidR="00CE45E2" w:rsidRPr="00CE45E2" w:rsidRDefault="00CE45E2" w:rsidP="00CE45E2">
      <w:pPr>
        <w:pStyle w:val="NormalBold"/>
      </w:pPr>
      <w:r w:rsidRPr="00CE45E2">
        <w:rPr>
          <w:rStyle w:val="HideTWBExt"/>
          <w:b w:val="0"/>
        </w:rPr>
        <w:t>&lt;Article&gt;</w:t>
      </w:r>
      <w:r w:rsidRPr="00CE45E2">
        <w:t>Motyw 37 b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623DA74" w14:textId="77777777" w:rsidTr="006476FB">
        <w:trPr>
          <w:trHeight w:hRule="exact" w:val="240"/>
          <w:jc w:val="center"/>
        </w:trPr>
        <w:tc>
          <w:tcPr>
            <w:tcW w:w="9752" w:type="dxa"/>
            <w:gridSpan w:val="2"/>
            <w:tcBorders>
              <w:top w:val="nil"/>
              <w:left w:val="nil"/>
              <w:bottom w:val="nil"/>
              <w:right w:val="nil"/>
            </w:tcBorders>
          </w:tcPr>
          <w:p w14:paraId="76BB2FC0" w14:textId="77777777" w:rsidR="00CE45E2" w:rsidRPr="00CE45E2" w:rsidRDefault="00CE45E2" w:rsidP="006476FB"/>
        </w:tc>
      </w:tr>
      <w:tr w:rsidR="00CE45E2" w:rsidRPr="00CE45E2" w14:paraId="67B7C64F" w14:textId="77777777" w:rsidTr="006476FB">
        <w:trPr>
          <w:trHeight w:val="240"/>
          <w:jc w:val="center"/>
        </w:trPr>
        <w:tc>
          <w:tcPr>
            <w:tcW w:w="4876" w:type="dxa"/>
            <w:tcBorders>
              <w:top w:val="nil"/>
              <w:left w:val="nil"/>
              <w:bottom w:val="nil"/>
              <w:right w:val="nil"/>
            </w:tcBorders>
          </w:tcPr>
          <w:p w14:paraId="288057C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EB52E22" w14:textId="77777777" w:rsidR="00CE45E2" w:rsidRPr="00CE45E2" w:rsidRDefault="00CE45E2" w:rsidP="006476FB">
            <w:pPr>
              <w:pStyle w:val="AmColumnHeading"/>
            </w:pPr>
            <w:r w:rsidRPr="00CE45E2">
              <w:t>Poprawka</w:t>
            </w:r>
          </w:p>
        </w:tc>
      </w:tr>
      <w:tr w:rsidR="00CE45E2" w:rsidRPr="00CE45E2" w14:paraId="7262BE11" w14:textId="77777777" w:rsidTr="006476FB">
        <w:trPr>
          <w:jc w:val="center"/>
        </w:trPr>
        <w:tc>
          <w:tcPr>
            <w:tcW w:w="4876" w:type="dxa"/>
            <w:tcBorders>
              <w:top w:val="nil"/>
              <w:left w:val="nil"/>
              <w:bottom w:val="nil"/>
              <w:right w:val="nil"/>
            </w:tcBorders>
          </w:tcPr>
          <w:p w14:paraId="103FBD7D" w14:textId="77777777" w:rsidR="00CE45E2" w:rsidRPr="00CE45E2" w:rsidRDefault="00CE45E2" w:rsidP="006476FB">
            <w:pPr>
              <w:pStyle w:val="Normal6a"/>
            </w:pPr>
          </w:p>
        </w:tc>
        <w:tc>
          <w:tcPr>
            <w:tcW w:w="4876" w:type="dxa"/>
            <w:tcBorders>
              <w:top w:val="nil"/>
              <w:left w:val="nil"/>
              <w:bottom w:val="nil"/>
              <w:right w:val="nil"/>
            </w:tcBorders>
          </w:tcPr>
          <w:p w14:paraId="78551064" w14:textId="77777777" w:rsidR="00CE45E2" w:rsidRPr="00CE45E2" w:rsidRDefault="00CE45E2" w:rsidP="006476FB">
            <w:pPr>
              <w:pStyle w:val="Normal6a"/>
            </w:pPr>
            <w:r w:rsidRPr="00CE45E2">
              <w:rPr>
                <w:b/>
                <w:i/>
              </w:rPr>
              <w:t>(37b)</w:t>
            </w:r>
            <w:r w:rsidRPr="00CE45E2">
              <w:tab/>
            </w:r>
            <w:r w:rsidRPr="00CE45E2">
              <w:rPr>
                <w:b/>
                <w:i/>
              </w:rPr>
              <w:t xml:space="preserve">Emerytury pracownicze w Unii są coraz częściej zapewniane w ramach systemów, w których uczestnicy ponoszą ryzyko inwestycyjne. W przypadku gdy świadczenia można pobrać wyłącznie w formie kwoty ryczałtowej, może to zwiększyć ryzyko wyczerpania oszczędności uczestników przed końcem okresu emerytalnego. Uczestnicy powinni zatem mieć dostęp do co najmniej jednej opcji, w ramach której świadczenia są wypłacane, w całości lub w części, w formie regularnego dochodu, na przykład poprzez rentę dożywotnią, zaplanowane wypłaty lub zbiorową </w:t>
            </w:r>
            <w:proofErr w:type="spellStart"/>
            <w:r w:rsidRPr="00CE45E2">
              <w:rPr>
                <w:b/>
                <w:i/>
              </w:rPr>
              <w:t>dekumulację</w:t>
            </w:r>
            <w:proofErr w:type="spellEnd"/>
            <w:r w:rsidRPr="00CE45E2">
              <w:rPr>
                <w:b/>
                <w:i/>
              </w:rPr>
              <w:t>. W przypadku gdy dostępnych jest więcej niż jedna forma wypłaty, uczestnicy powinni również mieć możliwość bezpłatnego wyboru lub zmiany formy, w jakiej będą pobierać swoje świadczenia w miarę zbliżania się do emerytury, tak aby mogli dostosować ten wybór do swojej sytuacji, zanim zacznie on obowiązywać.</w:t>
            </w:r>
          </w:p>
        </w:tc>
      </w:tr>
    </w:tbl>
    <w:p w14:paraId="5122883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4CF7693" w14:textId="77777777" w:rsidR="00CE45E2" w:rsidRPr="00CE45E2" w:rsidRDefault="00CE45E2" w:rsidP="00CE45E2">
      <w:r w:rsidRPr="00CE45E2">
        <w:rPr>
          <w:rStyle w:val="HideTWBExt"/>
        </w:rPr>
        <w:t>&lt;/Amend&gt;</w:t>
      </w:r>
    </w:p>
    <w:p w14:paraId="4B9B8875" w14:textId="6F189BD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187</w:t>
      </w:r>
      <w:r w:rsidRPr="00CE45E2">
        <w:rPr>
          <w:rStyle w:val="HideTWBExt"/>
          <w:b w:val="0"/>
        </w:rPr>
        <w:t>&lt;/NumAm&gt;</w:t>
      </w:r>
    </w:p>
    <w:p w14:paraId="28CED3A3"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199D39B" w14:textId="77777777" w:rsidR="00CE45E2" w:rsidRPr="00CE45E2" w:rsidRDefault="00CE45E2" w:rsidP="00CE45E2">
      <w:pPr>
        <w:pStyle w:val="NormalBold"/>
      </w:pPr>
      <w:r w:rsidRPr="00CE45E2">
        <w:rPr>
          <w:rStyle w:val="HideTWBExt"/>
          <w:b w:val="0"/>
        </w:rPr>
        <w:t>&lt;/RepeatBlock-By&gt;</w:t>
      </w:r>
    </w:p>
    <w:p w14:paraId="2557AE6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FCAC877" w14:textId="77777777" w:rsidR="00CE45E2" w:rsidRPr="00CE45E2" w:rsidRDefault="00CE45E2" w:rsidP="00CE45E2">
      <w:pPr>
        <w:pStyle w:val="NormalBold"/>
      </w:pPr>
      <w:r w:rsidRPr="00CE45E2">
        <w:rPr>
          <w:rStyle w:val="HideTWBExt"/>
          <w:b w:val="0"/>
        </w:rPr>
        <w:t>&lt;Article&gt;</w:t>
      </w:r>
      <w:r w:rsidRPr="00CE45E2">
        <w:t>Motyw 38 a (nowy)</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2BE50DF" w14:textId="77777777" w:rsidTr="006476FB">
        <w:trPr>
          <w:trHeight w:hRule="exact" w:val="240"/>
          <w:jc w:val="center"/>
        </w:trPr>
        <w:tc>
          <w:tcPr>
            <w:tcW w:w="9752" w:type="dxa"/>
            <w:gridSpan w:val="2"/>
            <w:tcBorders>
              <w:top w:val="nil"/>
              <w:left w:val="nil"/>
              <w:bottom w:val="nil"/>
              <w:right w:val="nil"/>
            </w:tcBorders>
          </w:tcPr>
          <w:p w14:paraId="11793A4D" w14:textId="77777777" w:rsidR="00CE45E2" w:rsidRPr="00CE45E2" w:rsidRDefault="00CE45E2" w:rsidP="006476FB"/>
        </w:tc>
      </w:tr>
      <w:tr w:rsidR="00CE45E2" w:rsidRPr="00CE45E2" w14:paraId="606C7491" w14:textId="77777777" w:rsidTr="006476FB">
        <w:trPr>
          <w:trHeight w:val="240"/>
          <w:jc w:val="center"/>
        </w:trPr>
        <w:tc>
          <w:tcPr>
            <w:tcW w:w="4876" w:type="dxa"/>
            <w:tcBorders>
              <w:top w:val="nil"/>
              <w:left w:val="nil"/>
              <w:bottom w:val="nil"/>
              <w:right w:val="nil"/>
            </w:tcBorders>
          </w:tcPr>
          <w:p w14:paraId="0A315DF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2EFB12B" w14:textId="77777777" w:rsidR="00CE45E2" w:rsidRPr="00CE45E2" w:rsidRDefault="00CE45E2" w:rsidP="006476FB">
            <w:pPr>
              <w:pStyle w:val="AmColumnHeading"/>
            </w:pPr>
            <w:r w:rsidRPr="00CE45E2">
              <w:t>Poprawka</w:t>
            </w:r>
          </w:p>
        </w:tc>
      </w:tr>
      <w:tr w:rsidR="00CE45E2" w:rsidRPr="00CE45E2" w14:paraId="14E054C8" w14:textId="77777777" w:rsidTr="006476FB">
        <w:trPr>
          <w:jc w:val="center"/>
        </w:trPr>
        <w:tc>
          <w:tcPr>
            <w:tcW w:w="4876" w:type="dxa"/>
            <w:tcBorders>
              <w:top w:val="nil"/>
              <w:left w:val="nil"/>
              <w:bottom w:val="nil"/>
              <w:right w:val="nil"/>
            </w:tcBorders>
          </w:tcPr>
          <w:p w14:paraId="3BC0D67D" w14:textId="77777777" w:rsidR="00CE45E2" w:rsidRPr="00CE45E2" w:rsidRDefault="00CE45E2" w:rsidP="006476FB">
            <w:pPr>
              <w:pStyle w:val="Normal6a"/>
            </w:pPr>
          </w:p>
        </w:tc>
        <w:tc>
          <w:tcPr>
            <w:tcW w:w="4876" w:type="dxa"/>
            <w:tcBorders>
              <w:top w:val="nil"/>
              <w:left w:val="nil"/>
              <w:bottom w:val="nil"/>
              <w:right w:val="nil"/>
            </w:tcBorders>
          </w:tcPr>
          <w:p w14:paraId="6FF13DE4" w14:textId="77777777" w:rsidR="00CE45E2" w:rsidRPr="00CE45E2" w:rsidRDefault="00CE45E2" w:rsidP="006476FB">
            <w:pPr>
              <w:pStyle w:val="Normal6a"/>
            </w:pPr>
            <w:r w:rsidRPr="00CE45E2">
              <w:rPr>
                <w:b/>
                <w:i/>
              </w:rPr>
              <w:t>(38a)</w:t>
            </w:r>
            <w:r w:rsidRPr="00CE45E2">
              <w:tab/>
            </w:r>
            <w:r w:rsidRPr="00CE45E2">
              <w:rPr>
                <w:b/>
                <w:i/>
              </w:rPr>
              <w:t>Brak zaufania obywateli do podmiotów prywatnych zarządzających ich oszczędnościami może stanowić istotną przeszkodę w rozwoju systemów emerytur dodatkowych oraz IORP. Ważne jest wyraźne zapewnienie, że zgromadzone uprawnienia emerytalne są chronione zgodnie z prawem Unii. Powinno to przyczynić się do wzbudzenia zaufania obywateli, że ich uprawnienia są bezpieczne, również w sytuacji, gdy ich oszczędności są inwestowane na rynkach kapitałowych oraz gdy IORP podejmują decyzje, które mogą wpłynąć na ich prawa i uprawnienia.</w:t>
            </w:r>
          </w:p>
        </w:tc>
      </w:tr>
    </w:tbl>
    <w:p w14:paraId="7D21475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0BB71F0" w14:textId="77777777" w:rsidR="00CE45E2" w:rsidRPr="00CE45E2" w:rsidRDefault="00CE45E2" w:rsidP="00CE45E2">
      <w:r w:rsidRPr="00CE45E2">
        <w:rPr>
          <w:rStyle w:val="HideTWBExt"/>
        </w:rPr>
        <w:t>&lt;/Amend&gt;</w:t>
      </w:r>
    </w:p>
    <w:p w14:paraId="1C953B1E" w14:textId="25F6411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188</w:t>
      </w:r>
      <w:r w:rsidRPr="00CE45E2">
        <w:rPr>
          <w:rStyle w:val="HideTWBExt"/>
          <w:b w:val="0"/>
        </w:rPr>
        <w:t>&lt;/NumAm&gt;</w:t>
      </w:r>
    </w:p>
    <w:p w14:paraId="2409BB27"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45D8510" w14:textId="77777777" w:rsidR="00CE45E2" w:rsidRPr="00CE45E2" w:rsidRDefault="00CE45E2" w:rsidP="00CE45E2">
      <w:pPr>
        <w:pStyle w:val="NormalBold"/>
      </w:pPr>
      <w:r w:rsidRPr="00CE45E2">
        <w:rPr>
          <w:rStyle w:val="HideTWBExt"/>
          <w:b w:val="0"/>
        </w:rPr>
        <w:t>&lt;/RepeatBlock-By&gt;</w:t>
      </w:r>
    </w:p>
    <w:p w14:paraId="32C66BA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11C283B" w14:textId="77777777" w:rsidR="00CE45E2" w:rsidRPr="00CE45E2" w:rsidRDefault="00CE45E2" w:rsidP="00CE45E2">
      <w:pPr>
        <w:pStyle w:val="NormalBold"/>
      </w:pPr>
      <w:r w:rsidRPr="00CE45E2">
        <w:rPr>
          <w:rStyle w:val="HideTWBExt"/>
          <w:b w:val="0"/>
        </w:rPr>
        <w:t>&lt;Article&gt;</w:t>
      </w:r>
      <w:r w:rsidRPr="00CE45E2">
        <w:t>Motyw 40</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572C2B3" w14:textId="77777777" w:rsidTr="006476FB">
        <w:trPr>
          <w:trHeight w:hRule="exact" w:val="240"/>
          <w:jc w:val="center"/>
        </w:trPr>
        <w:tc>
          <w:tcPr>
            <w:tcW w:w="9752" w:type="dxa"/>
            <w:gridSpan w:val="2"/>
            <w:tcBorders>
              <w:top w:val="nil"/>
              <w:left w:val="nil"/>
              <w:bottom w:val="nil"/>
              <w:right w:val="nil"/>
            </w:tcBorders>
          </w:tcPr>
          <w:p w14:paraId="30401502" w14:textId="77777777" w:rsidR="00CE45E2" w:rsidRPr="00CE45E2" w:rsidRDefault="00CE45E2" w:rsidP="006476FB"/>
        </w:tc>
      </w:tr>
      <w:tr w:rsidR="00CE45E2" w:rsidRPr="00CE45E2" w14:paraId="4EAF8A6E" w14:textId="77777777" w:rsidTr="006476FB">
        <w:trPr>
          <w:trHeight w:val="240"/>
          <w:jc w:val="center"/>
        </w:trPr>
        <w:tc>
          <w:tcPr>
            <w:tcW w:w="4876" w:type="dxa"/>
            <w:tcBorders>
              <w:top w:val="nil"/>
              <w:left w:val="nil"/>
              <w:bottom w:val="nil"/>
              <w:right w:val="nil"/>
            </w:tcBorders>
          </w:tcPr>
          <w:p w14:paraId="3EA40B4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650A3FA" w14:textId="77777777" w:rsidR="00CE45E2" w:rsidRPr="00CE45E2" w:rsidRDefault="00CE45E2" w:rsidP="006476FB">
            <w:pPr>
              <w:pStyle w:val="AmColumnHeading"/>
            </w:pPr>
            <w:r w:rsidRPr="00CE45E2">
              <w:t>Poprawka</w:t>
            </w:r>
          </w:p>
        </w:tc>
      </w:tr>
      <w:tr w:rsidR="00CE45E2" w:rsidRPr="00CE45E2" w14:paraId="37E98167" w14:textId="77777777" w:rsidTr="006476FB">
        <w:trPr>
          <w:jc w:val="center"/>
        </w:trPr>
        <w:tc>
          <w:tcPr>
            <w:tcW w:w="4876" w:type="dxa"/>
            <w:tcBorders>
              <w:top w:val="nil"/>
              <w:left w:val="nil"/>
              <w:bottom w:val="nil"/>
              <w:right w:val="nil"/>
            </w:tcBorders>
          </w:tcPr>
          <w:p w14:paraId="3F5E8B48" w14:textId="77777777" w:rsidR="00CE45E2" w:rsidRPr="00CE45E2" w:rsidRDefault="00CE45E2" w:rsidP="006476FB">
            <w:pPr>
              <w:pStyle w:val="Normal6a"/>
            </w:pPr>
            <w:r w:rsidRPr="00CE45E2">
              <w:t>(40)</w:t>
            </w:r>
            <w:r w:rsidRPr="00CE45E2">
              <w:tab/>
              <w:t xml:space="preserve">IORP różnią się znacznie pod względem skali, efektywności operacyjnej i struktury organizacyjnej. Mniejsze lub rozdrobnione IORP mogą mieć trudności z osiąganiem korzyści skali, angażowaniem się w skuteczne łączenie aktywów lub optymalizacją efektywności operacyjnej i inwestycyjnej. Wczesne rozpoznanie wyzwań strukturalnych i podatności na zagrożenia ma zatem zasadnicze znaczenie dla zapewnienia, aby IORP mogły przynieść korzyści uczestnikom i beneficjentom w perspektywie długoterminowej. Właściwe organy odgrywają ważną rolę we wspieraniu strategicznej refleksji IORP na temat ich długoterminowej stabilności, w tym na temat takich aspektów, jak skala, struktura organizacyjna i potencjał konsolidacji lub współpracy, w </w:t>
            </w:r>
            <w:proofErr w:type="gramStart"/>
            <w:r w:rsidRPr="00CE45E2">
              <w:t>przypadku</w:t>
            </w:r>
            <w:proofErr w:type="gramEnd"/>
            <w:r w:rsidRPr="00CE45E2">
              <w:t xml:space="preserve"> gdy są to sposoby zaradzenia stwierdzonym niedociągnięciom. Właściwe organy powinny zatem prowadzić regularne ustrukturyzowane dialogi nadzorcze z IORP, podczas których IORP mogą zidentyfikować potencjalne słabości i rozważyć warianty strategiczne, </w:t>
            </w:r>
            <w:r w:rsidRPr="00CE45E2">
              <w:rPr>
                <w:b/>
                <w:bCs/>
                <w:i/>
                <w:iCs/>
              </w:rPr>
              <w:t>w tym środki mające na celu zwiększenie efektywności, skali i wspólnego korzystania z zasobów,</w:t>
            </w:r>
            <w:r w:rsidRPr="00CE45E2">
              <w:t xml:space="preserve"> przy jednoczesnym zachowaniu głównej odpowiedzialności za zapewnienie uczestnikom i beneficjentom odpowiednich świadczeń emerytalnych.</w:t>
            </w:r>
          </w:p>
        </w:tc>
        <w:tc>
          <w:tcPr>
            <w:tcW w:w="4876" w:type="dxa"/>
            <w:tcBorders>
              <w:top w:val="nil"/>
              <w:left w:val="nil"/>
              <w:bottom w:val="nil"/>
              <w:right w:val="nil"/>
            </w:tcBorders>
          </w:tcPr>
          <w:p w14:paraId="29122386" w14:textId="77777777" w:rsidR="00CE45E2" w:rsidRPr="00CE45E2" w:rsidRDefault="00CE45E2" w:rsidP="006476FB">
            <w:pPr>
              <w:pStyle w:val="Normal6a"/>
            </w:pPr>
            <w:r w:rsidRPr="00CE45E2">
              <w:t>(40)</w:t>
            </w:r>
            <w:r w:rsidRPr="00CE45E2">
              <w:tab/>
              <w:t>IORP różnią się znacznie pod względem skali</w:t>
            </w:r>
            <w:r w:rsidRPr="00CE45E2">
              <w:rPr>
                <w:b/>
                <w:bCs/>
                <w:i/>
                <w:iCs/>
              </w:rPr>
              <w:t>, ryzyka</w:t>
            </w:r>
            <w:r w:rsidRPr="00CE45E2">
              <w:t xml:space="preserve">, efektywności operacyjnej i struktury organizacyjnej. Mniejsze lub rozdrobnione IORP mogą mieć trudności z osiąganiem korzyści skali, angażowaniem się w skuteczne łączenie aktywów lub optymalizacją efektywności operacyjnej i inwestycyjnej. Wczesne rozpoznanie wyzwań strukturalnych i podatności na zagrożenia ma zatem zasadnicze znaczenie dla zapewnienia, aby IORP mogły przynieść korzyści uczestnikom i beneficjentom w perspektywie długoterminowej. Właściwe organy odgrywają ważną rolę we wspieraniu strategicznej refleksji IORP na temat ich długoterminowej stabilności, w tym na temat takich aspektów, jak skala, struktura organizacyjna i potencjał konsolidacji lub współpracy, w </w:t>
            </w:r>
            <w:proofErr w:type="gramStart"/>
            <w:r w:rsidRPr="00CE45E2">
              <w:t>przypadku</w:t>
            </w:r>
            <w:proofErr w:type="gramEnd"/>
            <w:r w:rsidRPr="00CE45E2">
              <w:t xml:space="preserve"> gdy są to sposoby zaradzenia stwierdzonym niedociągnięciom. Właściwe organy powinny zatem prowadzić regularne ustrukturyzowane dialogi nadzorcze z IORP, podczas których IORP mogą zidentyfikować potencjalne słabości i rozważyć warianty strategiczne, przy jednoczesnym zachowaniu głównej odpowiedzialności za zapewnienie uczestnikom i beneficjentom odpowiednich świadczeń emerytalnych.</w:t>
            </w:r>
          </w:p>
        </w:tc>
      </w:tr>
    </w:tbl>
    <w:p w14:paraId="14162F5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2225400" w14:textId="77777777" w:rsidR="00CE45E2" w:rsidRPr="00CE45E2" w:rsidRDefault="00CE45E2" w:rsidP="00CE45E2">
      <w:r w:rsidRPr="00CE45E2">
        <w:rPr>
          <w:rStyle w:val="HideTWBExt"/>
        </w:rPr>
        <w:t>&lt;/Amend&gt;</w:t>
      </w:r>
    </w:p>
    <w:p w14:paraId="1B71F86D" w14:textId="7A8EE77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189</w:t>
      </w:r>
      <w:r w:rsidRPr="00CE45E2">
        <w:rPr>
          <w:rStyle w:val="HideTWBExt"/>
          <w:b w:val="0"/>
        </w:rPr>
        <w:t>&lt;/NumAm&gt;</w:t>
      </w:r>
    </w:p>
    <w:p w14:paraId="7E542378"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7CE1A36F" w14:textId="77777777" w:rsidR="00CE45E2" w:rsidRPr="00CE45E2" w:rsidRDefault="00CE45E2" w:rsidP="00CE45E2">
      <w:pPr>
        <w:pStyle w:val="NormalBold"/>
      </w:pPr>
      <w:r w:rsidRPr="00CE45E2">
        <w:rPr>
          <w:rStyle w:val="HideTWBExt"/>
          <w:b w:val="0"/>
        </w:rPr>
        <w:t>&lt;/RepeatBlock-By&gt;</w:t>
      </w:r>
    </w:p>
    <w:p w14:paraId="7747C87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7E17F47" w14:textId="77777777" w:rsidR="00CE45E2" w:rsidRPr="00CE45E2" w:rsidRDefault="00CE45E2" w:rsidP="00CE45E2">
      <w:pPr>
        <w:pStyle w:val="NormalBold"/>
      </w:pPr>
      <w:r w:rsidRPr="00CE45E2">
        <w:rPr>
          <w:rStyle w:val="HideTWBExt"/>
          <w:b w:val="0"/>
        </w:rPr>
        <w:t>&lt;Article&gt;</w:t>
      </w:r>
      <w:r w:rsidRPr="00CE45E2">
        <w:t>Motyw 43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91CCEC4" w14:textId="77777777" w:rsidTr="006476FB">
        <w:trPr>
          <w:trHeight w:hRule="exact" w:val="240"/>
          <w:jc w:val="center"/>
        </w:trPr>
        <w:tc>
          <w:tcPr>
            <w:tcW w:w="9752" w:type="dxa"/>
            <w:gridSpan w:val="2"/>
            <w:tcBorders>
              <w:top w:val="nil"/>
              <w:left w:val="nil"/>
              <w:bottom w:val="nil"/>
              <w:right w:val="nil"/>
            </w:tcBorders>
          </w:tcPr>
          <w:p w14:paraId="40DC93BF" w14:textId="77777777" w:rsidR="00CE45E2" w:rsidRPr="00CE45E2" w:rsidRDefault="00CE45E2" w:rsidP="006476FB"/>
        </w:tc>
      </w:tr>
      <w:tr w:rsidR="00CE45E2" w:rsidRPr="00CE45E2" w14:paraId="7A43ED7C" w14:textId="77777777" w:rsidTr="006476FB">
        <w:trPr>
          <w:trHeight w:val="240"/>
          <w:jc w:val="center"/>
        </w:trPr>
        <w:tc>
          <w:tcPr>
            <w:tcW w:w="4876" w:type="dxa"/>
            <w:tcBorders>
              <w:top w:val="nil"/>
              <w:left w:val="nil"/>
              <w:bottom w:val="nil"/>
              <w:right w:val="nil"/>
            </w:tcBorders>
          </w:tcPr>
          <w:p w14:paraId="113520E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E3B0BE4" w14:textId="77777777" w:rsidR="00CE45E2" w:rsidRPr="00CE45E2" w:rsidRDefault="00CE45E2" w:rsidP="006476FB">
            <w:pPr>
              <w:pStyle w:val="AmColumnHeading"/>
            </w:pPr>
            <w:r w:rsidRPr="00CE45E2">
              <w:t>Poprawka</w:t>
            </w:r>
          </w:p>
        </w:tc>
      </w:tr>
      <w:tr w:rsidR="00CE45E2" w:rsidRPr="00CE45E2" w14:paraId="1618E9AA" w14:textId="77777777" w:rsidTr="006476FB">
        <w:trPr>
          <w:jc w:val="center"/>
        </w:trPr>
        <w:tc>
          <w:tcPr>
            <w:tcW w:w="4876" w:type="dxa"/>
            <w:tcBorders>
              <w:top w:val="nil"/>
              <w:left w:val="nil"/>
              <w:bottom w:val="nil"/>
              <w:right w:val="nil"/>
            </w:tcBorders>
          </w:tcPr>
          <w:p w14:paraId="1AFAAF13" w14:textId="77777777" w:rsidR="00CE45E2" w:rsidRPr="00CE45E2" w:rsidRDefault="00CE45E2" w:rsidP="006476FB">
            <w:pPr>
              <w:pStyle w:val="Normal6a"/>
            </w:pPr>
            <w:r w:rsidRPr="00CE45E2">
              <w:t>(43)</w:t>
            </w:r>
            <w:r w:rsidRPr="00CE45E2">
              <w:tab/>
              <w:t xml:space="preserve">Przejrzyste, porównywalne i łatwo dostępne informacje na temat całkowitych rocznych kosztów, wyników osiągniętych w przeszłości i profili ryzyka programów emerytalnych obsługiwanych przez IORP są niezbędne uczestnikom i beneficjentom do podejmowania świadomych decyzji dotyczących ich oszczędności emerytalnych. Takie ujawnianie informacji mogłoby zwiększyć efektywność, opłacalność i potencjał osiągnięcia korzyści skali, co ostatecznie przyniosłoby korzyści uczestnikom i beneficjentom. Aby zapewnić porównywalność i dostępność, właściwe organy powinny publikować te informacje na jednej ogólnodostępnej stronie internetowej dotyczącej </w:t>
            </w:r>
            <w:r w:rsidRPr="00CE45E2">
              <w:rPr>
                <w:b/>
                <w:bCs/>
                <w:i/>
                <w:iCs/>
              </w:rPr>
              <w:t>wszystkich odpowiednich</w:t>
            </w:r>
            <w:r w:rsidRPr="00CE45E2">
              <w:t xml:space="preserve"> programów emerytalnych </w:t>
            </w:r>
            <w:r w:rsidRPr="00CE45E2">
              <w:rPr>
                <w:b/>
                <w:bCs/>
                <w:i/>
                <w:iCs/>
              </w:rPr>
              <w:t>lub</w:t>
            </w:r>
            <w:r w:rsidRPr="00CE45E2">
              <w:t xml:space="preserve"> opcji inwestycyjnych, obejmującej co najmniej ostatnie dziesięć lat.</w:t>
            </w:r>
          </w:p>
        </w:tc>
        <w:tc>
          <w:tcPr>
            <w:tcW w:w="4876" w:type="dxa"/>
            <w:tcBorders>
              <w:top w:val="nil"/>
              <w:left w:val="nil"/>
              <w:bottom w:val="nil"/>
              <w:right w:val="nil"/>
            </w:tcBorders>
          </w:tcPr>
          <w:p w14:paraId="1E1B3DA7" w14:textId="77777777" w:rsidR="00CE45E2" w:rsidRPr="00CE45E2" w:rsidRDefault="00CE45E2" w:rsidP="006476FB">
            <w:pPr>
              <w:pStyle w:val="Normal6a"/>
            </w:pPr>
            <w:r w:rsidRPr="00CE45E2">
              <w:t>(43)</w:t>
            </w:r>
            <w:r w:rsidRPr="00CE45E2">
              <w:tab/>
              <w:t>Przejrzyste, porównywalne i łatwo dostępne informacje na temat całkowitych rocznych kosztów, wyników osiągniętych w przeszłości i profili ryzyka programów emerytalnych obsługiwanych przez IORP są niezbędne uczestnikom i beneficjentom do podejmowania świadomych decyzji dotyczących ich oszczędności emerytalnych. Takie ujawnianie informacji mogłoby zwiększyć efektywność, opłacalność i potencjał osiągnięcia korzyści skali, co ostatecznie przyniosłoby korzyści uczestnikom i beneficjentom. Aby zapewnić porównywalność i dostępność, właściwe organy powinny publikować te informacje na jednej ogólnodostępnej stronie internetowej dotyczącej programów emerytalnych</w:t>
            </w:r>
            <w:r w:rsidRPr="00CE45E2">
              <w:rPr>
                <w:b/>
                <w:bCs/>
                <w:i/>
                <w:iCs/>
              </w:rPr>
              <w:t>, w których uczestnicy i beneficjenci ponoszą ryzyko inwestycyjne, a także</w:t>
            </w:r>
            <w:r w:rsidRPr="00CE45E2">
              <w:t xml:space="preserve"> opcji inwestycyjnych </w:t>
            </w:r>
            <w:r w:rsidRPr="00CE45E2">
              <w:rPr>
                <w:b/>
                <w:bCs/>
                <w:i/>
                <w:iCs/>
              </w:rPr>
              <w:t>w ramach takich programów</w:t>
            </w:r>
            <w:r w:rsidRPr="00CE45E2">
              <w:t xml:space="preserve">, obejmującej co najmniej ostatnie dziesięć lat. </w:t>
            </w:r>
            <w:r w:rsidRPr="00CE45E2">
              <w:rPr>
                <w:b/>
                <w:i/>
              </w:rPr>
              <w:t>Prezentacja tych informacji powinna uwzględniać wszelkie gwarancje, ochronę biometryczną oraz zobowiązania finansowe inwestycji finansującej, tak aby nie powodowała ona wprowadzających w błąd porównań między programami o zasadniczo odmiennym charakterze.</w:t>
            </w:r>
          </w:p>
        </w:tc>
      </w:tr>
    </w:tbl>
    <w:p w14:paraId="54C8E8D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A9A326A"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88CD4F7" w14:textId="77777777" w:rsidR="00CE45E2" w:rsidRPr="00CE45E2" w:rsidRDefault="00CE45E2" w:rsidP="00CE45E2">
      <w:pPr>
        <w:pStyle w:val="AmJustText"/>
      </w:pPr>
      <w:r w:rsidRPr="00CE45E2">
        <w:t>Ujawnianie informacji o kosztach i wynikach służy członkom, którzy ponoszą ryzyko inwestycyjne i mogą podejmować działania w oparciu o te informacje. Stosowanie go bez rozróżnienia do programów o zdefiniowanych świadczeniach i programów gwarantowanych prowadzi do wprowadzających w błąd porównań, które pomijają gwarancje i zobowiązania finansowe instytucji finansującej.</w:t>
      </w:r>
    </w:p>
    <w:p w14:paraId="5DD2D402" w14:textId="77777777" w:rsidR="00CE45E2" w:rsidRPr="00CE45E2" w:rsidRDefault="00CE45E2" w:rsidP="00CE45E2">
      <w:r w:rsidRPr="00CE45E2">
        <w:rPr>
          <w:rStyle w:val="HideTWBExt"/>
        </w:rPr>
        <w:t>&lt;/Amend&gt;</w:t>
      </w:r>
    </w:p>
    <w:p w14:paraId="68233ECE" w14:textId="7612B0B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190</w:t>
      </w:r>
      <w:r w:rsidRPr="00CE45E2">
        <w:rPr>
          <w:rStyle w:val="HideTWBExt"/>
          <w:b w:val="0"/>
        </w:rPr>
        <w:t>&lt;/NumAm&gt;</w:t>
      </w:r>
    </w:p>
    <w:p w14:paraId="2B2D5FDF"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06C3AB3B" w14:textId="77777777" w:rsidR="00CE45E2" w:rsidRPr="00CE45E2" w:rsidRDefault="00CE45E2" w:rsidP="00CE45E2">
      <w:pPr>
        <w:pStyle w:val="NormalBold"/>
      </w:pPr>
      <w:r w:rsidRPr="00CE45E2">
        <w:rPr>
          <w:rStyle w:val="HideTWBExt"/>
          <w:b w:val="0"/>
        </w:rPr>
        <w:t>&lt;/RepeatBlock-By&gt;</w:t>
      </w:r>
    </w:p>
    <w:p w14:paraId="1B8CB94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0AC66CF" w14:textId="77777777" w:rsidR="00CE45E2" w:rsidRPr="00CE45E2" w:rsidRDefault="00CE45E2" w:rsidP="00CE45E2">
      <w:pPr>
        <w:pStyle w:val="NormalBold"/>
      </w:pPr>
      <w:r w:rsidRPr="00CE45E2">
        <w:rPr>
          <w:rStyle w:val="HideTWBExt"/>
          <w:b w:val="0"/>
        </w:rPr>
        <w:t>&lt;Article&gt;</w:t>
      </w:r>
      <w:r w:rsidRPr="00CE45E2">
        <w:t>Motyw 44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FD1CEB8" w14:textId="77777777" w:rsidTr="006476FB">
        <w:trPr>
          <w:trHeight w:hRule="exact" w:val="240"/>
          <w:jc w:val="center"/>
        </w:trPr>
        <w:tc>
          <w:tcPr>
            <w:tcW w:w="9752" w:type="dxa"/>
            <w:gridSpan w:val="2"/>
            <w:tcBorders>
              <w:top w:val="nil"/>
              <w:left w:val="nil"/>
              <w:bottom w:val="nil"/>
              <w:right w:val="nil"/>
            </w:tcBorders>
          </w:tcPr>
          <w:p w14:paraId="70F0C566" w14:textId="77777777" w:rsidR="00CE45E2" w:rsidRPr="00CE45E2" w:rsidRDefault="00CE45E2" w:rsidP="006476FB"/>
        </w:tc>
      </w:tr>
      <w:tr w:rsidR="00CE45E2" w:rsidRPr="00CE45E2" w14:paraId="6CE9ECB7" w14:textId="77777777" w:rsidTr="006476FB">
        <w:trPr>
          <w:trHeight w:val="240"/>
          <w:jc w:val="center"/>
        </w:trPr>
        <w:tc>
          <w:tcPr>
            <w:tcW w:w="4876" w:type="dxa"/>
            <w:tcBorders>
              <w:top w:val="nil"/>
              <w:left w:val="nil"/>
              <w:bottom w:val="nil"/>
              <w:right w:val="nil"/>
            </w:tcBorders>
          </w:tcPr>
          <w:p w14:paraId="0EF4472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C5B7D7C" w14:textId="77777777" w:rsidR="00CE45E2" w:rsidRPr="00CE45E2" w:rsidRDefault="00CE45E2" w:rsidP="006476FB">
            <w:pPr>
              <w:pStyle w:val="AmColumnHeading"/>
            </w:pPr>
            <w:r w:rsidRPr="00CE45E2">
              <w:t>Poprawka</w:t>
            </w:r>
          </w:p>
        </w:tc>
      </w:tr>
      <w:tr w:rsidR="00CE45E2" w:rsidRPr="00CE45E2" w14:paraId="505FE367" w14:textId="77777777" w:rsidTr="006476FB">
        <w:trPr>
          <w:jc w:val="center"/>
        </w:trPr>
        <w:tc>
          <w:tcPr>
            <w:tcW w:w="4876" w:type="dxa"/>
            <w:tcBorders>
              <w:top w:val="nil"/>
              <w:left w:val="nil"/>
              <w:bottom w:val="nil"/>
              <w:right w:val="nil"/>
            </w:tcBorders>
          </w:tcPr>
          <w:p w14:paraId="652B0D2F" w14:textId="77777777" w:rsidR="00CE45E2" w:rsidRPr="00CE45E2" w:rsidRDefault="00CE45E2" w:rsidP="006476FB">
            <w:pPr>
              <w:pStyle w:val="Normal6a"/>
            </w:pPr>
            <w:r w:rsidRPr="00CE45E2">
              <w:rPr>
                <w:b/>
                <w:i/>
              </w:rPr>
              <w:t>(44)</w:t>
            </w:r>
            <w:r w:rsidRPr="00CE45E2">
              <w:tab/>
            </w:r>
            <w:r w:rsidRPr="00CE45E2">
              <w:rPr>
                <w:b/>
                <w:i/>
              </w:rPr>
              <w:t>W przypadku gdy działalność transgraniczna jest znacząca w odniesieniu do rynku przyjmującego państwa członkowskiego i wymaga ścisłej współpracy między właściwymi organami rodzimego państwa członkowskiego i przyjmującego państwa członkowskiego, zwłaszcza gdy istnieje ryzyko, że IORP może się znaleźć w trudnej sytuacji finansowej ze szkodą dla uczestników i beneficjentów, EIOPA powinien mieć możliwość ustanowienia i koordynacji platform współpracy w podobny sposób jak na mocy dyrektywy Parlamentu Europejskiego i Rady 2009/138/WE</w:t>
            </w:r>
            <w:r w:rsidRPr="00CE45E2">
              <w:rPr>
                <w:b/>
                <w:i/>
                <w:vertAlign w:val="superscript"/>
              </w:rPr>
              <w:t>14</w:t>
            </w:r>
            <w:r w:rsidRPr="00CE45E2">
              <w:rPr>
                <w:b/>
                <w:i/>
              </w:rPr>
              <w:t>.</w:t>
            </w:r>
          </w:p>
        </w:tc>
        <w:tc>
          <w:tcPr>
            <w:tcW w:w="4876" w:type="dxa"/>
            <w:tcBorders>
              <w:top w:val="nil"/>
              <w:left w:val="nil"/>
              <w:bottom w:val="nil"/>
              <w:right w:val="nil"/>
            </w:tcBorders>
          </w:tcPr>
          <w:p w14:paraId="3FA5A2B6" w14:textId="77777777" w:rsidR="00CE45E2" w:rsidRPr="00CE45E2" w:rsidRDefault="00CE45E2" w:rsidP="006476FB">
            <w:pPr>
              <w:pStyle w:val="Normal6a"/>
            </w:pPr>
            <w:r w:rsidRPr="00CE45E2">
              <w:rPr>
                <w:b/>
                <w:i/>
              </w:rPr>
              <w:t>skreśla się</w:t>
            </w:r>
          </w:p>
        </w:tc>
      </w:tr>
      <w:tr w:rsidR="00CE45E2" w:rsidRPr="00CE45E2" w14:paraId="0389385B" w14:textId="77777777" w:rsidTr="006476FB">
        <w:trPr>
          <w:jc w:val="center"/>
        </w:trPr>
        <w:tc>
          <w:tcPr>
            <w:tcW w:w="4876" w:type="dxa"/>
            <w:tcBorders>
              <w:top w:val="nil"/>
              <w:left w:val="nil"/>
              <w:bottom w:val="nil"/>
              <w:right w:val="nil"/>
            </w:tcBorders>
          </w:tcPr>
          <w:p w14:paraId="09A3C49B"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6ABA2E25" w14:textId="77777777" w:rsidR="00CE45E2" w:rsidRPr="00CE45E2" w:rsidRDefault="00CE45E2" w:rsidP="006476FB"/>
        </w:tc>
      </w:tr>
      <w:tr w:rsidR="00CE45E2" w:rsidRPr="00CE45E2" w14:paraId="612C92AE" w14:textId="77777777" w:rsidTr="006476FB">
        <w:trPr>
          <w:jc w:val="center"/>
        </w:trPr>
        <w:tc>
          <w:tcPr>
            <w:tcW w:w="4876" w:type="dxa"/>
            <w:tcBorders>
              <w:top w:val="nil"/>
              <w:left w:val="nil"/>
              <w:bottom w:val="nil"/>
              <w:right w:val="nil"/>
            </w:tcBorders>
          </w:tcPr>
          <w:p w14:paraId="4243B8A6" w14:textId="77777777" w:rsidR="00CE45E2" w:rsidRPr="00CE45E2" w:rsidRDefault="00CE45E2" w:rsidP="006476FB">
            <w:pPr>
              <w:pStyle w:val="Normal6a"/>
            </w:pPr>
            <w:r w:rsidRPr="00CE45E2">
              <w:rPr>
                <w:b/>
                <w:bCs/>
                <w:i/>
                <w:iCs/>
                <w:vertAlign w:val="superscript"/>
              </w:rPr>
              <w:t>14</w:t>
            </w:r>
            <w:r w:rsidRPr="00CE45E2">
              <w:rPr>
                <w:b/>
                <w:bCs/>
                <w:i/>
                <w:iCs/>
              </w:rPr>
              <w:t xml:space="preserve"> Dyrektywa Parlamentu Europejskiego i Rady 2009/138/WE z dnia 25 listopada 2009 r. w sprawie podejmowania i prowadzenia działalności ubezpieczeniowej i reasekuracyjnej (Wypłacalność II) (Dz.U. L 335 z 17.12.2009, s. 1, ELI:</w:t>
            </w:r>
            <w:r w:rsidRPr="00CE45E2">
              <w:rPr>
                <w:b/>
                <w:i/>
              </w:rPr>
              <w:t xml:space="preserve"> https://eur-lex.europa.eu/eli/dir/2009/138/oj).</w:t>
            </w:r>
          </w:p>
        </w:tc>
        <w:tc>
          <w:tcPr>
            <w:tcW w:w="4876" w:type="dxa"/>
            <w:tcBorders>
              <w:top w:val="nil"/>
              <w:left w:val="nil"/>
              <w:bottom w:val="nil"/>
              <w:right w:val="nil"/>
            </w:tcBorders>
          </w:tcPr>
          <w:p w14:paraId="3B0F9DFC" w14:textId="77777777" w:rsidR="00CE45E2" w:rsidRPr="00CE45E2" w:rsidRDefault="00CE45E2" w:rsidP="006476FB"/>
        </w:tc>
      </w:tr>
    </w:tbl>
    <w:p w14:paraId="0603F7A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1407E5C"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23C6E36" w14:textId="77777777" w:rsidR="00CE45E2" w:rsidRPr="00CE45E2" w:rsidRDefault="00CE45E2" w:rsidP="00CE45E2">
      <w:pPr>
        <w:pStyle w:val="AmJustText"/>
      </w:pPr>
      <w:r w:rsidRPr="00CE45E2">
        <w:t>Obecne instrumenty EIOPA są wystarczające, a dodatkowy poziom kompetencji jest niepożądany.</w:t>
      </w:r>
    </w:p>
    <w:p w14:paraId="635CB879" w14:textId="77777777" w:rsidR="00CE45E2" w:rsidRPr="00CE45E2" w:rsidRDefault="00CE45E2" w:rsidP="00CE45E2">
      <w:r w:rsidRPr="00CE45E2">
        <w:rPr>
          <w:rStyle w:val="HideTWBExt"/>
        </w:rPr>
        <w:t>&lt;/Amend&gt;</w:t>
      </w:r>
    </w:p>
    <w:p w14:paraId="246BA3E1" w14:textId="2408068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191</w:t>
      </w:r>
      <w:r w:rsidRPr="00CE45E2">
        <w:rPr>
          <w:rStyle w:val="HideTWBExt"/>
          <w:b w:val="0"/>
        </w:rPr>
        <w:t>&lt;/NumAm&gt;</w:t>
      </w:r>
    </w:p>
    <w:p w14:paraId="507AAB34"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0D06DA23" w14:textId="77777777" w:rsidR="00CE45E2" w:rsidRPr="00CE45E2" w:rsidRDefault="00CE45E2" w:rsidP="00CE45E2">
      <w:pPr>
        <w:pStyle w:val="NormalBold"/>
      </w:pPr>
      <w:r w:rsidRPr="00CE45E2">
        <w:rPr>
          <w:rStyle w:val="HideTWBExt"/>
          <w:b w:val="0"/>
        </w:rPr>
        <w:t>&lt;/RepeatBlock-By&gt;</w:t>
      </w:r>
    </w:p>
    <w:p w14:paraId="5AEB27F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A67F703" w14:textId="77777777" w:rsidR="00CE45E2" w:rsidRPr="00CE45E2" w:rsidRDefault="00CE45E2" w:rsidP="00CE45E2">
      <w:pPr>
        <w:pStyle w:val="NormalBold"/>
      </w:pPr>
      <w:r w:rsidRPr="00CE45E2">
        <w:rPr>
          <w:rStyle w:val="HideTWBExt"/>
          <w:b w:val="0"/>
        </w:rPr>
        <w:t>&lt;Article&gt;</w:t>
      </w:r>
      <w:r w:rsidRPr="00CE45E2">
        <w:t>Motyw 44</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655E2B3" w14:textId="77777777" w:rsidTr="006476FB">
        <w:trPr>
          <w:trHeight w:hRule="exact" w:val="240"/>
          <w:jc w:val="center"/>
        </w:trPr>
        <w:tc>
          <w:tcPr>
            <w:tcW w:w="9752" w:type="dxa"/>
            <w:gridSpan w:val="2"/>
            <w:tcBorders>
              <w:top w:val="nil"/>
              <w:left w:val="nil"/>
              <w:bottom w:val="nil"/>
              <w:right w:val="nil"/>
            </w:tcBorders>
          </w:tcPr>
          <w:p w14:paraId="517BD2E1" w14:textId="77777777" w:rsidR="00CE45E2" w:rsidRPr="00CE45E2" w:rsidRDefault="00CE45E2" w:rsidP="006476FB"/>
        </w:tc>
      </w:tr>
      <w:tr w:rsidR="00CE45E2" w:rsidRPr="00CE45E2" w14:paraId="7DB3E8C0" w14:textId="77777777" w:rsidTr="006476FB">
        <w:trPr>
          <w:trHeight w:val="240"/>
          <w:jc w:val="center"/>
        </w:trPr>
        <w:tc>
          <w:tcPr>
            <w:tcW w:w="4876" w:type="dxa"/>
            <w:tcBorders>
              <w:top w:val="nil"/>
              <w:left w:val="nil"/>
              <w:bottom w:val="nil"/>
              <w:right w:val="nil"/>
            </w:tcBorders>
          </w:tcPr>
          <w:p w14:paraId="77E6A22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5E783B0" w14:textId="77777777" w:rsidR="00CE45E2" w:rsidRPr="00CE45E2" w:rsidRDefault="00CE45E2" w:rsidP="006476FB">
            <w:pPr>
              <w:pStyle w:val="AmColumnHeading"/>
            </w:pPr>
            <w:r w:rsidRPr="00CE45E2">
              <w:t>Poprawka</w:t>
            </w:r>
          </w:p>
        </w:tc>
      </w:tr>
      <w:tr w:rsidR="00CE45E2" w:rsidRPr="00CE45E2" w14:paraId="4D3AC830" w14:textId="77777777" w:rsidTr="006476FB">
        <w:trPr>
          <w:jc w:val="center"/>
        </w:trPr>
        <w:tc>
          <w:tcPr>
            <w:tcW w:w="4876" w:type="dxa"/>
            <w:tcBorders>
              <w:top w:val="nil"/>
              <w:left w:val="nil"/>
              <w:bottom w:val="nil"/>
              <w:right w:val="nil"/>
            </w:tcBorders>
          </w:tcPr>
          <w:p w14:paraId="79F50A94" w14:textId="77777777" w:rsidR="00CE45E2" w:rsidRPr="00CE45E2" w:rsidRDefault="00CE45E2" w:rsidP="006476FB">
            <w:pPr>
              <w:pStyle w:val="Normal6a"/>
            </w:pPr>
            <w:r w:rsidRPr="00CE45E2">
              <w:t>(44)</w:t>
            </w:r>
            <w:r w:rsidRPr="00CE45E2">
              <w:tab/>
              <w:t>W przypadku gdy działalność transgraniczna</w:t>
            </w:r>
            <w:r w:rsidRPr="00CE45E2">
              <w:rPr>
                <w:b/>
                <w:bCs/>
                <w:i/>
                <w:iCs/>
              </w:rPr>
              <w:t xml:space="preserve"> jest znacząca w odniesieniu do</w:t>
            </w:r>
            <w:r w:rsidRPr="00CE45E2">
              <w:t xml:space="preserve"> rynku przyjmującego państwa członkowskiego</w:t>
            </w:r>
            <w:r w:rsidRPr="00CE45E2">
              <w:rPr>
                <w:b/>
                <w:bCs/>
                <w:i/>
                <w:iCs/>
              </w:rPr>
              <w:t xml:space="preserve"> i wymaga ścisłej współpracy między właściwymi organami</w:t>
            </w:r>
            <w:r w:rsidRPr="00CE45E2">
              <w:t xml:space="preserve"> rodzimego państwa członkowskiego i przyjmującego państwa członkowskiego</w:t>
            </w:r>
            <w:r w:rsidRPr="00CE45E2">
              <w:rPr>
                <w:b/>
                <w:bCs/>
                <w:i/>
                <w:iCs/>
              </w:rPr>
              <w:t>, zwłaszcza gdy istnieje ryzyko, że IORP może się znaleźć w trudnej sytuacji finansowej ze szkodą dla uczestników i beneficjentów, EIOPA powinien mieć możliwość ustanowienia i koordynacji platform współpracy w podobny sposób jak na mocy dyrektywy Parlamentu Europejskiego i Rady 2009/138/WE</w:t>
            </w:r>
            <w:r w:rsidRPr="00CE45E2">
              <w:rPr>
                <w:b/>
                <w:bCs/>
                <w:i/>
                <w:iCs/>
                <w:vertAlign w:val="superscript"/>
              </w:rPr>
              <w:t>14</w:t>
            </w:r>
            <w:r w:rsidRPr="00CE45E2">
              <w:t>.</w:t>
            </w:r>
          </w:p>
        </w:tc>
        <w:tc>
          <w:tcPr>
            <w:tcW w:w="4876" w:type="dxa"/>
            <w:tcBorders>
              <w:top w:val="nil"/>
              <w:left w:val="nil"/>
              <w:bottom w:val="nil"/>
              <w:right w:val="nil"/>
            </w:tcBorders>
          </w:tcPr>
          <w:p w14:paraId="48A3C148" w14:textId="77777777" w:rsidR="00CE45E2" w:rsidRPr="00CE45E2" w:rsidRDefault="00CE45E2" w:rsidP="006476FB">
            <w:pPr>
              <w:pStyle w:val="Normal6a"/>
            </w:pPr>
            <w:r w:rsidRPr="00CE45E2">
              <w:t>(44)</w:t>
            </w:r>
            <w:r w:rsidRPr="00CE45E2">
              <w:tab/>
              <w:t xml:space="preserve">W </w:t>
            </w:r>
            <w:proofErr w:type="gramStart"/>
            <w:r w:rsidRPr="00CE45E2">
              <w:t>przypadku</w:t>
            </w:r>
            <w:proofErr w:type="gramEnd"/>
            <w:r w:rsidRPr="00CE45E2">
              <w:t xml:space="preserve"> gdy działalność transgraniczna</w:t>
            </w:r>
            <w:r w:rsidRPr="00CE45E2">
              <w:rPr>
                <w:b/>
                <w:bCs/>
                <w:i/>
                <w:iCs/>
              </w:rPr>
              <w:t xml:space="preserve"> IORP ma istotne znaczenie dla</w:t>
            </w:r>
            <w:r w:rsidRPr="00CE45E2">
              <w:t xml:space="preserve"> rynku przyjmującego państwa członkowskiego, </w:t>
            </w:r>
            <w:r w:rsidRPr="00CE45E2">
              <w:rPr>
                <w:b/>
                <w:bCs/>
                <w:i/>
                <w:iCs/>
              </w:rPr>
              <w:t>właściwe organy</w:t>
            </w:r>
            <w:r w:rsidRPr="00CE45E2">
              <w:t xml:space="preserve"> rodzimego państwa członkowskiego i przyjmującego państwa członkowskiego </w:t>
            </w:r>
            <w:r w:rsidRPr="00CE45E2">
              <w:rPr>
                <w:b/>
                <w:bCs/>
                <w:i/>
                <w:iCs/>
              </w:rPr>
              <w:t>powinny w pełni wykorzystywać istniejące uprawnienia w zakresie współpracy, koordynacji i mediacji, którymi dysponują one same oraz EIOPA.</w:t>
            </w:r>
            <w:r w:rsidRPr="00CE45E2">
              <w:rPr>
                <w:b/>
                <w:i/>
              </w:rPr>
              <w:t xml:space="preserve"> Instrumenty te zapewniają wystarczające i proporcjonalne ramy współpracy nadzorczej w odniesieniu do transgranicznych IORP. </w:t>
            </w:r>
            <w:r w:rsidRPr="00CE45E2">
              <w:rPr>
                <w:b/>
                <w:bCs/>
                <w:i/>
                <w:iCs/>
              </w:rPr>
              <w:t>W tym celu nie jest konieczna żadna dodatkowa infrastruktura instytucjonalna na poziomie Unii</w:t>
            </w:r>
            <w:r w:rsidRPr="00CE45E2">
              <w:t>.</w:t>
            </w:r>
          </w:p>
        </w:tc>
      </w:tr>
      <w:tr w:rsidR="00CE45E2" w:rsidRPr="00CE45E2" w14:paraId="01E54C0D" w14:textId="77777777" w:rsidTr="006476FB">
        <w:trPr>
          <w:jc w:val="center"/>
        </w:trPr>
        <w:tc>
          <w:tcPr>
            <w:tcW w:w="4876" w:type="dxa"/>
            <w:tcBorders>
              <w:top w:val="nil"/>
              <w:left w:val="nil"/>
              <w:bottom w:val="nil"/>
              <w:right w:val="nil"/>
            </w:tcBorders>
          </w:tcPr>
          <w:p w14:paraId="631EBBE4"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2D1B0D98" w14:textId="77777777" w:rsidR="00CE45E2" w:rsidRPr="00CE45E2" w:rsidRDefault="00CE45E2" w:rsidP="006476FB"/>
        </w:tc>
      </w:tr>
      <w:tr w:rsidR="00CE45E2" w:rsidRPr="00CE45E2" w14:paraId="13A236FB" w14:textId="77777777" w:rsidTr="006476FB">
        <w:trPr>
          <w:jc w:val="center"/>
        </w:trPr>
        <w:tc>
          <w:tcPr>
            <w:tcW w:w="4876" w:type="dxa"/>
            <w:tcBorders>
              <w:top w:val="nil"/>
              <w:left w:val="nil"/>
              <w:bottom w:val="nil"/>
              <w:right w:val="nil"/>
            </w:tcBorders>
          </w:tcPr>
          <w:p w14:paraId="54A33B4E" w14:textId="77777777" w:rsidR="00CE45E2" w:rsidRPr="00CE45E2" w:rsidRDefault="00CE45E2" w:rsidP="006476FB">
            <w:pPr>
              <w:pStyle w:val="Normal6a"/>
            </w:pPr>
            <w:r w:rsidRPr="00CE45E2">
              <w:rPr>
                <w:b/>
                <w:bCs/>
                <w:i/>
                <w:iCs/>
                <w:vertAlign w:val="superscript"/>
              </w:rPr>
              <w:t>14</w:t>
            </w:r>
            <w:r w:rsidRPr="00CE45E2">
              <w:rPr>
                <w:b/>
                <w:bCs/>
                <w:i/>
                <w:iCs/>
              </w:rPr>
              <w:t xml:space="preserve"> Dyrektywa Parlamentu Europejskiego i Rady 2009/138/WE z dnia 25 listopada 2009 r. w sprawie podejmowania i prowadzenia działalności ubezpieczeniowej i reasekuracyjnej (Wypłacalność II) (Dz.U. L 335 z 17.12.2009, s. 1, ELI:</w:t>
            </w:r>
            <w:r w:rsidRPr="00CE45E2">
              <w:rPr>
                <w:b/>
                <w:i/>
              </w:rPr>
              <w:t xml:space="preserve"> https://eur-lex.europa.eu/eli/dir/2009/138/oj).</w:t>
            </w:r>
          </w:p>
        </w:tc>
        <w:tc>
          <w:tcPr>
            <w:tcW w:w="4876" w:type="dxa"/>
            <w:tcBorders>
              <w:top w:val="nil"/>
              <w:left w:val="nil"/>
              <w:bottom w:val="nil"/>
              <w:right w:val="nil"/>
            </w:tcBorders>
          </w:tcPr>
          <w:p w14:paraId="1526FC1A" w14:textId="77777777" w:rsidR="00CE45E2" w:rsidRPr="00CE45E2" w:rsidRDefault="00CE45E2" w:rsidP="006476FB"/>
        </w:tc>
      </w:tr>
    </w:tbl>
    <w:p w14:paraId="5124043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DC375D1"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E8BD513" w14:textId="77777777" w:rsidR="00CE45E2" w:rsidRPr="00CE45E2" w:rsidRDefault="00CE45E2" w:rsidP="00CE45E2">
      <w:pPr>
        <w:pStyle w:val="AmJustText"/>
      </w:pPr>
      <w:r w:rsidRPr="00CE45E2">
        <w:t>Obecna struktura współpracy na mocy rozporządzenia w sprawie EIOPA oraz dyrektywy IORP II jest wystarczająca, zatem nie ma uzasadnionego zapotrzebowania operacyjnego na nowy mechanizm platformy kierowanej przez EIOPA.</w:t>
      </w:r>
    </w:p>
    <w:p w14:paraId="557A275F" w14:textId="77777777" w:rsidR="00CE45E2" w:rsidRPr="00CE45E2" w:rsidRDefault="00CE45E2" w:rsidP="00CE45E2">
      <w:r w:rsidRPr="00CE45E2">
        <w:rPr>
          <w:rStyle w:val="HideTWBExt"/>
        </w:rPr>
        <w:t>&lt;/Amend&gt;</w:t>
      </w:r>
    </w:p>
    <w:p w14:paraId="7F8AB60B" w14:textId="2E05EEC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192</w:t>
      </w:r>
      <w:r w:rsidRPr="00CE45E2">
        <w:rPr>
          <w:rStyle w:val="HideTWBExt"/>
          <w:b w:val="0"/>
        </w:rPr>
        <w:t>&lt;/NumAm&gt;</w:t>
      </w:r>
    </w:p>
    <w:p w14:paraId="0776B4D8"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00464DC" w14:textId="77777777" w:rsidR="00CE45E2" w:rsidRPr="00CE45E2" w:rsidRDefault="00CE45E2" w:rsidP="00CE45E2">
      <w:pPr>
        <w:pStyle w:val="NormalBold"/>
      </w:pPr>
      <w:r w:rsidRPr="00CE45E2">
        <w:rPr>
          <w:rStyle w:val="HideTWBExt"/>
          <w:b w:val="0"/>
        </w:rPr>
        <w:t>&lt;/RepeatBlock-By&gt;</w:t>
      </w:r>
    </w:p>
    <w:p w14:paraId="739E341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74082F7" w14:textId="77777777" w:rsidR="00CE45E2" w:rsidRPr="00CE45E2" w:rsidRDefault="00CE45E2" w:rsidP="00CE45E2">
      <w:pPr>
        <w:pStyle w:val="NormalBold"/>
      </w:pPr>
      <w:r w:rsidRPr="00CE45E2">
        <w:rPr>
          <w:rStyle w:val="HideTWBExt"/>
          <w:b w:val="0"/>
        </w:rPr>
        <w:t>&lt;Article&gt;</w:t>
      </w:r>
      <w:r w:rsidRPr="00CE45E2">
        <w:t>Motyw 46</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BFCDACA" w14:textId="77777777" w:rsidTr="006476FB">
        <w:trPr>
          <w:trHeight w:hRule="exact" w:val="240"/>
          <w:jc w:val="center"/>
        </w:trPr>
        <w:tc>
          <w:tcPr>
            <w:tcW w:w="9752" w:type="dxa"/>
            <w:gridSpan w:val="2"/>
            <w:tcBorders>
              <w:top w:val="nil"/>
              <w:left w:val="nil"/>
              <w:bottom w:val="nil"/>
              <w:right w:val="nil"/>
            </w:tcBorders>
          </w:tcPr>
          <w:p w14:paraId="20ECEAEA" w14:textId="77777777" w:rsidR="00CE45E2" w:rsidRPr="00CE45E2" w:rsidRDefault="00CE45E2" w:rsidP="006476FB"/>
        </w:tc>
      </w:tr>
      <w:tr w:rsidR="00CE45E2" w:rsidRPr="00CE45E2" w14:paraId="632AE2F8" w14:textId="77777777" w:rsidTr="006476FB">
        <w:trPr>
          <w:trHeight w:val="240"/>
          <w:jc w:val="center"/>
        </w:trPr>
        <w:tc>
          <w:tcPr>
            <w:tcW w:w="4876" w:type="dxa"/>
            <w:tcBorders>
              <w:top w:val="nil"/>
              <w:left w:val="nil"/>
              <w:bottom w:val="nil"/>
              <w:right w:val="nil"/>
            </w:tcBorders>
          </w:tcPr>
          <w:p w14:paraId="6E6251A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CE4089A" w14:textId="77777777" w:rsidR="00CE45E2" w:rsidRPr="00CE45E2" w:rsidRDefault="00CE45E2" w:rsidP="006476FB">
            <w:pPr>
              <w:pStyle w:val="AmColumnHeading"/>
            </w:pPr>
            <w:r w:rsidRPr="00CE45E2">
              <w:t>Poprawka</w:t>
            </w:r>
          </w:p>
        </w:tc>
      </w:tr>
      <w:tr w:rsidR="00CE45E2" w:rsidRPr="00CE45E2" w14:paraId="222A944A" w14:textId="77777777" w:rsidTr="006476FB">
        <w:trPr>
          <w:jc w:val="center"/>
        </w:trPr>
        <w:tc>
          <w:tcPr>
            <w:tcW w:w="4876" w:type="dxa"/>
            <w:tcBorders>
              <w:top w:val="nil"/>
              <w:left w:val="nil"/>
              <w:bottom w:val="nil"/>
              <w:right w:val="nil"/>
            </w:tcBorders>
          </w:tcPr>
          <w:p w14:paraId="7F523AED" w14:textId="77777777" w:rsidR="00CE45E2" w:rsidRPr="00CE45E2" w:rsidRDefault="00CE45E2" w:rsidP="006476FB">
            <w:pPr>
              <w:pStyle w:val="Normal6a"/>
            </w:pPr>
            <w:r w:rsidRPr="00CE45E2">
              <w:rPr>
                <w:b/>
                <w:i/>
              </w:rPr>
              <w:t>(46)</w:t>
            </w:r>
            <w:r w:rsidRPr="00CE45E2">
              <w:tab/>
            </w:r>
            <w:r w:rsidRPr="00CE45E2">
              <w:rPr>
                <w:b/>
                <w:i/>
              </w:rPr>
              <w:t>Aby osiągnąć cele określone w dyrektywie (UE) 2016/2341 i w niniejszej dyrektywie, należy przekazać Komisji uprawnienia do przyjmowania aktów zgodnie z art. 290 Traktatu o funkcjonowaniu Unii Europejskiej w odniesieniu do niektórych parametrów technicznych określonych w dyrektywie (UE) 2016/2341 wynikających z dyrektywy Rady 79/267/EWG, które pozostały niezmienione od czasu ich wprowadzenia, a także w odniesieniu do informacji o świadczeniu emerytalnym. Szczególnie ważne jest, aby w czasie prac przygotowawczych Komisja prowadziła stosowne konsultacje, w tym na poziomie ekspertów. Przygotowując i opracowując akty delegowane, Komisja powinna zapewnić jednoczesne, terminowe i odpowiednie przekazywanie stosownych dokumentów Parlamentowi Europejskiemu i Radzie.</w:t>
            </w:r>
          </w:p>
        </w:tc>
        <w:tc>
          <w:tcPr>
            <w:tcW w:w="4876" w:type="dxa"/>
            <w:tcBorders>
              <w:top w:val="nil"/>
              <w:left w:val="nil"/>
              <w:bottom w:val="nil"/>
              <w:right w:val="nil"/>
            </w:tcBorders>
          </w:tcPr>
          <w:p w14:paraId="10AB9973" w14:textId="77777777" w:rsidR="00CE45E2" w:rsidRPr="00CE45E2" w:rsidRDefault="00CE45E2" w:rsidP="006476FB">
            <w:pPr>
              <w:pStyle w:val="Normal6a"/>
            </w:pPr>
            <w:r w:rsidRPr="00CE45E2">
              <w:rPr>
                <w:b/>
                <w:i/>
              </w:rPr>
              <w:t>skreśla się</w:t>
            </w:r>
          </w:p>
        </w:tc>
      </w:tr>
    </w:tbl>
    <w:p w14:paraId="5687A79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D35E583" w14:textId="77777777" w:rsidR="00CE45E2" w:rsidRPr="00CE45E2" w:rsidRDefault="00CE45E2" w:rsidP="00CE45E2">
      <w:r w:rsidRPr="00CE45E2">
        <w:rPr>
          <w:rStyle w:val="HideTWBExt"/>
        </w:rPr>
        <w:t>&lt;/Amend&gt;</w:t>
      </w:r>
    </w:p>
    <w:p w14:paraId="45359AF0" w14:textId="7A2CAA0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193</w:t>
      </w:r>
      <w:r w:rsidRPr="00CE45E2">
        <w:rPr>
          <w:rStyle w:val="HideTWBExt"/>
          <w:b w:val="0"/>
        </w:rPr>
        <w:t>&lt;/NumAm&gt;</w:t>
      </w:r>
    </w:p>
    <w:p w14:paraId="3485D13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CB6FCC7" w14:textId="77777777" w:rsidR="00CE45E2" w:rsidRPr="00CE45E2" w:rsidRDefault="00CE45E2" w:rsidP="00CE45E2">
      <w:pPr>
        <w:pStyle w:val="NormalBold"/>
      </w:pPr>
      <w:r w:rsidRPr="00CE45E2">
        <w:rPr>
          <w:rStyle w:val="HideTWBExt"/>
          <w:b w:val="0"/>
        </w:rPr>
        <w:t>&lt;/RepeatBlock-By&gt;</w:t>
      </w:r>
    </w:p>
    <w:p w14:paraId="630C05B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F43B90F" w14:textId="77777777" w:rsidR="00CE45E2" w:rsidRPr="00CE45E2" w:rsidRDefault="00CE45E2" w:rsidP="00CE45E2">
      <w:pPr>
        <w:pStyle w:val="NormalBold"/>
      </w:pPr>
      <w:r w:rsidRPr="00CE45E2">
        <w:rPr>
          <w:rStyle w:val="HideTWBExt"/>
          <w:b w:val="0"/>
        </w:rPr>
        <w:t>&lt;Article&gt;</w:t>
      </w:r>
      <w:r w:rsidRPr="00CE45E2">
        <w:t>Motyw 47</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1AC0BCE" w14:textId="77777777" w:rsidTr="006476FB">
        <w:trPr>
          <w:trHeight w:hRule="exact" w:val="240"/>
          <w:jc w:val="center"/>
        </w:trPr>
        <w:tc>
          <w:tcPr>
            <w:tcW w:w="9752" w:type="dxa"/>
            <w:gridSpan w:val="2"/>
            <w:tcBorders>
              <w:top w:val="nil"/>
              <w:left w:val="nil"/>
              <w:bottom w:val="nil"/>
              <w:right w:val="nil"/>
            </w:tcBorders>
          </w:tcPr>
          <w:p w14:paraId="441F5927" w14:textId="77777777" w:rsidR="00CE45E2" w:rsidRPr="00CE45E2" w:rsidRDefault="00CE45E2" w:rsidP="006476FB"/>
        </w:tc>
      </w:tr>
      <w:tr w:rsidR="00CE45E2" w:rsidRPr="00CE45E2" w14:paraId="75BD129E" w14:textId="77777777" w:rsidTr="006476FB">
        <w:trPr>
          <w:trHeight w:val="240"/>
          <w:jc w:val="center"/>
        </w:trPr>
        <w:tc>
          <w:tcPr>
            <w:tcW w:w="4876" w:type="dxa"/>
            <w:tcBorders>
              <w:top w:val="nil"/>
              <w:left w:val="nil"/>
              <w:bottom w:val="nil"/>
              <w:right w:val="nil"/>
            </w:tcBorders>
          </w:tcPr>
          <w:p w14:paraId="404DA11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D2B0072" w14:textId="77777777" w:rsidR="00CE45E2" w:rsidRPr="00CE45E2" w:rsidRDefault="00CE45E2" w:rsidP="006476FB">
            <w:pPr>
              <w:pStyle w:val="AmColumnHeading"/>
            </w:pPr>
            <w:r w:rsidRPr="00CE45E2">
              <w:t>Poprawka</w:t>
            </w:r>
          </w:p>
        </w:tc>
      </w:tr>
      <w:tr w:rsidR="00CE45E2" w:rsidRPr="00CE45E2" w14:paraId="7F58D968" w14:textId="77777777" w:rsidTr="006476FB">
        <w:trPr>
          <w:jc w:val="center"/>
        </w:trPr>
        <w:tc>
          <w:tcPr>
            <w:tcW w:w="4876" w:type="dxa"/>
            <w:tcBorders>
              <w:top w:val="nil"/>
              <w:left w:val="nil"/>
              <w:bottom w:val="nil"/>
              <w:right w:val="nil"/>
            </w:tcBorders>
          </w:tcPr>
          <w:p w14:paraId="71802551" w14:textId="77777777" w:rsidR="00CE45E2" w:rsidRPr="00CE45E2" w:rsidRDefault="00CE45E2" w:rsidP="006476FB">
            <w:pPr>
              <w:pStyle w:val="Normal6a"/>
            </w:pPr>
            <w:r w:rsidRPr="00CE45E2">
              <w:rPr>
                <w:b/>
                <w:i/>
              </w:rPr>
              <w:t>(47)</w:t>
            </w:r>
            <w:r w:rsidRPr="00CE45E2">
              <w:tab/>
            </w:r>
            <w:r w:rsidRPr="00CE45E2">
              <w:rPr>
                <w:b/>
                <w:i/>
              </w:rPr>
              <w:t>W celu zapewnienia jednolitych warunków stosowania przepisów dotyczących sprawozdawczości w zakresie zwrotów z inwestycji po odliczeniu kosztów inwestycji oraz wszystkich kosztów i opłat poniesionych w związku z działalnością IORP należy powierzyć Komisji uprawnienia wykonawcze. Uprawnienia te powinny być wykonywane zgodnie z rozporządzeniem Parlamentu Europejskiego i Rady (UE) nr 180/2011</w:t>
            </w:r>
            <w:r w:rsidRPr="00CE45E2">
              <w:rPr>
                <w:b/>
                <w:i/>
                <w:vertAlign w:val="superscript"/>
              </w:rPr>
              <w:t>15</w:t>
            </w:r>
            <w:r w:rsidRPr="00CE45E2">
              <w:rPr>
                <w:b/>
                <w:i/>
              </w:rPr>
              <w:t>.</w:t>
            </w:r>
          </w:p>
        </w:tc>
        <w:tc>
          <w:tcPr>
            <w:tcW w:w="4876" w:type="dxa"/>
            <w:tcBorders>
              <w:top w:val="nil"/>
              <w:left w:val="nil"/>
              <w:bottom w:val="nil"/>
              <w:right w:val="nil"/>
            </w:tcBorders>
          </w:tcPr>
          <w:p w14:paraId="5C24803F" w14:textId="77777777" w:rsidR="00CE45E2" w:rsidRPr="00CE45E2" w:rsidRDefault="00CE45E2" w:rsidP="006476FB">
            <w:pPr>
              <w:pStyle w:val="Normal6a"/>
            </w:pPr>
            <w:r w:rsidRPr="00CE45E2">
              <w:rPr>
                <w:b/>
                <w:i/>
              </w:rPr>
              <w:t>skreśla się</w:t>
            </w:r>
          </w:p>
        </w:tc>
      </w:tr>
      <w:tr w:rsidR="00CE45E2" w:rsidRPr="00CE45E2" w14:paraId="070BA8B8" w14:textId="77777777" w:rsidTr="006476FB">
        <w:trPr>
          <w:jc w:val="center"/>
        </w:trPr>
        <w:tc>
          <w:tcPr>
            <w:tcW w:w="4876" w:type="dxa"/>
            <w:tcBorders>
              <w:top w:val="nil"/>
              <w:left w:val="nil"/>
              <w:bottom w:val="nil"/>
              <w:right w:val="nil"/>
            </w:tcBorders>
          </w:tcPr>
          <w:p w14:paraId="0E9979E6" w14:textId="77777777" w:rsidR="00CE45E2" w:rsidRPr="00CE45E2" w:rsidRDefault="00CE45E2" w:rsidP="006476FB">
            <w:pPr>
              <w:pStyle w:val="Normal6a"/>
            </w:pPr>
            <w:r w:rsidRPr="00CE45E2">
              <w:rPr>
                <w:b/>
                <w:i/>
              </w:rPr>
              <w:t>_________________</w:t>
            </w:r>
          </w:p>
        </w:tc>
        <w:tc>
          <w:tcPr>
            <w:tcW w:w="4876" w:type="dxa"/>
            <w:tcBorders>
              <w:top w:val="nil"/>
              <w:left w:val="nil"/>
              <w:bottom w:val="nil"/>
              <w:right w:val="nil"/>
            </w:tcBorders>
          </w:tcPr>
          <w:p w14:paraId="30E61DA2" w14:textId="77777777" w:rsidR="00CE45E2" w:rsidRPr="00CE45E2" w:rsidRDefault="00CE45E2" w:rsidP="006476FB"/>
        </w:tc>
      </w:tr>
      <w:tr w:rsidR="00CE45E2" w:rsidRPr="00CE45E2" w14:paraId="13FCC16D" w14:textId="77777777" w:rsidTr="006476FB">
        <w:trPr>
          <w:jc w:val="center"/>
        </w:trPr>
        <w:tc>
          <w:tcPr>
            <w:tcW w:w="4876" w:type="dxa"/>
            <w:tcBorders>
              <w:top w:val="nil"/>
              <w:left w:val="nil"/>
              <w:bottom w:val="nil"/>
              <w:right w:val="nil"/>
            </w:tcBorders>
          </w:tcPr>
          <w:p w14:paraId="65545EA7" w14:textId="77777777" w:rsidR="00CE45E2" w:rsidRPr="00CE45E2" w:rsidRDefault="00CE45E2" w:rsidP="006476FB">
            <w:pPr>
              <w:pStyle w:val="Normal6a"/>
            </w:pPr>
            <w:r w:rsidRPr="00CE45E2">
              <w:rPr>
                <w:b/>
                <w:bCs/>
                <w:i/>
                <w:iCs/>
                <w:vertAlign w:val="superscript"/>
              </w:rPr>
              <w:t>15</w:t>
            </w:r>
            <w:r w:rsidRPr="00CE45E2">
              <w:rPr>
                <w:b/>
                <w:bCs/>
                <w:i/>
                <w:iCs/>
              </w:rPr>
              <w:t xml:space="preserve"> Rozporządzenie Parlamentu Europejskiego i Rady (UE) nr 182/2011 z dnia 16 lutego 2011 r. ustanawiające przepisy i zasady ogólne dotyczące trybu kontroli przez państwa członkowskie wykonywania uprawnień wykonawczych przez Komisję (Dz.U. L 55 z </w:t>
            </w:r>
            <w:proofErr w:type="gramStart"/>
            <w:r w:rsidRPr="00CE45E2">
              <w:rPr>
                <w:b/>
                <w:bCs/>
                <w:i/>
                <w:iCs/>
              </w:rPr>
              <w:t>28.2.2011</w:t>
            </w:r>
            <w:proofErr w:type="gramEnd"/>
            <w:r w:rsidRPr="00CE45E2">
              <w:rPr>
                <w:b/>
                <w:bCs/>
                <w:i/>
                <w:iCs/>
              </w:rPr>
              <w:t>, s. 13, ELI:</w:t>
            </w:r>
            <w:r w:rsidRPr="00CE45E2">
              <w:rPr>
                <w:b/>
                <w:i/>
              </w:rPr>
              <w:t xml:space="preserve"> http://data.europa.eu/eli/reg/2011/182/oj).</w:t>
            </w:r>
          </w:p>
        </w:tc>
        <w:tc>
          <w:tcPr>
            <w:tcW w:w="4876" w:type="dxa"/>
            <w:tcBorders>
              <w:top w:val="nil"/>
              <w:left w:val="nil"/>
              <w:bottom w:val="nil"/>
              <w:right w:val="nil"/>
            </w:tcBorders>
          </w:tcPr>
          <w:p w14:paraId="70C01544" w14:textId="77777777" w:rsidR="00CE45E2" w:rsidRPr="00CE45E2" w:rsidRDefault="00CE45E2" w:rsidP="006476FB"/>
        </w:tc>
      </w:tr>
    </w:tbl>
    <w:p w14:paraId="62951F7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DE583F5" w14:textId="77777777" w:rsidR="00CE45E2" w:rsidRPr="00CE45E2" w:rsidRDefault="00CE45E2" w:rsidP="00CE45E2">
      <w:r w:rsidRPr="00CE45E2">
        <w:rPr>
          <w:rStyle w:val="HideTWBExt"/>
        </w:rPr>
        <w:t>&lt;/Amend&gt;</w:t>
      </w:r>
    </w:p>
    <w:p w14:paraId="280211F7" w14:textId="49560E5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194</w:t>
      </w:r>
      <w:r w:rsidRPr="00CE45E2">
        <w:rPr>
          <w:rStyle w:val="HideTWBExt"/>
          <w:b w:val="0"/>
        </w:rPr>
        <w:t>&lt;/NumAm&gt;</w:t>
      </w:r>
    </w:p>
    <w:p w14:paraId="7277FE81"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06B8989" w14:textId="77777777" w:rsidR="00CE45E2" w:rsidRPr="00CE45E2" w:rsidRDefault="00CE45E2" w:rsidP="00CE45E2">
      <w:pPr>
        <w:pStyle w:val="NormalBold"/>
      </w:pPr>
      <w:r w:rsidRPr="00CE45E2">
        <w:rPr>
          <w:rStyle w:val="HideTWBExt"/>
          <w:b w:val="0"/>
        </w:rPr>
        <w:t>&lt;/RepeatBlock-By&gt;</w:t>
      </w:r>
    </w:p>
    <w:p w14:paraId="38880B3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621EFAD" w14:textId="77777777" w:rsidR="00CE45E2" w:rsidRPr="00CE45E2" w:rsidRDefault="00CE45E2" w:rsidP="00CE45E2">
      <w:pPr>
        <w:pStyle w:val="NormalBold"/>
      </w:pPr>
      <w:r w:rsidRPr="00CE45E2">
        <w:rPr>
          <w:rStyle w:val="HideTWBExt"/>
          <w:b w:val="0"/>
        </w:rPr>
        <w:t>&lt;Article&gt;</w:t>
      </w:r>
      <w:r w:rsidRPr="00CE45E2">
        <w:t>Motyw 49</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C30FEA6" w14:textId="77777777" w:rsidTr="006476FB">
        <w:trPr>
          <w:trHeight w:hRule="exact" w:val="240"/>
          <w:jc w:val="center"/>
        </w:trPr>
        <w:tc>
          <w:tcPr>
            <w:tcW w:w="9752" w:type="dxa"/>
            <w:gridSpan w:val="2"/>
            <w:tcBorders>
              <w:top w:val="nil"/>
              <w:left w:val="nil"/>
              <w:bottom w:val="nil"/>
              <w:right w:val="nil"/>
            </w:tcBorders>
          </w:tcPr>
          <w:p w14:paraId="6EF4B0D6" w14:textId="77777777" w:rsidR="00CE45E2" w:rsidRPr="00CE45E2" w:rsidRDefault="00CE45E2" w:rsidP="006476FB"/>
        </w:tc>
      </w:tr>
      <w:tr w:rsidR="00CE45E2" w:rsidRPr="00CE45E2" w14:paraId="1C45F64C" w14:textId="77777777" w:rsidTr="006476FB">
        <w:trPr>
          <w:trHeight w:val="240"/>
          <w:jc w:val="center"/>
        </w:trPr>
        <w:tc>
          <w:tcPr>
            <w:tcW w:w="4876" w:type="dxa"/>
            <w:tcBorders>
              <w:top w:val="nil"/>
              <w:left w:val="nil"/>
              <w:bottom w:val="nil"/>
              <w:right w:val="nil"/>
            </w:tcBorders>
          </w:tcPr>
          <w:p w14:paraId="3EA5F85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0356A91" w14:textId="77777777" w:rsidR="00CE45E2" w:rsidRPr="00CE45E2" w:rsidRDefault="00CE45E2" w:rsidP="006476FB">
            <w:pPr>
              <w:pStyle w:val="AmColumnHeading"/>
            </w:pPr>
            <w:r w:rsidRPr="00CE45E2">
              <w:t>Poprawka</w:t>
            </w:r>
          </w:p>
        </w:tc>
      </w:tr>
      <w:tr w:rsidR="00CE45E2" w:rsidRPr="00CE45E2" w14:paraId="5BE7FC28" w14:textId="77777777" w:rsidTr="006476FB">
        <w:trPr>
          <w:jc w:val="center"/>
        </w:trPr>
        <w:tc>
          <w:tcPr>
            <w:tcW w:w="4876" w:type="dxa"/>
            <w:tcBorders>
              <w:top w:val="nil"/>
              <w:left w:val="nil"/>
              <w:bottom w:val="nil"/>
              <w:right w:val="nil"/>
            </w:tcBorders>
          </w:tcPr>
          <w:p w14:paraId="43068F3D" w14:textId="77777777" w:rsidR="00CE45E2" w:rsidRPr="00CE45E2" w:rsidRDefault="00CE45E2" w:rsidP="006476FB">
            <w:pPr>
              <w:pStyle w:val="Normal6a"/>
            </w:pPr>
            <w:r w:rsidRPr="00CE45E2">
              <w:rPr>
                <w:b/>
                <w:i/>
              </w:rPr>
              <w:t>(49)</w:t>
            </w:r>
            <w:r w:rsidRPr="00CE45E2">
              <w:tab/>
            </w:r>
            <w:r w:rsidRPr="00CE45E2">
              <w:rPr>
                <w:b/>
                <w:i/>
              </w:rPr>
              <w:t>Zmiany w dyrektywie (UE) 2016/2341 dotyczące udzielania zezwoleń IORP powinny zastąpić obecny system rejestracji lub udzielania zezwoleń w celu zapewnienia spójnych standardów nadzoru w całej Unii. Wymaganie od wszystkich IORP ubiegania się o nowe zezwolenie byłoby jednak zbyt uciążliwe. Państwa członkowskie powinny zatem mieć możliwość automatycznego uznawania IORP już zarejestrowanych lub wykonujących działalność na podstawie zezwolenia udzielonego na mocy tej dyrektywy.</w:t>
            </w:r>
          </w:p>
        </w:tc>
        <w:tc>
          <w:tcPr>
            <w:tcW w:w="4876" w:type="dxa"/>
            <w:tcBorders>
              <w:top w:val="nil"/>
              <w:left w:val="nil"/>
              <w:bottom w:val="nil"/>
              <w:right w:val="nil"/>
            </w:tcBorders>
          </w:tcPr>
          <w:p w14:paraId="6DB1DFEA" w14:textId="77777777" w:rsidR="00CE45E2" w:rsidRPr="00CE45E2" w:rsidRDefault="00CE45E2" w:rsidP="006476FB">
            <w:pPr>
              <w:pStyle w:val="Normal6a"/>
            </w:pPr>
            <w:r w:rsidRPr="00CE45E2">
              <w:rPr>
                <w:b/>
                <w:i/>
              </w:rPr>
              <w:t>skreśla się</w:t>
            </w:r>
          </w:p>
        </w:tc>
      </w:tr>
    </w:tbl>
    <w:p w14:paraId="6DC176F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1FD421D" w14:textId="77777777" w:rsidR="00CE45E2" w:rsidRPr="00CE45E2" w:rsidRDefault="00CE45E2" w:rsidP="00CE45E2">
      <w:r w:rsidRPr="00CE45E2">
        <w:rPr>
          <w:rStyle w:val="HideTWBExt"/>
        </w:rPr>
        <w:t>&lt;/Amend&gt;</w:t>
      </w:r>
    </w:p>
    <w:p w14:paraId="425718F3" w14:textId="7A0A8C6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195</w:t>
      </w:r>
      <w:r w:rsidRPr="00CE45E2">
        <w:rPr>
          <w:rStyle w:val="HideTWBExt"/>
          <w:b w:val="0"/>
        </w:rPr>
        <w:t>&lt;/NumAm&gt;</w:t>
      </w:r>
    </w:p>
    <w:p w14:paraId="2264F11B"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15824F96" w14:textId="77777777" w:rsidR="00CE45E2" w:rsidRPr="00CE45E2" w:rsidRDefault="00CE45E2" w:rsidP="00CE45E2">
      <w:pPr>
        <w:pStyle w:val="NormalBold"/>
      </w:pPr>
      <w:r w:rsidRPr="00CE45E2">
        <w:rPr>
          <w:rStyle w:val="HideTWBExt"/>
          <w:b w:val="0"/>
        </w:rPr>
        <w:t>&lt;/RepeatBlock-By&gt;</w:t>
      </w:r>
    </w:p>
    <w:p w14:paraId="4333D88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7058A61" w14:textId="77777777" w:rsidR="00CE45E2" w:rsidRPr="00CE45E2" w:rsidRDefault="00CE45E2" w:rsidP="00CE45E2">
      <w:pPr>
        <w:pStyle w:val="NormalBold"/>
      </w:pPr>
      <w:r w:rsidRPr="00CE45E2">
        <w:rPr>
          <w:rStyle w:val="HideTWBExt"/>
          <w:b w:val="0"/>
        </w:rPr>
        <w:t>&lt;Article&gt;</w:t>
      </w:r>
      <w:r w:rsidRPr="00CE45E2">
        <w:t>Artykuł 1 – akapit 1 – punkt 1</w:t>
      </w:r>
      <w:r w:rsidRPr="00CE45E2">
        <w:rPr>
          <w:rStyle w:val="HideTWBExt"/>
          <w:b w:val="0"/>
        </w:rPr>
        <w:t>&lt;/Article&gt;</w:t>
      </w:r>
    </w:p>
    <w:p w14:paraId="6A9A89F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5AAF988" w14:textId="77777777" w:rsidR="00CE45E2" w:rsidRPr="00CE45E2" w:rsidRDefault="00CE45E2" w:rsidP="00CE45E2">
      <w:r w:rsidRPr="00CE45E2">
        <w:rPr>
          <w:rStyle w:val="HideTWBExt"/>
        </w:rPr>
        <w:t>&lt;Article2&gt;</w:t>
      </w:r>
      <w:r w:rsidRPr="00CE45E2">
        <w:t>w całym tekście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905D22C" w14:textId="77777777" w:rsidTr="006476FB">
        <w:trPr>
          <w:trHeight w:hRule="exact" w:val="240"/>
          <w:jc w:val="center"/>
        </w:trPr>
        <w:tc>
          <w:tcPr>
            <w:tcW w:w="9752" w:type="dxa"/>
            <w:gridSpan w:val="2"/>
            <w:tcBorders>
              <w:top w:val="nil"/>
              <w:left w:val="nil"/>
              <w:bottom w:val="nil"/>
              <w:right w:val="nil"/>
            </w:tcBorders>
          </w:tcPr>
          <w:p w14:paraId="4B33B078" w14:textId="77777777" w:rsidR="00CE45E2" w:rsidRPr="00CE45E2" w:rsidRDefault="00CE45E2" w:rsidP="006476FB"/>
        </w:tc>
      </w:tr>
      <w:tr w:rsidR="00CE45E2" w:rsidRPr="00CE45E2" w14:paraId="74B3113C" w14:textId="77777777" w:rsidTr="006476FB">
        <w:trPr>
          <w:trHeight w:val="240"/>
          <w:jc w:val="center"/>
        </w:trPr>
        <w:tc>
          <w:tcPr>
            <w:tcW w:w="4876" w:type="dxa"/>
            <w:tcBorders>
              <w:top w:val="nil"/>
              <w:left w:val="nil"/>
              <w:bottom w:val="nil"/>
              <w:right w:val="nil"/>
            </w:tcBorders>
          </w:tcPr>
          <w:p w14:paraId="0F5CAF0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1B2D570" w14:textId="77777777" w:rsidR="00CE45E2" w:rsidRPr="00CE45E2" w:rsidRDefault="00CE45E2" w:rsidP="006476FB">
            <w:pPr>
              <w:pStyle w:val="AmColumnHeading"/>
            </w:pPr>
            <w:r w:rsidRPr="00CE45E2">
              <w:t>Poprawka</w:t>
            </w:r>
          </w:p>
        </w:tc>
      </w:tr>
      <w:tr w:rsidR="00CE45E2" w:rsidRPr="00CE45E2" w14:paraId="6CCFCDFE" w14:textId="77777777" w:rsidTr="006476FB">
        <w:trPr>
          <w:jc w:val="center"/>
        </w:trPr>
        <w:tc>
          <w:tcPr>
            <w:tcW w:w="4876" w:type="dxa"/>
            <w:tcBorders>
              <w:top w:val="nil"/>
              <w:left w:val="nil"/>
              <w:bottom w:val="nil"/>
              <w:right w:val="nil"/>
            </w:tcBorders>
          </w:tcPr>
          <w:p w14:paraId="14A92C33" w14:textId="77777777" w:rsidR="00CE45E2" w:rsidRPr="00CE45E2" w:rsidRDefault="00CE45E2" w:rsidP="006476FB">
            <w:pPr>
              <w:pStyle w:val="Normal6a"/>
            </w:pPr>
            <w:r w:rsidRPr="00CE45E2">
              <w:rPr>
                <w:b/>
                <w:i/>
              </w:rPr>
              <w:t>1)</w:t>
            </w:r>
            <w:r w:rsidRPr="00CE45E2">
              <w:tab/>
            </w:r>
            <w:r w:rsidRPr="00CE45E2">
              <w:rPr>
                <w:b/>
                <w:i/>
              </w:rPr>
              <w:t>słowa „zarejestrowana lub wykonująca działalność na podstawie zezwolenia” zastępuje się słowami „wykonująca działalność na podstawie zezwolenia” w całej dyrektywie;</w:t>
            </w:r>
          </w:p>
        </w:tc>
        <w:tc>
          <w:tcPr>
            <w:tcW w:w="4876" w:type="dxa"/>
            <w:tcBorders>
              <w:top w:val="nil"/>
              <w:left w:val="nil"/>
              <w:bottom w:val="nil"/>
              <w:right w:val="nil"/>
            </w:tcBorders>
          </w:tcPr>
          <w:p w14:paraId="39116EAE" w14:textId="77777777" w:rsidR="00CE45E2" w:rsidRPr="00CE45E2" w:rsidRDefault="00CE45E2" w:rsidP="006476FB">
            <w:pPr>
              <w:pStyle w:val="Normal6a"/>
            </w:pPr>
            <w:r w:rsidRPr="00CE45E2">
              <w:rPr>
                <w:b/>
                <w:i/>
              </w:rPr>
              <w:t>skreśla się</w:t>
            </w:r>
          </w:p>
        </w:tc>
      </w:tr>
    </w:tbl>
    <w:p w14:paraId="7B1E7FB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C172FE1"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094A9D4" w14:textId="77777777" w:rsidR="00CE45E2" w:rsidRPr="00CE45E2" w:rsidRDefault="00CE45E2" w:rsidP="00CE45E2">
      <w:pPr>
        <w:pStyle w:val="AmJustText"/>
      </w:pPr>
      <w:r w:rsidRPr="00CE45E2">
        <w:t xml:space="preserve">At the moment </w:t>
      </w:r>
      <w:proofErr w:type="spellStart"/>
      <w:r w:rsidRPr="00CE45E2">
        <w:t>Member</w:t>
      </w:r>
      <w:proofErr w:type="spellEnd"/>
      <w:r w:rsidRPr="00CE45E2">
        <w:t xml:space="preserve"> </w:t>
      </w:r>
      <w:proofErr w:type="spellStart"/>
      <w:r w:rsidRPr="00CE45E2">
        <w:t>States</w:t>
      </w:r>
      <w:proofErr w:type="spellEnd"/>
      <w:r w:rsidRPr="00CE45E2">
        <w:t xml:space="preserve"> </w:t>
      </w:r>
      <w:proofErr w:type="spellStart"/>
      <w:r w:rsidRPr="00CE45E2">
        <w:t>can</w:t>
      </w:r>
      <w:proofErr w:type="spellEnd"/>
      <w:r w:rsidRPr="00CE45E2">
        <w:t xml:space="preserve"> </w:t>
      </w:r>
      <w:proofErr w:type="spellStart"/>
      <w:r w:rsidRPr="00CE45E2">
        <w:t>choose</w:t>
      </w:r>
      <w:proofErr w:type="spellEnd"/>
      <w:r w:rsidRPr="00CE45E2">
        <w:t xml:space="preserve"> </w:t>
      </w:r>
      <w:proofErr w:type="spellStart"/>
      <w:r w:rsidRPr="00CE45E2">
        <w:t>whether</w:t>
      </w:r>
      <w:proofErr w:type="spellEnd"/>
      <w:r w:rsidRPr="00CE45E2">
        <w:t xml:space="preserve"> </w:t>
      </w:r>
      <w:proofErr w:type="spellStart"/>
      <w:r w:rsidRPr="00CE45E2">
        <w:t>they</w:t>
      </w:r>
      <w:proofErr w:type="spellEnd"/>
      <w:r w:rsidRPr="00CE45E2">
        <w:t xml:space="preserve"> </w:t>
      </w:r>
      <w:proofErr w:type="spellStart"/>
      <w:r w:rsidRPr="00CE45E2">
        <w:t>apply</w:t>
      </w:r>
      <w:proofErr w:type="spellEnd"/>
      <w:r w:rsidRPr="00CE45E2">
        <w:t xml:space="preserve"> </w:t>
      </w:r>
      <w:proofErr w:type="spellStart"/>
      <w:r w:rsidRPr="00CE45E2">
        <w:t>an</w:t>
      </w:r>
      <w:proofErr w:type="spellEnd"/>
      <w:r w:rsidRPr="00CE45E2">
        <w:t xml:space="preserve"> </w:t>
      </w:r>
      <w:proofErr w:type="spellStart"/>
      <w:r w:rsidRPr="00CE45E2">
        <w:t>authorisation</w:t>
      </w:r>
      <w:proofErr w:type="spellEnd"/>
      <w:r w:rsidRPr="00CE45E2">
        <w:t xml:space="preserve"> </w:t>
      </w:r>
      <w:proofErr w:type="spellStart"/>
      <w:r w:rsidRPr="00CE45E2">
        <w:t>or</w:t>
      </w:r>
      <w:proofErr w:type="spellEnd"/>
      <w:r w:rsidRPr="00CE45E2">
        <w:t xml:space="preserve"> </w:t>
      </w:r>
      <w:proofErr w:type="spellStart"/>
      <w:r w:rsidRPr="00CE45E2">
        <w:t>registration</w:t>
      </w:r>
      <w:proofErr w:type="spellEnd"/>
      <w:r w:rsidRPr="00CE45E2">
        <w:t xml:space="preserve"> </w:t>
      </w:r>
      <w:proofErr w:type="spellStart"/>
      <w:r w:rsidRPr="00CE45E2">
        <w:t>procedure</w:t>
      </w:r>
      <w:proofErr w:type="spellEnd"/>
      <w:r w:rsidRPr="00CE45E2">
        <w:t xml:space="preserve">. The </w:t>
      </w:r>
      <w:proofErr w:type="spellStart"/>
      <w:r w:rsidRPr="00CE45E2">
        <w:t>Commission</w:t>
      </w:r>
      <w:proofErr w:type="spellEnd"/>
      <w:r w:rsidRPr="00CE45E2">
        <w:t xml:space="preserve"> </w:t>
      </w:r>
      <w:proofErr w:type="spellStart"/>
      <w:r w:rsidRPr="00CE45E2">
        <w:t>states</w:t>
      </w:r>
      <w:proofErr w:type="spellEnd"/>
      <w:r w:rsidRPr="00CE45E2">
        <w:t xml:space="preserve"> </w:t>
      </w:r>
      <w:proofErr w:type="spellStart"/>
      <w:r w:rsidRPr="00CE45E2">
        <w:t>that</w:t>
      </w:r>
      <w:proofErr w:type="spellEnd"/>
      <w:r w:rsidRPr="00CE45E2">
        <w:t xml:space="preserve"> </w:t>
      </w:r>
      <w:proofErr w:type="spellStart"/>
      <w:r w:rsidRPr="00CE45E2">
        <w:t>divergent</w:t>
      </w:r>
      <w:proofErr w:type="spellEnd"/>
      <w:r w:rsidRPr="00CE45E2">
        <w:t xml:space="preserve"> </w:t>
      </w:r>
      <w:proofErr w:type="spellStart"/>
      <w:r w:rsidRPr="00CE45E2">
        <w:t>practices</w:t>
      </w:r>
      <w:proofErr w:type="spellEnd"/>
      <w:r w:rsidRPr="00CE45E2">
        <w:t xml:space="preserve"> </w:t>
      </w:r>
      <w:proofErr w:type="spellStart"/>
      <w:r w:rsidRPr="00CE45E2">
        <w:t>lead</w:t>
      </w:r>
      <w:proofErr w:type="spellEnd"/>
      <w:r w:rsidRPr="00CE45E2">
        <w:t xml:space="preserve"> to a </w:t>
      </w:r>
      <w:proofErr w:type="spellStart"/>
      <w:r w:rsidRPr="00CE45E2">
        <w:t>fragmented</w:t>
      </w:r>
      <w:proofErr w:type="spellEnd"/>
      <w:r w:rsidRPr="00CE45E2">
        <w:t xml:space="preserve"> </w:t>
      </w:r>
      <w:proofErr w:type="spellStart"/>
      <w:r w:rsidRPr="00CE45E2">
        <w:t>internal</w:t>
      </w:r>
      <w:proofErr w:type="spellEnd"/>
      <w:r w:rsidRPr="00CE45E2">
        <w:t xml:space="preserve"> market. </w:t>
      </w:r>
      <w:proofErr w:type="spellStart"/>
      <w:r w:rsidRPr="00CE45E2">
        <w:t>However</w:t>
      </w:r>
      <w:proofErr w:type="spellEnd"/>
      <w:r w:rsidRPr="00CE45E2">
        <w:t xml:space="preserve">, </w:t>
      </w:r>
      <w:proofErr w:type="spellStart"/>
      <w:r w:rsidRPr="00CE45E2">
        <w:t>limiting</w:t>
      </w:r>
      <w:proofErr w:type="spellEnd"/>
      <w:r w:rsidRPr="00CE45E2">
        <w:t xml:space="preserve"> </w:t>
      </w:r>
      <w:proofErr w:type="spellStart"/>
      <w:r w:rsidRPr="00CE45E2">
        <w:t>this</w:t>
      </w:r>
      <w:proofErr w:type="spellEnd"/>
      <w:r w:rsidRPr="00CE45E2">
        <w:t xml:space="preserve"> to </w:t>
      </w:r>
      <w:proofErr w:type="spellStart"/>
      <w:r w:rsidRPr="00CE45E2">
        <w:t>authorisation</w:t>
      </w:r>
      <w:proofErr w:type="spellEnd"/>
      <w:r w:rsidRPr="00CE45E2">
        <w:t xml:space="preserve"> </w:t>
      </w:r>
      <w:proofErr w:type="spellStart"/>
      <w:r w:rsidRPr="00CE45E2">
        <w:t>procedures</w:t>
      </w:r>
      <w:proofErr w:type="spellEnd"/>
      <w:r w:rsidRPr="00CE45E2">
        <w:t xml:space="preserve"> </w:t>
      </w:r>
      <w:proofErr w:type="spellStart"/>
      <w:r w:rsidRPr="00CE45E2">
        <w:t>only</w:t>
      </w:r>
      <w:proofErr w:type="spellEnd"/>
      <w:r w:rsidRPr="00CE45E2">
        <w:t xml:space="preserve"> </w:t>
      </w:r>
      <w:proofErr w:type="spellStart"/>
      <w:r w:rsidRPr="00CE45E2">
        <w:t>would</w:t>
      </w:r>
      <w:proofErr w:type="spellEnd"/>
      <w:r w:rsidRPr="00CE45E2">
        <w:t xml:space="preserve"> </w:t>
      </w:r>
      <w:proofErr w:type="spellStart"/>
      <w:r w:rsidRPr="00CE45E2">
        <w:t>create</w:t>
      </w:r>
      <w:proofErr w:type="spellEnd"/>
      <w:r w:rsidRPr="00CE45E2">
        <w:t xml:space="preserve"> </w:t>
      </w:r>
      <w:proofErr w:type="spellStart"/>
      <w:r w:rsidRPr="00CE45E2">
        <w:t>an</w:t>
      </w:r>
      <w:proofErr w:type="spellEnd"/>
      <w:r w:rsidRPr="00CE45E2">
        <w:t xml:space="preserve"> </w:t>
      </w:r>
      <w:proofErr w:type="spellStart"/>
      <w:r w:rsidRPr="00CE45E2">
        <w:t>additional</w:t>
      </w:r>
      <w:proofErr w:type="spellEnd"/>
      <w:r w:rsidRPr="00CE45E2">
        <w:t xml:space="preserve"> </w:t>
      </w:r>
      <w:proofErr w:type="spellStart"/>
      <w:r w:rsidRPr="00CE45E2">
        <w:t>barrier</w:t>
      </w:r>
      <w:proofErr w:type="spellEnd"/>
      <w:r w:rsidRPr="00CE45E2">
        <w:t xml:space="preserve"> for </w:t>
      </w:r>
      <w:proofErr w:type="spellStart"/>
      <w:r w:rsidRPr="00CE45E2">
        <w:t>Member</w:t>
      </w:r>
      <w:proofErr w:type="spellEnd"/>
      <w:r w:rsidRPr="00CE45E2">
        <w:t xml:space="preserve"> </w:t>
      </w:r>
      <w:proofErr w:type="spellStart"/>
      <w:r w:rsidRPr="00CE45E2">
        <w:t>States</w:t>
      </w:r>
      <w:proofErr w:type="spellEnd"/>
      <w:r w:rsidRPr="00CE45E2">
        <w:t xml:space="preserve"> to </w:t>
      </w:r>
      <w:proofErr w:type="spellStart"/>
      <w:r w:rsidRPr="00CE45E2">
        <w:t>further</w:t>
      </w:r>
      <w:proofErr w:type="spellEnd"/>
      <w:r w:rsidRPr="00CE45E2">
        <w:t xml:space="preserve"> </w:t>
      </w:r>
      <w:proofErr w:type="spellStart"/>
      <w:r w:rsidRPr="00CE45E2">
        <w:t>develop</w:t>
      </w:r>
      <w:proofErr w:type="spellEnd"/>
      <w:r w:rsidRPr="00CE45E2">
        <w:t xml:space="preserve"> a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sector</w:t>
      </w:r>
      <w:proofErr w:type="spellEnd"/>
      <w:r w:rsidRPr="00CE45E2">
        <w:t xml:space="preserve">, and </w:t>
      </w:r>
      <w:proofErr w:type="spellStart"/>
      <w:r w:rsidRPr="00CE45E2">
        <w:t>would</w:t>
      </w:r>
      <w:proofErr w:type="spellEnd"/>
      <w:r w:rsidRPr="00CE45E2">
        <w:t xml:space="preserve"> </w:t>
      </w:r>
      <w:proofErr w:type="spellStart"/>
      <w:r w:rsidRPr="00CE45E2">
        <w:t>require</w:t>
      </w:r>
      <w:proofErr w:type="spellEnd"/>
      <w:r w:rsidRPr="00CE45E2">
        <w:t xml:space="preserve"> </w:t>
      </w:r>
      <w:proofErr w:type="spellStart"/>
      <w:r w:rsidRPr="00CE45E2">
        <w:t>Member</w:t>
      </w:r>
      <w:proofErr w:type="spellEnd"/>
      <w:r w:rsidRPr="00CE45E2">
        <w:t xml:space="preserve"> </w:t>
      </w:r>
      <w:proofErr w:type="spellStart"/>
      <w:r w:rsidRPr="00CE45E2">
        <w:t>States</w:t>
      </w:r>
      <w:proofErr w:type="spellEnd"/>
      <w:r w:rsidRPr="00CE45E2">
        <w:t xml:space="preserve"> with </w:t>
      </w:r>
      <w:proofErr w:type="spellStart"/>
      <w:r w:rsidRPr="00CE45E2">
        <w:t>smaller</w:t>
      </w:r>
      <w:proofErr w:type="spellEnd"/>
      <w:r w:rsidRPr="00CE45E2">
        <w:t xml:space="preserve"> </w:t>
      </w:r>
      <w:proofErr w:type="spellStart"/>
      <w:r w:rsidRPr="00CE45E2">
        <w:t>sectors</w:t>
      </w:r>
      <w:proofErr w:type="spellEnd"/>
      <w:r w:rsidRPr="00CE45E2">
        <w:t xml:space="preserve"> and </w:t>
      </w:r>
      <w:proofErr w:type="spellStart"/>
      <w:r w:rsidRPr="00CE45E2">
        <w:t>that</w:t>
      </w:r>
      <w:proofErr w:type="spellEnd"/>
      <w:r w:rsidRPr="00CE45E2">
        <w:t xml:space="preserve"> </w:t>
      </w:r>
      <w:proofErr w:type="spellStart"/>
      <w:r w:rsidRPr="00CE45E2">
        <w:t>apply</w:t>
      </w:r>
      <w:proofErr w:type="spellEnd"/>
      <w:r w:rsidRPr="00CE45E2">
        <w:t xml:space="preserve"> </w:t>
      </w:r>
      <w:proofErr w:type="spellStart"/>
      <w:r w:rsidRPr="00CE45E2">
        <w:t>registration</w:t>
      </w:r>
      <w:proofErr w:type="spellEnd"/>
      <w:r w:rsidRPr="00CE45E2">
        <w:t xml:space="preserve"> </w:t>
      </w:r>
      <w:proofErr w:type="spellStart"/>
      <w:r w:rsidRPr="00CE45E2">
        <w:t>procedures</w:t>
      </w:r>
      <w:proofErr w:type="spellEnd"/>
      <w:r w:rsidRPr="00CE45E2">
        <w:t xml:space="preserve"> to </w:t>
      </w:r>
      <w:proofErr w:type="spellStart"/>
      <w:r w:rsidRPr="00CE45E2">
        <w:t>switch</w:t>
      </w:r>
      <w:proofErr w:type="spellEnd"/>
      <w:r w:rsidRPr="00CE45E2">
        <w:t xml:space="preserve"> to </w:t>
      </w:r>
      <w:proofErr w:type="spellStart"/>
      <w:r w:rsidRPr="00CE45E2">
        <w:t>authorisation</w:t>
      </w:r>
      <w:proofErr w:type="spellEnd"/>
      <w:r w:rsidRPr="00CE45E2">
        <w:t xml:space="preserve">. </w:t>
      </w:r>
      <w:proofErr w:type="spellStart"/>
      <w:r w:rsidRPr="00CE45E2">
        <w:t>This</w:t>
      </w:r>
      <w:proofErr w:type="spellEnd"/>
      <w:r w:rsidRPr="00CE45E2">
        <w:t xml:space="preserve"> </w:t>
      </w:r>
      <w:proofErr w:type="spellStart"/>
      <w:r w:rsidRPr="00CE45E2">
        <w:t>would</w:t>
      </w:r>
      <w:proofErr w:type="spellEnd"/>
      <w:r w:rsidRPr="00CE45E2">
        <w:t xml:space="preserve"> not be </w:t>
      </w:r>
      <w:proofErr w:type="spellStart"/>
      <w:r w:rsidRPr="00CE45E2">
        <w:t>proportional</w:t>
      </w:r>
      <w:proofErr w:type="spellEnd"/>
      <w:r w:rsidRPr="00CE45E2">
        <w:t xml:space="preserve">, </w:t>
      </w:r>
      <w:proofErr w:type="spellStart"/>
      <w:r w:rsidRPr="00CE45E2">
        <w:t>considering</w:t>
      </w:r>
      <w:proofErr w:type="spellEnd"/>
      <w:r w:rsidRPr="00CE45E2">
        <w:t xml:space="preserve"> </w:t>
      </w:r>
      <w:proofErr w:type="spellStart"/>
      <w:r w:rsidRPr="00CE45E2">
        <w:t>that</w:t>
      </w:r>
      <w:proofErr w:type="spellEnd"/>
      <w:r w:rsidRPr="00CE45E2">
        <w:t xml:space="preserve"> a single market for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is</w:t>
      </w:r>
      <w:proofErr w:type="spellEnd"/>
      <w:r w:rsidRPr="00CE45E2">
        <w:t xml:space="preserve"> </w:t>
      </w:r>
      <w:proofErr w:type="spellStart"/>
      <w:r w:rsidRPr="00CE45E2">
        <w:t>still</w:t>
      </w:r>
      <w:proofErr w:type="spellEnd"/>
      <w:r w:rsidRPr="00CE45E2">
        <w:t xml:space="preserve"> </w:t>
      </w:r>
      <w:proofErr w:type="spellStart"/>
      <w:r w:rsidRPr="00CE45E2">
        <w:t>largely</w:t>
      </w:r>
      <w:proofErr w:type="spellEnd"/>
      <w:r w:rsidRPr="00CE45E2">
        <w:t xml:space="preserve"> </w:t>
      </w:r>
      <w:proofErr w:type="spellStart"/>
      <w:r w:rsidRPr="00CE45E2">
        <w:t>absent</w:t>
      </w:r>
      <w:proofErr w:type="spellEnd"/>
      <w:r w:rsidRPr="00CE45E2">
        <w:t>.</w:t>
      </w:r>
    </w:p>
    <w:p w14:paraId="6243CA62" w14:textId="77777777" w:rsidR="00CE45E2" w:rsidRPr="00CE45E2" w:rsidRDefault="00CE45E2" w:rsidP="00CE45E2">
      <w:r w:rsidRPr="00CE45E2">
        <w:rPr>
          <w:rStyle w:val="HideTWBExt"/>
        </w:rPr>
        <w:t>&lt;/Amend&gt;</w:t>
      </w:r>
    </w:p>
    <w:p w14:paraId="0C9AAAF0" w14:textId="45B7DB4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196</w:t>
      </w:r>
      <w:r w:rsidRPr="00CE45E2">
        <w:rPr>
          <w:rStyle w:val="HideTWBExt"/>
          <w:b w:val="0"/>
        </w:rPr>
        <w:t>&lt;/NumAm&gt;</w:t>
      </w:r>
    </w:p>
    <w:p w14:paraId="249C6E77"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20468454" w14:textId="77777777" w:rsidR="00CE45E2" w:rsidRPr="00CE45E2" w:rsidRDefault="00CE45E2" w:rsidP="00CE45E2">
      <w:pPr>
        <w:pStyle w:val="NormalBold"/>
      </w:pPr>
      <w:r w:rsidRPr="00CE45E2">
        <w:rPr>
          <w:rStyle w:val="HideTWBExt"/>
          <w:b w:val="0"/>
        </w:rPr>
        <w:t>&lt;/RepeatBlock-By&gt;</w:t>
      </w:r>
    </w:p>
    <w:p w14:paraId="4C4F4DB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965AFCA" w14:textId="77777777" w:rsidR="00CE45E2" w:rsidRPr="00CE45E2" w:rsidRDefault="00CE45E2" w:rsidP="00CE45E2">
      <w:pPr>
        <w:pStyle w:val="NormalBold"/>
      </w:pPr>
      <w:r w:rsidRPr="00CE45E2">
        <w:rPr>
          <w:rStyle w:val="HideTWBExt"/>
          <w:b w:val="0"/>
        </w:rPr>
        <w:t>&lt;Article&gt;</w:t>
      </w:r>
      <w:r w:rsidRPr="00CE45E2">
        <w:t>Artykuł 1 – akapit 1 – punkt 2</w:t>
      </w:r>
      <w:r w:rsidRPr="00CE45E2">
        <w:rPr>
          <w:rStyle w:val="HideTWBExt"/>
          <w:b w:val="0"/>
        </w:rPr>
        <w:t>&lt;/Article&gt;</w:t>
      </w:r>
    </w:p>
    <w:p w14:paraId="6D159C5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11BAC24" w14:textId="77777777" w:rsidR="00CE45E2" w:rsidRPr="00CE45E2" w:rsidRDefault="00CE45E2" w:rsidP="00CE45E2">
      <w:r w:rsidRPr="00CE45E2">
        <w:rPr>
          <w:rStyle w:val="HideTWBExt"/>
        </w:rPr>
        <w:t>&lt;Article2&gt;</w:t>
      </w:r>
      <w:r w:rsidRPr="00CE45E2">
        <w:t>w całym tekście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8CB8353" w14:textId="77777777" w:rsidTr="006476FB">
        <w:trPr>
          <w:trHeight w:hRule="exact" w:val="240"/>
          <w:jc w:val="center"/>
        </w:trPr>
        <w:tc>
          <w:tcPr>
            <w:tcW w:w="9752" w:type="dxa"/>
            <w:gridSpan w:val="2"/>
            <w:tcBorders>
              <w:top w:val="nil"/>
              <w:left w:val="nil"/>
              <w:bottom w:val="nil"/>
              <w:right w:val="nil"/>
            </w:tcBorders>
          </w:tcPr>
          <w:p w14:paraId="4DA7C8B4" w14:textId="77777777" w:rsidR="00CE45E2" w:rsidRPr="00CE45E2" w:rsidRDefault="00CE45E2" w:rsidP="006476FB"/>
        </w:tc>
      </w:tr>
      <w:tr w:rsidR="00CE45E2" w:rsidRPr="00CE45E2" w14:paraId="243F91BA" w14:textId="77777777" w:rsidTr="006476FB">
        <w:trPr>
          <w:trHeight w:val="240"/>
          <w:jc w:val="center"/>
        </w:trPr>
        <w:tc>
          <w:tcPr>
            <w:tcW w:w="4876" w:type="dxa"/>
            <w:tcBorders>
              <w:top w:val="nil"/>
              <w:left w:val="nil"/>
              <w:bottom w:val="nil"/>
              <w:right w:val="nil"/>
            </w:tcBorders>
          </w:tcPr>
          <w:p w14:paraId="7279CA2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54C8964" w14:textId="77777777" w:rsidR="00CE45E2" w:rsidRPr="00CE45E2" w:rsidRDefault="00CE45E2" w:rsidP="006476FB">
            <w:pPr>
              <w:pStyle w:val="AmColumnHeading"/>
            </w:pPr>
            <w:r w:rsidRPr="00CE45E2">
              <w:t>Poprawka</w:t>
            </w:r>
          </w:p>
        </w:tc>
      </w:tr>
      <w:tr w:rsidR="00CE45E2" w:rsidRPr="00CE45E2" w14:paraId="058661E5" w14:textId="77777777" w:rsidTr="006476FB">
        <w:trPr>
          <w:jc w:val="center"/>
        </w:trPr>
        <w:tc>
          <w:tcPr>
            <w:tcW w:w="4876" w:type="dxa"/>
            <w:tcBorders>
              <w:top w:val="nil"/>
              <w:left w:val="nil"/>
              <w:bottom w:val="nil"/>
              <w:right w:val="nil"/>
            </w:tcBorders>
          </w:tcPr>
          <w:p w14:paraId="35C66297" w14:textId="77777777" w:rsidR="00CE45E2" w:rsidRPr="00CE45E2" w:rsidRDefault="00CE45E2" w:rsidP="006476FB">
            <w:pPr>
              <w:pStyle w:val="Normal6a"/>
            </w:pPr>
            <w:r w:rsidRPr="00CE45E2">
              <w:rPr>
                <w:b/>
                <w:i/>
              </w:rPr>
              <w:t>2)</w:t>
            </w:r>
            <w:r w:rsidRPr="00CE45E2">
              <w:tab/>
            </w:r>
            <w:r w:rsidRPr="00CE45E2">
              <w:rPr>
                <w:b/>
                <w:i/>
              </w:rPr>
              <w:t>słowa „wielkość, charakter, skala i złożoność” zastępuje się słowami „charakter, skala i złożoność” w całej dyrektywie;</w:t>
            </w:r>
          </w:p>
        </w:tc>
        <w:tc>
          <w:tcPr>
            <w:tcW w:w="4876" w:type="dxa"/>
            <w:tcBorders>
              <w:top w:val="nil"/>
              <w:left w:val="nil"/>
              <w:bottom w:val="nil"/>
              <w:right w:val="nil"/>
            </w:tcBorders>
          </w:tcPr>
          <w:p w14:paraId="16C1026A" w14:textId="77777777" w:rsidR="00CE45E2" w:rsidRPr="00CE45E2" w:rsidRDefault="00CE45E2" w:rsidP="006476FB">
            <w:pPr>
              <w:pStyle w:val="Normal6a"/>
            </w:pPr>
            <w:r w:rsidRPr="00CE45E2">
              <w:rPr>
                <w:b/>
                <w:i/>
              </w:rPr>
              <w:t>skreśla się</w:t>
            </w:r>
          </w:p>
        </w:tc>
      </w:tr>
    </w:tbl>
    <w:p w14:paraId="0F66495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217419A"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13C8BFC" w14:textId="77777777" w:rsidR="00CE45E2" w:rsidRPr="00CE45E2" w:rsidRDefault="00CE45E2" w:rsidP="00CE45E2">
      <w:pPr>
        <w:pStyle w:val="AmJustText"/>
      </w:pPr>
      <w:r w:rsidRPr="00CE45E2">
        <w:t>Ogólne usunięcie „wielkości” jako kryterium proporcjonalności pozbawia małe IORP podstawowej ochrony przed nieproporcjonalnymi obciążeniami związanymi z przestrzeganiem przepisów. „Wielkość” jest odrębną i niezbędną zmienną: koszt obowiązkowej funkcji nadzorczej lub obowiązku sprawozdawczego jest niewrażliwy na profil ryzyka, ale bardzo wrażliwy na liczbę uczestników, na których jest rozłożony. Usunięcie tego punktu przywraca pełne zastosowanie istniejącego kryterium w całej dyrektywie.</w:t>
      </w:r>
    </w:p>
    <w:p w14:paraId="7AD3109E" w14:textId="77777777" w:rsidR="00CE45E2" w:rsidRPr="00CE45E2" w:rsidRDefault="00CE45E2" w:rsidP="00CE45E2">
      <w:r w:rsidRPr="00CE45E2">
        <w:rPr>
          <w:rStyle w:val="HideTWBExt"/>
        </w:rPr>
        <w:t>&lt;/Amend&gt;</w:t>
      </w:r>
    </w:p>
    <w:p w14:paraId="69AF6A1C" w14:textId="6347B98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197</w:t>
      </w:r>
      <w:r w:rsidRPr="00CE45E2">
        <w:rPr>
          <w:rStyle w:val="HideTWBExt"/>
          <w:b w:val="0"/>
        </w:rPr>
        <w:t>&lt;/NumAm&gt;</w:t>
      </w:r>
    </w:p>
    <w:p w14:paraId="0986A8EA"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0E0ACC56" w14:textId="77777777" w:rsidR="00CE45E2" w:rsidRPr="00CE45E2" w:rsidRDefault="00CE45E2" w:rsidP="00CE45E2">
      <w:pPr>
        <w:pStyle w:val="NormalBold"/>
      </w:pPr>
      <w:r w:rsidRPr="00CE45E2">
        <w:rPr>
          <w:rStyle w:val="HideTWBExt"/>
          <w:b w:val="0"/>
        </w:rPr>
        <w:t>&lt;/RepeatBlock-By&gt;</w:t>
      </w:r>
    </w:p>
    <w:p w14:paraId="4F4DC2F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53DD273" w14:textId="77777777" w:rsidR="00CE45E2" w:rsidRPr="00CE45E2" w:rsidRDefault="00CE45E2" w:rsidP="00CE45E2">
      <w:pPr>
        <w:pStyle w:val="NormalBold"/>
      </w:pPr>
      <w:r w:rsidRPr="00CE45E2">
        <w:rPr>
          <w:rStyle w:val="HideTWBExt"/>
          <w:b w:val="0"/>
        </w:rPr>
        <w:t>&lt;Article&gt;</w:t>
      </w:r>
      <w:r w:rsidRPr="00CE45E2">
        <w:t>Artykuł 1 – akapit 1 – punkt 2</w:t>
      </w:r>
      <w:r w:rsidRPr="00CE45E2">
        <w:rPr>
          <w:rStyle w:val="HideTWBExt"/>
          <w:b w:val="0"/>
        </w:rPr>
        <w:t>&lt;/Article&gt;</w:t>
      </w:r>
    </w:p>
    <w:p w14:paraId="5FBF799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FA97558" w14:textId="77777777" w:rsidR="00CE45E2" w:rsidRPr="00CE45E2" w:rsidRDefault="00CE45E2" w:rsidP="00CE45E2">
      <w:r w:rsidRPr="00CE45E2">
        <w:rPr>
          <w:rStyle w:val="HideTWBExt"/>
        </w:rPr>
        <w:t>&lt;Article2&gt;</w:t>
      </w:r>
      <w:r w:rsidRPr="00CE45E2">
        <w:t>w całym tekście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3D513D4" w14:textId="77777777" w:rsidTr="006476FB">
        <w:trPr>
          <w:trHeight w:hRule="exact" w:val="240"/>
          <w:jc w:val="center"/>
        </w:trPr>
        <w:tc>
          <w:tcPr>
            <w:tcW w:w="9752" w:type="dxa"/>
            <w:gridSpan w:val="2"/>
            <w:tcBorders>
              <w:top w:val="nil"/>
              <w:left w:val="nil"/>
              <w:bottom w:val="nil"/>
              <w:right w:val="nil"/>
            </w:tcBorders>
          </w:tcPr>
          <w:p w14:paraId="33078DBB" w14:textId="77777777" w:rsidR="00CE45E2" w:rsidRPr="00CE45E2" w:rsidRDefault="00CE45E2" w:rsidP="006476FB"/>
        </w:tc>
      </w:tr>
      <w:tr w:rsidR="00CE45E2" w:rsidRPr="00CE45E2" w14:paraId="7E36BA15" w14:textId="77777777" w:rsidTr="006476FB">
        <w:trPr>
          <w:trHeight w:val="240"/>
          <w:jc w:val="center"/>
        </w:trPr>
        <w:tc>
          <w:tcPr>
            <w:tcW w:w="4876" w:type="dxa"/>
            <w:tcBorders>
              <w:top w:val="nil"/>
              <w:left w:val="nil"/>
              <w:bottom w:val="nil"/>
              <w:right w:val="nil"/>
            </w:tcBorders>
          </w:tcPr>
          <w:p w14:paraId="60667E2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701E18D" w14:textId="77777777" w:rsidR="00CE45E2" w:rsidRPr="00CE45E2" w:rsidRDefault="00CE45E2" w:rsidP="006476FB">
            <w:pPr>
              <w:pStyle w:val="AmColumnHeading"/>
            </w:pPr>
            <w:r w:rsidRPr="00CE45E2">
              <w:t>Poprawka</w:t>
            </w:r>
          </w:p>
        </w:tc>
      </w:tr>
      <w:tr w:rsidR="00CE45E2" w:rsidRPr="00CE45E2" w14:paraId="5B4AA942" w14:textId="77777777" w:rsidTr="006476FB">
        <w:trPr>
          <w:jc w:val="center"/>
        </w:trPr>
        <w:tc>
          <w:tcPr>
            <w:tcW w:w="4876" w:type="dxa"/>
            <w:tcBorders>
              <w:top w:val="nil"/>
              <w:left w:val="nil"/>
              <w:bottom w:val="nil"/>
              <w:right w:val="nil"/>
            </w:tcBorders>
          </w:tcPr>
          <w:p w14:paraId="148DABFF" w14:textId="77777777" w:rsidR="00CE45E2" w:rsidRPr="00CE45E2" w:rsidRDefault="00CE45E2" w:rsidP="006476FB">
            <w:pPr>
              <w:pStyle w:val="Normal6a"/>
            </w:pPr>
            <w:r w:rsidRPr="00CE45E2">
              <w:rPr>
                <w:b/>
                <w:i/>
              </w:rPr>
              <w:t>2)</w:t>
            </w:r>
            <w:r w:rsidRPr="00CE45E2">
              <w:tab/>
            </w:r>
            <w:r w:rsidRPr="00CE45E2">
              <w:rPr>
                <w:b/>
                <w:i/>
              </w:rPr>
              <w:t>słowa „wielkość, charakter, skala i złożoność” zastępuje się słowami „charakter, skala i złożoność” w całej dyrektywie;</w:t>
            </w:r>
          </w:p>
        </w:tc>
        <w:tc>
          <w:tcPr>
            <w:tcW w:w="4876" w:type="dxa"/>
            <w:tcBorders>
              <w:top w:val="nil"/>
              <w:left w:val="nil"/>
              <w:bottom w:val="nil"/>
              <w:right w:val="nil"/>
            </w:tcBorders>
          </w:tcPr>
          <w:p w14:paraId="1A0C0C90" w14:textId="77777777" w:rsidR="00CE45E2" w:rsidRPr="00CE45E2" w:rsidRDefault="00CE45E2" w:rsidP="006476FB">
            <w:pPr>
              <w:pStyle w:val="Normal6a"/>
            </w:pPr>
            <w:r w:rsidRPr="00CE45E2">
              <w:rPr>
                <w:b/>
                <w:i/>
              </w:rPr>
              <w:t>skreśla się</w:t>
            </w:r>
          </w:p>
        </w:tc>
      </w:tr>
    </w:tbl>
    <w:p w14:paraId="5A4C249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6257A7F" w14:textId="77777777" w:rsidR="00CE45E2" w:rsidRPr="00CE45E2" w:rsidRDefault="00CE45E2" w:rsidP="00CE45E2">
      <w:r w:rsidRPr="00CE45E2">
        <w:rPr>
          <w:rStyle w:val="HideTWBExt"/>
        </w:rPr>
        <w:t>&lt;/Amend&gt;</w:t>
      </w:r>
    </w:p>
    <w:p w14:paraId="413B11ED" w14:textId="79B5329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198</w:t>
      </w:r>
      <w:r w:rsidRPr="00CE45E2">
        <w:rPr>
          <w:rStyle w:val="HideTWBExt"/>
          <w:b w:val="0"/>
        </w:rPr>
        <w:t>&lt;/NumAm&gt;</w:t>
      </w:r>
    </w:p>
    <w:p w14:paraId="122B92E2"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CAE9D27" w14:textId="77777777" w:rsidR="00CE45E2" w:rsidRPr="00CE45E2" w:rsidRDefault="00CE45E2" w:rsidP="00CE45E2">
      <w:pPr>
        <w:pStyle w:val="NormalBold"/>
      </w:pPr>
      <w:r w:rsidRPr="00CE45E2">
        <w:rPr>
          <w:rStyle w:val="HideTWBExt"/>
          <w:b w:val="0"/>
        </w:rPr>
        <w:t>&lt;/RepeatBlock-By&gt;</w:t>
      </w:r>
    </w:p>
    <w:p w14:paraId="41CFABB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6FBA7C8" w14:textId="77777777" w:rsidR="00CE45E2" w:rsidRPr="00CE45E2" w:rsidRDefault="00CE45E2" w:rsidP="00CE45E2">
      <w:pPr>
        <w:pStyle w:val="NormalBold"/>
      </w:pPr>
      <w:r w:rsidRPr="00CE45E2">
        <w:rPr>
          <w:rStyle w:val="HideTWBExt"/>
          <w:b w:val="0"/>
        </w:rPr>
        <w:t>&lt;Article&gt;</w:t>
      </w:r>
      <w:r w:rsidRPr="00CE45E2">
        <w:t>Artykuł 1 – akapit 1 – punkt 2</w:t>
      </w:r>
      <w:r w:rsidRPr="00CE45E2">
        <w:rPr>
          <w:rStyle w:val="HideTWBExt"/>
          <w:b w:val="0"/>
        </w:rPr>
        <w:t>&lt;/Article&gt;</w:t>
      </w:r>
    </w:p>
    <w:p w14:paraId="0F6079C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32B8947" w14:textId="77777777" w:rsidR="00CE45E2" w:rsidRPr="00CE45E2" w:rsidRDefault="00CE45E2" w:rsidP="00CE45E2">
      <w:r w:rsidRPr="00CE45E2">
        <w:rPr>
          <w:rStyle w:val="HideTWBExt"/>
        </w:rPr>
        <w:t>&lt;Article2&gt;</w:t>
      </w:r>
      <w:r w:rsidRPr="00CE45E2">
        <w:t>w całym tekście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3E03CF2" w14:textId="77777777" w:rsidTr="006476FB">
        <w:trPr>
          <w:trHeight w:hRule="exact" w:val="240"/>
          <w:jc w:val="center"/>
        </w:trPr>
        <w:tc>
          <w:tcPr>
            <w:tcW w:w="9752" w:type="dxa"/>
            <w:gridSpan w:val="2"/>
            <w:tcBorders>
              <w:top w:val="nil"/>
              <w:left w:val="nil"/>
              <w:bottom w:val="nil"/>
              <w:right w:val="nil"/>
            </w:tcBorders>
          </w:tcPr>
          <w:p w14:paraId="383E2A0E" w14:textId="77777777" w:rsidR="00CE45E2" w:rsidRPr="00CE45E2" w:rsidRDefault="00CE45E2" w:rsidP="006476FB"/>
        </w:tc>
      </w:tr>
      <w:tr w:rsidR="00CE45E2" w:rsidRPr="00CE45E2" w14:paraId="2D94EE5C" w14:textId="77777777" w:rsidTr="006476FB">
        <w:trPr>
          <w:trHeight w:val="240"/>
          <w:jc w:val="center"/>
        </w:trPr>
        <w:tc>
          <w:tcPr>
            <w:tcW w:w="4876" w:type="dxa"/>
            <w:tcBorders>
              <w:top w:val="nil"/>
              <w:left w:val="nil"/>
              <w:bottom w:val="nil"/>
              <w:right w:val="nil"/>
            </w:tcBorders>
          </w:tcPr>
          <w:p w14:paraId="0C8EE2F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0A4CE8D" w14:textId="77777777" w:rsidR="00CE45E2" w:rsidRPr="00CE45E2" w:rsidRDefault="00CE45E2" w:rsidP="006476FB">
            <w:pPr>
              <w:pStyle w:val="AmColumnHeading"/>
            </w:pPr>
            <w:r w:rsidRPr="00CE45E2">
              <w:t>Poprawka</w:t>
            </w:r>
          </w:p>
        </w:tc>
      </w:tr>
      <w:tr w:rsidR="00CE45E2" w:rsidRPr="00CE45E2" w14:paraId="17285032" w14:textId="77777777" w:rsidTr="006476FB">
        <w:trPr>
          <w:jc w:val="center"/>
        </w:trPr>
        <w:tc>
          <w:tcPr>
            <w:tcW w:w="4876" w:type="dxa"/>
            <w:tcBorders>
              <w:top w:val="nil"/>
              <w:left w:val="nil"/>
              <w:bottom w:val="nil"/>
              <w:right w:val="nil"/>
            </w:tcBorders>
          </w:tcPr>
          <w:p w14:paraId="458911EB" w14:textId="77777777" w:rsidR="00CE45E2" w:rsidRPr="00CE45E2" w:rsidRDefault="00CE45E2" w:rsidP="006476FB">
            <w:pPr>
              <w:pStyle w:val="Normal6a"/>
            </w:pPr>
            <w:r w:rsidRPr="00CE45E2">
              <w:t>2)</w:t>
            </w:r>
            <w:r w:rsidRPr="00CE45E2">
              <w:tab/>
              <w:t>słowa „wielkość, charakter, skala i złożoność” zastępuje się słowami „charakter, skala i złożoność” w całej dyrektywie;</w:t>
            </w:r>
          </w:p>
        </w:tc>
        <w:tc>
          <w:tcPr>
            <w:tcW w:w="4876" w:type="dxa"/>
            <w:tcBorders>
              <w:top w:val="nil"/>
              <w:left w:val="nil"/>
              <w:bottom w:val="nil"/>
              <w:right w:val="nil"/>
            </w:tcBorders>
          </w:tcPr>
          <w:p w14:paraId="36813DB0" w14:textId="77777777" w:rsidR="00CE45E2" w:rsidRPr="00CE45E2" w:rsidRDefault="00CE45E2" w:rsidP="006476FB">
            <w:pPr>
              <w:pStyle w:val="Normal6a"/>
            </w:pPr>
            <w:r w:rsidRPr="00CE45E2">
              <w:t>2)</w:t>
            </w:r>
            <w:r w:rsidRPr="00CE45E2">
              <w:tab/>
              <w:t>słowa „wielkość, charakter, skala i złożoność” zastępuje się słowami „charakter</w:t>
            </w:r>
            <w:r w:rsidRPr="00CE45E2">
              <w:rPr>
                <w:b/>
                <w:bCs/>
                <w:i/>
                <w:iCs/>
              </w:rPr>
              <w:t>, ryzyko</w:t>
            </w:r>
            <w:r w:rsidRPr="00CE45E2">
              <w:t>, skala i złożoność” w całej dyrektywie;</w:t>
            </w:r>
          </w:p>
        </w:tc>
      </w:tr>
    </w:tbl>
    <w:p w14:paraId="00995E0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6B9713D"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339EF33" w14:textId="77777777" w:rsidR="00CE45E2" w:rsidRPr="00CE45E2" w:rsidRDefault="00CE45E2" w:rsidP="00CE45E2">
      <w:pPr>
        <w:pStyle w:val="AmJustText"/>
      </w:pPr>
      <w:r w:rsidRPr="00CE45E2">
        <w:t>Wielkość nie jest dobrym miernikiem ryzyka i proporcjonalności w przypadku IORP. Zamiast tego należy dodać pojęcie „ryzyka”.</w:t>
      </w:r>
    </w:p>
    <w:p w14:paraId="409A6C27" w14:textId="77777777" w:rsidR="00CE45E2" w:rsidRPr="00CE45E2" w:rsidRDefault="00CE45E2" w:rsidP="00CE45E2">
      <w:r w:rsidRPr="00CE45E2">
        <w:rPr>
          <w:rStyle w:val="HideTWBExt"/>
        </w:rPr>
        <w:t>&lt;/Amend&gt;</w:t>
      </w:r>
    </w:p>
    <w:p w14:paraId="21ABA3B9" w14:textId="46A3E34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199</w:t>
      </w:r>
      <w:r w:rsidRPr="00CE45E2">
        <w:rPr>
          <w:rStyle w:val="HideTWBExt"/>
          <w:b w:val="0"/>
        </w:rPr>
        <w:t>&lt;/NumAm&gt;</w:t>
      </w:r>
    </w:p>
    <w:p w14:paraId="50B4C2B4"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419E4CB5" w14:textId="77777777" w:rsidR="00CE45E2" w:rsidRPr="00CE45E2" w:rsidRDefault="00CE45E2" w:rsidP="00CE45E2">
      <w:pPr>
        <w:pStyle w:val="NormalBold"/>
      </w:pPr>
      <w:r w:rsidRPr="00CE45E2">
        <w:rPr>
          <w:rStyle w:val="HideTWBExt"/>
          <w:b w:val="0"/>
        </w:rPr>
        <w:t>&lt;/RepeatBlock-By&gt;</w:t>
      </w:r>
    </w:p>
    <w:p w14:paraId="70F1830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C3BD9F6" w14:textId="77777777" w:rsidR="00CE45E2" w:rsidRPr="00CE45E2" w:rsidRDefault="00CE45E2" w:rsidP="00CE45E2">
      <w:pPr>
        <w:pStyle w:val="NormalBold"/>
      </w:pPr>
      <w:r w:rsidRPr="00CE45E2">
        <w:rPr>
          <w:rStyle w:val="HideTWBExt"/>
          <w:b w:val="0"/>
        </w:rPr>
        <w:t>&lt;Article&gt;</w:t>
      </w:r>
      <w:r w:rsidRPr="00CE45E2">
        <w:t>Artykuł 1 – akapit 1 – punkt 3</w:t>
      </w:r>
      <w:r w:rsidRPr="00CE45E2">
        <w:rPr>
          <w:rStyle w:val="HideTWBExt"/>
          <w:b w:val="0"/>
        </w:rPr>
        <w:t>&lt;/Article&gt;</w:t>
      </w:r>
    </w:p>
    <w:p w14:paraId="1F25A47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223F51A" w14:textId="77777777" w:rsidR="00CE45E2" w:rsidRPr="00CE45E2" w:rsidRDefault="00CE45E2" w:rsidP="00CE45E2">
      <w:r w:rsidRPr="00CE45E2">
        <w:rPr>
          <w:rStyle w:val="HideTWBExt"/>
        </w:rPr>
        <w:t>&lt;Article2&gt;</w:t>
      </w:r>
      <w:r w:rsidRPr="00CE45E2">
        <w:t>w całym tekście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DFD4C39" w14:textId="77777777" w:rsidTr="006476FB">
        <w:trPr>
          <w:trHeight w:hRule="exact" w:val="240"/>
          <w:jc w:val="center"/>
        </w:trPr>
        <w:tc>
          <w:tcPr>
            <w:tcW w:w="9752" w:type="dxa"/>
            <w:gridSpan w:val="2"/>
            <w:tcBorders>
              <w:top w:val="nil"/>
              <w:left w:val="nil"/>
              <w:bottom w:val="nil"/>
              <w:right w:val="nil"/>
            </w:tcBorders>
          </w:tcPr>
          <w:p w14:paraId="387EA7EF" w14:textId="77777777" w:rsidR="00CE45E2" w:rsidRPr="00CE45E2" w:rsidRDefault="00CE45E2" w:rsidP="006476FB"/>
        </w:tc>
      </w:tr>
      <w:tr w:rsidR="00CE45E2" w:rsidRPr="00CE45E2" w14:paraId="190F1AAE" w14:textId="77777777" w:rsidTr="006476FB">
        <w:trPr>
          <w:trHeight w:val="240"/>
          <w:jc w:val="center"/>
        </w:trPr>
        <w:tc>
          <w:tcPr>
            <w:tcW w:w="4876" w:type="dxa"/>
            <w:tcBorders>
              <w:top w:val="nil"/>
              <w:left w:val="nil"/>
              <w:bottom w:val="nil"/>
              <w:right w:val="nil"/>
            </w:tcBorders>
          </w:tcPr>
          <w:p w14:paraId="296213B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29BAB80" w14:textId="77777777" w:rsidR="00CE45E2" w:rsidRPr="00CE45E2" w:rsidRDefault="00CE45E2" w:rsidP="006476FB">
            <w:pPr>
              <w:pStyle w:val="AmColumnHeading"/>
            </w:pPr>
            <w:r w:rsidRPr="00CE45E2">
              <w:t>Poprawka</w:t>
            </w:r>
          </w:p>
        </w:tc>
      </w:tr>
      <w:tr w:rsidR="00CE45E2" w:rsidRPr="00CE45E2" w14:paraId="7D890607" w14:textId="77777777" w:rsidTr="006476FB">
        <w:trPr>
          <w:jc w:val="center"/>
        </w:trPr>
        <w:tc>
          <w:tcPr>
            <w:tcW w:w="4876" w:type="dxa"/>
            <w:tcBorders>
              <w:top w:val="nil"/>
              <w:left w:val="nil"/>
              <w:bottom w:val="nil"/>
              <w:right w:val="nil"/>
            </w:tcBorders>
          </w:tcPr>
          <w:p w14:paraId="737F3C21" w14:textId="77777777" w:rsidR="00CE45E2" w:rsidRPr="00CE45E2" w:rsidRDefault="00CE45E2" w:rsidP="006476FB">
            <w:pPr>
              <w:pStyle w:val="Normal6a"/>
            </w:pPr>
            <w:r w:rsidRPr="00CE45E2">
              <w:rPr>
                <w:b/>
                <w:i/>
              </w:rPr>
              <w:t>3)</w:t>
            </w:r>
            <w:r w:rsidRPr="00CE45E2">
              <w:tab/>
            </w:r>
            <w:r w:rsidRPr="00CE45E2">
              <w:rPr>
                <w:b/>
                <w:i/>
              </w:rPr>
              <w:t>słowa „ich wielkości i organizacji wewnętrznej, a także do wielkości, charakteru, skali i złożoności ich działalności” zastępuje się słowami „charakteru, skali i złożoności ich działalności” w całej dyrektywie;</w:t>
            </w:r>
          </w:p>
        </w:tc>
        <w:tc>
          <w:tcPr>
            <w:tcW w:w="4876" w:type="dxa"/>
            <w:tcBorders>
              <w:top w:val="nil"/>
              <w:left w:val="nil"/>
              <w:bottom w:val="nil"/>
              <w:right w:val="nil"/>
            </w:tcBorders>
          </w:tcPr>
          <w:p w14:paraId="7332C3A8" w14:textId="77777777" w:rsidR="00CE45E2" w:rsidRPr="00CE45E2" w:rsidRDefault="00CE45E2" w:rsidP="006476FB">
            <w:pPr>
              <w:pStyle w:val="Normal6a"/>
            </w:pPr>
            <w:r w:rsidRPr="00CE45E2">
              <w:rPr>
                <w:b/>
                <w:i/>
              </w:rPr>
              <w:t>skreśla się</w:t>
            </w:r>
          </w:p>
        </w:tc>
      </w:tr>
    </w:tbl>
    <w:p w14:paraId="0CB9407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9E9F94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00DFF66" w14:textId="77777777" w:rsidR="00CE45E2" w:rsidRPr="00CE45E2" w:rsidRDefault="00CE45E2" w:rsidP="00CE45E2">
      <w:pPr>
        <w:pStyle w:val="AmJustText"/>
      </w:pPr>
      <w:r w:rsidRPr="00CE45E2">
        <w:t>Pojęcie „organizacja wewnętrzna” odzwierciedla cechę charakterystyczną dla IORP: wiele z nich jest zarządzanych przez partnerów społecznych lub instytucje finansujące, a ich struktury zarządzania – w tym organy współdecydowania i organy parytetowe – w niewielkim stopniu przypominają lub w ogóle nie przypominają struktur stosowanych w zakładach ubezpieczeń. Usunięcie tego kryterium pozbawia krajowe organy nadzoru możliwości dostosowania wymogów do rzeczywistości IORP powiązanych z instytucją finansująca lub zarządzanych na zasadach wzajemności. Należy zachować pełniejsze dotychczasowe sformułowanie.</w:t>
      </w:r>
    </w:p>
    <w:p w14:paraId="140BD2A2" w14:textId="77777777" w:rsidR="00CE45E2" w:rsidRPr="00CE45E2" w:rsidRDefault="00CE45E2" w:rsidP="00CE45E2">
      <w:r w:rsidRPr="00CE45E2">
        <w:rPr>
          <w:rStyle w:val="HideTWBExt"/>
        </w:rPr>
        <w:t>&lt;/Amend&gt;</w:t>
      </w:r>
    </w:p>
    <w:p w14:paraId="0EB3632A" w14:textId="51C4E12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200</w:t>
      </w:r>
      <w:r w:rsidRPr="00CE45E2">
        <w:rPr>
          <w:rStyle w:val="HideTWBExt"/>
          <w:b w:val="0"/>
        </w:rPr>
        <w:t>&lt;/NumAm&gt;</w:t>
      </w:r>
    </w:p>
    <w:p w14:paraId="12EFEF4B"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19BBCA18" w14:textId="77777777" w:rsidR="00CE45E2" w:rsidRPr="00CE45E2" w:rsidRDefault="00CE45E2" w:rsidP="00CE45E2">
      <w:pPr>
        <w:pStyle w:val="NormalBold"/>
      </w:pPr>
      <w:r w:rsidRPr="00CE45E2">
        <w:rPr>
          <w:rStyle w:val="HideTWBExt"/>
          <w:b w:val="0"/>
        </w:rPr>
        <w:t>&lt;/RepeatBlock-By&gt;</w:t>
      </w:r>
    </w:p>
    <w:p w14:paraId="5444B6E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B28F6D5" w14:textId="77777777" w:rsidR="00CE45E2" w:rsidRPr="00CE45E2" w:rsidRDefault="00CE45E2" w:rsidP="00CE45E2">
      <w:pPr>
        <w:pStyle w:val="NormalBold"/>
      </w:pPr>
      <w:r w:rsidRPr="00CE45E2">
        <w:rPr>
          <w:rStyle w:val="HideTWBExt"/>
          <w:b w:val="0"/>
        </w:rPr>
        <w:t>&lt;Article&gt;</w:t>
      </w:r>
      <w:r w:rsidRPr="00CE45E2">
        <w:t>Artykuł 1 – akapit 1 – punkt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D660A2D" w14:textId="77777777" w:rsidTr="006476FB">
        <w:trPr>
          <w:trHeight w:hRule="exact" w:val="240"/>
          <w:jc w:val="center"/>
        </w:trPr>
        <w:tc>
          <w:tcPr>
            <w:tcW w:w="9752" w:type="dxa"/>
            <w:gridSpan w:val="2"/>
            <w:tcBorders>
              <w:top w:val="nil"/>
              <w:left w:val="nil"/>
              <w:bottom w:val="nil"/>
              <w:right w:val="nil"/>
            </w:tcBorders>
          </w:tcPr>
          <w:p w14:paraId="1D923773" w14:textId="77777777" w:rsidR="00CE45E2" w:rsidRPr="00CE45E2" w:rsidRDefault="00CE45E2" w:rsidP="006476FB"/>
        </w:tc>
      </w:tr>
      <w:tr w:rsidR="00CE45E2" w:rsidRPr="00CE45E2" w14:paraId="54BE0D3F" w14:textId="77777777" w:rsidTr="006476FB">
        <w:trPr>
          <w:trHeight w:val="240"/>
          <w:jc w:val="center"/>
        </w:trPr>
        <w:tc>
          <w:tcPr>
            <w:tcW w:w="4876" w:type="dxa"/>
            <w:tcBorders>
              <w:top w:val="nil"/>
              <w:left w:val="nil"/>
              <w:bottom w:val="nil"/>
              <w:right w:val="nil"/>
            </w:tcBorders>
          </w:tcPr>
          <w:p w14:paraId="1EA11A3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576AC55" w14:textId="77777777" w:rsidR="00CE45E2" w:rsidRPr="00CE45E2" w:rsidRDefault="00CE45E2" w:rsidP="006476FB">
            <w:pPr>
              <w:pStyle w:val="AmColumnHeading"/>
            </w:pPr>
            <w:r w:rsidRPr="00CE45E2">
              <w:t>Poprawka</w:t>
            </w:r>
          </w:p>
        </w:tc>
      </w:tr>
      <w:tr w:rsidR="00CE45E2" w:rsidRPr="00CE45E2" w14:paraId="19687A65" w14:textId="77777777" w:rsidTr="006476FB">
        <w:trPr>
          <w:jc w:val="center"/>
        </w:trPr>
        <w:tc>
          <w:tcPr>
            <w:tcW w:w="4876" w:type="dxa"/>
            <w:tcBorders>
              <w:top w:val="nil"/>
              <w:left w:val="nil"/>
              <w:bottom w:val="nil"/>
              <w:right w:val="nil"/>
            </w:tcBorders>
          </w:tcPr>
          <w:p w14:paraId="1A0F17F6" w14:textId="77777777" w:rsidR="00CE45E2" w:rsidRPr="00CE45E2" w:rsidRDefault="00CE45E2" w:rsidP="006476FB">
            <w:pPr>
              <w:pStyle w:val="Normal6a"/>
            </w:pPr>
            <w:r w:rsidRPr="00CE45E2">
              <w:rPr>
                <w:b/>
                <w:i/>
              </w:rPr>
              <w:t>3)</w:t>
            </w:r>
            <w:r w:rsidRPr="00CE45E2">
              <w:tab/>
            </w:r>
            <w:r w:rsidRPr="00CE45E2">
              <w:rPr>
                <w:b/>
                <w:i/>
              </w:rPr>
              <w:t>słowa „ich wielkości i organizacji wewnętrznej, a także do wielkości, charakteru, skali i złożoności ich działalności” zastępuje się słowami „charakteru, skali i złożoności ich działalności” w całej dyrektywie;</w:t>
            </w:r>
          </w:p>
        </w:tc>
        <w:tc>
          <w:tcPr>
            <w:tcW w:w="4876" w:type="dxa"/>
            <w:tcBorders>
              <w:top w:val="nil"/>
              <w:left w:val="nil"/>
              <w:bottom w:val="nil"/>
              <w:right w:val="nil"/>
            </w:tcBorders>
          </w:tcPr>
          <w:p w14:paraId="5016E553" w14:textId="77777777" w:rsidR="00CE45E2" w:rsidRPr="00CE45E2" w:rsidRDefault="00CE45E2" w:rsidP="006476FB">
            <w:pPr>
              <w:pStyle w:val="Normal6a"/>
            </w:pPr>
            <w:r w:rsidRPr="00CE45E2">
              <w:rPr>
                <w:b/>
                <w:i/>
              </w:rPr>
              <w:t>skreśla się</w:t>
            </w:r>
          </w:p>
        </w:tc>
      </w:tr>
    </w:tbl>
    <w:p w14:paraId="582C34F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2F9552E" w14:textId="77777777" w:rsidR="00CE45E2" w:rsidRPr="00CE45E2" w:rsidRDefault="00CE45E2" w:rsidP="00CE45E2">
      <w:r w:rsidRPr="00CE45E2">
        <w:rPr>
          <w:rStyle w:val="HideTWBExt"/>
        </w:rPr>
        <w:t>&lt;/Amend&gt;</w:t>
      </w:r>
    </w:p>
    <w:p w14:paraId="651CB416" w14:textId="0362889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201</w:t>
      </w:r>
      <w:r w:rsidRPr="00CE45E2">
        <w:rPr>
          <w:rStyle w:val="HideTWBExt"/>
          <w:b w:val="0"/>
        </w:rPr>
        <w:t>&lt;/NumAm&gt;</w:t>
      </w:r>
    </w:p>
    <w:p w14:paraId="1935AE06"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B61E396" w14:textId="77777777" w:rsidR="00CE45E2" w:rsidRPr="00CE45E2" w:rsidRDefault="00CE45E2" w:rsidP="00CE45E2">
      <w:pPr>
        <w:pStyle w:val="NormalBold"/>
      </w:pPr>
      <w:r w:rsidRPr="00CE45E2">
        <w:rPr>
          <w:rStyle w:val="HideTWBExt"/>
          <w:b w:val="0"/>
        </w:rPr>
        <w:t>&lt;/RepeatBlock-By&gt;</w:t>
      </w:r>
    </w:p>
    <w:p w14:paraId="3564CF4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771A6B2" w14:textId="77777777" w:rsidR="00CE45E2" w:rsidRPr="00CE45E2" w:rsidRDefault="00CE45E2" w:rsidP="00CE45E2">
      <w:pPr>
        <w:pStyle w:val="NormalBold"/>
      </w:pPr>
      <w:r w:rsidRPr="00CE45E2">
        <w:rPr>
          <w:rStyle w:val="HideTWBExt"/>
          <w:b w:val="0"/>
        </w:rPr>
        <w:t>&lt;Article&gt;</w:t>
      </w:r>
      <w:r w:rsidRPr="00CE45E2">
        <w:t>Artykuł 1 – akapit 1 – punkt 3</w:t>
      </w:r>
      <w:r w:rsidRPr="00CE45E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1DB3728" w14:textId="77777777" w:rsidTr="006476FB">
        <w:trPr>
          <w:trHeight w:hRule="exact" w:val="240"/>
          <w:jc w:val="center"/>
        </w:trPr>
        <w:tc>
          <w:tcPr>
            <w:tcW w:w="9752" w:type="dxa"/>
            <w:gridSpan w:val="2"/>
            <w:tcBorders>
              <w:top w:val="nil"/>
              <w:left w:val="nil"/>
              <w:bottom w:val="nil"/>
              <w:right w:val="nil"/>
            </w:tcBorders>
          </w:tcPr>
          <w:p w14:paraId="5E14DFD1" w14:textId="77777777" w:rsidR="00CE45E2" w:rsidRPr="00CE45E2" w:rsidRDefault="00CE45E2" w:rsidP="006476FB"/>
        </w:tc>
      </w:tr>
      <w:tr w:rsidR="00CE45E2" w:rsidRPr="00CE45E2" w14:paraId="28ED5C24" w14:textId="77777777" w:rsidTr="006476FB">
        <w:trPr>
          <w:trHeight w:val="240"/>
          <w:jc w:val="center"/>
        </w:trPr>
        <w:tc>
          <w:tcPr>
            <w:tcW w:w="4876" w:type="dxa"/>
            <w:tcBorders>
              <w:top w:val="nil"/>
              <w:left w:val="nil"/>
              <w:bottom w:val="nil"/>
              <w:right w:val="nil"/>
            </w:tcBorders>
          </w:tcPr>
          <w:p w14:paraId="31DFD86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37D4C84" w14:textId="77777777" w:rsidR="00CE45E2" w:rsidRPr="00CE45E2" w:rsidRDefault="00CE45E2" w:rsidP="006476FB">
            <w:pPr>
              <w:pStyle w:val="AmColumnHeading"/>
            </w:pPr>
            <w:r w:rsidRPr="00CE45E2">
              <w:t>Poprawka</w:t>
            </w:r>
          </w:p>
        </w:tc>
      </w:tr>
      <w:tr w:rsidR="00CE45E2" w:rsidRPr="00CE45E2" w14:paraId="2521EAB0" w14:textId="77777777" w:rsidTr="006476FB">
        <w:trPr>
          <w:jc w:val="center"/>
        </w:trPr>
        <w:tc>
          <w:tcPr>
            <w:tcW w:w="4876" w:type="dxa"/>
            <w:tcBorders>
              <w:top w:val="nil"/>
              <w:left w:val="nil"/>
              <w:bottom w:val="nil"/>
              <w:right w:val="nil"/>
            </w:tcBorders>
          </w:tcPr>
          <w:p w14:paraId="34F4920B" w14:textId="77777777" w:rsidR="00CE45E2" w:rsidRPr="00CE45E2" w:rsidRDefault="00CE45E2" w:rsidP="006476FB">
            <w:pPr>
              <w:pStyle w:val="Normal6a"/>
            </w:pPr>
            <w:r w:rsidRPr="00CE45E2">
              <w:t>3)</w:t>
            </w:r>
            <w:r w:rsidRPr="00CE45E2">
              <w:tab/>
              <w:t>słowa „ich wielkości i organizacji wewnętrznej, a także do wielkości, charakteru, skali i złożoności ich działalności” zastępuje się słowami „charakteru, skali i złożoności ich działalności” w całej dyrektywie;</w:t>
            </w:r>
          </w:p>
        </w:tc>
        <w:tc>
          <w:tcPr>
            <w:tcW w:w="4876" w:type="dxa"/>
            <w:tcBorders>
              <w:top w:val="nil"/>
              <w:left w:val="nil"/>
              <w:bottom w:val="nil"/>
              <w:right w:val="nil"/>
            </w:tcBorders>
          </w:tcPr>
          <w:p w14:paraId="259375FB" w14:textId="77777777" w:rsidR="00CE45E2" w:rsidRPr="00CE45E2" w:rsidRDefault="00CE45E2" w:rsidP="006476FB">
            <w:pPr>
              <w:pStyle w:val="Normal6a"/>
            </w:pPr>
            <w:r w:rsidRPr="00CE45E2">
              <w:t>3)</w:t>
            </w:r>
            <w:r w:rsidRPr="00CE45E2">
              <w:tab/>
              <w:t>słowa „ich wielkości i organizacji wewnętrznej, a także do wielkości, charakteru, skali i złożoności ich działalności” zastępuje się słowami „charakteru</w:t>
            </w:r>
            <w:r w:rsidRPr="00CE45E2">
              <w:rPr>
                <w:b/>
                <w:bCs/>
                <w:i/>
                <w:iCs/>
              </w:rPr>
              <w:t>, ryzyka</w:t>
            </w:r>
            <w:r w:rsidRPr="00CE45E2">
              <w:t>, skali i złożoności ich działalności” w całej dyrektywie;</w:t>
            </w:r>
          </w:p>
        </w:tc>
      </w:tr>
    </w:tbl>
    <w:p w14:paraId="213526E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F21170D"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37DFFA1" w14:textId="77777777" w:rsidR="00CE45E2" w:rsidRPr="00CE45E2" w:rsidRDefault="00CE45E2" w:rsidP="00CE45E2">
      <w:pPr>
        <w:pStyle w:val="AmJustText"/>
      </w:pPr>
      <w:r w:rsidRPr="00CE45E2">
        <w:t>Wielkość nie jest dobrym miernikiem ryzyka i proporcjonalności w przypadku IORP. Zamiast tego należy dodać pojęcie „ryzyka”.</w:t>
      </w:r>
    </w:p>
    <w:p w14:paraId="13C475EB" w14:textId="77777777" w:rsidR="00CE45E2" w:rsidRPr="00CE45E2" w:rsidRDefault="00CE45E2" w:rsidP="00CE45E2">
      <w:r w:rsidRPr="00CE45E2">
        <w:rPr>
          <w:rStyle w:val="HideTWBExt"/>
        </w:rPr>
        <w:t>&lt;/Amend&gt;</w:t>
      </w:r>
    </w:p>
    <w:p w14:paraId="5C710643" w14:textId="00BC1A6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202</w:t>
      </w:r>
      <w:r w:rsidRPr="00CE45E2">
        <w:rPr>
          <w:rStyle w:val="HideTWBExt"/>
          <w:b w:val="0"/>
        </w:rPr>
        <w:t>&lt;/NumAm&gt;</w:t>
      </w:r>
    </w:p>
    <w:p w14:paraId="770A291B"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5BD7D8CF"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02A55B8A" w14:textId="77777777" w:rsidR="00CE45E2" w:rsidRPr="00CE45E2" w:rsidRDefault="00CE45E2" w:rsidP="00CE45E2">
      <w:pPr>
        <w:pStyle w:val="NormalBold"/>
      </w:pPr>
      <w:r w:rsidRPr="00CE45E2">
        <w:rPr>
          <w:rStyle w:val="HideTWBExt"/>
          <w:b w:val="0"/>
        </w:rPr>
        <w:t>&lt;/RepeatBlock-By&gt;</w:t>
      </w:r>
    </w:p>
    <w:p w14:paraId="1CB5648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5DF172A" w14:textId="77777777" w:rsidR="00CE45E2" w:rsidRPr="00CE45E2" w:rsidRDefault="00CE45E2" w:rsidP="00CE45E2">
      <w:pPr>
        <w:pStyle w:val="NormalBold"/>
      </w:pPr>
      <w:r w:rsidRPr="00CE45E2">
        <w:rPr>
          <w:rStyle w:val="HideTWBExt"/>
          <w:b w:val="0"/>
        </w:rPr>
        <w:t>&lt;Article&gt;</w:t>
      </w:r>
      <w:r w:rsidRPr="00CE45E2">
        <w:t>Artykuł 1 – akapit 1 – punkt 4 – litera b</w:t>
      </w:r>
      <w:r w:rsidRPr="00CE45E2">
        <w:rPr>
          <w:rStyle w:val="HideTWBExt"/>
          <w:b w:val="0"/>
        </w:rPr>
        <w:t>&lt;/Article&gt;</w:t>
      </w:r>
    </w:p>
    <w:p w14:paraId="0A88A1F8"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6BA5660" w14:textId="77777777" w:rsidR="00CE45E2" w:rsidRPr="00CE45E2" w:rsidRDefault="00CE45E2" w:rsidP="00CE45E2">
      <w:r w:rsidRPr="00CE45E2">
        <w:rPr>
          <w:rStyle w:val="HideTWBExt"/>
        </w:rPr>
        <w:t>&lt;Article2&gt;</w:t>
      </w:r>
      <w:r w:rsidRPr="00CE45E2">
        <w:t>Artykuł 2 – ustęp 3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08A49A1" w14:textId="77777777" w:rsidTr="006476FB">
        <w:trPr>
          <w:trHeight w:hRule="exact" w:val="240"/>
          <w:jc w:val="center"/>
        </w:trPr>
        <w:tc>
          <w:tcPr>
            <w:tcW w:w="9752" w:type="dxa"/>
            <w:gridSpan w:val="2"/>
            <w:tcBorders>
              <w:top w:val="nil"/>
              <w:left w:val="nil"/>
              <w:bottom w:val="nil"/>
              <w:right w:val="nil"/>
            </w:tcBorders>
          </w:tcPr>
          <w:p w14:paraId="25906BF5" w14:textId="77777777" w:rsidR="00CE45E2" w:rsidRPr="00CE45E2" w:rsidRDefault="00CE45E2" w:rsidP="006476FB"/>
        </w:tc>
      </w:tr>
      <w:tr w:rsidR="00CE45E2" w:rsidRPr="00CE45E2" w14:paraId="2D426369" w14:textId="77777777" w:rsidTr="006476FB">
        <w:trPr>
          <w:trHeight w:val="240"/>
          <w:jc w:val="center"/>
        </w:trPr>
        <w:tc>
          <w:tcPr>
            <w:tcW w:w="4876" w:type="dxa"/>
            <w:tcBorders>
              <w:top w:val="nil"/>
              <w:left w:val="nil"/>
              <w:bottom w:val="nil"/>
              <w:right w:val="nil"/>
            </w:tcBorders>
          </w:tcPr>
          <w:p w14:paraId="4437851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0F9E13B" w14:textId="77777777" w:rsidR="00CE45E2" w:rsidRPr="00CE45E2" w:rsidRDefault="00CE45E2" w:rsidP="006476FB">
            <w:pPr>
              <w:pStyle w:val="AmColumnHeading"/>
            </w:pPr>
            <w:r w:rsidRPr="00CE45E2">
              <w:t>Poprawka</w:t>
            </w:r>
          </w:p>
        </w:tc>
      </w:tr>
      <w:tr w:rsidR="00CE45E2" w:rsidRPr="00CE45E2" w14:paraId="6C18A590" w14:textId="77777777" w:rsidTr="006476FB">
        <w:trPr>
          <w:jc w:val="center"/>
        </w:trPr>
        <w:tc>
          <w:tcPr>
            <w:tcW w:w="4876" w:type="dxa"/>
            <w:tcBorders>
              <w:top w:val="nil"/>
              <w:left w:val="nil"/>
              <w:bottom w:val="nil"/>
              <w:right w:val="nil"/>
            </w:tcBorders>
          </w:tcPr>
          <w:p w14:paraId="66EC77DA" w14:textId="77777777" w:rsidR="00CE45E2" w:rsidRPr="00CE45E2" w:rsidRDefault="00CE45E2" w:rsidP="006476FB">
            <w:pPr>
              <w:pStyle w:val="Normal6a"/>
            </w:pPr>
            <w:r w:rsidRPr="00CE45E2">
              <w:rPr>
                <w:b/>
                <w:i/>
              </w:rPr>
              <w:t xml:space="preserve">Do celów akapitu pierwszego, w </w:t>
            </w:r>
            <w:proofErr w:type="gramStart"/>
            <w:r w:rsidRPr="00CE45E2">
              <w:rPr>
                <w:b/>
                <w:i/>
              </w:rPr>
              <w:t>przypadku</w:t>
            </w:r>
            <w:proofErr w:type="gramEnd"/>
            <w:r w:rsidRPr="00CE45E2">
              <w:rPr>
                <w:b/>
                <w:i/>
              </w:rPr>
              <w:t xml:space="preserve"> gdy upoważnione podmioty, o których mowa w ust. 2 lit. b), prowadzą działalność IORP i działają w ich imieniu, państwa członkowskie nie ograniczają prowadzenia tej działalności przez takie upoważnione podmioty mające siedzibę w innym państwie członkowskim.”;</w:t>
            </w:r>
          </w:p>
        </w:tc>
        <w:tc>
          <w:tcPr>
            <w:tcW w:w="4876" w:type="dxa"/>
            <w:tcBorders>
              <w:top w:val="nil"/>
              <w:left w:val="nil"/>
              <w:bottom w:val="nil"/>
              <w:right w:val="nil"/>
            </w:tcBorders>
          </w:tcPr>
          <w:p w14:paraId="18BED5B1" w14:textId="77777777" w:rsidR="00CE45E2" w:rsidRPr="00CE45E2" w:rsidRDefault="00CE45E2" w:rsidP="006476FB">
            <w:pPr>
              <w:pStyle w:val="Normal6a"/>
            </w:pPr>
            <w:r w:rsidRPr="00CE45E2">
              <w:rPr>
                <w:b/>
                <w:i/>
              </w:rPr>
              <w:t>skreśla się</w:t>
            </w:r>
          </w:p>
        </w:tc>
      </w:tr>
    </w:tbl>
    <w:p w14:paraId="0894835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47F8E86" w14:textId="77777777" w:rsidR="00CE45E2" w:rsidRPr="00CE45E2" w:rsidRDefault="00CE45E2" w:rsidP="00CE45E2">
      <w:r w:rsidRPr="00CE45E2">
        <w:rPr>
          <w:rStyle w:val="HideTWBExt"/>
        </w:rPr>
        <w:t>&lt;/Amend&gt;</w:t>
      </w:r>
    </w:p>
    <w:p w14:paraId="7B79B6F9" w14:textId="10F8E22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203</w:t>
      </w:r>
      <w:r w:rsidRPr="00CE45E2">
        <w:rPr>
          <w:rStyle w:val="HideTWBExt"/>
          <w:b w:val="0"/>
        </w:rPr>
        <w:t>&lt;/NumAm&gt;</w:t>
      </w:r>
    </w:p>
    <w:p w14:paraId="076D7029"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0C74988F"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700D5A3F" w14:textId="77777777" w:rsidR="00CE45E2" w:rsidRPr="00CE45E2" w:rsidRDefault="00CE45E2" w:rsidP="00CE45E2">
      <w:pPr>
        <w:pStyle w:val="NormalBold"/>
      </w:pPr>
      <w:r w:rsidRPr="00CE45E2">
        <w:rPr>
          <w:rStyle w:val="HideTWBExt"/>
          <w:b w:val="0"/>
        </w:rPr>
        <w:t>&lt;/RepeatBlock-By&gt;</w:t>
      </w:r>
    </w:p>
    <w:p w14:paraId="4B4C1AD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1AEC954" w14:textId="77777777" w:rsidR="00CE45E2" w:rsidRPr="00CE45E2" w:rsidRDefault="00CE45E2" w:rsidP="00CE45E2">
      <w:pPr>
        <w:pStyle w:val="NormalBold"/>
      </w:pPr>
      <w:r w:rsidRPr="00CE45E2">
        <w:rPr>
          <w:rStyle w:val="HideTWBExt"/>
          <w:b w:val="0"/>
        </w:rPr>
        <w:t>&lt;Article&gt;</w:t>
      </w:r>
      <w:r w:rsidRPr="00CE45E2">
        <w:t>Artykuł 1 – akapit 1 – punkt 4 – litera b a (nowa)</w:t>
      </w:r>
      <w:r w:rsidRPr="00CE45E2">
        <w:rPr>
          <w:rStyle w:val="HideTWBExt"/>
          <w:b w:val="0"/>
        </w:rPr>
        <w:t>&lt;/Article&gt;</w:t>
      </w:r>
    </w:p>
    <w:p w14:paraId="696E74D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D84D6A3" w14:textId="77777777" w:rsidR="00CE45E2" w:rsidRPr="00CE45E2" w:rsidRDefault="00CE45E2" w:rsidP="00CE45E2">
      <w:r w:rsidRPr="00CE45E2">
        <w:rPr>
          <w:rStyle w:val="HideTWBExt"/>
        </w:rPr>
        <w:t>&lt;Article2&gt;</w:t>
      </w:r>
      <w:r w:rsidRPr="00CE45E2">
        <w:t>Artykuł 2 – ustęp 3 a (nowy)</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7EF6CF6" w14:textId="77777777" w:rsidTr="006476FB">
        <w:trPr>
          <w:trHeight w:hRule="exact" w:val="240"/>
          <w:jc w:val="center"/>
        </w:trPr>
        <w:tc>
          <w:tcPr>
            <w:tcW w:w="9752" w:type="dxa"/>
            <w:gridSpan w:val="2"/>
            <w:tcBorders>
              <w:top w:val="nil"/>
              <w:left w:val="nil"/>
              <w:bottom w:val="nil"/>
              <w:right w:val="nil"/>
            </w:tcBorders>
          </w:tcPr>
          <w:p w14:paraId="7C2AFB16" w14:textId="77777777" w:rsidR="00CE45E2" w:rsidRPr="00CE45E2" w:rsidRDefault="00CE45E2" w:rsidP="006476FB"/>
        </w:tc>
      </w:tr>
      <w:tr w:rsidR="00CE45E2" w:rsidRPr="00CE45E2" w14:paraId="43F296F1" w14:textId="77777777" w:rsidTr="006476FB">
        <w:trPr>
          <w:trHeight w:val="240"/>
          <w:jc w:val="center"/>
        </w:trPr>
        <w:tc>
          <w:tcPr>
            <w:tcW w:w="4876" w:type="dxa"/>
            <w:tcBorders>
              <w:top w:val="nil"/>
              <w:left w:val="nil"/>
              <w:bottom w:val="nil"/>
              <w:right w:val="nil"/>
            </w:tcBorders>
          </w:tcPr>
          <w:p w14:paraId="5733D77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ADE79C6" w14:textId="77777777" w:rsidR="00CE45E2" w:rsidRPr="00CE45E2" w:rsidRDefault="00CE45E2" w:rsidP="006476FB">
            <w:pPr>
              <w:pStyle w:val="AmColumnHeading"/>
            </w:pPr>
            <w:r w:rsidRPr="00CE45E2">
              <w:t>Poprawka</w:t>
            </w:r>
          </w:p>
        </w:tc>
      </w:tr>
      <w:tr w:rsidR="00CE45E2" w:rsidRPr="00CE45E2" w14:paraId="4C8EBF94" w14:textId="77777777" w:rsidTr="006476FB">
        <w:trPr>
          <w:jc w:val="center"/>
        </w:trPr>
        <w:tc>
          <w:tcPr>
            <w:tcW w:w="4876" w:type="dxa"/>
            <w:tcBorders>
              <w:top w:val="nil"/>
              <w:left w:val="nil"/>
              <w:bottom w:val="nil"/>
              <w:right w:val="nil"/>
            </w:tcBorders>
          </w:tcPr>
          <w:p w14:paraId="4C9578B0" w14:textId="77777777" w:rsidR="00CE45E2" w:rsidRPr="00CE45E2" w:rsidRDefault="00CE45E2" w:rsidP="006476FB">
            <w:pPr>
              <w:pStyle w:val="Normal6a"/>
            </w:pPr>
          </w:p>
        </w:tc>
        <w:tc>
          <w:tcPr>
            <w:tcW w:w="4876" w:type="dxa"/>
            <w:tcBorders>
              <w:top w:val="nil"/>
              <w:left w:val="nil"/>
              <w:bottom w:val="nil"/>
              <w:right w:val="nil"/>
            </w:tcBorders>
          </w:tcPr>
          <w:p w14:paraId="1D43C950" w14:textId="77777777" w:rsidR="00CE45E2" w:rsidRPr="00CE45E2" w:rsidRDefault="00CE45E2" w:rsidP="006476FB">
            <w:pPr>
              <w:pStyle w:val="Normal6a"/>
            </w:pPr>
            <w:r w:rsidRPr="00CE45E2">
              <w:rPr>
                <w:b/>
                <w:i/>
              </w:rPr>
              <w:t>ba)</w:t>
            </w:r>
            <w:r w:rsidRPr="00CE45E2">
              <w:tab/>
            </w:r>
            <w:r w:rsidRPr="00CE45E2">
              <w:rPr>
                <w:b/>
                <w:i/>
              </w:rPr>
              <w:t>dodaje się ustęp w brzmieniu:</w:t>
            </w:r>
          </w:p>
        </w:tc>
      </w:tr>
      <w:tr w:rsidR="00CE45E2" w:rsidRPr="00CE45E2" w14:paraId="257A9278" w14:textId="77777777" w:rsidTr="006476FB">
        <w:trPr>
          <w:jc w:val="center"/>
        </w:trPr>
        <w:tc>
          <w:tcPr>
            <w:tcW w:w="4876" w:type="dxa"/>
            <w:tcBorders>
              <w:top w:val="nil"/>
              <w:left w:val="nil"/>
              <w:bottom w:val="nil"/>
              <w:right w:val="nil"/>
            </w:tcBorders>
          </w:tcPr>
          <w:p w14:paraId="1B586F7A" w14:textId="77777777" w:rsidR="00CE45E2" w:rsidRPr="00CE45E2" w:rsidRDefault="00CE45E2" w:rsidP="006476FB">
            <w:pPr>
              <w:pStyle w:val="Normal6a"/>
            </w:pPr>
          </w:p>
        </w:tc>
        <w:tc>
          <w:tcPr>
            <w:tcW w:w="4876" w:type="dxa"/>
            <w:tcBorders>
              <w:top w:val="nil"/>
              <w:left w:val="nil"/>
              <w:bottom w:val="nil"/>
              <w:right w:val="nil"/>
            </w:tcBorders>
          </w:tcPr>
          <w:p w14:paraId="2AB96593" w14:textId="77777777" w:rsidR="00CE45E2" w:rsidRPr="00CE45E2" w:rsidRDefault="00CE45E2" w:rsidP="006476FB">
            <w:pPr>
              <w:pStyle w:val="Normal6a"/>
              <w:rPr>
                <w:b/>
                <w:i/>
              </w:rPr>
            </w:pPr>
            <w:r w:rsidRPr="00CE45E2">
              <w:rPr>
                <w:b/>
                <w:i/>
              </w:rPr>
              <w:t>„</w:t>
            </w:r>
          </w:p>
        </w:tc>
      </w:tr>
      <w:tr w:rsidR="00CE45E2" w:rsidRPr="00CE45E2" w14:paraId="4ED1776B" w14:textId="77777777" w:rsidTr="006476FB">
        <w:trPr>
          <w:jc w:val="center"/>
        </w:trPr>
        <w:tc>
          <w:tcPr>
            <w:tcW w:w="4876" w:type="dxa"/>
            <w:tcBorders>
              <w:top w:val="nil"/>
              <w:left w:val="nil"/>
              <w:bottom w:val="nil"/>
              <w:right w:val="nil"/>
            </w:tcBorders>
          </w:tcPr>
          <w:p w14:paraId="6A51C5CE" w14:textId="77777777" w:rsidR="00CE45E2" w:rsidRPr="00CE45E2" w:rsidRDefault="00CE45E2" w:rsidP="006476FB">
            <w:pPr>
              <w:pStyle w:val="Normal6a"/>
            </w:pPr>
          </w:p>
        </w:tc>
        <w:tc>
          <w:tcPr>
            <w:tcW w:w="4876" w:type="dxa"/>
            <w:tcBorders>
              <w:top w:val="nil"/>
              <w:left w:val="nil"/>
              <w:bottom w:val="nil"/>
              <w:right w:val="nil"/>
            </w:tcBorders>
          </w:tcPr>
          <w:p w14:paraId="5E1E6339" w14:textId="77777777" w:rsidR="00CE45E2" w:rsidRPr="00CE45E2" w:rsidRDefault="00CE45E2" w:rsidP="006476FB">
            <w:pPr>
              <w:pStyle w:val="Normal6a"/>
            </w:pPr>
            <w:r w:rsidRPr="00CE45E2">
              <w:rPr>
                <w:b/>
                <w:i/>
              </w:rPr>
              <w:t xml:space="preserve">3a. W przypadku podmiotów, które uzyskały zezwolenie na podstawie innych sektorowych unijnych przepisów ostrożnościowych, państwa członkowskie zapewniają, aby podmioty te stosowały odpowiednie przepisy dotyczące IORP, o ile nie powielają one odpowiednich wymogów wynikających z ich sektorowych unijnych przepisów ostrożnościowych. Na zasadzie odstępstwa od ust. 2, w </w:t>
            </w:r>
            <w:proofErr w:type="gramStart"/>
            <w:r w:rsidRPr="00CE45E2">
              <w:rPr>
                <w:b/>
                <w:i/>
              </w:rPr>
              <w:t>przypadku</w:t>
            </w:r>
            <w:proofErr w:type="gramEnd"/>
            <w:r w:rsidRPr="00CE45E2">
              <w:rPr>
                <w:b/>
                <w:i/>
              </w:rPr>
              <w:t xml:space="preserve"> gdy podmioty posiadające zezwolenie na podstawie unijnych przepisów ostrożnościowych zamierzają prowadzić działalność takich IORP na zasadach transgranicznych, zastosowanie mają art. 11 i 11a.</w:t>
            </w:r>
          </w:p>
        </w:tc>
      </w:tr>
      <w:tr w:rsidR="00CE45E2" w:rsidRPr="00CE45E2" w14:paraId="3F11F0C4" w14:textId="77777777" w:rsidTr="006476FB">
        <w:trPr>
          <w:jc w:val="center"/>
        </w:trPr>
        <w:tc>
          <w:tcPr>
            <w:tcW w:w="4876" w:type="dxa"/>
            <w:tcBorders>
              <w:top w:val="nil"/>
              <w:left w:val="nil"/>
              <w:bottom w:val="nil"/>
              <w:right w:val="nil"/>
            </w:tcBorders>
          </w:tcPr>
          <w:p w14:paraId="54DF2B6C" w14:textId="77777777" w:rsidR="00CE45E2" w:rsidRPr="00CE45E2" w:rsidRDefault="00CE45E2" w:rsidP="006476FB">
            <w:pPr>
              <w:pStyle w:val="Normal6a"/>
            </w:pPr>
          </w:p>
        </w:tc>
        <w:tc>
          <w:tcPr>
            <w:tcW w:w="4876" w:type="dxa"/>
            <w:tcBorders>
              <w:top w:val="nil"/>
              <w:left w:val="nil"/>
              <w:bottom w:val="nil"/>
              <w:right w:val="nil"/>
            </w:tcBorders>
          </w:tcPr>
          <w:p w14:paraId="1091A920" w14:textId="77777777" w:rsidR="00CE45E2" w:rsidRPr="00CE45E2" w:rsidRDefault="00CE45E2" w:rsidP="006476FB">
            <w:pPr>
              <w:pStyle w:val="Normal6a"/>
              <w:rPr>
                <w:b/>
                <w:i/>
              </w:rPr>
            </w:pPr>
            <w:r w:rsidRPr="00CE45E2">
              <w:rPr>
                <w:b/>
                <w:i/>
              </w:rPr>
              <w:t>”</w:t>
            </w:r>
          </w:p>
        </w:tc>
      </w:tr>
    </w:tbl>
    <w:p w14:paraId="2E4E554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E29BED0" w14:textId="77777777" w:rsidR="00CE45E2" w:rsidRPr="00CE45E2" w:rsidRDefault="00CE45E2" w:rsidP="00CE45E2">
      <w:r w:rsidRPr="00CE45E2">
        <w:rPr>
          <w:rStyle w:val="HideTWBExt"/>
        </w:rPr>
        <w:t>&lt;/Amend&gt;</w:t>
      </w:r>
    </w:p>
    <w:p w14:paraId="32D3AAD5" w14:textId="5A72711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204</w:t>
      </w:r>
      <w:r w:rsidRPr="00CE45E2">
        <w:rPr>
          <w:rStyle w:val="HideTWBExt"/>
          <w:b w:val="0"/>
        </w:rPr>
        <w:t>&lt;/NumAm&gt;</w:t>
      </w:r>
    </w:p>
    <w:p w14:paraId="7D4D7FA6"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2126EE14" w14:textId="77777777" w:rsidR="00CE45E2" w:rsidRPr="00CE45E2" w:rsidRDefault="00CE45E2" w:rsidP="00CE45E2">
      <w:pPr>
        <w:pStyle w:val="NormalBold"/>
      </w:pPr>
      <w:r w:rsidRPr="00CE45E2">
        <w:rPr>
          <w:rStyle w:val="HideTWBExt"/>
          <w:b w:val="0"/>
        </w:rPr>
        <w:t>&lt;/RepeatBlock-By&gt;</w:t>
      </w:r>
    </w:p>
    <w:p w14:paraId="6D8848F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063DB16" w14:textId="77777777" w:rsidR="00CE45E2" w:rsidRPr="00CE45E2" w:rsidRDefault="00CE45E2" w:rsidP="00CE45E2">
      <w:pPr>
        <w:pStyle w:val="NormalBold"/>
      </w:pPr>
      <w:r w:rsidRPr="00CE45E2">
        <w:rPr>
          <w:rStyle w:val="HideTWBExt"/>
          <w:b w:val="0"/>
        </w:rPr>
        <w:t>&lt;Article&gt;</w:t>
      </w:r>
      <w:r w:rsidRPr="00CE45E2">
        <w:t>Artykuł 1 – akapit 1 – punkt 4 a (nowy)</w:t>
      </w:r>
      <w:r w:rsidRPr="00CE45E2">
        <w:rPr>
          <w:rStyle w:val="HideTWBExt"/>
          <w:b w:val="0"/>
        </w:rPr>
        <w:t>&lt;/Article&gt;</w:t>
      </w:r>
    </w:p>
    <w:p w14:paraId="31D8AD0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0732E80" w14:textId="77777777" w:rsidR="00CE45E2" w:rsidRPr="00CE45E2" w:rsidRDefault="00CE45E2" w:rsidP="00CE45E2">
      <w:r w:rsidRPr="00CE45E2">
        <w:rPr>
          <w:rStyle w:val="HideTWBExt"/>
        </w:rPr>
        <w:t>&lt;Article2&gt;</w:t>
      </w:r>
      <w:r w:rsidRPr="00CE45E2">
        <w:t>Artykuł 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D3D96AC" w14:textId="77777777" w:rsidTr="006476FB">
        <w:trPr>
          <w:trHeight w:hRule="exact" w:val="240"/>
          <w:jc w:val="center"/>
        </w:trPr>
        <w:tc>
          <w:tcPr>
            <w:tcW w:w="9752" w:type="dxa"/>
            <w:gridSpan w:val="2"/>
            <w:tcBorders>
              <w:top w:val="nil"/>
              <w:left w:val="nil"/>
              <w:bottom w:val="nil"/>
              <w:right w:val="nil"/>
            </w:tcBorders>
          </w:tcPr>
          <w:p w14:paraId="3DCBC47C" w14:textId="77777777" w:rsidR="00CE45E2" w:rsidRPr="00CE45E2" w:rsidRDefault="00CE45E2" w:rsidP="006476FB"/>
        </w:tc>
      </w:tr>
      <w:tr w:rsidR="00CE45E2" w:rsidRPr="00CE45E2" w14:paraId="4B24B0FC" w14:textId="77777777" w:rsidTr="006476FB">
        <w:trPr>
          <w:trHeight w:val="240"/>
          <w:jc w:val="center"/>
        </w:trPr>
        <w:tc>
          <w:tcPr>
            <w:tcW w:w="4876" w:type="dxa"/>
            <w:tcBorders>
              <w:top w:val="nil"/>
              <w:left w:val="nil"/>
              <w:bottom w:val="nil"/>
              <w:right w:val="nil"/>
            </w:tcBorders>
          </w:tcPr>
          <w:p w14:paraId="4ECA253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C029BED" w14:textId="77777777" w:rsidR="00CE45E2" w:rsidRPr="00CE45E2" w:rsidRDefault="00CE45E2" w:rsidP="006476FB">
            <w:pPr>
              <w:pStyle w:val="AmColumnHeading"/>
            </w:pPr>
            <w:r w:rsidRPr="00CE45E2">
              <w:t>Poprawka</w:t>
            </w:r>
          </w:p>
        </w:tc>
      </w:tr>
      <w:tr w:rsidR="00CE45E2" w:rsidRPr="00CE45E2" w14:paraId="70E9073C" w14:textId="77777777" w:rsidTr="006476FB">
        <w:trPr>
          <w:jc w:val="center"/>
        </w:trPr>
        <w:tc>
          <w:tcPr>
            <w:tcW w:w="4876" w:type="dxa"/>
            <w:tcBorders>
              <w:top w:val="nil"/>
              <w:left w:val="nil"/>
              <w:bottom w:val="nil"/>
              <w:right w:val="nil"/>
            </w:tcBorders>
          </w:tcPr>
          <w:p w14:paraId="59A67DE0" w14:textId="77777777" w:rsidR="00CE45E2" w:rsidRPr="00CE45E2" w:rsidRDefault="00CE45E2" w:rsidP="006476FB">
            <w:pPr>
              <w:pStyle w:val="Normal6a"/>
            </w:pPr>
          </w:p>
        </w:tc>
        <w:tc>
          <w:tcPr>
            <w:tcW w:w="4876" w:type="dxa"/>
            <w:tcBorders>
              <w:top w:val="nil"/>
              <w:left w:val="nil"/>
              <w:bottom w:val="nil"/>
              <w:right w:val="nil"/>
            </w:tcBorders>
          </w:tcPr>
          <w:p w14:paraId="6337DB68" w14:textId="77777777" w:rsidR="00CE45E2" w:rsidRPr="00CE45E2" w:rsidRDefault="00CE45E2" w:rsidP="006476FB">
            <w:pPr>
              <w:pStyle w:val="Normal6a"/>
            </w:pPr>
            <w:r w:rsidRPr="00CE45E2">
              <w:rPr>
                <w:b/>
                <w:i/>
              </w:rPr>
              <w:t>4a)</w:t>
            </w:r>
            <w:r w:rsidRPr="00CE45E2">
              <w:tab/>
            </w:r>
            <w:r w:rsidRPr="00CE45E2">
              <w:rPr>
                <w:b/>
                <w:i/>
              </w:rPr>
              <w:t>dodaje się następujący artykuł:</w:t>
            </w:r>
          </w:p>
        </w:tc>
      </w:tr>
      <w:tr w:rsidR="00CE45E2" w:rsidRPr="00CE45E2" w14:paraId="5DFE53E5" w14:textId="77777777" w:rsidTr="006476FB">
        <w:trPr>
          <w:jc w:val="center"/>
        </w:trPr>
        <w:tc>
          <w:tcPr>
            <w:tcW w:w="4876" w:type="dxa"/>
            <w:tcBorders>
              <w:top w:val="nil"/>
              <w:left w:val="nil"/>
              <w:bottom w:val="nil"/>
              <w:right w:val="nil"/>
            </w:tcBorders>
          </w:tcPr>
          <w:p w14:paraId="36C77C90" w14:textId="77777777" w:rsidR="00CE45E2" w:rsidRPr="00CE45E2" w:rsidRDefault="00CE45E2" w:rsidP="006476FB">
            <w:pPr>
              <w:pStyle w:val="Normal6a"/>
            </w:pPr>
          </w:p>
        </w:tc>
        <w:tc>
          <w:tcPr>
            <w:tcW w:w="4876" w:type="dxa"/>
            <w:tcBorders>
              <w:top w:val="nil"/>
              <w:left w:val="nil"/>
              <w:bottom w:val="nil"/>
              <w:right w:val="nil"/>
            </w:tcBorders>
          </w:tcPr>
          <w:p w14:paraId="1E026C38" w14:textId="77777777" w:rsidR="00CE45E2" w:rsidRPr="00CE45E2" w:rsidRDefault="00CE45E2" w:rsidP="006476FB">
            <w:pPr>
              <w:pStyle w:val="Normal6a"/>
            </w:pPr>
            <w:r w:rsidRPr="00CE45E2">
              <w:rPr>
                <w:b/>
                <w:i/>
              </w:rPr>
              <w:t>„Artykuł 2a</w:t>
            </w:r>
          </w:p>
        </w:tc>
      </w:tr>
      <w:tr w:rsidR="00CE45E2" w:rsidRPr="00CE45E2" w14:paraId="4F033EE8" w14:textId="77777777" w:rsidTr="006476FB">
        <w:trPr>
          <w:jc w:val="center"/>
        </w:trPr>
        <w:tc>
          <w:tcPr>
            <w:tcW w:w="4876" w:type="dxa"/>
            <w:tcBorders>
              <w:top w:val="nil"/>
              <w:left w:val="nil"/>
              <w:bottom w:val="nil"/>
              <w:right w:val="nil"/>
            </w:tcBorders>
          </w:tcPr>
          <w:p w14:paraId="00E550D6" w14:textId="77777777" w:rsidR="00CE45E2" w:rsidRPr="00CE45E2" w:rsidRDefault="00CE45E2" w:rsidP="006476FB">
            <w:pPr>
              <w:pStyle w:val="Normal6a"/>
            </w:pPr>
          </w:p>
        </w:tc>
        <w:tc>
          <w:tcPr>
            <w:tcW w:w="4876" w:type="dxa"/>
            <w:tcBorders>
              <w:top w:val="nil"/>
              <w:left w:val="nil"/>
              <w:bottom w:val="nil"/>
              <w:right w:val="nil"/>
            </w:tcBorders>
          </w:tcPr>
          <w:p w14:paraId="785AD0A5" w14:textId="77777777" w:rsidR="00CE45E2" w:rsidRPr="00CE45E2" w:rsidRDefault="00CE45E2" w:rsidP="006476FB">
            <w:pPr>
              <w:pStyle w:val="Normal6a"/>
            </w:pPr>
            <w:r w:rsidRPr="00CE45E2">
              <w:rPr>
                <w:b/>
                <w:i/>
              </w:rPr>
              <w:t>Upoważnione podmioty</w:t>
            </w:r>
          </w:p>
        </w:tc>
      </w:tr>
      <w:tr w:rsidR="00CE45E2" w:rsidRPr="00CE45E2" w14:paraId="2194B4F6" w14:textId="77777777" w:rsidTr="006476FB">
        <w:trPr>
          <w:jc w:val="center"/>
        </w:trPr>
        <w:tc>
          <w:tcPr>
            <w:tcW w:w="4876" w:type="dxa"/>
            <w:tcBorders>
              <w:top w:val="nil"/>
              <w:left w:val="nil"/>
              <w:bottom w:val="nil"/>
              <w:right w:val="nil"/>
            </w:tcBorders>
          </w:tcPr>
          <w:p w14:paraId="4A911E20" w14:textId="77777777" w:rsidR="00CE45E2" w:rsidRPr="00CE45E2" w:rsidRDefault="00CE45E2" w:rsidP="006476FB">
            <w:pPr>
              <w:pStyle w:val="Normal6a"/>
            </w:pPr>
          </w:p>
        </w:tc>
        <w:tc>
          <w:tcPr>
            <w:tcW w:w="4876" w:type="dxa"/>
            <w:tcBorders>
              <w:top w:val="nil"/>
              <w:left w:val="nil"/>
              <w:bottom w:val="nil"/>
              <w:right w:val="nil"/>
            </w:tcBorders>
          </w:tcPr>
          <w:p w14:paraId="3C3D9548" w14:textId="77777777" w:rsidR="00CE45E2" w:rsidRPr="00CE45E2" w:rsidRDefault="00CE45E2" w:rsidP="006476FB">
            <w:pPr>
              <w:pStyle w:val="Normal6a"/>
            </w:pPr>
            <w:r w:rsidRPr="00CE45E2">
              <w:rPr>
                <w:b/>
                <w:i/>
              </w:rPr>
              <w:t xml:space="preserve">1. W </w:t>
            </w:r>
            <w:proofErr w:type="gramStart"/>
            <w:r w:rsidRPr="00CE45E2">
              <w:rPr>
                <w:b/>
                <w:i/>
              </w:rPr>
              <w:t>przypadku</w:t>
            </w:r>
            <w:proofErr w:type="gramEnd"/>
            <w:r w:rsidRPr="00CE45E2">
              <w:rPr>
                <w:b/>
                <w:i/>
              </w:rPr>
              <w:t xml:space="preserve"> gdy IORP została utworzona w formie, w której jest zarządzana przez upoważniony podmiot działający w jej imieniu, o czym mowa w art. 2 ust. 1, rolę tego podmiotu może pełnić wyłącznie:</w:t>
            </w:r>
          </w:p>
        </w:tc>
      </w:tr>
      <w:tr w:rsidR="00CE45E2" w:rsidRPr="00CE45E2" w14:paraId="485E4130" w14:textId="77777777" w:rsidTr="006476FB">
        <w:trPr>
          <w:jc w:val="center"/>
        </w:trPr>
        <w:tc>
          <w:tcPr>
            <w:tcW w:w="4876" w:type="dxa"/>
            <w:tcBorders>
              <w:top w:val="nil"/>
              <w:left w:val="nil"/>
              <w:bottom w:val="nil"/>
              <w:right w:val="nil"/>
            </w:tcBorders>
          </w:tcPr>
          <w:p w14:paraId="60EF17FC" w14:textId="77777777" w:rsidR="00CE45E2" w:rsidRPr="00CE45E2" w:rsidRDefault="00CE45E2" w:rsidP="006476FB">
            <w:pPr>
              <w:pStyle w:val="Normal6a"/>
            </w:pPr>
          </w:p>
        </w:tc>
        <w:tc>
          <w:tcPr>
            <w:tcW w:w="4876" w:type="dxa"/>
            <w:tcBorders>
              <w:top w:val="nil"/>
              <w:left w:val="nil"/>
              <w:bottom w:val="nil"/>
              <w:right w:val="nil"/>
            </w:tcBorders>
          </w:tcPr>
          <w:p w14:paraId="4F77F77C" w14:textId="77777777" w:rsidR="00CE45E2" w:rsidRPr="00CE45E2" w:rsidRDefault="00CE45E2" w:rsidP="006476FB">
            <w:pPr>
              <w:pStyle w:val="Normal6a"/>
            </w:pPr>
            <w:r w:rsidRPr="00CE45E2">
              <w:rPr>
                <w:b/>
                <w:i/>
              </w:rPr>
              <w:t>a) przedsiębiorstwo posiadające zezwolenie na mocy dyrektywy 2009/138/WE;</w:t>
            </w:r>
          </w:p>
        </w:tc>
      </w:tr>
      <w:tr w:rsidR="00CE45E2" w:rsidRPr="00CE45E2" w14:paraId="7C8BD417" w14:textId="77777777" w:rsidTr="006476FB">
        <w:trPr>
          <w:jc w:val="center"/>
        </w:trPr>
        <w:tc>
          <w:tcPr>
            <w:tcW w:w="4876" w:type="dxa"/>
            <w:tcBorders>
              <w:top w:val="nil"/>
              <w:left w:val="nil"/>
              <w:bottom w:val="nil"/>
              <w:right w:val="nil"/>
            </w:tcBorders>
          </w:tcPr>
          <w:p w14:paraId="62F7B2EA" w14:textId="77777777" w:rsidR="00CE45E2" w:rsidRPr="00CE45E2" w:rsidRDefault="00CE45E2" w:rsidP="006476FB">
            <w:pPr>
              <w:pStyle w:val="Normal6a"/>
            </w:pPr>
          </w:p>
        </w:tc>
        <w:tc>
          <w:tcPr>
            <w:tcW w:w="4876" w:type="dxa"/>
            <w:tcBorders>
              <w:top w:val="nil"/>
              <w:left w:val="nil"/>
              <w:bottom w:val="nil"/>
              <w:right w:val="nil"/>
            </w:tcBorders>
          </w:tcPr>
          <w:p w14:paraId="5397AB1A" w14:textId="77777777" w:rsidR="00CE45E2" w:rsidRPr="00CE45E2" w:rsidRDefault="00CE45E2" w:rsidP="006476FB">
            <w:pPr>
              <w:pStyle w:val="Normal6a"/>
            </w:pPr>
            <w:r w:rsidRPr="00CE45E2">
              <w:rPr>
                <w:b/>
                <w:i/>
              </w:rPr>
              <w:t>b) inny podmiot, o którym mowa w art. 2 ust. 2 lit. b) niniejszej dyrektywy;</w:t>
            </w:r>
          </w:p>
        </w:tc>
      </w:tr>
      <w:tr w:rsidR="00CE45E2" w:rsidRPr="00CE45E2" w14:paraId="6C37BF30" w14:textId="77777777" w:rsidTr="006476FB">
        <w:trPr>
          <w:jc w:val="center"/>
        </w:trPr>
        <w:tc>
          <w:tcPr>
            <w:tcW w:w="4876" w:type="dxa"/>
            <w:tcBorders>
              <w:top w:val="nil"/>
              <w:left w:val="nil"/>
              <w:bottom w:val="nil"/>
              <w:right w:val="nil"/>
            </w:tcBorders>
          </w:tcPr>
          <w:p w14:paraId="1B5479C8" w14:textId="77777777" w:rsidR="00CE45E2" w:rsidRPr="00CE45E2" w:rsidRDefault="00CE45E2" w:rsidP="006476FB">
            <w:pPr>
              <w:pStyle w:val="Normal6a"/>
            </w:pPr>
          </w:p>
        </w:tc>
        <w:tc>
          <w:tcPr>
            <w:tcW w:w="4876" w:type="dxa"/>
            <w:tcBorders>
              <w:top w:val="nil"/>
              <w:left w:val="nil"/>
              <w:bottom w:val="nil"/>
              <w:right w:val="nil"/>
            </w:tcBorders>
          </w:tcPr>
          <w:p w14:paraId="12D0B837" w14:textId="77777777" w:rsidR="00CE45E2" w:rsidRPr="00CE45E2" w:rsidRDefault="00CE45E2" w:rsidP="006476FB">
            <w:pPr>
              <w:pStyle w:val="Normal6a"/>
            </w:pPr>
            <w:r w:rsidRPr="00CE45E2">
              <w:rPr>
                <w:b/>
                <w:i/>
              </w:rPr>
              <w:t>c) podmiot, który przed podjęciem działalności uzyskał zezwolenie na prowadzenie IORP na mocy niniejszej dyrektywy od właściwego organu swojego rodzimego państwa członkowskiego.</w:t>
            </w:r>
          </w:p>
        </w:tc>
      </w:tr>
      <w:tr w:rsidR="00CE45E2" w:rsidRPr="00CE45E2" w14:paraId="4C4286FA" w14:textId="77777777" w:rsidTr="006476FB">
        <w:trPr>
          <w:jc w:val="center"/>
        </w:trPr>
        <w:tc>
          <w:tcPr>
            <w:tcW w:w="4876" w:type="dxa"/>
            <w:tcBorders>
              <w:top w:val="nil"/>
              <w:left w:val="nil"/>
              <w:bottom w:val="nil"/>
              <w:right w:val="nil"/>
            </w:tcBorders>
          </w:tcPr>
          <w:p w14:paraId="31AE90E5" w14:textId="77777777" w:rsidR="00CE45E2" w:rsidRPr="00CE45E2" w:rsidRDefault="00CE45E2" w:rsidP="006476FB">
            <w:pPr>
              <w:pStyle w:val="Normal6a"/>
            </w:pPr>
          </w:p>
        </w:tc>
        <w:tc>
          <w:tcPr>
            <w:tcW w:w="4876" w:type="dxa"/>
            <w:tcBorders>
              <w:top w:val="nil"/>
              <w:left w:val="nil"/>
              <w:bottom w:val="nil"/>
              <w:right w:val="nil"/>
            </w:tcBorders>
          </w:tcPr>
          <w:p w14:paraId="10F96FCB" w14:textId="77777777" w:rsidR="00CE45E2" w:rsidRPr="00CE45E2" w:rsidRDefault="00CE45E2" w:rsidP="006476FB">
            <w:pPr>
              <w:pStyle w:val="Normal6a"/>
            </w:pPr>
            <w:r w:rsidRPr="00CE45E2">
              <w:rPr>
                <w:b/>
                <w:i/>
              </w:rPr>
              <w:t>Podmiot, o którym mowa w lit. a) lub b), może pełnić tę funkcję wyłącznie wtedy, gdy mające do niego zastosowanie prawo Unii nie wyklucza prowadzenia przez niego IORP, a jego zezwolenie obejmuje tę działalność.</w:t>
            </w:r>
          </w:p>
        </w:tc>
      </w:tr>
      <w:tr w:rsidR="00CE45E2" w:rsidRPr="00CE45E2" w14:paraId="1F43C6E2" w14:textId="77777777" w:rsidTr="006476FB">
        <w:trPr>
          <w:jc w:val="center"/>
        </w:trPr>
        <w:tc>
          <w:tcPr>
            <w:tcW w:w="4876" w:type="dxa"/>
            <w:tcBorders>
              <w:top w:val="nil"/>
              <w:left w:val="nil"/>
              <w:bottom w:val="nil"/>
              <w:right w:val="nil"/>
            </w:tcBorders>
          </w:tcPr>
          <w:p w14:paraId="2F41028F" w14:textId="77777777" w:rsidR="00CE45E2" w:rsidRPr="00CE45E2" w:rsidRDefault="00CE45E2" w:rsidP="006476FB">
            <w:pPr>
              <w:pStyle w:val="Normal6a"/>
            </w:pPr>
          </w:p>
        </w:tc>
        <w:tc>
          <w:tcPr>
            <w:tcW w:w="4876" w:type="dxa"/>
            <w:tcBorders>
              <w:top w:val="nil"/>
              <w:left w:val="nil"/>
              <w:bottom w:val="nil"/>
              <w:right w:val="nil"/>
            </w:tcBorders>
          </w:tcPr>
          <w:p w14:paraId="6C0BE457" w14:textId="77777777" w:rsidR="00CE45E2" w:rsidRPr="00CE45E2" w:rsidRDefault="00CE45E2" w:rsidP="006476FB">
            <w:pPr>
              <w:pStyle w:val="Normal6a"/>
            </w:pPr>
            <w:r w:rsidRPr="00CE45E2">
              <w:rPr>
                <w:b/>
                <w:i/>
              </w:rPr>
              <w:t>2. Podmiot, o którym mowa w ust. 1 lit. b) lub c), prowadząc IORP, musi dysponować funduszami własnymi w wysokości co najmniej 1 000 000 EUR lub kwoty wymaganej na mocy prawa swojego rodzimego państwa członkowskiego, w zależności od tego, która z tych kwot jest wyższa.</w:t>
            </w:r>
          </w:p>
        </w:tc>
      </w:tr>
      <w:tr w:rsidR="00CE45E2" w:rsidRPr="00CE45E2" w14:paraId="7A75D47C" w14:textId="77777777" w:rsidTr="006476FB">
        <w:trPr>
          <w:jc w:val="center"/>
        </w:trPr>
        <w:tc>
          <w:tcPr>
            <w:tcW w:w="4876" w:type="dxa"/>
            <w:tcBorders>
              <w:top w:val="nil"/>
              <w:left w:val="nil"/>
              <w:bottom w:val="nil"/>
              <w:right w:val="nil"/>
            </w:tcBorders>
          </w:tcPr>
          <w:p w14:paraId="06318786" w14:textId="77777777" w:rsidR="00CE45E2" w:rsidRPr="00CE45E2" w:rsidRDefault="00CE45E2" w:rsidP="006476FB">
            <w:pPr>
              <w:pStyle w:val="Normal6a"/>
            </w:pPr>
          </w:p>
        </w:tc>
        <w:tc>
          <w:tcPr>
            <w:tcW w:w="4876" w:type="dxa"/>
            <w:tcBorders>
              <w:top w:val="nil"/>
              <w:left w:val="nil"/>
              <w:bottom w:val="nil"/>
              <w:right w:val="nil"/>
            </w:tcBorders>
          </w:tcPr>
          <w:p w14:paraId="3528D4BB" w14:textId="77777777" w:rsidR="00CE45E2" w:rsidRPr="00CE45E2" w:rsidRDefault="00CE45E2" w:rsidP="006476FB">
            <w:pPr>
              <w:pStyle w:val="Normal6a"/>
            </w:pPr>
            <w:r w:rsidRPr="00CE45E2">
              <w:rPr>
                <w:b/>
                <w:i/>
              </w:rPr>
              <w:t>Jeżeli aktywa prowadzonych przez niego IORP przekraczają 250 000 000 EUR, fundusze własne zwiększa się o 0,02 % tej nadwyżki, do łącznej kwoty 10 000 000 EUR. Niniejszy ustęp nie ma zastosowania do podmiotu, który zgodnie z mającym do niego zastosowanie prawem Unii podlega co najmniej równoważnym wymogom w zakresie funduszy własnych. Fundusze własne wymagane na mocy niniejszego ustępu stanowią dodatek do rezerw techniczno-ubezpieczeniowych i regulacyjnych funduszy własnych, które IORP ma obowiązek utrzymywać zgodnie z art. 15–17, jeżeli przejmuje ona zobowiązania lub gwarantuje świadczenia lub wyniki inwestycyjne, i nie mogą być wykorzystywane do ich pokrycia.</w:t>
            </w:r>
          </w:p>
        </w:tc>
      </w:tr>
      <w:tr w:rsidR="00CE45E2" w:rsidRPr="00CE45E2" w14:paraId="37D534D8" w14:textId="77777777" w:rsidTr="006476FB">
        <w:trPr>
          <w:jc w:val="center"/>
        </w:trPr>
        <w:tc>
          <w:tcPr>
            <w:tcW w:w="4876" w:type="dxa"/>
            <w:tcBorders>
              <w:top w:val="nil"/>
              <w:left w:val="nil"/>
              <w:bottom w:val="nil"/>
              <w:right w:val="nil"/>
            </w:tcBorders>
          </w:tcPr>
          <w:p w14:paraId="15658EFD" w14:textId="77777777" w:rsidR="00CE45E2" w:rsidRPr="00CE45E2" w:rsidRDefault="00CE45E2" w:rsidP="006476FB">
            <w:pPr>
              <w:pStyle w:val="Normal6a"/>
            </w:pPr>
          </w:p>
        </w:tc>
        <w:tc>
          <w:tcPr>
            <w:tcW w:w="4876" w:type="dxa"/>
            <w:tcBorders>
              <w:top w:val="nil"/>
              <w:left w:val="nil"/>
              <w:bottom w:val="nil"/>
              <w:right w:val="nil"/>
            </w:tcBorders>
          </w:tcPr>
          <w:p w14:paraId="742B2FC9" w14:textId="77777777" w:rsidR="00CE45E2" w:rsidRPr="00CE45E2" w:rsidRDefault="00CE45E2" w:rsidP="006476FB">
            <w:pPr>
              <w:pStyle w:val="Normal6a"/>
            </w:pPr>
            <w:r w:rsidRPr="00CE45E2">
              <w:rPr>
                <w:b/>
                <w:i/>
              </w:rPr>
              <w:t>3. Podmiot, o którym mowa w ust. 1, zapewnia w odniesieniu do każdej prowadzonej przez siebie IORP przestrzeganie wymogów nałożonych na tę instytucję na mocy niniejszej dyrektywy.”</w:t>
            </w:r>
          </w:p>
        </w:tc>
      </w:tr>
    </w:tbl>
    <w:p w14:paraId="0959220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B7A4A8B" w14:textId="77777777" w:rsidR="00CE45E2" w:rsidRPr="00CE45E2" w:rsidRDefault="00CE45E2" w:rsidP="00CE45E2">
      <w:r w:rsidRPr="00CE45E2">
        <w:rPr>
          <w:rStyle w:val="HideTWBExt"/>
        </w:rPr>
        <w:t>&lt;/Amend&gt;</w:t>
      </w:r>
    </w:p>
    <w:p w14:paraId="5C766057" w14:textId="0417CB6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205</w:t>
      </w:r>
      <w:r w:rsidRPr="00CE45E2">
        <w:rPr>
          <w:rStyle w:val="HideTWBExt"/>
          <w:b w:val="0"/>
        </w:rPr>
        <w:t>&lt;/NumAm&gt;</w:t>
      </w:r>
    </w:p>
    <w:p w14:paraId="445AD594"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6BC05EC9" w14:textId="77777777" w:rsidR="00CE45E2" w:rsidRPr="00CE45E2" w:rsidRDefault="00CE45E2" w:rsidP="00CE45E2">
      <w:pPr>
        <w:pStyle w:val="NormalBold"/>
      </w:pPr>
      <w:r w:rsidRPr="00CE45E2">
        <w:rPr>
          <w:rStyle w:val="HideTWBExt"/>
          <w:b w:val="0"/>
        </w:rPr>
        <w:t>&lt;/RepeatBlock-By&gt;</w:t>
      </w:r>
    </w:p>
    <w:p w14:paraId="4E0144E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1BDEDF9" w14:textId="77777777" w:rsidR="00CE45E2" w:rsidRPr="00CE45E2" w:rsidRDefault="00CE45E2" w:rsidP="00CE45E2">
      <w:pPr>
        <w:pStyle w:val="NormalBold"/>
      </w:pPr>
      <w:r w:rsidRPr="00CE45E2">
        <w:rPr>
          <w:rStyle w:val="HideTWBExt"/>
          <w:b w:val="0"/>
        </w:rPr>
        <w:t>&lt;Article&gt;</w:t>
      </w:r>
      <w:r w:rsidRPr="00CE45E2">
        <w:t>Artykuł 1 – akapit 1 – punkt 5</w:t>
      </w:r>
      <w:r w:rsidRPr="00CE45E2">
        <w:rPr>
          <w:rStyle w:val="HideTWBExt"/>
          <w:b w:val="0"/>
        </w:rPr>
        <w:t>&lt;/Article&gt;</w:t>
      </w:r>
    </w:p>
    <w:p w14:paraId="0E5F33F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55846CA" w14:textId="77777777" w:rsidR="00CE45E2" w:rsidRPr="00CE45E2" w:rsidRDefault="00CE45E2" w:rsidP="00CE45E2">
      <w:r w:rsidRPr="00CE45E2">
        <w:rPr>
          <w:rStyle w:val="HideTWBExt"/>
        </w:rPr>
        <w:t>&lt;Article2&gt;</w:t>
      </w:r>
      <w:r w:rsidRPr="00CE45E2">
        <w:t>Artykuły 3 i 4</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E24B284" w14:textId="77777777" w:rsidTr="006476FB">
        <w:trPr>
          <w:trHeight w:hRule="exact" w:val="240"/>
          <w:jc w:val="center"/>
        </w:trPr>
        <w:tc>
          <w:tcPr>
            <w:tcW w:w="9752" w:type="dxa"/>
            <w:gridSpan w:val="2"/>
            <w:tcBorders>
              <w:top w:val="nil"/>
              <w:left w:val="nil"/>
              <w:bottom w:val="nil"/>
              <w:right w:val="nil"/>
            </w:tcBorders>
          </w:tcPr>
          <w:p w14:paraId="56A0B3F5" w14:textId="77777777" w:rsidR="00CE45E2" w:rsidRPr="00CE45E2" w:rsidRDefault="00CE45E2" w:rsidP="006476FB"/>
        </w:tc>
      </w:tr>
      <w:tr w:rsidR="00CE45E2" w:rsidRPr="00CE45E2" w14:paraId="70B23ABE" w14:textId="77777777" w:rsidTr="006476FB">
        <w:trPr>
          <w:trHeight w:val="240"/>
          <w:jc w:val="center"/>
        </w:trPr>
        <w:tc>
          <w:tcPr>
            <w:tcW w:w="4876" w:type="dxa"/>
            <w:tcBorders>
              <w:top w:val="nil"/>
              <w:left w:val="nil"/>
              <w:bottom w:val="nil"/>
              <w:right w:val="nil"/>
            </w:tcBorders>
          </w:tcPr>
          <w:p w14:paraId="10E15D1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0BD7EB2" w14:textId="77777777" w:rsidR="00CE45E2" w:rsidRPr="00CE45E2" w:rsidRDefault="00CE45E2" w:rsidP="006476FB">
            <w:pPr>
              <w:pStyle w:val="AmColumnHeading"/>
            </w:pPr>
            <w:r w:rsidRPr="00CE45E2">
              <w:t>Poprawka</w:t>
            </w:r>
          </w:p>
        </w:tc>
      </w:tr>
      <w:tr w:rsidR="00CE45E2" w:rsidRPr="00CE45E2" w14:paraId="621D21EF" w14:textId="77777777" w:rsidTr="006476FB">
        <w:trPr>
          <w:jc w:val="center"/>
        </w:trPr>
        <w:tc>
          <w:tcPr>
            <w:tcW w:w="4876" w:type="dxa"/>
            <w:tcBorders>
              <w:top w:val="nil"/>
              <w:left w:val="nil"/>
              <w:bottom w:val="nil"/>
              <w:right w:val="nil"/>
            </w:tcBorders>
          </w:tcPr>
          <w:p w14:paraId="00848131" w14:textId="77777777" w:rsidR="00CE45E2" w:rsidRPr="00CE45E2" w:rsidRDefault="00CE45E2" w:rsidP="006476FB">
            <w:pPr>
              <w:pStyle w:val="Normal6a"/>
            </w:pPr>
            <w:r w:rsidRPr="00CE45E2">
              <w:rPr>
                <w:b/>
                <w:i/>
              </w:rPr>
              <w:t>5)</w:t>
            </w:r>
            <w:r w:rsidRPr="00CE45E2">
              <w:tab/>
            </w:r>
            <w:r w:rsidRPr="00CE45E2">
              <w:rPr>
                <w:b/>
                <w:i/>
              </w:rPr>
              <w:t>art. 3 i 4 otrzymują brzmienie:</w:t>
            </w:r>
          </w:p>
        </w:tc>
        <w:tc>
          <w:tcPr>
            <w:tcW w:w="4876" w:type="dxa"/>
            <w:tcBorders>
              <w:top w:val="nil"/>
              <w:left w:val="nil"/>
              <w:bottom w:val="nil"/>
              <w:right w:val="nil"/>
            </w:tcBorders>
          </w:tcPr>
          <w:p w14:paraId="765CD325" w14:textId="77777777" w:rsidR="00CE45E2" w:rsidRPr="00CE45E2" w:rsidRDefault="00CE45E2" w:rsidP="006476FB">
            <w:pPr>
              <w:pStyle w:val="Normal6a"/>
            </w:pPr>
            <w:r w:rsidRPr="00CE45E2">
              <w:rPr>
                <w:b/>
                <w:i/>
              </w:rPr>
              <w:t>skreśla się</w:t>
            </w:r>
          </w:p>
        </w:tc>
      </w:tr>
      <w:tr w:rsidR="00CE45E2" w:rsidRPr="00CE45E2" w14:paraId="0130F6C6" w14:textId="77777777" w:rsidTr="006476FB">
        <w:trPr>
          <w:jc w:val="center"/>
        </w:trPr>
        <w:tc>
          <w:tcPr>
            <w:tcW w:w="4876" w:type="dxa"/>
            <w:tcBorders>
              <w:top w:val="nil"/>
              <w:left w:val="nil"/>
              <w:bottom w:val="nil"/>
              <w:right w:val="nil"/>
            </w:tcBorders>
          </w:tcPr>
          <w:p w14:paraId="12ABBDFF" w14:textId="77777777" w:rsidR="00CE45E2" w:rsidRPr="00CE45E2" w:rsidRDefault="00CE45E2" w:rsidP="006476FB">
            <w:pPr>
              <w:pStyle w:val="Normal6a"/>
            </w:pPr>
            <w:r w:rsidRPr="00CE45E2">
              <w:rPr>
                <w:b/>
                <w:i/>
              </w:rPr>
              <w:t>„Artykuł 3</w:t>
            </w:r>
          </w:p>
        </w:tc>
        <w:tc>
          <w:tcPr>
            <w:tcW w:w="4876" w:type="dxa"/>
            <w:tcBorders>
              <w:top w:val="nil"/>
              <w:left w:val="nil"/>
              <w:bottom w:val="nil"/>
              <w:right w:val="nil"/>
            </w:tcBorders>
          </w:tcPr>
          <w:p w14:paraId="61A48FE4" w14:textId="77777777" w:rsidR="00CE45E2" w:rsidRPr="00CE45E2" w:rsidRDefault="00CE45E2" w:rsidP="006476FB">
            <w:pPr>
              <w:pStyle w:val="Normal6a"/>
            </w:pPr>
          </w:p>
        </w:tc>
      </w:tr>
      <w:tr w:rsidR="00CE45E2" w:rsidRPr="00CE45E2" w14:paraId="1BFCF2F9" w14:textId="77777777" w:rsidTr="006476FB">
        <w:trPr>
          <w:jc w:val="center"/>
        </w:trPr>
        <w:tc>
          <w:tcPr>
            <w:tcW w:w="4876" w:type="dxa"/>
            <w:tcBorders>
              <w:top w:val="nil"/>
              <w:left w:val="nil"/>
              <w:bottom w:val="nil"/>
              <w:right w:val="nil"/>
            </w:tcBorders>
          </w:tcPr>
          <w:p w14:paraId="4E77AE58" w14:textId="77777777" w:rsidR="00CE45E2" w:rsidRPr="00CE45E2" w:rsidRDefault="00CE45E2" w:rsidP="006476FB">
            <w:pPr>
              <w:pStyle w:val="Normal6a"/>
            </w:pPr>
            <w:r w:rsidRPr="00CE45E2">
              <w:rPr>
                <w:b/>
                <w:i/>
              </w:rPr>
              <w:t>Zastosowanie do IORP obsługujących systemy zabezpieczenia społecznego</w:t>
            </w:r>
          </w:p>
        </w:tc>
        <w:tc>
          <w:tcPr>
            <w:tcW w:w="4876" w:type="dxa"/>
            <w:tcBorders>
              <w:top w:val="nil"/>
              <w:left w:val="nil"/>
              <w:bottom w:val="nil"/>
              <w:right w:val="nil"/>
            </w:tcBorders>
          </w:tcPr>
          <w:p w14:paraId="60684A72" w14:textId="77777777" w:rsidR="00CE45E2" w:rsidRPr="00CE45E2" w:rsidRDefault="00CE45E2" w:rsidP="006476FB">
            <w:pPr>
              <w:pStyle w:val="Normal6a"/>
            </w:pPr>
          </w:p>
        </w:tc>
      </w:tr>
      <w:tr w:rsidR="00CE45E2" w:rsidRPr="00CE45E2" w14:paraId="3650151E" w14:textId="77777777" w:rsidTr="006476FB">
        <w:trPr>
          <w:jc w:val="center"/>
        </w:trPr>
        <w:tc>
          <w:tcPr>
            <w:tcW w:w="4876" w:type="dxa"/>
            <w:tcBorders>
              <w:top w:val="nil"/>
              <w:left w:val="nil"/>
              <w:bottom w:val="nil"/>
              <w:right w:val="nil"/>
            </w:tcBorders>
          </w:tcPr>
          <w:p w14:paraId="52020216" w14:textId="77777777" w:rsidR="00CE45E2" w:rsidRPr="00CE45E2" w:rsidRDefault="00CE45E2" w:rsidP="006476FB">
            <w:pPr>
              <w:pStyle w:val="Normal6a"/>
            </w:pPr>
            <w:r w:rsidRPr="00CE45E2">
              <w:rPr>
                <w:b/>
                <w:i/>
              </w:rPr>
              <w:t>IORP, które obsługują również programy emerytalne uznawane za systemy zabezpieczenia społecznego objęte rozporządzeniami (WE) nr 883/2004 i (WE) nr 987/2009, są objęte niniejszą dyrektywą w odniesieniu do prowadzonej przez nie działalności w zakresie programów emerytalnych nieobjętej tymi rozporządzeniami. W takim przypadku wyodrębnia się pasywa i odpowiadające im aktywa i nie jest możliwe przeniesienie tych pasywów i odpowiadających im aktywów do programów emerytalnych, które są traktowane jako programy w ramach systemów zabezpieczenia społecznego, ani odwrotnie.</w:t>
            </w:r>
          </w:p>
        </w:tc>
        <w:tc>
          <w:tcPr>
            <w:tcW w:w="4876" w:type="dxa"/>
            <w:tcBorders>
              <w:top w:val="nil"/>
              <w:left w:val="nil"/>
              <w:bottom w:val="nil"/>
              <w:right w:val="nil"/>
            </w:tcBorders>
          </w:tcPr>
          <w:p w14:paraId="3216F8B5" w14:textId="77777777" w:rsidR="00CE45E2" w:rsidRPr="00CE45E2" w:rsidRDefault="00CE45E2" w:rsidP="006476FB">
            <w:pPr>
              <w:pStyle w:val="Normal6a"/>
            </w:pPr>
          </w:p>
        </w:tc>
      </w:tr>
      <w:tr w:rsidR="00CE45E2" w:rsidRPr="00CE45E2" w14:paraId="2EC70D1A" w14:textId="77777777" w:rsidTr="006476FB">
        <w:trPr>
          <w:jc w:val="center"/>
        </w:trPr>
        <w:tc>
          <w:tcPr>
            <w:tcW w:w="4876" w:type="dxa"/>
            <w:tcBorders>
              <w:top w:val="nil"/>
              <w:left w:val="nil"/>
              <w:bottom w:val="nil"/>
              <w:right w:val="nil"/>
            </w:tcBorders>
          </w:tcPr>
          <w:p w14:paraId="3946DFD0" w14:textId="77777777" w:rsidR="00CE45E2" w:rsidRPr="00CE45E2" w:rsidRDefault="00CE45E2" w:rsidP="006476FB">
            <w:pPr>
              <w:pStyle w:val="Normal6a"/>
            </w:pPr>
            <w:r w:rsidRPr="00CE45E2">
              <w:rPr>
                <w:b/>
                <w:i/>
              </w:rPr>
              <w:t>Artykuł 4</w:t>
            </w:r>
          </w:p>
        </w:tc>
        <w:tc>
          <w:tcPr>
            <w:tcW w:w="4876" w:type="dxa"/>
            <w:tcBorders>
              <w:top w:val="nil"/>
              <w:left w:val="nil"/>
              <w:bottom w:val="nil"/>
              <w:right w:val="nil"/>
            </w:tcBorders>
          </w:tcPr>
          <w:p w14:paraId="6F050614" w14:textId="77777777" w:rsidR="00CE45E2" w:rsidRPr="00CE45E2" w:rsidRDefault="00CE45E2" w:rsidP="006476FB">
            <w:pPr>
              <w:pStyle w:val="Normal6a"/>
            </w:pPr>
          </w:p>
        </w:tc>
      </w:tr>
      <w:tr w:rsidR="00CE45E2" w:rsidRPr="00CE45E2" w14:paraId="52FDF13D" w14:textId="77777777" w:rsidTr="006476FB">
        <w:trPr>
          <w:jc w:val="center"/>
        </w:trPr>
        <w:tc>
          <w:tcPr>
            <w:tcW w:w="4876" w:type="dxa"/>
            <w:tcBorders>
              <w:top w:val="nil"/>
              <w:left w:val="nil"/>
              <w:bottom w:val="nil"/>
              <w:right w:val="nil"/>
            </w:tcBorders>
          </w:tcPr>
          <w:p w14:paraId="254E5E36" w14:textId="77777777" w:rsidR="00CE45E2" w:rsidRPr="00CE45E2" w:rsidRDefault="00CE45E2" w:rsidP="006476FB">
            <w:pPr>
              <w:pStyle w:val="Normal6a"/>
            </w:pPr>
            <w:r w:rsidRPr="00CE45E2">
              <w:rPr>
                <w:b/>
                <w:i/>
              </w:rPr>
              <w:t>Dobrowolne zastosowanie</w:t>
            </w:r>
          </w:p>
        </w:tc>
        <w:tc>
          <w:tcPr>
            <w:tcW w:w="4876" w:type="dxa"/>
            <w:tcBorders>
              <w:top w:val="nil"/>
              <w:left w:val="nil"/>
              <w:bottom w:val="nil"/>
              <w:right w:val="nil"/>
            </w:tcBorders>
          </w:tcPr>
          <w:p w14:paraId="4A810732" w14:textId="77777777" w:rsidR="00CE45E2" w:rsidRPr="00CE45E2" w:rsidRDefault="00CE45E2" w:rsidP="006476FB">
            <w:pPr>
              <w:pStyle w:val="Normal6a"/>
            </w:pPr>
          </w:p>
        </w:tc>
      </w:tr>
      <w:tr w:rsidR="00CE45E2" w:rsidRPr="00CE45E2" w14:paraId="66F1F938" w14:textId="77777777" w:rsidTr="006476FB">
        <w:trPr>
          <w:jc w:val="center"/>
        </w:trPr>
        <w:tc>
          <w:tcPr>
            <w:tcW w:w="4876" w:type="dxa"/>
            <w:tcBorders>
              <w:top w:val="nil"/>
              <w:left w:val="nil"/>
              <w:bottom w:val="nil"/>
              <w:right w:val="nil"/>
            </w:tcBorders>
          </w:tcPr>
          <w:p w14:paraId="731C9676" w14:textId="77777777" w:rsidR="00CE45E2" w:rsidRPr="00CE45E2" w:rsidRDefault="00CE45E2" w:rsidP="006476FB">
            <w:pPr>
              <w:pStyle w:val="Normal6a"/>
            </w:pPr>
            <w:r w:rsidRPr="00CE45E2">
              <w:rPr>
                <w:b/>
                <w:i/>
              </w:rPr>
              <w:t>Państwa członkowskie mogą stosować niektóre lub wszystkie przepisy niniejszej dyrektywy do instytucji, niezależnie od ich formy prawnej, działających na bazie kapitałowej w celu zapewnienia świadczeń emerytalnych:</w:t>
            </w:r>
          </w:p>
        </w:tc>
        <w:tc>
          <w:tcPr>
            <w:tcW w:w="4876" w:type="dxa"/>
            <w:tcBorders>
              <w:top w:val="nil"/>
              <w:left w:val="nil"/>
              <w:bottom w:val="nil"/>
              <w:right w:val="nil"/>
            </w:tcBorders>
          </w:tcPr>
          <w:p w14:paraId="2AC51CE3" w14:textId="77777777" w:rsidR="00CE45E2" w:rsidRPr="00CE45E2" w:rsidRDefault="00CE45E2" w:rsidP="006476FB">
            <w:pPr>
              <w:pStyle w:val="Normal6a"/>
            </w:pPr>
          </w:p>
        </w:tc>
      </w:tr>
      <w:tr w:rsidR="00CE45E2" w:rsidRPr="00CE45E2" w14:paraId="2746F0F8" w14:textId="77777777" w:rsidTr="006476FB">
        <w:trPr>
          <w:jc w:val="center"/>
        </w:trPr>
        <w:tc>
          <w:tcPr>
            <w:tcW w:w="4876" w:type="dxa"/>
            <w:tcBorders>
              <w:top w:val="nil"/>
              <w:left w:val="nil"/>
              <w:bottom w:val="nil"/>
              <w:right w:val="nil"/>
            </w:tcBorders>
          </w:tcPr>
          <w:p w14:paraId="6BF2C17E" w14:textId="77777777" w:rsidR="00CE45E2" w:rsidRPr="00CE45E2" w:rsidRDefault="00CE45E2" w:rsidP="006476FB">
            <w:pPr>
              <w:pStyle w:val="Normal6a"/>
            </w:pPr>
            <w:r w:rsidRPr="00CE45E2">
              <w:rPr>
                <w:b/>
                <w:i/>
              </w:rPr>
              <w:t>a) które są wyłączone z zakresu stosowania niniejszej dyrektywy na podstawie art. 2 ust. 2 lit. a) i d); lub</w:t>
            </w:r>
          </w:p>
        </w:tc>
        <w:tc>
          <w:tcPr>
            <w:tcW w:w="4876" w:type="dxa"/>
            <w:tcBorders>
              <w:top w:val="nil"/>
              <w:left w:val="nil"/>
              <w:bottom w:val="nil"/>
              <w:right w:val="nil"/>
            </w:tcBorders>
          </w:tcPr>
          <w:p w14:paraId="5AF5EB0B" w14:textId="77777777" w:rsidR="00CE45E2" w:rsidRPr="00CE45E2" w:rsidRDefault="00CE45E2" w:rsidP="006476FB">
            <w:pPr>
              <w:pStyle w:val="Normal6a"/>
            </w:pPr>
          </w:p>
        </w:tc>
      </w:tr>
      <w:tr w:rsidR="00CE45E2" w:rsidRPr="00CE45E2" w14:paraId="492C96D9" w14:textId="77777777" w:rsidTr="006476FB">
        <w:trPr>
          <w:jc w:val="center"/>
        </w:trPr>
        <w:tc>
          <w:tcPr>
            <w:tcW w:w="4876" w:type="dxa"/>
            <w:tcBorders>
              <w:top w:val="nil"/>
              <w:left w:val="nil"/>
              <w:bottom w:val="nil"/>
              <w:right w:val="nil"/>
            </w:tcBorders>
          </w:tcPr>
          <w:p w14:paraId="67972A1D" w14:textId="77777777" w:rsidR="00CE45E2" w:rsidRPr="00CE45E2" w:rsidRDefault="00CE45E2" w:rsidP="006476FB">
            <w:pPr>
              <w:pStyle w:val="Normal6a"/>
            </w:pPr>
            <w:r w:rsidRPr="00CE45E2">
              <w:rPr>
                <w:b/>
                <w:i/>
              </w:rPr>
              <w:t>b) które nie są objęte niniejszą dyrektywą ani dyrektywami 2009/65/WE, 2009/138/WE, 2011/61/UE, 2013/36/UE i 2014/65/UE.</w:t>
            </w:r>
          </w:p>
        </w:tc>
        <w:tc>
          <w:tcPr>
            <w:tcW w:w="4876" w:type="dxa"/>
            <w:tcBorders>
              <w:top w:val="nil"/>
              <w:left w:val="nil"/>
              <w:bottom w:val="nil"/>
              <w:right w:val="nil"/>
            </w:tcBorders>
          </w:tcPr>
          <w:p w14:paraId="2D379A70" w14:textId="77777777" w:rsidR="00CE45E2" w:rsidRPr="00CE45E2" w:rsidRDefault="00CE45E2" w:rsidP="006476FB">
            <w:pPr>
              <w:pStyle w:val="Normal6a"/>
            </w:pPr>
          </w:p>
        </w:tc>
      </w:tr>
      <w:tr w:rsidR="00CE45E2" w:rsidRPr="00CE45E2" w14:paraId="3D985086" w14:textId="77777777" w:rsidTr="006476FB">
        <w:trPr>
          <w:jc w:val="center"/>
        </w:trPr>
        <w:tc>
          <w:tcPr>
            <w:tcW w:w="4876" w:type="dxa"/>
            <w:tcBorders>
              <w:top w:val="nil"/>
              <w:left w:val="nil"/>
              <w:bottom w:val="nil"/>
              <w:right w:val="nil"/>
            </w:tcBorders>
          </w:tcPr>
          <w:p w14:paraId="4EA3ECB5" w14:textId="77777777" w:rsidR="00CE45E2" w:rsidRPr="00CE45E2" w:rsidRDefault="00CE45E2" w:rsidP="006476FB">
            <w:pPr>
              <w:pStyle w:val="Normal6a"/>
            </w:pPr>
            <w:r w:rsidRPr="00CE45E2">
              <w:rPr>
                <w:b/>
                <w:i/>
              </w:rPr>
              <w:t>W przypadku instytucji, o których mowa w art. 2 ust. 2 lit. a), państwa członkowskie mogą podjąć decyzję o stosowaniu przepisów niniejszej dyrektywy wyłącznie w zakresie, w jakim stosowanie to jest zgodne z rozporządzeniami (WE) nr 883/2004 i (WE) nr 987/2009.</w:t>
            </w:r>
          </w:p>
        </w:tc>
        <w:tc>
          <w:tcPr>
            <w:tcW w:w="4876" w:type="dxa"/>
            <w:tcBorders>
              <w:top w:val="nil"/>
              <w:left w:val="nil"/>
              <w:bottom w:val="nil"/>
              <w:right w:val="nil"/>
            </w:tcBorders>
          </w:tcPr>
          <w:p w14:paraId="01BCA87C" w14:textId="77777777" w:rsidR="00CE45E2" w:rsidRPr="00CE45E2" w:rsidRDefault="00CE45E2" w:rsidP="006476FB">
            <w:pPr>
              <w:pStyle w:val="Normal6a"/>
            </w:pPr>
          </w:p>
        </w:tc>
      </w:tr>
      <w:tr w:rsidR="00CE45E2" w:rsidRPr="00CE45E2" w14:paraId="32F3F684" w14:textId="77777777" w:rsidTr="006476FB">
        <w:trPr>
          <w:jc w:val="center"/>
        </w:trPr>
        <w:tc>
          <w:tcPr>
            <w:tcW w:w="4876" w:type="dxa"/>
            <w:tcBorders>
              <w:top w:val="nil"/>
              <w:left w:val="nil"/>
              <w:bottom w:val="nil"/>
              <w:right w:val="nil"/>
            </w:tcBorders>
          </w:tcPr>
          <w:p w14:paraId="1755F65B" w14:textId="77777777" w:rsidR="00CE45E2" w:rsidRPr="00CE45E2" w:rsidRDefault="00CE45E2" w:rsidP="006476FB">
            <w:pPr>
              <w:pStyle w:val="Normal6a"/>
            </w:pPr>
            <w:r w:rsidRPr="00CE45E2">
              <w:rPr>
                <w:b/>
                <w:i/>
              </w:rPr>
              <w:t>W przypadku gdy zgodnie z prawem krajowym instytucje, o których mowa w akapicie pierwszym, są obsługiwane przez upoważnione podmioty odpowiedzialne za działanie na ich rzecz, państwa członkowskie mogą podjąć decyzję o stosowaniu niniejszej dyrektywy do tych instytucji albo do upoważnionych podmiotów odpowiedzialnych za ich działalność i działających na ich rzecz, lub do obu tych podmiotów, stosownie do przypadku.</w:t>
            </w:r>
          </w:p>
        </w:tc>
        <w:tc>
          <w:tcPr>
            <w:tcW w:w="4876" w:type="dxa"/>
            <w:tcBorders>
              <w:top w:val="nil"/>
              <w:left w:val="nil"/>
              <w:bottom w:val="nil"/>
              <w:right w:val="nil"/>
            </w:tcBorders>
          </w:tcPr>
          <w:p w14:paraId="57D8CB16" w14:textId="77777777" w:rsidR="00CE45E2" w:rsidRPr="00CE45E2" w:rsidRDefault="00CE45E2" w:rsidP="006476FB">
            <w:pPr>
              <w:pStyle w:val="Normal6a"/>
            </w:pPr>
          </w:p>
        </w:tc>
      </w:tr>
      <w:tr w:rsidR="00CE45E2" w:rsidRPr="00CE45E2" w14:paraId="01A00B9E" w14:textId="77777777" w:rsidTr="006476FB">
        <w:trPr>
          <w:jc w:val="center"/>
        </w:trPr>
        <w:tc>
          <w:tcPr>
            <w:tcW w:w="4876" w:type="dxa"/>
            <w:tcBorders>
              <w:top w:val="nil"/>
              <w:left w:val="nil"/>
              <w:bottom w:val="nil"/>
              <w:right w:val="nil"/>
            </w:tcBorders>
          </w:tcPr>
          <w:p w14:paraId="5444F287" w14:textId="77777777" w:rsidR="00CE45E2" w:rsidRPr="00CE45E2" w:rsidRDefault="00CE45E2" w:rsidP="006476FB">
            <w:pPr>
              <w:pStyle w:val="Normal6a"/>
            </w:pPr>
            <w:r w:rsidRPr="00CE45E2">
              <w:rPr>
                <w:b/>
                <w:i/>
              </w:rPr>
              <w:t>Państwa członkowskie mogą podjąć decyzję o stosowaniu art. 11 i 11a na podstawie niniejszego artykułu tylko wtedy, gdy zastosowanie mają wszystkie przepisy niniejszej dyrektywy.</w:t>
            </w:r>
          </w:p>
        </w:tc>
        <w:tc>
          <w:tcPr>
            <w:tcW w:w="4876" w:type="dxa"/>
            <w:tcBorders>
              <w:top w:val="nil"/>
              <w:left w:val="nil"/>
              <w:bottom w:val="nil"/>
              <w:right w:val="nil"/>
            </w:tcBorders>
          </w:tcPr>
          <w:p w14:paraId="7419174E" w14:textId="77777777" w:rsidR="00CE45E2" w:rsidRPr="00CE45E2" w:rsidRDefault="00CE45E2" w:rsidP="006476FB">
            <w:pPr>
              <w:pStyle w:val="Normal6a"/>
            </w:pPr>
          </w:p>
        </w:tc>
      </w:tr>
      <w:tr w:rsidR="00CE45E2" w:rsidRPr="00CE45E2" w14:paraId="655BA109" w14:textId="77777777" w:rsidTr="006476FB">
        <w:trPr>
          <w:jc w:val="center"/>
        </w:trPr>
        <w:tc>
          <w:tcPr>
            <w:tcW w:w="4876" w:type="dxa"/>
            <w:tcBorders>
              <w:top w:val="nil"/>
              <w:left w:val="nil"/>
              <w:bottom w:val="nil"/>
              <w:right w:val="nil"/>
            </w:tcBorders>
          </w:tcPr>
          <w:p w14:paraId="73EA5EAC" w14:textId="77777777" w:rsidR="00CE45E2" w:rsidRPr="00CE45E2" w:rsidRDefault="00CE45E2" w:rsidP="006476FB">
            <w:pPr>
              <w:pStyle w:val="Normal6a"/>
            </w:pPr>
            <w:r w:rsidRPr="00CE45E2">
              <w:rPr>
                <w:b/>
                <w:i/>
              </w:rPr>
              <w:t xml:space="preserve">Państwa członkowskie powiadamiają Komisję i EIOPA o skorzystaniu z opcji, o których mowa w akapitach pierwszym i drugim, wskazując rodzaje instytucji </w:t>
            </w:r>
            <w:proofErr w:type="gramStart"/>
            <w:r w:rsidRPr="00CE45E2">
              <w:rPr>
                <w:b/>
                <w:i/>
              </w:rPr>
              <w:t>lub,</w:t>
            </w:r>
            <w:proofErr w:type="gramEnd"/>
            <w:r w:rsidRPr="00CE45E2">
              <w:rPr>
                <w:b/>
                <w:i/>
              </w:rPr>
              <w:t xml:space="preserve"> w stosownych przypadkach, upoważnionych podmiotów objętych możliwością korzystania z tych opcji oraz przepisy niniejszej dyrektywy mające do nich zastosowanie.</w:t>
            </w:r>
          </w:p>
        </w:tc>
        <w:tc>
          <w:tcPr>
            <w:tcW w:w="4876" w:type="dxa"/>
            <w:tcBorders>
              <w:top w:val="nil"/>
              <w:left w:val="nil"/>
              <w:bottom w:val="nil"/>
              <w:right w:val="nil"/>
            </w:tcBorders>
          </w:tcPr>
          <w:p w14:paraId="013EE81F" w14:textId="77777777" w:rsidR="00CE45E2" w:rsidRPr="00CE45E2" w:rsidRDefault="00CE45E2" w:rsidP="006476FB">
            <w:pPr>
              <w:pStyle w:val="Normal6a"/>
            </w:pPr>
          </w:p>
        </w:tc>
      </w:tr>
      <w:tr w:rsidR="00CE45E2" w:rsidRPr="00CE45E2" w14:paraId="4D3B1451" w14:textId="77777777" w:rsidTr="006476FB">
        <w:trPr>
          <w:jc w:val="center"/>
        </w:trPr>
        <w:tc>
          <w:tcPr>
            <w:tcW w:w="4876" w:type="dxa"/>
            <w:tcBorders>
              <w:top w:val="nil"/>
              <w:left w:val="nil"/>
              <w:bottom w:val="nil"/>
              <w:right w:val="nil"/>
            </w:tcBorders>
          </w:tcPr>
          <w:p w14:paraId="073DC3D2" w14:textId="77777777" w:rsidR="00CE45E2" w:rsidRPr="00CE45E2" w:rsidRDefault="00CE45E2" w:rsidP="006476FB">
            <w:pPr>
              <w:pStyle w:val="Normal6a"/>
            </w:pPr>
            <w:r w:rsidRPr="00CE45E2">
              <w:rPr>
                <w:b/>
                <w:i/>
              </w:rPr>
              <w:t>Komisja podaje te informacje do wiadomości publicznej.”;</w:t>
            </w:r>
          </w:p>
        </w:tc>
        <w:tc>
          <w:tcPr>
            <w:tcW w:w="4876" w:type="dxa"/>
            <w:tcBorders>
              <w:top w:val="nil"/>
              <w:left w:val="nil"/>
              <w:bottom w:val="nil"/>
              <w:right w:val="nil"/>
            </w:tcBorders>
          </w:tcPr>
          <w:p w14:paraId="678DFD4B" w14:textId="77777777" w:rsidR="00CE45E2" w:rsidRPr="00CE45E2" w:rsidRDefault="00CE45E2" w:rsidP="006476FB">
            <w:pPr>
              <w:pStyle w:val="Normal6a"/>
            </w:pPr>
          </w:p>
        </w:tc>
      </w:tr>
    </w:tbl>
    <w:p w14:paraId="6E873AB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4E58AA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50402DB" w14:textId="77777777" w:rsidR="00CE45E2" w:rsidRPr="00CE45E2" w:rsidRDefault="00CE45E2" w:rsidP="00CE45E2">
      <w:pPr>
        <w:pStyle w:val="AmJustText"/>
      </w:pPr>
      <w:r w:rsidRPr="00CE45E2">
        <w:t>Nowy art. 4 umożliwia państwom członkowskim rozszerzenie zakresu stosowania przepisów dyrektywy, w drodze dobrowolnego przystąpienia, na instytucje wyraźnie wyłączone na mocy art. 2 ust. 2. Takie dobrowolne przystąpienie zaciera granicę między filarami.</w:t>
      </w:r>
    </w:p>
    <w:p w14:paraId="05EE402A" w14:textId="77777777" w:rsidR="00CE45E2" w:rsidRPr="00CE45E2" w:rsidRDefault="00CE45E2" w:rsidP="00CE45E2">
      <w:r w:rsidRPr="00CE45E2">
        <w:rPr>
          <w:rStyle w:val="HideTWBExt"/>
        </w:rPr>
        <w:t>&lt;/Amend&gt;</w:t>
      </w:r>
    </w:p>
    <w:p w14:paraId="274705D7" w14:textId="7852B0B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206</w:t>
      </w:r>
      <w:r w:rsidRPr="00CE45E2">
        <w:rPr>
          <w:rStyle w:val="HideTWBExt"/>
          <w:b w:val="0"/>
        </w:rPr>
        <w:t>&lt;/NumAm&gt;</w:t>
      </w:r>
    </w:p>
    <w:p w14:paraId="6AB7DCA6"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2A98BA73" w14:textId="77777777" w:rsidR="00CE45E2" w:rsidRPr="00CE45E2" w:rsidRDefault="00CE45E2" w:rsidP="00CE45E2">
      <w:pPr>
        <w:pStyle w:val="NormalBold"/>
      </w:pPr>
      <w:r w:rsidRPr="00CE45E2">
        <w:rPr>
          <w:rStyle w:val="HideTWBExt"/>
          <w:b w:val="0"/>
        </w:rPr>
        <w:t>&lt;/RepeatBlock-By&gt;</w:t>
      </w:r>
    </w:p>
    <w:p w14:paraId="4035A81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57D694B" w14:textId="77777777" w:rsidR="00CE45E2" w:rsidRPr="00CE45E2" w:rsidRDefault="00CE45E2" w:rsidP="00CE45E2">
      <w:pPr>
        <w:pStyle w:val="NormalBold"/>
      </w:pPr>
      <w:r w:rsidRPr="00CE45E2">
        <w:rPr>
          <w:rStyle w:val="HideTWBExt"/>
          <w:b w:val="0"/>
        </w:rPr>
        <w:t>&lt;Article&gt;</w:t>
      </w:r>
      <w:r w:rsidRPr="00CE45E2">
        <w:t>Artykuł 1 – akapit 1 – punkt 5</w:t>
      </w:r>
      <w:r w:rsidRPr="00CE45E2">
        <w:rPr>
          <w:rStyle w:val="HideTWBExt"/>
          <w:b w:val="0"/>
        </w:rPr>
        <w:t>&lt;/Article&gt;</w:t>
      </w:r>
    </w:p>
    <w:p w14:paraId="173D494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530D2E8" w14:textId="77777777" w:rsidR="00CE45E2" w:rsidRPr="00CE45E2" w:rsidRDefault="00CE45E2" w:rsidP="00CE45E2">
      <w:r w:rsidRPr="00CE45E2">
        <w:rPr>
          <w:rStyle w:val="HideTWBExt"/>
        </w:rPr>
        <w:t>&lt;Article2&gt;</w:t>
      </w:r>
      <w:r w:rsidRPr="00CE45E2">
        <w:t>Artykuł 3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3E9BBB7" w14:textId="77777777" w:rsidTr="006476FB">
        <w:trPr>
          <w:trHeight w:hRule="exact" w:val="240"/>
          <w:jc w:val="center"/>
        </w:trPr>
        <w:tc>
          <w:tcPr>
            <w:tcW w:w="9752" w:type="dxa"/>
            <w:gridSpan w:val="2"/>
            <w:tcBorders>
              <w:top w:val="nil"/>
              <w:left w:val="nil"/>
              <w:bottom w:val="nil"/>
              <w:right w:val="nil"/>
            </w:tcBorders>
          </w:tcPr>
          <w:p w14:paraId="5D17C4E7" w14:textId="77777777" w:rsidR="00CE45E2" w:rsidRPr="00CE45E2" w:rsidRDefault="00CE45E2" w:rsidP="006476FB"/>
        </w:tc>
      </w:tr>
      <w:tr w:rsidR="00CE45E2" w:rsidRPr="00CE45E2" w14:paraId="0F54C174" w14:textId="77777777" w:rsidTr="006476FB">
        <w:trPr>
          <w:trHeight w:val="240"/>
          <w:jc w:val="center"/>
        </w:trPr>
        <w:tc>
          <w:tcPr>
            <w:tcW w:w="4876" w:type="dxa"/>
            <w:tcBorders>
              <w:top w:val="nil"/>
              <w:left w:val="nil"/>
              <w:bottom w:val="nil"/>
              <w:right w:val="nil"/>
            </w:tcBorders>
          </w:tcPr>
          <w:p w14:paraId="68D3479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C6EBCFC" w14:textId="77777777" w:rsidR="00CE45E2" w:rsidRPr="00CE45E2" w:rsidRDefault="00CE45E2" w:rsidP="006476FB">
            <w:pPr>
              <w:pStyle w:val="AmColumnHeading"/>
            </w:pPr>
            <w:r w:rsidRPr="00CE45E2">
              <w:t>Poprawka</w:t>
            </w:r>
          </w:p>
        </w:tc>
      </w:tr>
      <w:tr w:rsidR="00CE45E2" w:rsidRPr="00CE45E2" w14:paraId="1BE12676" w14:textId="77777777" w:rsidTr="006476FB">
        <w:trPr>
          <w:jc w:val="center"/>
        </w:trPr>
        <w:tc>
          <w:tcPr>
            <w:tcW w:w="4876" w:type="dxa"/>
            <w:tcBorders>
              <w:top w:val="nil"/>
              <w:left w:val="nil"/>
              <w:bottom w:val="nil"/>
              <w:right w:val="nil"/>
            </w:tcBorders>
          </w:tcPr>
          <w:p w14:paraId="418E3191" w14:textId="77777777" w:rsidR="00CE45E2" w:rsidRPr="00CE45E2" w:rsidRDefault="00CE45E2" w:rsidP="006476FB">
            <w:pPr>
              <w:pStyle w:val="Normal6a"/>
            </w:pPr>
          </w:p>
        </w:tc>
        <w:tc>
          <w:tcPr>
            <w:tcW w:w="4876" w:type="dxa"/>
            <w:tcBorders>
              <w:top w:val="nil"/>
              <w:left w:val="nil"/>
              <w:bottom w:val="nil"/>
              <w:right w:val="nil"/>
            </w:tcBorders>
          </w:tcPr>
          <w:p w14:paraId="07106AE2" w14:textId="77777777" w:rsidR="00CE45E2" w:rsidRPr="00CE45E2" w:rsidRDefault="00CE45E2" w:rsidP="006476FB">
            <w:pPr>
              <w:pStyle w:val="Normal6a"/>
            </w:pPr>
            <w:r w:rsidRPr="00CE45E2">
              <w:rPr>
                <w:b/>
                <w:i/>
              </w:rPr>
              <w:t>Artykuł 3a</w:t>
            </w:r>
          </w:p>
        </w:tc>
      </w:tr>
      <w:tr w:rsidR="00CE45E2" w:rsidRPr="00CE45E2" w14:paraId="0AF93097" w14:textId="77777777" w:rsidTr="006476FB">
        <w:trPr>
          <w:jc w:val="center"/>
        </w:trPr>
        <w:tc>
          <w:tcPr>
            <w:tcW w:w="4876" w:type="dxa"/>
            <w:tcBorders>
              <w:top w:val="nil"/>
              <w:left w:val="nil"/>
              <w:bottom w:val="nil"/>
              <w:right w:val="nil"/>
            </w:tcBorders>
          </w:tcPr>
          <w:p w14:paraId="278D45D9" w14:textId="77777777" w:rsidR="00CE45E2" w:rsidRPr="00CE45E2" w:rsidRDefault="00CE45E2" w:rsidP="006476FB">
            <w:pPr>
              <w:pStyle w:val="Normal6a"/>
            </w:pPr>
          </w:p>
        </w:tc>
        <w:tc>
          <w:tcPr>
            <w:tcW w:w="4876" w:type="dxa"/>
            <w:tcBorders>
              <w:top w:val="nil"/>
              <w:left w:val="nil"/>
              <w:bottom w:val="nil"/>
              <w:right w:val="nil"/>
            </w:tcBorders>
          </w:tcPr>
          <w:p w14:paraId="71BD6C85" w14:textId="77777777" w:rsidR="00CE45E2" w:rsidRPr="00CE45E2" w:rsidRDefault="00CE45E2" w:rsidP="006476FB">
            <w:pPr>
              <w:pStyle w:val="Normal6a"/>
            </w:pPr>
            <w:r w:rsidRPr="00CE45E2">
              <w:rPr>
                <w:b/>
                <w:i/>
              </w:rPr>
              <w:t>Systemy automatycznego uczestnictwa</w:t>
            </w:r>
          </w:p>
        </w:tc>
      </w:tr>
      <w:tr w:rsidR="00CE45E2" w:rsidRPr="00CE45E2" w14:paraId="090758A0" w14:textId="77777777" w:rsidTr="006476FB">
        <w:trPr>
          <w:jc w:val="center"/>
        </w:trPr>
        <w:tc>
          <w:tcPr>
            <w:tcW w:w="4876" w:type="dxa"/>
            <w:tcBorders>
              <w:top w:val="nil"/>
              <w:left w:val="nil"/>
              <w:bottom w:val="nil"/>
              <w:right w:val="nil"/>
            </w:tcBorders>
          </w:tcPr>
          <w:p w14:paraId="14C9D784" w14:textId="77777777" w:rsidR="00CE45E2" w:rsidRPr="00CE45E2" w:rsidRDefault="00CE45E2" w:rsidP="006476FB">
            <w:pPr>
              <w:pStyle w:val="Normal6a"/>
            </w:pPr>
          </w:p>
        </w:tc>
        <w:tc>
          <w:tcPr>
            <w:tcW w:w="4876" w:type="dxa"/>
            <w:tcBorders>
              <w:top w:val="nil"/>
              <w:left w:val="nil"/>
              <w:bottom w:val="nil"/>
              <w:right w:val="nil"/>
            </w:tcBorders>
          </w:tcPr>
          <w:p w14:paraId="1E5DA172" w14:textId="77777777" w:rsidR="00CE45E2" w:rsidRPr="00CE45E2" w:rsidRDefault="00CE45E2" w:rsidP="006476FB">
            <w:pPr>
              <w:pStyle w:val="Normal6a"/>
            </w:pPr>
            <w:r w:rsidRPr="00CE45E2">
              <w:rPr>
                <w:b/>
                <w:i/>
              </w:rPr>
              <w:t>Państwa członkowskie zapewniają, aby krajowe systemy automatycznego uczestnictwa w dodatkowym ubezpieczeniu emerytalnym podlegały regulacjom w ramach rokowań zbiorowych oraz aby ograniczały się one do wynegocjowanych zbiorowo pracowniczych programów emerytalnych, zarządzanych wspólnie przez partnerów społecznych, opartych na równych składkach pracodawców i pracowników. Państwa członkowskie zapewniają pracownikom rzeczywistą możliwość rezygnacji z takiego automatycznego uczestnictwa w dodatkowym ubezpieczeniu emerytalnym oraz wystarczający czas na uzyskanie informacji oraz niezależnej pomocy i porady przed podjęciem decyzji.</w:t>
            </w:r>
          </w:p>
        </w:tc>
      </w:tr>
    </w:tbl>
    <w:p w14:paraId="79DFAD2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503298F" w14:textId="77777777" w:rsidR="00CE45E2" w:rsidRPr="00CE45E2" w:rsidRDefault="00CE45E2" w:rsidP="00CE45E2">
      <w:r w:rsidRPr="00CE45E2">
        <w:rPr>
          <w:rStyle w:val="HideTWBExt"/>
        </w:rPr>
        <w:t>&lt;/Amend&gt;</w:t>
      </w:r>
    </w:p>
    <w:p w14:paraId="554226E0" w14:textId="5493E86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207</w:t>
      </w:r>
      <w:r w:rsidRPr="00CE45E2">
        <w:rPr>
          <w:rStyle w:val="HideTWBExt"/>
          <w:b w:val="0"/>
        </w:rPr>
        <w:t>&lt;/NumAm&gt;</w:t>
      </w:r>
    </w:p>
    <w:p w14:paraId="65DA3757"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7F89E7E2"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6891BCCA" w14:textId="77777777" w:rsidR="00CE45E2" w:rsidRPr="00CE45E2" w:rsidRDefault="00CE45E2" w:rsidP="00CE45E2">
      <w:pPr>
        <w:pStyle w:val="NormalBold"/>
      </w:pPr>
      <w:r w:rsidRPr="00CE45E2">
        <w:rPr>
          <w:rStyle w:val="HideTWBExt"/>
          <w:b w:val="0"/>
        </w:rPr>
        <w:t>&lt;/RepeatBlock-By&gt;</w:t>
      </w:r>
    </w:p>
    <w:p w14:paraId="3A047C9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92D1D60" w14:textId="77777777" w:rsidR="00CE45E2" w:rsidRPr="00CE45E2" w:rsidRDefault="00CE45E2" w:rsidP="00CE45E2">
      <w:pPr>
        <w:pStyle w:val="NormalBold"/>
      </w:pPr>
      <w:r w:rsidRPr="00CE45E2">
        <w:rPr>
          <w:rStyle w:val="HideTWBExt"/>
          <w:b w:val="0"/>
        </w:rPr>
        <w:t>&lt;Article&gt;</w:t>
      </w:r>
      <w:r w:rsidRPr="00CE45E2">
        <w:t>Artykuł 1 – akapit 1 – punkt 5</w:t>
      </w:r>
      <w:r w:rsidRPr="00CE45E2">
        <w:rPr>
          <w:rStyle w:val="HideTWBExt"/>
          <w:b w:val="0"/>
        </w:rPr>
        <w:t>&lt;/Article&gt;</w:t>
      </w:r>
    </w:p>
    <w:p w14:paraId="32CCC84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52B8AC1" w14:textId="77777777" w:rsidR="00CE45E2" w:rsidRPr="00CE45E2" w:rsidRDefault="00CE45E2" w:rsidP="00CE45E2">
      <w:r w:rsidRPr="00CE45E2">
        <w:rPr>
          <w:rStyle w:val="HideTWBExt"/>
        </w:rPr>
        <w:t>&lt;Article2&gt;</w:t>
      </w:r>
      <w:r w:rsidRPr="00CE45E2">
        <w:t>Artykuł 4 – akapity 1–6</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89BB725" w14:textId="77777777" w:rsidTr="006476FB">
        <w:trPr>
          <w:trHeight w:hRule="exact" w:val="240"/>
          <w:jc w:val="center"/>
        </w:trPr>
        <w:tc>
          <w:tcPr>
            <w:tcW w:w="9752" w:type="dxa"/>
            <w:gridSpan w:val="2"/>
            <w:tcBorders>
              <w:top w:val="nil"/>
              <w:left w:val="nil"/>
              <w:bottom w:val="nil"/>
              <w:right w:val="nil"/>
            </w:tcBorders>
          </w:tcPr>
          <w:p w14:paraId="2276F4D8" w14:textId="77777777" w:rsidR="00CE45E2" w:rsidRPr="00CE45E2" w:rsidRDefault="00CE45E2" w:rsidP="006476FB"/>
        </w:tc>
      </w:tr>
      <w:tr w:rsidR="00CE45E2" w:rsidRPr="00CE45E2" w14:paraId="6A97DC92" w14:textId="77777777" w:rsidTr="006476FB">
        <w:trPr>
          <w:trHeight w:val="240"/>
          <w:jc w:val="center"/>
        </w:trPr>
        <w:tc>
          <w:tcPr>
            <w:tcW w:w="4876" w:type="dxa"/>
            <w:tcBorders>
              <w:top w:val="nil"/>
              <w:left w:val="nil"/>
              <w:bottom w:val="nil"/>
              <w:right w:val="nil"/>
            </w:tcBorders>
          </w:tcPr>
          <w:p w14:paraId="18CDD48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B5EB022" w14:textId="77777777" w:rsidR="00CE45E2" w:rsidRPr="00CE45E2" w:rsidRDefault="00CE45E2" w:rsidP="006476FB">
            <w:pPr>
              <w:pStyle w:val="AmColumnHeading"/>
            </w:pPr>
            <w:r w:rsidRPr="00CE45E2">
              <w:t>Poprawka</w:t>
            </w:r>
          </w:p>
        </w:tc>
      </w:tr>
      <w:tr w:rsidR="00CE45E2" w:rsidRPr="00CE45E2" w14:paraId="56E26F59" w14:textId="77777777" w:rsidTr="006476FB">
        <w:trPr>
          <w:jc w:val="center"/>
        </w:trPr>
        <w:tc>
          <w:tcPr>
            <w:tcW w:w="4876" w:type="dxa"/>
            <w:tcBorders>
              <w:top w:val="nil"/>
              <w:left w:val="nil"/>
              <w:bottom w:val="nil"/>
              <w:right w:val="nil"/>
            </w:tcBorders>
          </w:tcPr>
          <w:p w14:paraId="5EF5AD2C" w14:textId="77777777" w:rsidR="00CE45E2" w:rsidRPr="00CE45E2" w:rsidRDefault="00CE45E2" w:rsidP="006476FB">
            <w:pPr>
              <w:pStyle w:val="Normal6a"/>
              <w:rPr>
                <w:bCs/>
                <w:iCs/>
              </w:rPr>
            </w:pPr>
            <w:r w:rsidRPr="00CE45E2">
              <w:t>Państwa członkowskie mogą stosować niektóre lub wszystkie przepisy niniejszej dyrektywy do instytucji, niezależnie od ich formy prawnej, działających na bazie kapitałowej w celu zapewnienia świadczeń emerytalnych:</w:t>
            </w:r>
          </w:p>
        </w:tc>
        <w:tc>
          <w:tcPr>
            <w:tcW w:w="4876" w:type="dxa"/>
            <w:tcBorders>
              <w:top w:val="nil"/>
              <w:left w:val="nil"/>
              <w:bottom w:val="nil"/>
              <w:right w:val="nil"/>
            </w:tcBorders>
          </w:tcPr>
          <w:p w14:paraId="12014C8D" w14:textId="77777777" w:rsidR="00CE45E2" w:rsidRPr="00CE45E2" w:rsidRDefault="00CE45E2" w:rsidP="006476FB">
            <w:pPr>
              <w:pStyle w:val="Normal6a"/>
              <w:rPr>
                <w:bCs/>
                <w:iCs/>
              </w:rPr>
            </w:pPr>
            <w:r w:rsidRPr="00CE45E2">
              <w:rPr>
                <w:b/>
                <w:i/>
              </w:rPr>
              <w:t>1.</w:t>
            </w:r>
            <w:r w:rsidRPr="00CE45E2">
              <w:rPr>
                <w:i/>
              </w:rPr>
              <w:t xml:space="preserve"> </w:t>
            </w:r>
            <w:r w:rsidRPr="00CE45E2">
              <w:t>Państwa członkowskie mogą stosować niektóre lub wszystkie przepisy niniejszej dyrektywy do instytucji, niezależnie od ich formy prawnej, działających na bazie kapitałowej w celu zapewnienia świadczeń emerytalnych:</w:t>
            </w:r>
          </w:p>
        </w:tc>
      </w:tr>
      <w:tr w:rsidR="00CE45E2" w:rsidRPr="00CE45E2" w14:paraId="7CD0A371" w14:textId="77777777" w:rsidTr="006476FB">
        <w:trPr>
          <w:jc w:val="center"/>
        </w:trPr>
        <w:tc>
          <w:tcPr>
            <w:tcW w:w="4876" w:type="dxa"/>
            <w:tcBorders>
              <w:top w:val="nil"/>
              <w:left w:val="nil"/>
              <w:bottom w:val="nil"/>
              <w:right w:val="nil"/>
            </w:tcBorders>
          </w:tcPr>
          <w:p w14:paraId="47D69707" w14:textId="77777777" w:rsidR="00CE45E2" w:rsidRPr="00CE45E2" w:rsidRDefault="00CE45E2" w:rsidP="006476FB">
            <w:pPr>
              <w:pStyle w:val="Normal6a"/>
              <w:rPr>
                <w:bCs/>
                <w:iCs/>
              </w:rPr>
            </w:pPr>
            <w:r w:rsidRPr="00CE45E2">
              <w:t>a)</w:t>
            </w:r>
            <w:r w:rsidRPr="00CE45E2">
              <w:tab/>
              <w:t>które są wyłączone z zakresu stosowania niniejszej dyrektywy na podstawie art. 2 ust. 2 lit. a) i d); lub</w:t>
            </w:r>
          </w:p>
        </w:tc>
        <w:tc>
          <w:tcPr>
            <w:tcW w:w="4876" w:type="dxa"/>
            <w:tcBorders>
              <w:top w:val="nil"/>
              <w:left w:val="nil"/>
              <w:bottom w:val="nil"/>
              <w:right w:val="nil"/>
            </w:tcBorders>
          </w:tcPr>
          <w:p w14:paraId="0E6CBE63" w14:textId="77777777" w:rsidR="00CE45E2" w:rsidRPr="00CE45E2" w:rsidRDefault="00CE45E2" w:rsidP="006476FB">
            <w:pPr>
              <w:pStyle w:val="Normal6a"/>
              <w:rPr>
                <w:b/>
                <w:i/>
              </w:rPr>
            </w:pPr>
            <w:r w:rsidRPr="00CE45E2">
              <w:t>a)</w:t>
            </w:r>
            <w:r w:rsidRPr="00CE45E2">
              <w:tab/>
              <w:t>które są wyłączone z zakresu stosowania niniejszej dyrektywy na podstawie art. 2 ust. 2 lit. a) i d); lub</w:t>
            </w:r>
          </w:p>
        </w:tc>
      </w:tr>
      <w:tr w:rsidR="00CE45E2" w:rsidRPr="00CE45E2" w14:paraId="2D0DD6E5" w14:textId="77777777" w:rsidTr="006476FB">
        <w:trPr>
          <w:jc w:val="center"/>
        </w:trPr>
        <w:tc>
          <w:tcPr>
            <w:tcW w:w="4876" w:type="dxa"/>
            <w:tcBorders>
              <w:top w:val="nil"/>
              <w:left w:val="nil"/>
              <w:bottom w:val="nil"/>
              <w:right w:val="nil"/>
            </w:tcBorders>
          </w:tcPr>
          <w:p w14:paraId="6B1B3131" w14:textId="77777777" w:rsidR="00CE45E2" w:rsidRPr="00CE45E2" w:rsidRDefault="00CE45E2" w:rsidP="006476FB">
            <w:pPr>
              <w:pStyle w:val="Normal6a"/>
              <w:rPr>
                <w:bCs/>
                <w:iCs/>
              </w:rPr>
            </w:pPr>
            <w:r w:rsidRPr="00CE45E2">
              <w:t>b)</w:t>
            </w:r>
            <w:r w:rsidRPr="00CE45E2">
              <w:tab/>
              <w:t>które nie są objęte niniejszą dyrektywą ani dyrektywami 2009/65/WE, 2009/138/WE, 2011/61/UE, 2013/36/UE i 2014/65/UE.</w:t>
            </w:r>
          </w:p>
        </w:tc>
        <w:tc>
          <w:tcPr>
            <w:tcW w:w="4876" w:type="dxa"/>
            <w:tcBorders>
              <w:top w:val="nil"/>
              <w:left w:val="nil"/>
              <w:bottom w:val="nil"/>
              <w:right w:val="nil"/>
            </w:tcBorders>
          </w:tcPr>
          <w:p w14:paraId="0D3B0A7B" w14:textId="77777777" w:rsidR="00CE45E2" w:rsidRPr="00CE45E2" w:rsidRDefault="00CE45E2" w:rsidP="006476FB">
            <w:pPr>
              <w:pStyle w:val="Normal6a"/>
              <w:rPr>
                <w:bCs/>
                <w:iCs/>
              </w:rPr>
            </w:pPr>
            <w:r w:rsidRPr="00CE45E2">
              <w:t>b)</w:t>
            </w:r>
            <w:r w:rsidRPr="00CE45E2">
              <w:tab/>
              <w:t>które nie są objęte niniejszą dyrektywą ani dyrektywami 2009/65/WE, 2009/138/WE, 2011/61/UE, 2013/36/UE i 2014/65/UE.</w:t>
            </w:r>
          </w:p>
        </w:tc>
      </w:tr>
      <w:tr w:rsidR="00CE45E2" w:rsidRPr="00CE45E2" w14:paraId="4B036B18" w14:textId="77777777" w:rsidTr="006476FB">
        <w:trPr>
          <w:jc w:val="center"/>
        </w:trPr>
        <w:tc>
          <w:tcPr>
            <w:tcW w:w="4876" w:type="dxa"/>
            <w:tcBorders>
              <w:top w:val="nil"/>
              <w:left w:val="nil"/>
              <w:bottom w:val="nil"/>
              <w:right w:val="nil"/>
            </w:tcBorders>
          </w:tcPr>
          <w:p w14:paraId="06F9CA3D" w14:textId="77777777" w:rsidR="00CE45E2" w:rsidRPr="00CE45E2" w:rsidRDefault="00CE45E2" w:rsidP="006476FB">
            <w:pPr>
              <w:pStyle w:val="Normal6a"/>
              <w:rPr>
                <w:bCs/>
                <w:iCs/>
              </w:rPr>
            </w:pPr>
            <w:r w:rsidRPr="00CE45E2">
              <w:t>W przypadku instytucji, o których mowa w art. 2 ust. 2 lit. a), państwa członkowskie mogą podjąć decyzję o stosowaniu przepisów niniejszej dyrektywy wyłącznie w zakresie, w jakim stosowanie to jest zgodne z rozporządzeniami (WE) nr 883/2004 i (WE) nr 987/2009.</w:t>
            </w:r>
          </w:p>
        </w:tc>
        <w:tc>
          <w:tcPr>
            <w:tcW w:w="4876" w:type="dxa"/>
            <w:tcBorders>
              <w:top w:val="nil"/>
              <w:left w:val="nil"/>
              <w:bottom w:val="nil"/>
              <w:right w:val="nil"/>
            </w:tcBorders>
          </w:tcPr>
          <w:p w14:paraId="37D03EBB" w14:textId="77777777" w:rsidR="00CE45E2" w:rsidRPr="00CE45E2" w:rsidRDefault="00CE45E2" w:rsidP="006476FB">
            <w:pPr>
              <w:pStyle w:val="Normal6a"/>
              <w:rPr>
                <w:bCs/>
                <w:iCs/>
              </w:rPr>
            </w:pPr>
            <w:r w:rsidRPr="00CE45E2">
              <w:t>W przypadku instytucji, o których mowa w art. 2 ust. 2 lit. a), państwa członkowskie mogą podjąć decyzję o stosowaniu przepisów niniejszej dyrektywy wyłącznie w zakresie, w jakim stosowanie to jest zgodne z rozporządzeniami (WE) nr 883/2004 i (WE) nr 987/2009.</w:t>
            </w:r>
          </w:p>
        </w:tc>
      </w:tr>
      <w:tr w:rsidR="00CE45E2" w:rsidRPr="00CE45E2" w14:paraId="091D26DE" w14:textId="77777777" w:rsidTr="006476FB">
        <w:trPr>
          <w:jc w:val="center"/>
        </w:trPr>
        <w:tc>
          <w:tcPr>
            <w:tcW w:w="4876" w:type="dxa"/>
            <w:tcBorders>
              <w:top w:val="nil"/>
              <w:left w:val="nil"/>
              <w:bottom w:val="nil"/>
              <w:right w:val="nil"/>
            </w:tcBorders>
          </w:tcPr>
          <w:p w14:paraId="5D30456B" w14:textId="77777777" w:rsidR="00CE45E2" w:rsidRPr="00CE45E2" w:rsidRDefault="00CE45E2" w:rsidP="006476FB">
            <w:pPr>
              <w:pStyle w:val="Normal6a"/>
              <w:rPr>
                <w:bCs/>
                <w:iCs/>
              </w:rPr>
            </w:pPr>
            <w:r w:rsidRPr="00CE45E2">
              <w:t>W przypadku gdy zgodnie z prawem krajowym instytucje, o których mowa w akapicie pierwszym, są obsługiwane przez upoważnione podmioty odpowiedzialne za działanie na ich rzecz, państwa członkowskie mogą podjąć decyzję o stosowaniu niniejszej dyrektywy do tych instytucji albo do upoważnionych podmiotów odpowiedzialnych za ich działalność i działających na ich rzecz, lub do obu tych podmiotów, stosownie do przypadku.</w:t>
            </w:r>
          </w:p>
        </w:tc>
        <w:tc>
          <w:tcPr>
            <w:tcW w:w="4876" w:type="dxa"/>
            <w:tcBorders>
              <w:top w:val="nil"/>
              <w:left w:val="nil"/>
              <w:bottom w:val="nil"/>
              <w:right w:val="nil"/>
            </w:tcBorders>
          </w:tcPr>
          <w:p w14:paraId="1FE40193" w14:textId="77777777" w:rsidR="00CE45E2" w:rsidRPr="00CE45E2" w:rsidRDefault="00CE45E2" w:rsidP="006476FB">
            <w:pPr>
              <w:pStyle w:val="Normal6a"/>
              <w:rPr>
                <w:bCs/>
                <w:iCs/>
              </w:rPr>
            </w:pPr>
            <w:r w:rsidRPr="00CE45E2">
              <w:t>W przypadku gdy zgodnie z prawem krajowym instytucje, o których mowa w akapicie pierwszym, są obsługiwane przez upoważnione podmioty odpowiedzialne za działanie na ich rzecz, państwa członkowskie mogą podjąć decyzję o stosowaniu niniejszej dyrektywy do tych instytucji albo do upoważnionych podmiotów odpowiedzialnych za ich działalność i działających na ich rzecz, lub do obu tych podmiotów, stosownie do przypadku.</w:t>
            </w:r>
          </w:p>
        </w:tc>
      </w:tr>
      <w:tr w:rsidR="00CE45E2" w:rsidRPr="00CE45E2" w14:paraId="0C78238D" w14:textId="77777777" w:rsidTr="006476FB">
        <w:trPr>
          <w:jc w:val="center"/>
        </w:trPr>
        <w:tc>
          <w:tcPr>
            <w:tcW w:w="4876" w:type="dxa"/>
            <w:tcBorders>
              <w:top w:val="nil"/>
              <w:left w:val="nil"/>
              <w:bottom w:val="nil"/>
              <w:right w:val="nil"/>
            </w:tcBorders>
          </w:tcPr>
          <w:p w14:paraId="3E68CA8C" w14:textId="77777777" w:rsidR="00CE45E2" w:rsidRPr="00CE45E2" w:rsidRDefault="00CE45E2" w:rsidP="006476FB">
            <w:pPr>
              <w:pStyle w:val="Normal6a"/>
              <w:rPr>
                <w:bCs/>
                <w:iCs/>
              </w:rPr>
            </w:pPr>
            <w:r w:rsidRPr="00CE45E2">
              <w:t>Państwa członkowskie mogą podjąć decyzję o stosowaniu art. 11 i 11a na podstawie niniejszego artykułu tylko wtedy, gdy zastosowanie mają wszystkie przepisy niniejszej dyrektywy.</w:t>
            </w:r>
          </w:p>
        </w:tc>
        <w:tc>
          <w:tcPr>
            <w:tcW w:w="4876" w:type="dxa"/>
            <w:tcBorders>
              <w:top w:val="nil"/>
              <w:left w:val="nil"/>
              <w:bottom w:val="nil"/>
              <w:right w:val="nil"/>
            </w:tcBorders>
          </w:tcPr>
          <w:p w14:paraId="552F23AA" w14:textId="77777777" w:rsidR="00CE45E2" w:rsidRPr="00CE45E2" w:rsidRDefault="00CE45E2" w:rsidP="006476FB">
            <w:pPr>
              <w:pStyle w:val="Normal6a"/>
              <w:rPr>
                <w:bCs/>
                <w:iCs/>
              </w:rPr>
            </w:pPr>
            <w:r w:rsidRPr="00CE45E2">
              <w:t>Państwa członkowskie mogą podjąć decyzję o stosowaniu art. 11 i 11a na podstawie niniejszego artykułu tylko wtedy, gdy zastosowanie mają wszystkie przepisy niniejszej dyrektywy.</w:t>
            </w:r>
          </w:p>
        </w:tc>
      </w:tr>
      <w:tr w:rsidR="00CE45E2" w:rsidRPr="00CE45E2" w14:paraId="0F2C4C43" w14:textId="77777777" w:rsidTr="006476FB">
        <w:trPr>
          <w:jc w:val="center"/>
        </w:trPr>
        <w:tc>
          <w:tcPr>
            <w:tcW w:w="4876" w:type="dxa"/>
            <w:tcBorders>
              <w:top w:val="nil"/>
              <w:left w:val="nil"/>
              <w:bottom w:val="nil"/>
              <w:right w:val="nil"/>
            </w:tcBorders>
          </w:tcPr>
          <w:p w14:paraId="77F8962F" w14:textId="77777777" w:rsidR="00CE45E2" w:rsidRPr="00CE45E2" w:rsidRDefault="00CE45E2" w:rsidP="006476FB">
            <w:pPr>
              <w:pStyle w:val="Normal6a"/>
              <w:rPr>
                <w:bCs/>
                <w:iCs/>
              </w:rPr>
            </w:pPr>
            <w:r w:rsidRPr="00CE45E2">
              <w:t xml:space="preserve">Państwa członkowskie powiadamiają Komisję i EIOPA o skorzystaniu z opcji, o których mowa w akapitach pierwszym i drugim, wskazując rodzaje instytucji </w:t>
            </w:r>
            <w:proofErr w:type="gramStart"/>
            <w:r w:rsidRPr="00CE45E2">
              <w:t>lub,</w:t>
            </w:r>
            <w:proofErr w:type="gramEnd"/>
            <w:r w:rsidRPr="00CE45E2">
              <w:t xml:space="preserve"> w stosownych przypadkach, upoważnionych podmiotów objętych możliwością korzystania z tych opcji oraz przepisy niniejszej dyrektywy mające do nich zastosowanie.</w:t>
            </w:r>
          </w:p>
        </w:tc>
        <w:tc>
          <w:tcPr>
            <w:tcW w:w="4876" w:type="dxa"/>
            <w:tcBorders>
              <w:top w:val="nil"/>
              <w:left w:val="nil"/>
              <w:bottom w:val="nil"/>
              <w:right w:val="nil"/>
            </w:tcBorders>
          </w:tcPr>
          <w:p w14:paraId="16A69199" w14:textId="77777777" w:rsidR="00CE45E2" w:rsidRPr="00CE45E2" w:rsidRDefault="00CE45E2" w:rsidP="006476FB">
            <w:pPr>
              <w:pStyle w:val="Normal6a"/>
              <w:rPr>
                <w:bCs/>
                <w:iCs/>
              </w:rPr>
            </w:pPr>
            <w:r w:rsidRPr="00CE45E2">
              <w:t xml:space="preserve">Państwa członkowskie powiadamiają Komisję i EIOPA o skorzystaniu z opcji, o których mowa w akapitach pierwszym i drugim, wskazując rodzaje instytucji </w:t>
            </w:r>
            <w:proofErr w:type="gramStart"/>
            <w:r w:rsidRPr="00CE45E2">
              <w:t>lub,</w:t>
            </w:r>
            <w:proofErr w:type="gramEnd"/>
            <w:r w:rsidRPr="00CE45E2">
              <w:t xml:space="preserve"> w stosownych przypadkach, upoważnionych podmiotów objętych możliwością korzystania z tych opcji oraz przepisy niniejszej dyrektywy mające do nich zastosowanie.</w:t>
            </w:r>
          </w:p>
        </w:tc>
      </w:tr>
      <w:tr w:rsidR="00CE45E2" w:rsidRPr="00CE45E2" w14:paraId="7A3BF506" w14:textId="77777777" w:rsidTr="006476FB">
        <w:trPr>
          <w:jc w:val="center"/>
        </w:trPr>
        <w:tc>
          <w:tcPr>
            <w:tcW w:w="4876" w:type="dxa"/>
            <w:tcBorders>
              <w:top w:val="nil"/>
              <w:left w:val="nil"/>
              <w:bottom w:val="nil"/>
              <w:right w:val="nil"/>
            </w:tcBorders>
          </w:tcPr>
          <w:p w14:paraId="31766A3A" w14:textId="77777777" w:rsidR="00CE45E2" w:rsidRPr="00CE45E2" w:rsidRDefault="00CE45E2" w:rsidP="006476FB">
            <w:pPr>
              <w:pStyle w:val="Normal6a"/>
              <w:rPr>
                <w:bCs/>
                <w:iCs/>
              </w:rPr>
            </w:pPr>
            <w:r w:rsidRPr="00CE45E2">
              <w:t>Komisja podaje te informacje do wiadomości publicznej.</w:t>
            </w:r>
          </w:p>
        </w:tc>
        <w:tc>
          <w:tcPr>
            <w:tcW w:w="4876" w:type="dxa"/>
            <w:tcBorders>
              <w:top w:val="nil"/>
              <w:left w:val="nil"/>
              <w:bottom w:val="nil"/>
              <w:right w:val="nil"/>
            </w:tcBorders>
          </w:tcPr>
          <w:p w14:paraId="26D5FC47" w14:textId="77777777" w:rsidR="00CE45E2" w:rsidRPr="00CE45E2" w:rsidRDefault="00CE45E2" w:rsidP="006476FB">
            <w:pPr>
              <w:pStyle w:val="Normal6a"/>
              <w:rPr>
                <w:bCs/>
                <w:iCs/>
              </w:rPr>
            </w:pPr>
            <w:r w:rsidRPr="00CE45E2">
              <w:t>Komisja podaje te informacje do wiadomości publicznej.</w:t>
            </w:r>
          </w:p>
        </w:tc>
      </w:tr>
    </w:tbl>
    <w:p w14:paraId="6933E11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64EF737" w14:textId="77777777" w:rsidR="00CE45E2" w:rsidRPr="00CE45E2" w:rsidRDefault="00CE45E2" w:rsidP="00CE45E2">
      <w:r w:rsidRPr="00CE45E2">
        <w:rPr>
          <w:rStyle w:val="HideTWBExt"/>
        </w:rPr>
        <w:t>&lt;/Amend&gt;</w:t>
      </w:r>
    </w:p>
    <w:p w14:paraId="09FB6B79" w14:textId="058C489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208</w:t>
      </w:r>
      <w:r w:rsidRPr="00CE45E2">
        <w:rPr>
          <w:rStyle w:val="HideTWBExt"/>
          <w:b w:val="0"/>
        </w:rPr>
        <w:t>&lt;/NumAm&gt;</w:t>
      </w:r>
    </w:p>
    <w:p w14:paraId="0D56BF87"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53FE44DB"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5CA462D8" w14:textId="77777777" w:rsidR="00CE45E2" w:rsidRPr="00CE45E2" w:rsidRDefault="00CE45E2" w:rsidP="00CE45E2">
      <w:pPr>
        <w:pStyle w:val="NormalBold"/>
      </w:pPr>
      <w:r w:rsidRPr="00CE45E2">
        <w:rPr>
          <w:rStyle w:val="HideTWBExt"/>
          <w:b w:val="0"/>
        </w:rPr>
        <w:t>&lt;/RepeatBlock-By&gt;</w:t>
      </w:r>
    </w:p>
    <w:p w14:paraId="2970D7C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912C8EE" w14:textId="77777777" w:rsidR="00CE45E2" w:rsidRPr="00CE45E2" w:rsidRDefault="00CE45E2" w:rsidP="00CE45E2">
      <w:pPr>
        <w:pStyle w:val="NormalBold"/>
      </w:pPr>
      <w:r w:rsidRPr="00CE45E2">
        <w:rPr>
          <w:rStyle w:val="HideTWBExt"/>
          <w:b w:val="0"/>
        </w:rPr>
        <w:t>&lt;Article&gt;</w:t>
      </w:r>
      <w:r w:rsidRPr="00CE45E2">
        <w:t>Artykuł 1 – akapit 1 – punkt 5</w:t>
      </w:r>
      <w:r w:rsidRPr="00CE45E2">
        <w:rPr>
          <w:rStyle w:val="HideTWBExt"/>
          <w:b w:val="0"/>
        </w:rPr>
        <w:t>&lt;/Article&gt;</w:t>
      </w:r>
    </w:p>
    <w:p w14:paraId="10B331E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58EEDF2" w14:textId="77777777" w:rsidR="00CE45E2" w:rsidRPr="00CE45E2" w:rsidRDefault="00CE45E2" w:rsidP="00CE45E2">
      <w:r w:rsidRPr="00CE45E2">
        <w:rPr>
          <w:rStyle w:val="HideTWBExt"/>
        </w:rPr>
        <w:t>&lt;Article2&gt;</w:t>
      </w:r>
      <w:r w:rsidRPr="00CE45E2">
        <w:t>Artykuł 4 – akapit 1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B1BC050" w14:textId="77777777" w:rsidTr="006476FB">
        <w:trPr>
          <w:trHeight w:hRule="exact" w:val="240"/>
          <w:jc w:val="center"/>
        </w:trPr>
        <w:tc>
          <w:tcPr>
            <w:tcW w:w="9752" w:type="dxa"/>
            <w:gridSpan w:val="2"/>
            <w:tcBorders>
              <w:top w:val="nil"/>
              <w:left w:val="nil"/>
              <w:bottom w:val="nil"/>
              <w:right w:val="nil"/>
            </w:tcBorders>
          </w:tcPr>
          <w:p w14:paraId="174B3422" w14:textId="77777777" w:rsidR="00CE45E2" w:rsidRPr="00CE45E2" w:rsidRDefault="00CE45E2" w:rsidP="006476FB"/>
        </w:tc>
      </w:tr>
      <w:tr w:rsidR="00CE45E2" w:rsidRPr="00CE45E2" w14:paraId="50663759" w14:textId="77777777" w:rsidTr="006476FB">
        <w:trPr>
          <w:trHeight w:val="240"/>
          <w:jc w:val="center"/>
        </w:trPr>
        <w:tc>
          <w:tcPr>
            <w:tcW w:w="4876" w:type="dxa"/>
            <w:tcBorders>
              <w:top w:val="nil"/>
              <w:left w:val="nil"/>
              <w:bottom w:val="nil"/>
              <w:right w:val="nil"/>
            </w:tcBorders>
          </w:tcPr>
          <w:p w14:paraId="32AD8D3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7101E46" w14:textId="77777777" w:rsidR="00CE45E2" w:rsidRPr="00CE45E2" w:rsidRDefault="00CE45E2" w:rsidP="006476FB">
            <w:pPr>
              <w:pStyle w:val="AmColumnHeading"/>
            </w:pPr>
            <w:r w:rsidRPr="00CE45E2">
              <w:t>Poprawka</w:t>
            </w:r>
          </w:p>
        </w:tc>
      </w:tr>
      <w:tr w:rsidR="00CE45E2" w:rsidRPr="00CE45E2" w14:paraId="7F5C9613" w14:textId="77777777" w:rsidTr="006476FB">
        <w:trPr>
          <w:jc w:val="center"/>
        </w:trPr>
        <w:tc>
          <w:tcPr>
            <w:tcW w:w="4876" w:type="dxa"/>
            <w:tcBorders>
              <w:top w:val="nil"/>
              <w:left w:val="nil"/>
              <w:bottom w:val="nil"/>
              <w:right w:val="nil"/>
            </w:tcBorders>
          </w:tcPr>
          <w:p w14:paraId="7C663BF4" w14:textId="77777777" w:rsidR="00CE45E2" w:rsidRPr="00CE45E2" w:rsidRDefault="00CE45E2" w:rsidP="006476FB">
            <w:pPr>
              <w:pStyle w:val="Normal6a"/>
            </w:pPr>
          </w:p>
        </w:tc>
        <w:tc>
          <w:tcPr>
            <w:tcW w:w="4876" w:type="dxa"/>
            <w:tcBorders>
              <w:top w:val="nil"/>
              <w:left w:val="nil"/>
              <w:bottom w:val="nil"/>
              <w:right w:val="nil"/>
            </w:tcBorders>
          </w:tcPr>
          <w:p w14:paraId="7916EBAF" w14:textId="77777777" w:rsidR="00CE45E2" w:rsidRPr="00CE45E2" w:rsidRDefault="00CE45E2" w:rsidP="006476FB">
            <w:pPr>
              <w:pStyle w:val="Normal6a"/>
            </w:pPr>
            <w:r w:rsidRPr="00CE45E2">
              <w:rPr>
                <w:b/>
                <w:i/>
              </w:rPr>
              <w:t>1a. W przypadku gdy IORP nie podlega wszystkim przepisom niniejszej dyrektywy w odniesieniu do swojej działalności w zakresie indywidualnych programów emerytalnych, państwa członkowskie zapewniają, aby IORP spełniała następujące warunki:</w:t>
            </w:r>
          </w:p>
        </w:tc>
      </w:tr>
      <w:tr w:rsidR="00CE45E2" w:rsidRPr="00CE45E2" w14:paraId="61EAB1F2" w14:textId="77777777" w:rsidTr="006476FB">
        <w:trPr>
          <w:jc w:val="center"/>
        </w:trPr>
        <w:tc>
          <w:tcPr>
            <w:tcW w:w="4876" w:type="dxa"/>
            <w:tcBorders>
              <w:top w:val="nil"/>
              <w:left w:val="nil"/>
              <w:bottom w:val="nil"/>
              <w:right w:val="nil"/>
            </w:tcBorders>
          </w:tcPr>
          <w:p w14:paraId="1DF660B3" w14:textId="77777777" w:rsidR="00CE45E2" w:rsidRPr="00CE45E2" w:rsidRDefault="00CE45E2" w:rsidP="006476FB">
            <w:pPr>
              <w:pStyle w:val="Normal6a"/>
            </w:pPr>
          </w:p>
        </w:tc>
        <w:tc>
          <w:tcPr>
            <w:tcW w:w="4876" w:type="dxa"/>
            <w:tcBorders>
              <w:top w:val="nil"/>
              <w:left w:val="nil"/>
              <w:bottom w:val="nil"/>
              <w:right w:val="nil"/>
            </w:tcBorders>
          </w:tcPr>
          <w:p w14:paraId="0FE86801" w14:textId="77777777" w:rsidR="00CE45E2" w:rsidRPr="00CE45E2" w:rsidRDefault="00CE45E2" w:rsidP="006476FB">
            <w:pPr>
              <w:pStyle w:val="Normal6a"/>
            </w:pPr>
            <w:r w:rsidRPr="00CE45E2">
              <w:rPr>
                <w:b/>
                <w:i/>
              </w:rPr>
              <w:t>a) jeżeli IORP oferuje gwarancje lub zabezpiecza ryzyko biometryczne w związku z działalnością w zakresie indywidualnych programów emerytalnych, zobowiązania, odpowiadające im aktywa oraz zasoby finansowe związane z tą działalnością są całkowicie oddzielone od tych związanych z działalnością w zakresie pracowniczych programów emerytalnych, a przenoszenie aktywów, zobowiązań lub zasobów finansowych między tymi dwoma rodzajami działalności jest niedozwolone, przy czym aktywa lub zasoby finansowe przeznaczone na działalność w zakresie pracowniczych programów emerytalnych nie mogą być wykorzystywane do pokrycia jakichkolwiek strat wynikających z działalności w zakresie indywidualnych programów emerytalnych;</w:t>
            </w:r>
          </w:p>
        </w:tc>
      </w:tr>
      <w:tr w:rsidR="00CE45E2" w:rsidRPr="00CE45E2" w14:paraId="4B7EB865" w14:textId="77777777" w:rsidTr="006476FB">
        <w:trPr>
          <w:jc w:val="center"/>
        </w:trPr>
        <w:tc>
          <w:tcPr>
            <w:tcW w:w="4876" w:type="dxa"/>
            <w:tcBorders>
              <w:top w:val="nil"/>
              <w:left w:val="nil"/>
              <w:bottom w:val="nil"/>
              <w:right w:val="nil"/>
            </w:tcBorders>
          </w:tcPr>
          <w:p w14:paraId="03B98AFA" w14:textId="77777777" w:rsidR="00CE45E2" w:rsidRPr="00CE45E2" w:rsidRDefault="00CE45E2" w:rsidP="006476FB">
            <w:pPr>
              <w:pStyle w:val="Normal6a"/>
            </w:pPr>
          </w:p>
        </w:tc>
        <w:tc>
          <w:tcPr>
            <w:tcW w:w="4876" w:type="dxa"/>
            <w:tcBorders>
              <w:top w:val="nil"/>
              <w:left w:val="nil"/>
              <w:bottom w:val="nil"/>
              <w:right w:val="nil"/>
            </w:tcBorders>
          </w:tcPr>
          <w:p w14:paraId="0015482E" w14:textId="77777777" w:rsidR="00CE45E2" w:rsidRPr="00CE45E2" w:rsidRDefault="00CE45E2" w:rsidP="006476FB">
            <w:pPr>
              <w:pStyle w:val="Normal6a"/>
            </w:pPr>
            <w:r w:rsidRPr="00CE45E2">
              <w:rPr>
                <w:b/>
                <w:i/>
              </w:rPr>
              <w:t>b) IORP prowadzi działalność w zakresie programów emerytalnych wyłącznie w państwie członkowskim, w którym uzyskała zezwolenie. Niezależnie od akapitu pierwszego dystrybucja ogólnoeuropejskich indywidualnych produktów emerytalnych zarejestrowanych zgodnie z rozporządzeniem (UE) 2019/1238 podlega, niezależnie od przypadku, zastosowaniu wszystkich przepisów niniejszej dyrektywy.</w:t>
            </w:r>
          </w:p>
        </w:tc>
      </w:tr>
    </w:tbl>
    <w:p w14:paraId="5774D08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771EB92" w14:textId="77777777" w:rsidR="00CE45E2" w:rsidRPr="00CE45E2" w:rsidRDefault="00CE45E2" w:rsidP="00CE45E2">
      <w:r w:rsidRPr="00CE45E2">
        <w:rPr>
          <w:rStyle w:val="HideTWBExt"/>
        </w:rPr>
        <w:t>&lt;/Amend&gt;</w:t>
      </w:r>
    </w:p>
    <w:p w14:paraId="3C1FDA8B" w14:textId="68EA8B5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209</w:t>
      </w:r>
      <w:r w:rsidRPr="00CE45E2">
        <w:rPr>
          <w:rStyle w:val="HideTWBExt"/>
          <w:b w:val="0"/>
        </w:rPr>
        <w:t>&lt;/NumAm&gt;</w:t>
      </w:r>
    </w:p>
    <w:p w14:paraId="2D0FEAC0"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56ADA2F0"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5E50AD33" w14:textId="77777777" w:rsidR="00CE45E2" w:rsidRPr="00CE45E2" w:rsidRDefault="00CE45E2" w:rsidP="00CE45E2">
      <w:pPr>
        <w:pStyle w:val="NormalBold"/>
      </w:pPr>
      <w:r w:rsidRPr="00CE45E2">
        <w:rPr>
          <w:rStyle w:val="HideTWBExt"/>
          <w:b w:val="0"/>
        </w:rPr>
        <w:t>&lt;/RepeatBlock-By&gt;</w:t>
      </w:r>
    </w:p>
    <w:p w14:paraId="5811597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CA1FF33" w14:textId="77777777" w:rsidR="00CE45E2" w:rsidRPr="00CE45E2" w:rsidRDefault="00CE45E2" w:rsidP="00CE45E2">
      <w:pPr>
        <w:pStyle w:val="NormalBold"/>
      </w:pPr>
      <w:r w:rsidRPr="00CE45E2">
        <w:rPr>
          <w:rStyle w:val="HideTWBExt"/>
          <w:b w:val="0"/>
        </w:rPr>
        <w:t>&lt;Article&gt;</w:t>
      </w:r>
      <w:r w:rsidRPr="00CE45E2">
        <w:t>Artykuł 1 – akapit 1 – punkt 5</w:t>
      </w:r>
      <w:r w:rsidRPr="00CE45E2">
        <w:rPr>
          <w:rStyle w:val="HideTWBExt"/>
          <w:b w:val="0"/>
        </w:rPr>
        <w:t>&lt;/Article&gt;</w:t>
      </w:r>
    </w:p>
    <w:p w14:paraId="5DC8209E"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198261D" w14:textId="77777777" w:rsidR="00CE45E2" w:rsidRPr="00CE45E2" w:rsidRDefault="00CE45E2" w:rsidP="00CE45E2">
      <w:r w:rsidRPr="00CE45E2">
        <w:rPr>
          <w:rStyle w:val="HideTWBExt"/>
        </w:rPr>
        <w:t>&lt;Article2&gt;</w:t>
      </w:r>
      <w:r w:rsidRPr="00CE45E2">
        <w:t>Artykuł 4 – akapit 1 b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A63068" w14:textId="77777777" w:rsidTr="006476FB">
        <w:trPr>
          <w:trHeight w:hRule="exact" w:val="240"/>
          <w:jc w:val="center"/>
        </w:trPr>
        <w:tc>
          <w:tcPr>
            <w:tcW w:w="9752" w:type="dxa"/>
            <w:gridSpan w:val="2"/>
            <w:tcBorders>
              <w:top w:val="nil"/>
              <w:left w:val="nil"/>
              <w:bottom w:val="nil"/>
              <w:right w:val="nil"/>
            </w:tcBorders>
          </w:tcPr>
          <w:p w14:paraId="24FB02C6" w14:textId="77777777" w:rsidR="00CE45E2" w:rsidRPr="00CE45E2" w:rsidRDefault="00CE45E2" w:rsidP="006476FB"/>
        </w:tc>
      </w:tr>
      <w:tr w:rsidR="00CE45E2" w:rsidRPr="00CE45E2" w14:paraId="5E8128E1" w14:textId="77777777" w:rsidTr="006476FB">
        <w:trPr>
          <w:trHeight w:val="240"/>
          <w:jc w:val="center"/>
        </w:trPr>
        <w:tc>
          <w:tcPr>
            <w:tcW w:w="4876" w:type="dxa"/>
            <w:tcBorders>
              <w:top w:val="nil"/>
              <w:left w:val="nil"/>
              <w:bottom w:val="nil"/>
              <w:right w:val="nil"/>
            </w:tcBorders>
          </w:tcPr>
          <w:p w14:paraId="1E9BF4C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00943F6" w14:textId="77777777" w:rsidR="00CE45E2" w:rsidRPr="00CE45E2" w:rsidRDefault="00CE45E2" w:rsidP="006476FB">
            <w:pPr>
              <w:pStyle w:val="AmColumnHeading"/>
            </w:pPr>
            <w:r w:rsidRPr="00CE45E2">
              <w:t>Poprawka</w:t>
            </w:r>
          </w:p>
        </w:tc>
      </w:tr>
      <w:tr w:rsidR="00CE45E2" w:rsidRPr="00CE45E2" w14:paraId="499A72D2" w14:textId="77777777" w:rsidTr="006476FB">
        <w:trPr>
          <w:jc w:val="center"/>
        </w:trPr>
        <w:tc>
          <w:tcPr>
            <w:tcW w:w="4876" w:type="dxa"/>
            <w:tcBorders>
              <w:top w:val="nil"/>
              <w:left w:val="nil"/>
              <w:bottom w:val="nil"/>
              <w:right w:val="nil"/>
            </w:tcBorders>
          </w:tcPr>
          <w:p w14:paraId="1C0A2AE3" w14:textId="77777777" w:rsidR="00CE45E2" w:rsidRPr="00CE45E2" w:rsidRDefault="00CE45E2" w:rsidP="006476FB">
            <w:pPr>
              <w:pStyle w:val="Normal6a"/>
            </w:pPr>
          </w:p>
        </w:tc>
        <w:tc>
          <w:tcPr>
            <w:tcW w:w="4876" w:type="dxa"/>
            <w:tcBorders>
              <w:top w:val="nil"/>
              <w:left w:val="nil"/>
              <w:bottom w:val="nil"/>
              <w:right w:val="nil"/>
            </w:tcBorders>
          </w:tcPr>
          <w:p w14:paraId="4D1C1690" w14:textId="77777777" w:rsidR="00CE45E2" w:rsidRPr="00CE45E2" w:rsidRDefault="00CE45E2" w:rsidP="006476FB">
            <w:pPr>
              <w:pStyle w:val="Normal6a"/>
            </w:pPr>
            <w:r w:rsidRPr="00CE45E2">
              <w:rPr>
                <w:b/>
                <w:i/>
              </w:rPr>
              <w:t>1b. Dystrybucja indywidualnych produktów emerytalnych innych niż OIPE przez IORP w państwie członkowskim innym niż to, w którym IORP uzyskała zezwolenie, podlega przepisom krajowym tego innego państwa członkowskiego w zakresie dystrybucji.</w:t>
            </w:r>
          </w:p>
        </w:tc>
      </w:tr>
    </w:tbl>
    <w:p w14:paraId="4533BA5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C8012C3" w14:textId="77777777" w:rsidR="00CE45E2" w:rsidRPr="00CE45E2" w:rsidRDefault="00CE45E2" w:rsidP="00CE45E2">
      <w:r w:rsidRPr="00CE45E2">
        <w:rPr>
          <w:rStyle w:val="HideTWBExt"/>
        </w:rPr>
        <w:t>&lt;/Amend&gt;</w:t>
      </w:r>
    </w:p>
    <w:p w14:paraId="6E584E2F" w14:textId="633D73E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210</w:t>
      </w:r>
      <w:r w:rsidRPr="00CE45E2">
        <w:rPr>
          <w:rStyle w:val="HideTWBExt"/>
          <w:b w:val="0"/>
        </w:rPr>
        <w:t>&lt;/NumAm&gt;</w:t>
      </w:r>
    </w:p>
    <w:p w14:paraId="4CBC5A28"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70DB9EC0" w14:textId="77777777" w:rsidR="00CE45E2" w:rsidRPr="00CE45E2" w:rsidRDefault="00CE45E2" w:rsidP="00CE45E2">
      <w:pPr>
        <w:pStyle w:val="NormalBold"/>
      </w:pPr>
      <w:r w:rsidRPr="00CE45E2">
        <w:rPr>
          <w:rStyle w:val="HideTWBExt"/>
          <w:b w:val="0"/>
        </w:rPr>
        <w:t>&lt;/RepeatBlock-By&gt;</w:t>
      </w:r>
    </w:p>
    <w:p w14:paraId="34660D0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A0DD6E0" w14:textId="77777777" w:rsidR="00CE45E2" w:rsidRPr="00CE45E2" w:rsidRDefault="00CE45E2" w:rsidP="00CE45E2">
      <w:pPr>
        <w:pStyle w:val="NormalBold"/>
      </w:pPr>
      <w:r w:rsidRPr="00CE45E2">
        <w:rPr>
          <w:rStyle w:val="HideTWBExt"/>
          <w:b w:val="0"/>
        </w:rPr>
        <w:t>&lt;Article&gt;</w:t>
      </w:r>
      <w:r w:rsidRPr="00CE45E2">
        <w:t>Artykuł 1 – akapit 1 – punkt 6 – litera a</w:t>
      </w:r>
      <w:r w:rsidRPr="00CE45E2">
        <w:rPr>
          <w:rStyle w:val="HideTWBExt"/>
          <w:b w:val="0"/>
        </w:rPr>
        <w:t>&lt;/Article&gt;</w:t>
      </w:r>
    </w:p>
    <w:p w14:paraId="0FF91E5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30E2767" w14:textId="77777777" w:rsidR="00CE45E2" w:rsidRPr="00CE45E2" w:rsidRDefault="00CE45E2" w:rsidP="00CE45E2">
      <w:r w:rsidRPr="00CE45E2">
        <w:rPr>
          <w:rStyle w:val="HideTWBExt"/>
        </w:rPr>
        <w:t>&lt;Article2&gt;</w:t>
      </w:r>
      <w:r w:rsidRPr="00CE45E2">
        <w:t>Artykuł 5 – tytuł</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C599445" w14:textId="77777777" w:rsidTr="006476FB">
        <w:trPr>
          <w:trHeight w:hRule="exact" w:val="240"/>
          <w:jc w:val="center"/>
        </w:trPr>
        <w:tc>
          <w:tcPr>
            <w:tcW w:w="9752" w:type="dxa"/>
            <w:gridSpan w:val="2"/>
            <w:tcBorders>
              <w:top w:val="nil"/>
              <w:left w:val="nil"/>
              <w:bottom w:val="nil"/>
              <w:right w:val="nil"/>
            </w:tcBorders>
          </w:tcPr>
          <w:p w14:paraId="310A89EA" w14:textId="77777777" w:rsidR="00CE45E2" w:rsidRPr="00CE45E2" w:rsidRDefault="00CE45E2" w:rsidP="006476FB"/>
        </w:tc>
      </w:tr>
      <w:tr w:rsidR="00CE45E2" w:rsidRPr="00CE45E2" w14:paraId="337CA7F6" w14:textId="77777777" w:rsidTr="006476FB">
        <w:trPr>
          <w:trHeight w:val="240"/>
          <w:jc w:val="center"/>
        </w:trPr>
        <w:tc>
          <w:tcPr>
            <w:tcW w:w="4876" w:type="dxa"/>
            <w:tcBorders>
              <w:top w:val="nil"/>
              <w:left w:val="nil"/>
              <w:bottom w:val="nil"/>
              <w:right w:val="nil"/>
            </w:tcBorders>
          </w:tcPr>
          <w:p w14:paraId="139A191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9C19BA4" w14:textId="77777777" w:rsidR="00CE45E2" w:rsidRPr="00CE45E2" w:rsidRDefault="00CE45E2" w:rsidP="006476FB">
            <w:pPr>
              <w:pStyle w:val="AmColumnHeading"/>
            </w:pPr>
            <w:r w:rsidRPr="00CE45E2">
              <w:t>Poprawka</w:t>
            </w:r>
          </w:p>
        </w:tc>
      </w:tr>
      <w:tr w:rsidR="00CE45E2" w:rsidRPr="00CE45E2" w14:paraId="169FFA56" w14:textId="77777777" w:rsidTr="006476FB">
        <w:trPr>
          <w:jc w:val="center"/>
        </w:trPr>
        <w:tc>
          <w:tcPr>
            <w:tcW w:w="4876" w:type="dxa"/>
            <w:tcBorders>
              <w:top w:val="nil"/>
              <w:left w:val="nil"/>
              <w:bottom w:val="nil"/>
              <w:right w:val="nil"/>
            </w:tcBorders>
          </w:tcPr>
          <w:p w14:paraId="504469D9" w14:textId="77777777" w:rsidR="00CE45E2" w:rsidRPr="00CE45E2" w:rsidRDefault="00CE45E2" w:rsidP="006476FB">
            <w:pPr>
              <w:pStyle w:val="Normal6a"/>
            </w:pPr>
            <w:r w:rsidRPr="00CE45E2">
              <w:rPr>
                <w:b/>
                <w:i/>
              </w:rPr>
              <w:t>a)</w:t>
            </w:r>
            <w:r w:rsidRPr="00CE45E2">
              <w:tab/>
            </w:r>
            <w:r w:rsidRPr="00CE45E2">
              <w:rPr>
                <w:b/>
                <w:i/>
              </w:rPr>
              <w:t>tytuł otrzymuje brzmienie:</w:t>
            </w:r>
          </w:p>
        </w:tc>
        <w:tc>
          <w:tcPr>
            <w:tcW w:w="4876" w:type="dxa"/>
            <w:tcBorders>
              <w:top w:val="nil"/>
              <w:left w:val="nil"/>
              <w:bottom w:val="nil"/>
              <w:right w:val="nil"/>
            </w:tcBorders>
          </w:tcPr>
          <w:p w14:paraId="6B9D8FBB" w14:textId="77777777" w:rsidR="00CE45E2" w:rsidRPr="00CE45E2" w:rsidRDefault="00CE45E2" w:rsidP="006476FB">
            <w:pPr>
              <w:pStyle w:val="Normal6a"/>
            </w:pPr>
            <w:r w:rsidRPr="00CE45E2">
              <w:rPr>
                <w:b/>
                <w:i/>
              </w:rPr>
              <w:t>skreśla się</w:t>
            </w:r>
          </w:p>
        </w:tc>
      </w:tr>
      <w:tr w:rsidR="00CE45E2" w:rsidRPr="00CE45E2" w14:paraId="60D4DE6B" w14:textId="77777777" w:rsidTr="006476FB">
        <w:trPr>
          <w:jc w:val="center"/>
        </w:trPr>
        <w:tc>
          <w:tcPr>
            <w:tcW w:w="4876" w:type="dxa"/>
            <w:tcBorders>
              <w:top w:val="nil"/>
              <w:left w:val="nil"/>
              <w:bottom w:val="nil"/>
              <w:right w:val="nil"/>
            </w:tcBorders>
          </w:tcPr>
          <w:p w14:paraId="12538365" w14:textId="77777777" w:rsidR="00CE45E2" w:rsidRPr="00CE45E2" w:rsidRDefault="00CE45E2" w:rsidP="006476FB">
            <w:pPr>
              <w:pStyle w:val="Normal6a"/>
            </w:pPr>
            <w:r w:rsidRPr="00CE45E2">
              <w:rPr>
                <w:b/>
                <w:i/>
              </w:rPr>
              <w:t>„IORP o małym zasięgu”;</w:t>
            </w:r>
          </w:p>
        </w:tc>
        <w:tc>
          <w:tcPr>
            <w:tcW w:w="4876" w:type="dxa"/>
            <w:tcBorders>
              <w:top w:val="nil"/>
              <w:left w:val="nil"/>
              <w:bottom w:val="nil"/>
              <w:right w:val="nil"/>
            </w:tcBorders>
          </w:tcPr>
          <w:p w14:paraId="28E47E7A" w14:textId="77777777" w:rsidR="00CE45E2" w:rsidRPr="00CE45E2" w:rsidRDefault="00CE45E2" w:rsidP="006476FB">
            <w:pPr>
              <w:pStyle w:val="Normal6a"/>
            </w:pPr>
          </w:p>
        </w:tc>
      </w:tr>
    </w:tbl>
    <w:p w14:paraId="61658F6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03A544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8C0120B" w14:textId="77777777" w:rsidR="00CE45E2" w:rsidRPr="00CE45E2" w:rsidRDefault="00CE45E2" w:rsidP="00CE45E2">
      <w:pPr>
        <w:pStyle w:val="AmJustText"/>
      </w:pPr>
      <w:r w:rsidRPr="00CE45E2">
        <w:t>Próg ten w nieproporcjonalny sposób nakłada na państwa członkowskie o dojrzałych i dobrze funkcjonujących rynkach IORP dodatkowe przepisy unijne, wyłącznie dlatego, że posiadają one więcej uznanych instytucji i programów przekraczających ten próg. Przepisy unijne powinny mieć zastosowanie do wszystkich państw członkowskich i nie powinny w nieproporcjonalny sposób wpływać na ograniczoną liczbę państw członkowskich.</w:t>
      </w:r>
    </w:p>
    <w:p w14:paraId="6B80F933" w14:textId="77777777" w:rsidR="00CE45E2" w:rsidRPr="00CE45E2" w:rsidRDefault="00CE45E2" w:rsidP="00CE45E2">
      <w:r w:rsidRPr="00CE45E2">
        <w:rPr>
          <w:rStyle w:val="HideTWBExt"/>
        </w:rPr>
        <w:t>&lt;/Amend&gt;</w:t>
      </w:r>
    </w:p>
    <w:p w14:paraId="36E9A9BA" w14:textId="7B88EE1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211</w:t>
      </w:r>
      <w:r w:rsidRPr="00CE45E2">
        <w:rPr>
          <w:rStyle w:val="HideTWBExt"/>
          <w:b w:val="0"/>
        </w:rPr>
        <w:t>&lt;/NumAm&gt;</w:t>
      </w:r>
    </w:p>
    <w:p w14:paraId="3D21150B"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393123FC" w14:textId="77777777" w:rsidR="00CE45E2" w:rsidRPr="00CE45E2" w:rsidRDefault="00CE45E2" w:rsidP="00CE45E2">
      <w:pPr>
        <w:pStyle w:val="NormalBold"/>
      </w:pPr>
      <w:r w:rsidRPr="00CE45E2">
        <w:rPr>
          <w:rStyle w:val="HideTWBExt"/>
          <w:b w:val="0"/>
        </w:rPr>
        <w:t>&lt;/RepeatBlock-By&gt;</w:t>
      </w:r>
    </w:p>
    <w:p w14:paraId="2D3E3DF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7DCB24E" w14:textId="77777777" w:rsidR="00CE45E2" w:rsidRPr="00CE45E2" w:rsidRDefault="00CE45E2" w:rsidP="00CE45E2">
      <w:pPr>
        <w:pStyle w:val="NormalBold"/>
      </w:pPr>
      <w:r w:rsidRPr="00CE45E2">
        <w:rPr>
          <w:rStyle w:val="HideTWBExt"/>
          <w:b w:val="0"/>
        </w:rPr>
        <w:t>&lt;Article&gt;</w:t>
      </w:r>
      <w:r w:rsidRPr="00CE45E2">
        <w:t xml:space="preserve">Artykuł 1 – akapit 1 – punkt 6 – litera a </w:t>
      </w:r>
      <w:proofErr w:type="spellStart"/>
      <w:r w:rsidRPr="00CE45E2">
        <w:t>a</w:t>
      </w:r>
      <w:proofErr w:type="spellEnd"/>
      <w:r w:rsidRPr="00CE45E2">
        <w:t xml:space="preserve"> (nowa)</w:t>
      </w:r>
      <w:r w:rsidRPr="00CE45E2">
        <w:rPr>
          <w:rStyle w:val="HideTWBExt"/>
          <w:b w:val="0"/>
        </w:rPr>
        <w:t>&lt;/Article&gt;</w:t>
      </w:r>
    </w:p>
    <w:p w14:paraId="78B1384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1C98CE8" w14:textId="77777777" w:rsidR="00CE45E2" w:rsidRPr="00CE45E2" w:rsidRDefault="00CE45E2" w:rsidP="00CE45E2">
      <w:r w:rsidRPr="00CE45E2">
        <w:rPr>
          <w:rStyle w:val="HideTWBExt"/>
        </w:rPr>
        <w:t>&lt;Article2&gt;</w:t>
      </w:r>
      <w:r w:rsidRPr="00CE45E2">
        <w:t>Artykuł 5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4E58380" w14:textId="77777777" w:rsidTr="006476FB">
        <w:trPr>
          <w:trHeight w:hRule="exact" w:val="240"/>
          <w:jc w:val="center"/>
        </w:trPr>
        <w:tc>
          <w:tcPr>
            <w:tcW w:w="9752" w:type="dxa"/>
            <w:gridSpan w:val="2"/>
            <w:tcBorders>
              <w:top w:val="nil"/>
              <w:left w:val="nil"/>
              <w:bottom w:val="nil"/>
              <w:right w:val="nil"/>
            </w:tcBorders>
          </w:tcPr>
          <w:p w14:paraId="6C2F7D44" w14:textId="77777777" w:rsidR="00CE45E2" w:rsidRPr="00CE45E2" w:rsidRDefault="00CE45E2" w:rsidP="006476FB"/>
        </w:tc>
      </w:tr>
      <w:tr w:rsidR="00CE45E2" w:rsidRPr="00CE45E2" w14:paraId="5EFFB060" w14:textId="77777777" w:rsidTr="006476FB">
        <w:trPr>
          <w:trHeight w:val="240"/>
          <w:jc w:val="center"/>
        </w:trPr>
        <w:tc>
          <w:tcPr>
            <w:tcW w:w="4876" w:type="dxa"/>
            <w:tcBorders>
              <w:top w:val="nil"/>
              <w:left w:val="nil"/>
              <w:bottom w:val="nil"/>
              <w:right w:val="nil"/>
            </w:tcBorders>
          </w:tcPr>
          <w:p w14:paraId="23F2B1A0"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3094FECC" w14:textId="77777777" w:rsidR="00CE45E2" w:rsidRPr="00CE45E2" w:rsidRDefault="00CE45E2" w:rsidP="006476FB">
            <w:pPr>
              <w:pStyle w:val="AmColumnHeading"/>
            </w:pPr>
            <w:r w:rsidRPr="00CE45E2">
              <w:t>Poprawka</w:t>
            </w:r>
          </w:p>
        </w:tc>
      </w:tr>
      <w:tr w:rsidR="00CE45E2" w:rsidRPr="00CE45E2" w14:paraId="3E37F917" w14:textId="77777777" w:rsidTr="006476FB">
        <w:trPr>
          <w:jc w:val="center"/>
        </w:trPr>
        <w:tc>
          <w:tcPr>
            <w:tcW w:w="4876" w:type="dxa"/>
            <w:tcBorders>
              <w:top w:val="nil"/>
              <w:left w:val="nil"/>
              <w:bottom w:val="nil"/>
              <w:right w:val="nil"/>
            </w:tcBorders>
          </w:tcPr>
          <w:p w14:paraId="121E2BAB" w14:textId="77777777" w:rsidR="00CE45E2" w:rsidRPr="00CE45E2" w:rsidRDefault="00CE45E2" w:rsidP="006476FB">
            <w:pPr>
              <w:pStyle w:val="Normal6a"/>
            </w:pPr>
          </w:p>
        </w:tc>
        <w:tc>
          <w:tcPr>
            <w:tcW w:w="4876" w:type="dxa"/>
            <w:tcBorders>
              <w:top w:val="nil"/>
              <w:left w:val="nil"/>
              <w:bottom w:val="nil"/>
              <w:right w:val="nil"/>
            </w:tcBorders>
          </w:tcPr>
          <w:p w14:paraId="2A7DFBF7" w14:textId="77777777" w:rsidR="00CE45E2" w:rsidRPr="00CE45E2" w:rsidRDefault="00CE45E2" w:rsidP="006476FB">
            <w:pPr>
              <w:pStyle w:val="Normal6a"/>
            </w:pPr>
            <w:r w:rsidRPr="00CE45E2">
              <w:rPr>
                <w:b/>
                <w:i/>
              </w:rPr>
              <w:t>aa)</w:t>
            </w:r>
            <w:r w:rsidRPr="00CE45E2">
              <w:tab/>
            </w:r>
            <w:r w:rsidRPr="00CE45E2">
              <w:rPr>
                <w:b/>
                <w:i/>
              </w:rPr>
              <w:t>w ustępie pierwszym wprowadza się następujące zmiany:</w:t>
            </w:r>
          </w:p>
        </w:tc>
      </w:tr>
      <w:tr w:rsidR="00CE45E2" w:rsidRPr="00CE45E2" w14:paraId="31EC15BC" w14:textId="77777777" w:rsidTr="006476FB">
        <w:trPr>
          <w:jc w:val="center"/>
        </w:trPr>
        <w:tc>
          <w:tcPr>
            <w:tcW w:w="4876" w:type="dxa"/>
            <w:tcBorders>
              <w:top w:val="nil"/>
              <w:left w:val="nil"/>
              <w:bottom w:val="nil"/>
              <w:right w:val="nil"/>
            </w:tcBorders>
          </w:tcPr>
          <w:p w14:paraId="045BB057" w14:textId="77777777" w:rsidR="00CE45E2" w:rsidRPr="00CE45E2" w:rsidRDefault="00CE45E2" w:rsidP="006476FB">
            <w:pPr>
              <w:pStyle w:val="Normal6a"/>
            </w:pPr>
            <w:r w:rsidRPr="00CE45E2">
              <w:t xml:space="preserve">Z wyjątkiem art. 32–35 państwa członkowskie mogą nie stosować niniejszej dyrektywy w całości lub w części do każdej IORP zarejestrowanej lub wykonującej działalność na podstawie zezwolenia na ich terytoriach, która obsługuje programy emerytalne obejmujące łącznie mniej niż </w:t>
            </w:r>
            <w:r w:rsidRPr="00CE45E2">
              <w:rPr>
                <w:b/>
                <w:bCs/>
                <w:i/>
                <w:iCs/>
              </w:rPr>
              <w:t>100</w:t>
            </w:r>
            <w:r w:rsidRPr="00CE45E2">
              <w:t xml:space="preserve"> uczestników. Z zastrzeżeniem art. 2 ust. 2 takim IORP przyznaje się jednak prawo stosowania niniejszej dyrektywy na zasadzie dobrowolności. Art. 11 można stosować jedynie pod </w:t>
            </w:r>
            <w:proofErr w:type="gramStart"/>
            <w:r w:rsidRPr="00CE45E2">
              <w:t>warunkiem</w:t>
            </w:r>
            <w:proofErr w:type="gramEnd"/>
            <w:r w:rsidRPr="00CE45E2">
              <w:t xml:space="preserve"> że stosuje się wszystkie inne przepisy niniejszej dyrektywy. Państwa członkowskie stosują art. 19 ust. 1 i art. 21 ust. 1 i 2 do każdej IORP zarejestrowanej lub wykonującej działalność na podstawie zezwolenia na ich terytoriach, która obsługuje programy emerytalne obejmujące łącznie ponad 15 uczestników.</w:t>
            </w:r>
          </w:p>
        </w:tc>
        <w:tc>
          <w:tcPr>
            <w:tcW w:w="4876" w:type="dxa"/>
            <w:tcBorders>
              <w:top w:val="nil"/>
              <w:left w:val="nil"/>
              <w:bottom w:val="nil"/>
              <w:right w:val="nil"/>
            </w:tcBorders>
          </w:tcPr>
          <w:p w14:paraId="4C88A9EF" w14:textId="77777777" w:rsidR="00CE45E2" w:rsidRPr="00CE45E2" w:rsidRDefault="00CE45E2" w:rsidP="006476FB">
            <w:pPr>
              <w:pStyle w:val="Normal6a"/>
            </w:pPr>
            <w:r w:rsidRPr="00CE45E2">
              <w:rPr>
                <w:b/>
                <w:bCs/>
                <w:i/>
                <w:iCs/>
              </w:rPr>
              <w:t>„</w:t>
            </w:r>
            <w:r w:rsidRPr="00CE45E2">
              <w:t xml:space="preserve">Z wyjątkiem art. 32–35 państwa członkowskie mogą nie stosować niniejszej dyrektywy w całości lub w części do każdej IORP zarejestrowanej lub wykonującej działalność na podstawie zezwolenia na ich terytoriach, która obsługuje programy emerytalne obejmujące łącznie mniej niż </w:t>
            </w:r>
            <w:r w:rsidRPr="00CE45E2">
              <w:rPr>
                <w:b/>
                <w:bCs/>
                <w:i/>
                <w:iCs/>
              </w:rPr>
              <w:t>1000</w:t>
            </w:r>
            <w:r w:rsidRPr="00CE45E2">
              <w:t xml:space="preserve"> uczestników</w:t>
            </w:r>
            <w:r w:rsidRPr="00CE45E2">
              <w:rPr>
                <w:b/>
                <w:bCs/>
                <w:i/>
                <w:iCs/>
              </w:rPr>
              <w:t xml:space="preserve"> lub beneficjentów oraz której łączna wartość aktywów wynosi mniej niż 50 mln euro</w:t>
            </w:r>
            <w:r w:rsidRPr="00CE45E2">
              <w:t xml:space="preserve">. Z zastrzeżeniem art. 2 ust. 2 takim IORP przyznaje się jednak prawo stosowania niniejszej dyrektywy na zasadzie dobrowolności. Art. 11 można stosować jedynie pod </w:t>
            </w:r>
            <w:proofErr w:type="gramStart"/>
            <w:r w:rsidRPr="00CE45E2">
              <w:t>warunkiem</w:t>
            </w:r>
            <w:proofErr w:type="gramEnd"/>
            <w:r w:rsidRPr="00CE45E2">
              <w:t xml:space="preserve"> że stosuje się wszystkie inne przepisy niniejszej dyrektywy. Państwa członkowskie stosują art. 19 ust. 1 i art. 21 ust. 1 i 2 do każdej IORP zarejestrowanej lub wykonującej działalność na podstawie zezwolenia na ich terytoriach, która obsługuje programy emerytalne obejmujące łącznie ponad 15 uczestników.</w:t>
            </w:r>
            <w:r w:rsidRPr="00CE45E2">
              <w:rPr>
                <w:b/>
                <w:bCs/>
                <w:i/>
                <w:iCs/>
              </w:rPr>
              <w:t>”</w:t>
            </w:r>
          </w:p>
        </w:tc>
      </w:tr>
    </w:tbl>
    <w:p w14:paraId="490A93F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5DADC7F" w14:textId="77777777" w:rsidR="00CE45E2" w:rsidRPr="00CE45E2" w:rsidRDefault="00CE45E2" w:rsidP="00CE45E2">
      <w:pPr>
        <w:pStyle w:val="AmCrossRef"/>
      </w:pPr>
      <w:r w:rsidRPr="00CE45E2">
        <w:t>(https://eur-lex.europa.eu/legal-content/PL/TXT/?uri=CELEX%3A02016L2341-20250117)</w:t>
      </w:r>
    </w:p>
    <w:p w14:paraId="2849BA59"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F7EA360" w14:textId="77777777" w:rsidR="00CE45E2" w:rsidRPr="00CE45E2" w:rsidRDefault="00CE45E2" w:rsidP="00CE45E2">
      <w:pPr>
        <w:pStyle w:val="AmJustText"/>
      </w:pPr>
      <w:r w:rsidRPr="00CE45E2">
        <w:t>Próg aktywów w wysokości 25 mln EUR zaproponowany w projekcie sprawozdania nie odzwierciedla rzeczywistego profilu aktywów małych IORP powiązanych z pracodawcą w większości państw członkowskich. Podwyższenie progu do 50 mln EUR zapewnia znaczące złagodzenie wymogów proporcjonalności dla funduszy, których dotyczy ten przepis. Kryterium alternatywne (tj. uczestnicy lub aktywa) gwarantuje, że żadna mała IORP nie zostanie wykluczona z ulgi z przyczyn formalnych wynikających z tego, że przypadkowo spełnia kryteria w obu wymiarach.</w:t>
      </w:r>
    </w:p>
    <w:p w14:paraId="284E78D0" w14:textId="77777777" w:rsidR="00CE45E2" w:rsidRPr="00CE45E2" w:rsidRDefault="00CE45E2" w:rsidP="00CE45E2">
      <w:r w:rsidRPr="00CE45E2">
        <w:rPr>
          <w:rStyle w:val="HideTWBExt"/>
        </w:rPr>
        <w:t>&lt;/Amend&gt;</w:t>
      </w:r>
    </w:p>
    <w:p w14:paraId="13FA2A9C" w14:textId="38B4252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212</w:t>
      </w:r>
      <w:r w:rsidRPr="00CE45E2">
        <w:rPr>
          <w:rStyle w:val="HideTWBExt"/>
          <w:b w:val="0"/>
        </w:rPr>
        <w:t>&lt;/NumAm&gt;</w:t>
      </w:r>
    </w:p>
    <w:p w14:paraId="7F41582B"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08E05DFD" w14:textId="77777777" w:rsidR="00CE45E2" w:rsidRPr="00CE45E2" w:rsidRDefault="00CE45E2" w:rsidP="00CE45E2">
      <w:pPr>
        <w:pStyle w:val="NormalBold"/>
      </w:pPr>
      <w:r w:rsidRPr="00CE45E2">
        <w:rPr>
          <w:rStyle w:val="HideTWBExt"/>
          <w:b w:val="0"/>
        </w:rPr>
        <w:t>&lt;/RepeatBlock-By&gt;</w:t>
      </w:r>
    </w:p>
    <w:p w14:paraId="228269D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022EFB1" w14:textId="77777777" w:rsidR="00CE45E2" w:rsidRPr="00CE45E2" w:rsidRDefault="00CE45E2" w:rsidP="00CE45E2">
      <w:pPr>
        <w:pStyle w:val="NormalBold"/>
      </w:pPr>
      <w:r w:rsidRPr="00CE45E2">
        <w:rPr>
          <w:rStyle w:val="HideTWBExt"/>
          <w:b w:val="0"/>
        </w:rPr>
        <w:t>&lt;Article&gt;</w:t>
      </w:r>
      <w:r w:rsidRPr="00CE45E2">
        <w:t>Artykuł 1 – akapit 1 – punkt 6 – litera b</w:t>
      </w:r>
      <w:r w:rsidRPr="00CE45E2">
        <w:rPr>
          <w:rStyle w:val="HideTWBExt"/>
          <w:b w:val="0"/>
        </w:rPr>
        <w:t>&lt;/Article&gt;</w:t>
      </w:r>
    </w:p>
    <w:p w14:paraId="57520E9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205FCDE" w14:textId="77777777" w:rsidR="00CE45E2" w:rsidRPr="00CE45E2" w:rsidRDefault="00CE45E2" w:rsidP="00CE45E2">
      <w:r w:rsidRPr="00CE45E2">
        <w:rPr>
          <w:rStyle w:val="HideTWBExt"/>
        </w:rPr>
        <w:t>&lt;Article2&gt;</w:t>
      </w:r>
      <w:r w:rsidRPr="00CE45E2">
        <w:t>Artykuł 5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2175F86" w14:textId="77777777" w:rsidTr="006476FB">
        <w:trPr>
          <w:trHeight w:hRule="exact" w:val="240"/>
          <w:jc w:val="center"/>
        </w:trPr>
        <w:tc>
          <w:tcPr>
            <w:tcW w:w="9752" w:type="dxa"/>
            <w:gridSpan w:val="2"/>
            <w:tcBorders>
              <w:top w:val="nil"/>
              <w:left w:val="nil"/>
              <w:bottom w:val="nil"/>
              <w:right w:val="nil"/>
            </w:tcBorders>
          </w:tcPr>
          <w:p w14:paraId="3AC27BE2" w14:textId="77777777" w:rsidR="00CE45E2" w:rsidRPr="00CE45E2" w:rsidRDefault="00CE45E2" w:rsidP="006476FB"/>
        </w:tc>
      </w:tr>
      <w:tr w:rsidR="00CE45E2" w:rsidRPr="00CE45E2" w14:paraId="559F7EAA" w14:textId="77777777" w:rsidTr="006476FB">
        <w:trPr>
          <w:trHeight w:val="240"/>
          <w:jc w:val="center"/>
        </w:trPr>
        <w:tc>
          <w:tcPr>
            <w:tcW w:w="4876" w:type="dxa"/>
            <w:tcBorders>
              <w:top w:val="nil"/>
              <w:left w:val="nil"/>
              <w:bottom w:val="nil"/>
              <w:right w:val="nil"/>
            </w:tcBorders>
          </w:tcPr>
          <w:p w14:paraId="65B8810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23AD237" w14:textId="77777777" w:rsidR="00CE45E2" w:rsidRPr="00CE45E2" w:rsidRDefault="00CE45E2" w:rsidP="006476FB">
            <w:pPr>
              <w:pStyle w:val="AmColumnHeading"/>
            </w:pPr>
            <w:r w:rsidRPr="00CE45E2">
              <w:t>Poprawka</w:t>
            </w:r>
          </w:p>
        </w:tc>
      </w:tr>
      <w:tr w:rsidR="00CE45E2" w:rsidRPr="00CE45E2" w14:paraId="7490D2C4" w14:textId="77777777" w:rsidTr="006476FB">
        <w:trPr>
          <w:jc w:val="center"/>
        </w:trPr>
        <w:tc>
          <w:tcPr>
            <w:tcW w:w="4876" w:type="dxa"/>
            <w:tcBorders>
              <w:top w:val="nil"/>
              <w:left w:val="nil"/>
              <w:bottom w:val="nil"/>
              <w:right w:val="nil"/>
            </w:tcBorders>
          </w:tcPr>
          <w:p w14:paraId="62CB352B" w14:textId="77777777" w:rsidR="00CE45E2" w:rsidRPr="00CE45E2" w:rsidRDefault="00CE45E2" w:rsidP="006476FB">
            <w:pPr>
              <w:pStyle w:val="Normal6a"/>
            </w:pPr>
            <w:r w:rsidRPr="00CE45E2">
              <w:rPr>
                <w:b/>
                <w:i/>
              </w:rPr>
              <w:t>b)</w:t>
            </w:r>
            <w:r w:rsidRPr="00CE45E2">
              <w:tab/>
            </w:r>
            <w:r w:rsidRPr="00CE45E2">
              <w:rPr>
                <w:b/>
                <w:i/>
              </w:rPr>
              <w:t>skreśla się akapit drugi;</w:t>
            </w:r>
          </w:p>
        </w:tc>
        <w:tc>
          <w:tcPr>
            <w:tcW w:w="4876" w:type="dxa"/>
            <w:tcBorders>
              <w:top w:val="nil"/>
              <w:left w:val="nil"/>
              <w:bottom w:val="nil"/>
              <w:right w:val="nil"/>
            </w:tcBorders>
          </w:tcPr>
          <w:p w14:paraId="28C3A4AA" w14:textId="77777777" w:rsidR="00CE45E2" w:rsidRPr="00CE45E2" w:rsidRDefault="00CE45E2" w:rsidP="006476FB">
            <w:pPr>
              <w:pStyle w:val="Normal6a"/>
            </w:pPr>
            <w:r w:rsidRPr="00CE45E2">
              <w:rPr>
                <w:b/>
                <w:i/>
              </w:rPr>
              <w:t>skreśla się</w:t>
            </w:r>
          </w:p>
        </w:tc>
      </w:tr>
    </w:tbl>
    <w:p w14:paraId="72F28E3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E465B66"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C2D314B" w14:textId="77777777" w:rsidR="00CE45E2" w:rsidRPr="00CE45E2" w:rsidRDefault="00CE45E2" w:rsidP="00CE45E2">
      <w:pPr>
        <w:pStyle w:val="AmJustText"/>
      </w:pPr>
      <w:r w:rsidRPr="00CE45E2">
        <w:t>Próg ten w nieproporcjonalny sposób nakłada na państwa członkowskie o dojrzałych i dobrze funkcjonujących rynkach IORP dodatkowe przepisy unijne, wyłącznie dlatego, że posiadają one więcej uznanych instytucji i programów przekraczających ten próg. Przepisy unijne powinny mieć zastosowanie do wszystkich państw członkowskich i nie powinny w nieproporcjonalny sposób wpływać na ograniczoną liczbę państw członkowskich.</w:t>
      </w:r>
    </w:p>
    <w:p w14:paraId="7CC8F0E5" w14:textId="77777777" w:rsidR="00CE45E2" w:rsidRPr="00CE45E2" w:rsidRDefault="00CE45E2" w:rsidP="00CE45E2">
      <w:r w:rsidRPr="00CE45E2">
        <w:rPr>
          <w:rStyle w:val="HideTWBExt"/>
        </w:rPr>
        <w:t>&lt;/Amend&gt;</w:t>
      </w:r>
    </w:p>
    <w:p w14:paraId="788A40C2" w14:textId="6972E12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213</w:t>
      </w:r>
      <w:r w:rsidRPr="00CE45E2">
        <w:rPr>
          <w:rStyle w:val="HideTWBExt"/>
          <w:b w:val="0"/>
        </w:rPr>
        <w:t>&lt;/NumAm&gt;</w:t>
      </w:r>
    </w:p>
    <w:p w14:paraId="6AE35899"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2ECAC4D1" w14:textId="77777777" w:rsidR="00CE45E2" w:rsidRPr="00CE45E2" w:rsidRDefault="00CE45E2" w:rsidP="00CE45E2">
      <w:pPr>
        <w:pStyle w:val="NormalBold"/>
      </w:pPr>
      <w:r w:rsidRPr="00CE45E2">
        <w:rPr>
          <w:rStyle w:val="HideTWBExt"/>
          <w:b w:val="0"/>
        </w:rPr>
        <w:t>&lt;/RepeatBlock-By&gt;</w:t>
      </w:r>
    </w:p>
    <w:p w14:paraId="33ED5AA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3BC3CAC" w14:textId="77777777" w:rsidR="00CE45E2" w:rsidRPr="00CE45E2" w:rsidRDefault="00CE45E2" w:rsidP="00CE45E2">
      <w:pPr>
        <w:pStyle w:val="NormalBold"/>
      </w:pPr>
      <w:r w:rsidRPr="00CE45E2">
        <w:rPr>
          <w:rStyle w:val="HideTWBExt"/>
          <w:b w:val="0"/>
        </w:rPr>
        <w:t>&lt;Article&gt;</w:t>
      </w:r>
      <w:r w:rsidRPr="00CE45E2">
        <w:t>Artykuł 1 – akapit 1 – punkt 6 – litera b a (nowa)</w:t>
      </w:r>
      <w:r w:rsidRPr="00CE45E2">
        <w:rPr>
          <w:rStyle w:val="HideTWBExt"/>
          <w:b w:val="0"/>
        </w:rPr>
        <w:t>&lt;/Article&gt;</w:t>
      </w:r>
    </w:p>
    <w:p w14:paraId="5770513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AE7ECA5" w14:textId="77777777" w:rsidR="00CE45E2" w:rsidRPr="00CE45E2" w:rsidRDefault="00CE45E2" w:rsidP="00CE45E2">
      <w:r w:rsidRPr="00CE45E2">
        <w:rPr>
          <w:rStyle w:val="HideTWBExt"/>
        </w:rPr>
        <w:t>&lt;Article2&gt;</w:t>
      </w:r>
      <w:r w:rsidRPr="00CE45E2">
        <w:t>Artykuł 5 – ustępy 2 a–2 d</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27FC7D1" w14:textId="77777777" w:rsidTr="006476FB">
        <w:trPr>
          <w:trHeight w:hRule="exact" w:val="240"/>
          <w:jc w:val="center"/>
        </w:trPr>
        <w:tc>
          <w:tcPr>
            <w:tcW w:w="9752" w:type="dxa"/>
            <w:gridSpan w:val="2"/>
            <w:tcBorders>
              <w:top w:val="nil"/>
              <w:left w:val="nil"/>
              <w:bottom w:val="nil"/>
              <w:right w:val="nil"/>
            </w:tcBorders>
          </w:tcPr>
          <w:p w14:paraId="7E6E249E" w14:textId="77777777" w:rsidR="00CE45E2" w:rsidRPr="00CE45E2" w:rsidRDefault="00CE45E2" w:rsidP="006476FB"/>
        </w:tc>
      </w:tr>
      <w:tr w:rsidR="00CE45E2" w:rsidRPr="00CE45E2" w14:paraId="4A252838" w14:textId="77777777" w:rsidTr="006476FB">
        <w:trPr>
          <w:trHeight w:val="240"/>
          <w:jc w:val="center"/>
        </w:trPr>
        <w:tc>
          <w:tcPr>
            <w:tcW w:w="4876" w:type="dxa"/>
            <w:tcBorders>
              <w:top w:val="nil"/>
              <w:left w:val="nil"/>
              <w:bottom w:val="nil"/>
              <w:right w:val="nil"/>
            </w:tcBorders>
          </w:tcPr>
          <w:p w14:paraId="5B21980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2D25575" w14:textId="77777777" w:rsidR="00CE45E2" w:rsidRPr="00CE45E2" w:rsidRDefault="00CE45E2" w:rsidP="006476FB">
            <w:pPr>
              <w:pStyle w:val="AmColumnHeading"/>
            </w:pPr>
            <w:r w:rsidRPr="00CE45E2">
              <w:t>Poprawka</w:t>
            </w:r>
          </w:p>
        </w:tc>
      </w:tr>
      <w:tr w:rsidR="00CE45E2" w:rsidRPr="00CE45E2" w14:paraId="5D22E2EA" w14:textId="77777777" w:rsidTr="006476FB">
        <w:trPr>
          <w:jc w:val="center"/>
        </w:trPr>
        <w:tc>
          <w:tcPr>
            <w:tcW w:w="4876" w:type="dxa"/>
            <w:tcBorders>
              <w:top w:val="nil"/>
              <w:left w:val="nil"/>
              <w:bottom w:val="nil"/>
              <w:right w:val="nil"/>
            </w:tcBorders>
          </w:tcPr>
          <w:p w14:paraId="0E84C776" w14:textId="77777777" w:rsidR="00CE45E2" w:rsidRPr="00CE45E2" w:rsidRDefault="00CE45E2" w:rsidP="006476FB">
            <w:pPr>
              <w:pStyle w:val="Normal6a"/>
            </w:pPr>
          </w:p>
        </w:tc>
        <w:tc>
          <w:tcPr>
            <w:tcW w:w="4876" w:type="dxa"/>
            <w:tcBorders>
              <w:top w:val="nil"/>
              <w:left w:val="nil"/>
              <w:bottom w:val="nil"/>
              <w:right w:val="nil"/>
            </w:tcBorders>
          </w:tcPr>
          <w:p w14:paraId="16E4A88D" w14:textId="77777777" w:rsidR="00CE45E2" w:rsidRPr="00CE45E2" w:rsidRDefault="00CE45E2" w:rsidP="006476FB">
            <w:pPr>
              <w:pStyle w:val="Normal6a"/>
            </w:pPr>
            <w:r w:rsidRPr="00CE45E2">
              <w:rPr>
                <w:b/>
                <w:i/>
              </w:rPr>
              <w:t>ba)</w:t>
            </w:r>
            <w:r w:rsidRPr="00CE45E2">
              <w:rPr>
                <w:b/>
                <w:i/>
              </w:rPr>
              <w:tab/>
            </w:r>
            <w:r w:rsidRPr="00CE45E2">
              <w:rPr>
                <w:b/>
                <w:bCs/>
                <w:i/>
                <w:iCs/>
              </w:rPr>
              <w:t>dodaje się ustępy w brzmieniu:</w:t>
            </w:r>
          </w:p>
        </w:tc>
      </w:tr>
      <w:tr w:rsidR="00CE45E2" w:rsidRPr="00CE45E2" w14:paraId="418E63ED" w14:textId="77777777" w:rsidTr="006476FB">
        <w:trPr>
          <w:jc w:val="center"/>
        </w:trPr>
        <w:tc>
          <w:tcPr>
            <w:tcW w:w="4876" w:type="dxa"/>
            <w:tcBorders>
              <w:top w:val="nil"/>
              <w:left w:val="nil"/>
              <w:bottom w:val="nil"/>
              <w:right w:val="nil"/>
            </w:tcBorders>
          </w:tcPr>
          <w:p w14:paraId="1E6825F8" w14:textId="77777777" w:rsidR="00CE45E2" w:rsidRPr="00CE45E2" w:rsidRDefault="00CE45E2" w:rsidP="006476FB">
            <w:pPr>
              <w:pStyle w:val="Normal6a"/>
            </w:pPr>
          </w:p>
        </w:tc>
        <w:tc>
          <w:tcPr>
            <w:tcW w:w="4876" w:type="dxa"/>
            <w:tcBorders>
              <w:top w:val="nil"/>
              <w:left w:val="nil"/>
              <w:bottom w:val="nil"/>
              <w:right w:val="nil"/>
            </w:tcBorders>
          </w:tcPr>
          <w:p w14:paraId="1C855158" w14:textId="77777777" w:rsidR="00CE45E2" w:rsidRPr="00CE45E2" w:rsidRDefault="00CE45E2" w:rsidP="006476FB">
            <w:pPr>
              <w:pStyle w:val="Normal6a"/>
            </w:pPr>
            <w:r w:rsidRPr="00CE45E2">
              <w:rPr>
                <w:b/>
                <w:i/>
              </w:rPr>
              <w:t>2a. Państwa członkowskie mogą nie stosować niniejszej dyrektywy w całości lub w części do każdej IORP zarejestrowanej lub wykonującej działalność na podstawie zezwolenia na ich terytoriach, która obsługuje programy emerytalne obejmujące łącznie mniej niż 1000 uczestników i beneficjentów oraz której łączna wartość aktywów wynosi mniej niż 50 mln euro.</w:t>
            </w:r>
          </w:p>
        </w:tc>
      </w:tr>
      <w:tr w:rsidR="00CE45E2" w:rsidRPr="00CE45E2" w14:paraId="4C45528C" w14:textId="77777777" w:rsidTr="006476FB">
        <w:trPr>
          <w:jc w:val="center"/>
        </w:trPr>
        <w:tc>
          <w:tcPr>
            <w:tcW w:w="4876" w:type="dxa"/>
            <w:tcBorders>
              <w:top w:val="nil"/>
              <w:left w:val="nil"/>
              <w:bottom w:val="nil"/>
              <w:right w:val="nil"/>
            </w:tcBorders>
          </w:tcPr>
          <w:p w14:paraId="0E9C5577" w14:textId="77777777" w:rsidR="00CE45E2" w:rsidRPr="00CE45E2" w:rsidRDefault="00CE45E2" w:rsidP="006476FB">
            <w:pPr>
              <w:pStyle w:val="Normal6a"/>
            </w:pPr>
          </w:p>
        </w:tc>
        <w:tc>
          <w:tcPr>
            <w:tcW w:w="4876" w:type="dxa"/>
            <w:tcBorders>
              <w:top w:val="nil"/>
              <w:left w:val="nil"/>
              <w:bottom w:val="nil"/>
              <w:right w:val="nil"/>
            </w:tcBorders>
          </w:tcPr>
          <w:p w14:paraId="1E876BF5" w14:textId="77777777" w:rsidR="00CE45E2" w:rsidRPr="00CE45E2" w:rsidRDefault="00CE45E2" w:rsidP="006476FB">
            <w:pPr>
              <w:pStyle w:val="Normal6a"/>
            </w:pPr>
            <w:r w:rsidRPr="00CE45E2">
              <w:rPr>
                <w:b/>
                <w:i/>
              </w:rPr>
              <w:t xml:space="preserve">2b. </w:t>
            </w:r>
            <w:r w:rsidRPr="00CE45E2">
              <w:rPr>
                <w:b/>
                <w:bCs/>
                <w:i/>
                <w:iCs/>
              </w:rPr>
              <w:t>W przypadku gdy państwa członkowskie zdecydują się nie stosować niniejszej dyrektywy do IORP, o których mowa w ust. 1, art. 32–35 oraz art. 37a mają jednak zastosowanie.</w:t>
            </w:r>
            <w:r w:rsidRPr="00CE45E2">
              <w:rPr>
                <w:b/>
                <w:i/>
              </w:rPr>
              <w:t xml:space="preserve"> Z zastrzeżeniem art. 2 ust. 2 takim IORP przyznaje się prawo stosowania niniejszej dyrektywy na zasadzie dobrowolności. Art. 11 można stosować jedynie pod </w:t>
            </w:r>
            <w:proofErr w:type="gramStart"/>
            <w:r w:rsidRPr="00CE45E2">
              <w:rPr>
                <w:b/>
                <w:i/>
              </w:rPr>
              <w:t>warunkiem</w:t>
            </w:r>
            <w:proofErr w:type="gramEnd"/>
            <w:r w:rsidRPr="00CE45E2">
              <w:rPr>
                <w:b/>
                <w:i/>
              </w:rPr>
              <w:t xml:space="preserve"> że stosuje się wszystkie inne przepisy niniejszej dyrektywy.</w:t>
            </w:r>
          </w:p>
        </w:tc>
      </w:tr>
      <w:tr w:rsidR="00CE45E2" w:rsidRPr="00CE45E2" w14:paraId="5862AB89" w14:textId="77777777" w:rsidTr="006476FB">
        <w:trPr>
          <w:jc w:val="center"/>
        </w:trPr>
        <w:tc>
          <w:tcPr>
            <w:tcW w:w="4876" w:type="dxa"/>
            <w:tcBorders>
              <w:top w:val="nil"/>
              <w:left w:val="nil"/>
              <w:bottom w:val="nil"/>
              <w:right w:val="nil"/>
            </w:tcBorders>
          </w:tcPr>
          <w:p w14:paraId="1A7C95B6" w14:textId="77777777" w:rsidR="00CE45E2" w:rsidRPr="00CE45E2" w:rsidRDefault="00CE45E2" w:rsidP="006476FB">
            <w:pPr>
              <w:pStyle w:val="Normal6a"/>
            </w:pPr>
          </w:p>
        </w:tc>
        <w:tc>
          <w:tcPr>
            <w:tcW w:w="4876" w:type="dxa"/>
            <w:tcBorders>
              <w:top w:val="nil"/>
              <w:left w:val="nil"/>
              <w:bottom w:val="nil"/>
              <w:right w:val="nil"/>
            </w:tcBorders>
          </w:tcPr>
          <w:p w14:paraId="38881A38" w14:textId="77777777" w:rsidR="00CE45E2" w:rsidRPr="00CE45E2" w:rsidRDefault="00CE45E2" w:rsidP="006476FB">
            <w:pPr>
              <w:pStyle w:val="Normal6a"/>
            </w:pPr>
            <w:r w:rsidRPr="00CE45E2">
              <w:rPr>
                <w:b/>
                <w:i/>
              </w:rPr>
              <w:t>2c. Jeżeli w momencie wejścia w życie niniejszej dyrektywy zmieniającej państwa członkowskie nie stosowały niniejszej dyrektywy do IORP, które prowadzą programy emerytalne, w których łącznie uczestniczy mniej niż 100 osób, państwa te mogą nadal nie stosować niniejszej dyrektywy do tych IORP, o ile nadal prowadzą one programy emerytalne, w których łącznie uczestniczy mniej niż 100 osób, nawet jeśli ich łączne aktywa przekraczają 50 mln EUR.</w:t>
            </w:r>
          </w:p>
        </w:tc>
      </w:tr>
      <w:tr w:rsidR="00CE45E2" w:rsidRPr="00CE45E2" w14:paraId="4800F7F2" w14:textId="77777777" w:rsidTr="006476FB">
        <w:trPr>
          <w:jc w:val="center"/>
        </w:trPr>
        <w:tc>
          <w:tcPr>
            <w:tcW w:w="4876" w:type="dxa"/>
            <w:tcBorders>
              <w:top w:val="nil"/>
              <w:left w:val="nil"/>
              <w:bottom w:val="nil"/>
              <w:right w:val="nil"/>
            </w:tcBorders>
          </w:tcPr>
          <w:p w14:paraId="5C5B94C3" w14:textId="77777777" w:rsidR="00CE45E2" w:rsidRPr="00CE45E2" w:rsidRDefault="00CE45E2" w:rsidP="006476FB">
            <w:pPr>
              <w:pStyle w:val="Normal6a"/>
            </w:pPr>
          </w:p>
        </w:tc>
        <w:tc>
          <w:tcPr>
            <w:tcW w:w="4876" w:type="dxa"/>
            <w:tcBorders>
              <w:top w:val="nil"/>
              <w:left w:val="nil"/>
              <w:bottom w:val="nil"/>
              <w:right w:val="nil"/>
            </w:tcBorders>
          </w:tcPr>
          <w:p w14:paraId="4066EF8E" w14:textId="77777777" w:rsidR="00CE45E2" w:rsidRPr="00CE45E2" w:rsidRDefault="00CE45E2" w:rsidP="006476FB">
            <w:pPr>
              <w:pStyle w:val="Normal6a"/>
              <w:rPr>
                <w:b/>
                <w:i/>
              </w:rPr>
            </w:pPr>
            <w:r w:rsidRPr="00CE45E2">
              <w:rPr>
                <w:b/>
                <w:i/>
              </w:rPr>
              <w:t>2d. Państwa członkowskie stosują art. 19 ust. 1 i art. 21 ust. 1 i 2 do każdej IORP zarejestrowanej lub wykonującej działalność na podstawie zezwolenia na ich terytoriach, która obsługuje programy emerytalne obejmujące łącznie ponad 15 uczestników.</w:t>
            </w:r>
          </w:p>
        </w:tc>
      </w:tr>
    </w:tbl>
    <w:p w14:paraId="6834E53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0496051" w14:textId="77777777" w:rsidR="00CE45E2" w:rsidRPr="00CE45E2" w:rsidRDefault="00CE45E2" w:rsidP="00CE45E2">
      <w:pPr>
        <w:rPr>
          <w:rStyle w:val="HideTWBExt"/>
        </w:rPr>
      </w:pPr>
      <w:r w:rsidRPr="00CE45E2">
        <w:rPr>
          <w:rStyle w:val="HideTWBExt"/>
        </w:rPr>
        <w:t>&lt;/Amend&gt;</w:t>
      </w:r>
    </w:p>
    <w:p w14:paraId="082BD6E9" w14:textId="5268774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214</w:t>
      </w:r>
      <w:r w:rsidRPr="00CE45E2">
        <w:rPr>
          <w:rStyle w:val="HideTWBExt"/>
          <w:b w:val="0"/>
        </w:rPr>
        <w:t>&lt;/NumAm&gt;</w:t>
      </w:r>
    </w:p>
    <w:p w14:paraId="14E06FC1"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Lara Wolters</w:t>
      </w:r>
      <w:r w:rsidRPr="00CE45E2">
        <w:rPr>
          <w:rStyle w:val="HideTWBExt"/>
          <w:b w:val="0"/>
        </w:rPr>
        <w:t>&lt;/Members&gt;</w:t>
      </w:r>
    </w:p>
    <w:p w14:paraId="012C010E" w14:textId="77777777" w:rsidR="00CE45E2" w:rsidRPr="00CE45E2" w:rsidRDefault="00CE45E2" w:rsidP="00CE45E2">
      <w:pPr>
        <w:pStyle w:val="NormalBold"/>
      </w:pPr>
      <w:r w:rsidRPr="00CE45E2">
        <w:rPr>
          <w:rStyle w:val="HideTWBExt"/>
          <w:b w:val="0"/>
        </w:rPr>
        <w:t>&lt;/RepeatBlock-By&gt;</w:t>
      </w:r>
    </w:p>
    <w:p w14:paraId="1031239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82E5555" w14:textId="77777777" w:rsidR="00CE45E2" w:rsidRPr="00CE45E2" w:rsidRDefault="00CE45E2" w:rsidP="00CE45E2">
      <w:pPr>
        <w:pStyle w:val="NormalBold"/>
      </w:pPr>
      <w:r w:rsidRPr="00CE45E2">
        <w:rPr>
          <w:rStyle w:val="HideTWBExt"/>
          <w:b w:val="0"/>
        </w:rPr>
        <w:t>&lt;Article&gt;</w:t>
      </w:r>
      <w:r w:rsidRPr="00CE45E2">
        <w:t xml:space="preserve">Artykuł 1 – akapit 1 – punkt 6 – litera a </w:t>
      </w:r>
      <w:proofErr w:type="spellStart"/>
      <w:r w:rsidRPr="00CE45E2">
        <w:t>a</w:t>
      </w:r>
      <w:proofErr w:type="spellEnd"/>
      <w:r w:rsidRPr="00CE45E2">
        <w:rPr>
          <w:rStyle w:val="HideTWBExt"/>
          <w:b w:val="0"/>
        </w:rPr>
        <w:t>&lt;/Article&gt;</w:t>
      </w:r>
    </w:p>
    <w:p w14:paraId="348C733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B2BB761" w14:textId="77777777" w:rsidR="00CE45E2" w:rsidRPr="00CE45E2" w:rsidRDefault="00CE45E2" w:rsidP="00CE45E2">
      <w:r w:rsidRPr="00CE45E2">
        <w:rPr>
          <w:rStyle w:val="HideTWBExt"/>
        </w:rPr>
        <w:t>&lt;Article2&gt;</w:t>
      </w:r>
      <w:r w:rsidRPr="00CE45E2">
        <w:t>Artykuł 5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6B592E0" w14:textId="77777777" w:rsidTr="006476FB">
        <w:trPr>
          <w:trHeight w:hRule="exact" w:val="240"/>
          <w:jc w:val="center"/>
        </w:trPr>
        <w:tc>
          <w:tcPr>
            <w:tcW w:w="9752" w:type="dxa"/>
            <w:gridSpan w:val="2"/>
            <w:tcBorders>
              <w:top w:val="nil"/>
              <w:left w:val="nil"/>
              <w:bottom w:val="nil"/>
              <w:right w:val="nil"/>
            </w:tcBorders>
          </w:tcPr>
          <w:p w14:paraId="2726CDE5" w14:textId="77777777" w:rsidR="00CE45E2" w:rsidRPr="00CE45E2" w:rsidRDefault="00CE45E2" w:rsidP="006476FB"/>
        </w:tc>
      </w:tr>
      <w:tr w:rsidR="00CE45E2" w:rsidRPr="00CE45E2" w14:paraId="4F33F153" w14:textId="77777777" w:rsidTr="006476FB">
        <w:trPr>
          <w:trHeight w:val="240"/>
          <w:jc w:val="center"/>
        </w:trPr>
        <w:tc>
          <w:tcPr>
            <w:tcW w:w="4876" w:type="dxa"/>
            <w:tcBorders>
              <w:top w:val="nil"/>
              <w:left w:val="nil"/>
              <w:bottom w:val="nil"/>
              <w:right w:val="nil"/>
            </w:tcBorders>
          </w:tcPr>
          <w:p w14:paraId="4ED0563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9878632" w14:textId="77777777" w:rsidR="00CE45E2" w:rsidRPr="00CE45E2" w:rsidRDefault="00CE45E2" w:rsidP="006476FB">
            <w:pPr>
              <w:pStyle w:val="AmColumnHeading"/>
            </w:pPr>
            <w:r w:rsidRPr="00CE45E2">
              <w:t>Poprawka</w:t>
            </w:r>
          </w:p>
        </w:tc>
      </w:tr>
      <w:tr w:rsidR="00CE45E2" w:rsidRPr="00CE45E2" w14:paraId="776EA9A7" w14:textId="77777777" w:rsidTr="006476FB">
        <w:trPr>
          <w:jc w:val="center"/>
        </w:trPr>
        <w:tc>
          <w:tcPr>
            <w:tcW w:w="4876" w:type="dxa"/>
            <w:tcBorders>
              <w:top w:val="nil"/>
              <w:left w:val="nil"/>
              <w:bottom w:val="nil"/>
              <w:right w:val="nil"/>
            </w:tcBorders>
          </w:tcPr>
          <w:p w14:paraId="16BDC9BB" w14:textId="77777777" w:rsidR="00CE45E2" w:rsidRPr="00CE45E2" w:rsidRDefault="00CE45E2" w:rsidP="006476FB">
            <w:pPr>
              <w:pStyle w:val="Normal6a"/>
            </w:pPr>
          </w:p>
        </w:tc>
        <w:tc>
          <w:tcPr>
            <w:tcW w:w="4876" w:type="dxa"/>
            <w:tcBorders>
              <w:top w:val="nil"/>
              <w:left w:val="nil"/>
              <w:bottom w:val="nil"/>
              <w:right w:val="nil"/>
            </w:tcBorders>
          </w:tcPr>
          <w:p w14:paraId="09F0D6D7" w14:textId="77777777" w:rsidR="00CE45E2" w:rsidRPr="00CE45E2" w:rsidRDefault="00CE45E2" w:rsidP="006476FB">
            <w:pPr>
              <w:pStyle w:val="Normal6a"/>
              <w:rPr>
                <w:b/>
                <w:bCs/>
                <w:i/>
                <w:iCs/>
              </w:rPr>
            </w:pPr>
            <w:r w:rsidRPr="00CE45E2">
              <w:rPr>
                <w:b/>
                <w:i/>
              </w:rPr>
              <w:t>aa) ust. 1 otrzymuje brzmienie:</w:t>
            </w:r>
          </w:p>
        </w:tc>
      </w:tr>
      <w:tr w:rsidR="00CE45E2" w:rsidRPr="00CE45E2" w14:paraId="64F123A8" w14:textId="77777777" w:rsidTr="006476FB">
        <w:trPr>
          <w:jc w:val="center"/>
        </w:trPr>
        <w:tc>
          <w:tcPr>
            <w:tcW w:w="4876" w:type="dxa"/>
            <w:tcBorders>
              <w:top w:val="nil"/>
              <w:left w:val="nil"/>
              <w:bottom w:val="nil"/>
              <w:right w:val="nil"/>
            </w:tcBorders>
          </w:tcPr>
          <w:p w14:paraId="6B6F6AAB" w14:textId="77777777" w:rsidR="00CE45E2" w:rsidRPr="00CE45E2" w:rsidRDefault="00CE45E2" w:rsidP="006476FB">
            <w:pPr>
              <w:pStyle w:val="Normal6a"/>
            </w:pPr>
            <w:r w:rsidRPr="00CE45E2">
              <w:t xml:space="preserve">Z wyjątkiem art. 32–35 państwa członkowskie mogą nie stosować niniejszej dyrektywy w całości lub w części do każdej IORP zarejestrowanej lub wykonującej działalność na podstawie zezwolenia na ich terytoriach, która obsługuje programy emerytalne obejmujące łącznie mniej niż 100 uczestników. </w:t>
            </w:r>
            <w:r w:rsidRPr="00CE45E2">
              <w:rPr>
                <w:b/>
                <w:i/>
              </w:rPr>
              <w:t xml:space="preserve">Z zastrzeżeniem art. 2 ust. 2 takim IORP przyznaje się jednak prawo stosowania niniejszej dyrektywy na zasadzie dobrowolności. Art. 11 można stosować jedynie pod </w:t>
            </w:r>
            <w:proofErr w:type="gramStart"/>
            <w:r w:rsidRPr="00CE45E2">
              <w:rPr>
                <w:b/>
                <w:i/>
              </w:rPr>
              <w:t>warunkiem</w:t>
            </w:r>
            <w:proofErr w:type="gramEnd"/>
            <w:r w:rsidRPr="00CE45E2">
              <w:rPr>
                <w:b/>
                <w:i/>
              </w:rPr>
              <w:t xml:space="preserve"> że stosuje się wszystkie inne przepisy niniejszej dyrektywy. Państwa członkowskie stosują art. 19 ust. 1 i art. 21 ust. 1 i 2 do każdej IORP zarejestrowanej lub wykonującej działalność na podstawie zezwolenia na ich terytoriach, która obsługuje programy emerytalne obejmujące łącznie ponad 15 uczestników.</w:t>
            </w:r>
          </w:p>
        </w:tc>
        <w:tc>
          <w:tcPr>
            <w:tcW w:w="4876" w:type="dxa"/>
            <w:tcBorders>
              <w:top w:val="nil"/>
              <w:left w:val="nil"/>
              <w:bottom w:val="nil"/>
              <w:right w:val="nil"/>
            </w:tcBorders>
          </w:tcPr>
          <w:p w14:paraId="2C5C1DD4" w14:textId="77777777" w:rsidR="00CE45E2" w:rsidRPr="00CE45E2" w:rsidRDefault="00CE45E2" w:rsidP="006476FB">
            <w:pPr>
              <w:pStyle w:val="Normal6a"/>
            </w:pPr>
            <w:r w:rsidRPr="00CE45E2">
              <w:t>Z wyjątkiem art. 32–35 państwa członkowskie mogą nie stosować niniejszej dyrektywy w całości lub w części do każdej IORP zarejestrowanej lub wykonującej działalność na podstawie zezwolenia na ich terytoriach, która obsługuje programy emerytalne obejmujące łącznie mniej niż 100 uczestników</w:t>
            </w:r>
            <w:r w:rsidRPr="00CE45E2">
              <w:rPr>
                <w:b/>
                <w:bCs/>
                <w:i/>
                <w:iCs/>
              </w:rPr>
              <w:t xml:space="preserve"> lub programy emerytalne, które są stopniowo wycofywane i które są trwale zamknięte dla nowych uczestników, pod </w:t>
            </w:r>
            <w:proofErr w:type="gramStart"/>
            <w:r w:rsidRPr="00CE45E2">
              <w:rPr>
                <w:b/>
                <w:bCs/>
                <w:i/>
                <w:iCs/>
              </w:rPr>
              <w:t>warunkiem</w:t>
            </w:r>
            <w:proofErr w:type="gramEnd"/>
            <w:r w:rsidRPr="00CE45E2">
              <w:rPr>
                <w:b/>
                <w:bCs/>
                <w:i/>
                <w:iCs/>
              </w:rPr>
              <w:t xml:space="preserve"> że IORP zapewnia odpowiedni poziom ochrony uczestników i beneficjentów</w:t>
            </w:r>
            <w:r w:rsidRPr="00CE45E2">
              <w:t>.</w:t>
            </w:r>
          </w:p>
        </w:tc>
      </w:tr>
    </w:tbl>
    <w:p w14:paraId="11F1D57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5975CF3" w14:textId="77777777" w:rsidR="00CE45E2" w:rsidRPr="00CE45E2" w:rsidRDefault="00CE45E2" w:rsidP="00CE45E2">
      <w:r w:rsidRPr="00CE45E2">
        <w:rPr>
          <w:rStyle w:val="HideTWBExt"/>
        </w:rPr>
        <w:t>&lt;/Amend&gt;</w:t>
      </w:r>
    </w:p>
    <w:p w14:paraId="30425687" w14:textId="633CC74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215</w:t>
      </w:r>
      <w:r w:rsidRPr="00CE45E2">
        <w:rPr>
          <w:rStyle w:val="HideTWBExt"/>
          <w:b w:val="0"/>
        </w:rPr>
        <w:t>&lt;/NumAm&gt;</w:t>
      </w:r>
    </w:p>
    <w:p w14:paraId="7BFE374E"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Lara Wolters</w:t>
      </w:r>
      <w:r w:rsidRPr="00CE45E2">
        <w:rPr>
          <w:rStyle w:val="HideTWBExt"/>
          <w:b w:val="0"/>
        </w:rPr>
        <w:t>&lt;/Members&gt;</w:t>
      </w:r>
    </w:p>
    <w:p w14:paraId="629CA95D" w14:textId="77777777" w:rsidR="00CE45E2" w:rsidRPr="00CE45E2" w:rsidRDefault="00CE45E2" w:rsidP="00CE45E2">
      <w:pPr>
        <w:pStyle w:val="NormalBold"/>
      </w:pPr>
      <w:r w:rsidRPr="00CE45E2">
        <w:rPr>
          <w:rStyle w:val="HideTWBExt"/>
          <w:b w:val="0"/>
        </w:rPr>
        <w:t>&lt;/RepeatBlock-By&gt;</w:t>
      </w:r>
    </w:p>
    <w:p w14:paraId="2F1A42B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D7DDF24" w14:textId="77777777" w:rsidR="00CE45E2" w:rsidRPr="00CE45E2" w:rsidRDefault="00CE45E2" w:rsidP="00CE45E2">
      <w:pPr>
        <w:pStyle w:val="NormalBold"/>
      </w:pPr>
      <w:r w:rsidRPr="00CE45E2">
        <w:rPr>
          <w:rStyle w:val="HideTWBExt"/>
          <w:b w:val="0"/>
        </w:rPr>
        <w:t>&lt;Article&gt;</w:t>
      </w:r>
      <w:r w:rsidRPr="00CE45E2">
        <w:t>Artykuł 1 – akapit 1 – punkt 6 – litera b</w:t>
      </w:r>
      <w:r w:rsidRPr="00CE45E2">
        <w:rPr>
          <w:rStyle w:val="HideTWBExt"/>
          <w:b w:val="0"/>
        </w:rPr>
        <w:t>&lt;/Article&gt;</w:t>
      </w:r>
    </w:p>
    <w:p w14:paraId="00E6233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7E11B12" w14:textId="77777777" w:rsidR="00CE45E2" w:rsidRPr="00CE45E2" w:rsidRDefault="00CE45E2" w:rsidP="00CE45E2">
      <w:r w:rsidRPr="00CE45E2">
        <w:rPr>
          <w:rStyle w:val="HideTWBExt"/>
        </w:rPr>
        <w:t>&lt;Article2&gt;</w:t>
      </w:r>
      <w:r w:rsidRPr="00CE45E2">
        <w:t>Artykuł 5 – akapit 2</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EA4B58F" w14:textId="77777777" w:rsidTr="006476FB">
        <w:trPr>
          <w:trHeight w:hRule="exact" w:val="240"/>
          <w:jc w:val="center"/>
        </w:trPr>
        <w:tc>
          <w:tcPr>
            <w:tcW w:w="9752" w:type="dxa"/>
            <w:gridSpan w:val="2"/>
            <w:tcBorders>
              <w:top w:val="nil"/>
              <w:left w:val="nil"/>
              <w:bottom w:val="nil"/>
              <w:right w:val="nil"/>
            </w:tcBorders>
          </w:tcPr>
          <w:p w14:paraId="31D83637" w14:textId="77777777" w:rsidR="00CE45E2" w:rsidRPr="00CE45E2" w:rsidRDefault="00CE45E2" w:rsidP="006476FB"/>
        </w:tc>
      </w:tr>
      <w:tr w:rsidR="00CE45E2" w:rsidRPr="00CE45E2" w14:paraId="75FD2FED" w14:textId="77777777" w:rsidTr="006476FB">
        <w:trPr>
          <w:trHeight w:val="240"/>
          <w:jc w:val="center"/>
        </w:trPr>
        <w:tc>
          <w:tcPr>
            <w:tcW w:w="4876" w:type="dxa"/>
            <w:tcBorders>
              <w:top w:val="nil"/>
              <w:left w:val="nil"/>
              <w:bottom w:val="nil"/>
              <w:right w:val="nil"/>
            </w:tcBorders>
          </w:tcPr>
          <w:p w14:paraId="1FD5FB6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F1AE62D" w14:textId="77777777" w:rsidR="00CE45E2" w:rsidRPr="00CE45E2" w:rsidRDefault="00CE45E2" w:rsidP="006476FB">
            <w:pPr>
              <w:pStyle w:val="AmColumnHeading"/>
            </w:pPr>
            <w:r w:rsidRPr="00CE45E2">
              <w:t>Poprawka</w:t>
            </w:r>
          </w:p>
        </w:tc>
      </w:tr>
      <w:tr w:rsidR="00CE45E2" w:rsidRPr="00CE45E2" w14:paraId="3E8E7EA9" w14:textId="77777777" w:rsidTr="006476FB">
        <w:trPr>
          <w:jc w:val="center"/>
        </w:trPr>
        <w:tc>
          <w:tcPr>
            <w:tcW w:w="4876" w:type="dxa"/>
            <w:tcBorders>
              <w:top w:val="nil"/>
              <w:left w:val="nil"/>
              <w:bottom w:val="nil"/>
              <w:right w:val="nil"/>
            </w:tcBorders>
          </w:tcPr>
          <w:p w14:paraId="0D248060" w14:textId="77777777" w:rsidR="00CE45E2" w:rsidRPr="00CE45E2" w:rsidRDefault="00CE45E2" w:rsidP="006476FB">
            <w:pPr>
              <w:pStyle w:val="Normal6a"/>
            </w:pPr>
            <w:bookmarkStart w:id="0" w:name="_Hlk234252541"/>
            <w:r w:rsidRPr="00CE45E2">
              <w:rPr>
                <w:b/>
                <w:bCs/>
                <w:i/>
                <w:iCs/>
              </w:rPr>
              <w:t>b)</w:t>
            </w:r>
            <w:r w:rsidRPr="00CE45E2">
              <w:tab/>
            </w:r>
            <w:r w:rsidRPr="00CE45E2">
              <w:rPr>
                <w:b/>
                <w:bCs/>
                <w:i/>
                <w:iCs/>
              </w:rPr>
              <w:t>skreśla się akapit drugi</w:t>
            </w:r>
            <w:r w:rsidRPr="00CE45E2">
              <w:t>;</w:t>
            </w:r>
          </w:p>
        </w:tc>
        <w:tc>
          <w:tcPr>
            <w:tcW w:w="4876" w:type="dxa"/>
            <w:tcBorders>
              <w:top w:val="nil"/>
              <w:left w:val="nil"/>
              <w:bottom w:val="nil"/>
              <w:right w:val="nil"/>
            </w:tcBorders>
          </w:tcPr>
          <w:p w14:paraId="4C5D9E4B" w14:textId="77777777" w:rsidR="00CE45E2" w:rsidRPr="00CE45E2" w:rsidRDefault="00CE45E2" w:rsidP="006476FB">
            <w:pPr>
              <w:pStyle w:val="Normal6a"/>
              <w:rPr>
                <w:b/>
                <w:bCs/>
                <w:i/>
                <w:iCs/>
              </w:rPr>
            </w:pPr>
            <w:r w:rsidRPr="00CE45E2">
              <w:rPr>
                <w:b/>
                <w:i/>
              </w:rPr>
              <w:t>skreśla się</w:t>
            </w:r>
          </w:p>
        </w:tc>
      </w:tr>
    </w:tbl>
    <w:bookmarkEnd w:id="0"/>
    <w:p w14:paraId="7B9DE3F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33EB0D9" w14:textId="77777777" w:rsidR="00CE45E2" w:rsidRPr="00CE45E2" w:rsidRDefault="00CE45E2" w:rsidP="00CE45E2">
      <w:r w:rsidRPr="00CE45E2">
        <w:rPr>
          <w:rStyle w:val="HideTWBExt"/>
        </w:rPr>
        <w:t>&lt;/Amend&gt;</w:t>
      </w:r>
    </w:p>
    <w:p w14:paraId="045E6071" w14:textId="266504B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216</w:t>
      </w:r>
      <w:r w:rsidRPr="00CE45E2">
        <w:rPr>
          <w:rStyle w:val="HideTWBExt"/>
          <w:b w:val="0"/>
        </w:rPr>
        <w:t>&lt;/NumAm&gt;</w:t>
      </w:r>
    </w:p>
    <w:p w14:paraId="33A6933D"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186B49E1" w14:textId="77777777" w:rsidR="00CE45E2" w:rsidRPr="00CE45E2" w:rsidRDefault="00CE45E2" w:rsidP="00CE45E2">
      <w:pPr>
        <w:pStyle w:val="NormalBold"/>
      </w:pPr>
      <w:r w:rsidRPr="00CE45E2">
        <w:rPr>
          <w:rStyle w:val="HideTWBExt"/>
          <w:b w:val="0"/>
        </w:rPr>
        <w:t>&lt;/RepeatBlock-By&gt;</w:t>
      </w:r>
    </w:p>
    <w:p w14:paraId="66FDF17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7261D74" w14:textId="77777777" w:rsidR="00CE45E2" w:rsidRPr="00CE45E2" w:rsidRDefault="00CE45E2" w:rsidP="00CE45E2">
      <w:pPr>
        <w:pStyle w:val="NormalBold"/>
      </w:pPr>
      <w:r w:rsidRPr="00CE45E2">
        <w:rPr>
          <w:rStyle w:val="HideTWBExt"/>
          <w:b w:val="0"/>
        </w:rPr>
        <w:t>&lt;Article&gt;</w:t>
      </w:r>
      <w:r w:rsidRPr="00CE45E2">
        <w:t>Artykuł 1 – akapit 1 – punkt 6 a (nowy)</w:t>
      </w:r>
      <w:r w:rsidRPr="00CE45E2">
        <w:rPr>
          <w:rStyle w:val="HideTWBExt"/>
          <w:b w:val="0"/>
        </w:rPr>
        <w:t>&lt;/Article&gt;</w:t>
      </w:r>
    </w:p>
    <w:p w14:paraId="4C44CB3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6343820" w14:textId="77777777" w:rsidR="00CE45E2" w:rsidRPr="00CE45E2" w:rsidRDefault="00CE45E2" w:rsidP="00CE45E2">
      <w:r w:rsidRPr="00CE45E2">
        <w:rPr>
          <w:rStyle w:val="HideTWBExt"/>
        </w:rPr>
        <w:t>&lt;Article2&gt;</w:t>
      </w:r>
      <w:r w:rsidRPr="00CE45E2">
        <w:t>Artykuł 5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E082D55" w14:textId="77777777" w:rsidTr="006476FB">
        <w:trPr>
          <w:trHeight w:hRule="exact" w:val="240"/>
          <w:jc w:val="center"/>
        </w:trPr>
        <w:tc>
          <w:tcPr>
            <w:tcW w:w="9752" w:type="dxa"/>
            <w:gridSpan w:val="2"/>
            <w:tcBorders>
              <w:top w:val="nil"/>
              <w:left w:val="nil"/>
              <w:bottom w:val="nil"/>
              <w:right w:val="nil"/>
            </w:tcBorders>
          </w:tcPr>
          <w:p w14:paraId="1C59D9E0" w14:textId="77777777" w:rsidR="00CE45E2" w:rsidRPr="00CE45E2" w:rsidRDefault="00CE45E2" w:rsidP="006476FB"/>
        </w:tc>
      </w:tr>
      <w:tr w:rsidR="00CE45E2" w:rsidRPr="00CE45E2" w14:paraId="40B78194" w14:textId="77777777" w:rsidTr="006476FB">
        <w:trPr>
          <w:trHeight w:val="240"/>
          <w:jc w:val="center"/>
        </w:trPr>
        <w:tc>
          <w:tcPr>
            <w:tcW w:w="4876" w:type="dxa"/>
            <w:tcBorders>
              <w:top w:val="nil"/>
              <w:left w:val="nil"/>
              <w:bottom w:val="nil"/>
              <w:right w:val="nil"/>
            </w:tcBorders>
          </w:tcPr>
          <w:p w14:paraId="5ABFF03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070569D" w14:textId="77777777" w:rsidR="00CE45E2" w:rsidRPr="00CE45E2" w:rsidRDefault="00CE45E2" w:rsidP="006476FB">
            <w:pPr>
              <w:pStyle w:val="AmColumnHeading"/>
            </w:pPr>
            <w:r w:rsidRPr="00CE45E2">
              <w:t>Poprawka</w:t>
            </w:r>
          </w:p>
        </w:tc>
      </w:tr>
      <w:tr w:rsidR="00CE45E2" w:rsidRPr="00CE45E2" w14:paraId="76F3D6B1" w14:textId="77777777" w:rsidTr="006476FB">
        <w:trPr>
          <w:jc w:val="center"/>
        </w:trPr>
        <w:tc>
          <w:tcPr>
            <w:tcW w:w="4876" w:type="dxa"/>
            <w:tcBorders>
              <w:top w:val="nil"/>
              <w:left w:val="nil"/>
              <w:bottom w:val="nil"/>
              <w:right w:val="nil"/>
            </w:tcBorders>
          </w:tcPr>
          <w:p w14:paraId="5AF2DB9D" w14:textId="77777777" w:rsidR="00CE45E2" w:rsidRPr="00CE45E2" w:rsidRDefault="00CE45E2" w:rsidP="006476FB">
            <w:pPr>
              <w:pStyle w:val="Normal6a"/>
            </w:pPr>
          </w:p>
        </w:tc>
        <w:tc>
          <w:tcPr>
            <w:tcW w:w="4876" w:type="dxa"/>
            <w:tcBorders>
              <w:top w:val="nil"/>
              <w:left w:val="nil"/>
              <w:bottom w:val="nil"/>
              <w:right w:val="nil"/>
            </w:tcBorders>
          </w:tcPr>
          <w:p w14:paraId="31DFEF80" w14:textId="77777777" w:rsidR="00CE45E2" w:rsidRPr="00CE45E2" w:rsidRDefault="00CE45E2" w:rsidP="006476FB">
            <w:pPr>
              <w:pStyle w:val="Normal6a"/>
            </w:pPr>
            <w:r w:rsidRPr="00CE45E2">
              <w:rPr>
                <w:b/>
                <w:i/>
              </w:rPr>
              <w:t>6a)</w:t>
            </w:r>
            <w:r w:rsidRPr="00CE45E2">
              <w:tab/>
            </w:r>
            <w:r w:rsidRPr="00CE45E2">
              <w:rPr>
                <w:b/>
                <w:i/>
              </w:rPr>
              <w:t>dodaje się art. 5a w brzmieniu:</w:t>
            </w:r>
          </w:p>
        </w:tc>
      </w:tr>
      <w:tr w:rsidR="00CE45E2" w:rsidRPr="00CE45E2" w14:paraId="3C860FBA" w14:textId="77777777" w:rsidTr="006476FB">
        <w:trPr>
          <w:jc w:val="center"/>
        </w:trPr>
        <w:tc>
          <w:tcPr>
            <w:tcW w:w="4876" w:type="dxa"/>
            <w:tcBorders>
              <w:top w:val="nil"/>
              <w:left w:val="nil"/>
              <w:bottom w:val="nil"/>
              <w:right w:val="nil"/>
            </w:tcBorders>
          </w:tcPr>
          <w:p w14:paraId="0380324D" w14:textId="77777777" w:rsidR="00CE45E2" w:rsidRPr="00CE45E2" w:rsidRDefault="00CE45E2" w:rsidP="006476FB">
            <w:pPr>
              <w:pStyle w:val="Normal6a"/>
            </w:pPr>
          </w:p>
        </w:tc>
        <w:tc>
          <w:tcPr>
            <w:tcW w:w="4876" w:type="dxa"/>
            <w:tcBorders>
              <w:top w:val="nil"/>
              <w:left w:val="nil"/>
              <w:bottom w:val="nil"/>
              <w:right w:val="nil"/>
            </w:tcBorders>
          </w:tcPr>
          <w:p w14:paraId="681659F6" w14:textId="77777777" w:rsidR="00CE45E2" w:rsidRPr="00CE45E2" w:rsidRDefault="00CE45E2" w:rsidP="006476FB">
            <w:pPr>
              <w:pStyle w:val="Normal6a"/>
            </w:pPr>
            <w:r w:rsidRPr="00CE45E2">
              <w:rPr>
                <w:b/>
                <w:i/>
              </w:rPr>
              <w:t>„</w:t>
            </w:r>
          </w:p>
        </w:tc>
      </w:tr>
      <w:tr w:rsidR="00CE45E2" w:rsidRPr="00CE45E2" w14:paraId="65069A2A" w14:textId="77777777" w:rsidTr="006476FB">
        <w:trPr>
          <w:jc w:val="center"/>
        </w:trPr>
        <w:tc>
          <w:tcPr>
            <w:tcW w:w="4876" w:type="dxa"/>
            <w:tcBorders>
              <w:top w:val="nil"/>
              <w:left w:val="nil"/>
              <w:bottom w:val="nil"/>
              <w:right w:val="nil"/>
            </w:tcBorders>
          </w:tcPr>
          <w:p w14:paraId="7E1638D8" w14:textId="77777777" w:rsidR="00CE45E2" w:rsidRPr="00CE45E2" w:rsidRDefault="00CE45E2" w:rsidP="006476FB">
            <w:pPr>
              <w:pStyle w:val="Normal6a"/>
            </w:pPr>
          </w:p>
        </w:tc>
        <w:tc>
          <w:tcPr>
            <w:tcW w:w="4876" w:type="dxa"/>
            <w:tcBorders>
              <w:top w:val="nil"/>
              <w:left w:val="nil"/>
              <w:bottom w:val="nil"/>
              <w:right w:val="nil"/>
            </w:tcBorders>
          </w:tcPr>
          <w:p w14:paraId="358FB459" w14:textId="77777777" w:rsidR="00CE45E2" w:rsidRPr="00CE45E2" w:rsidRDefault="00CE45E2" w:rsidP="006476FB">
            <w:pPr>
              <w:pStyle w:val="Normal6a"/>
            </w:pPr>
            <w:r w:rsidRPr="00CE45E2">
              <w:rPr>
                <w:b/>
                <w:i/>
              </w:rPr>
              <w:t>Artykuł 5a</w:t>
            </w:r>
          </w:p>
        </w:tc>
      </w:tr>
      <w:tr w:rsidR="00CE45E2" w:rsidRPr="00CE45E2" w14:paraId="2B2D90AF" w14:textId="77777777" w:rsidTr="006476FB">
        <w:trPr>
          <w:jc w:val="center"/>
        </w:trPr>
        <w:tc>
          <w:tcPr>
            <w:tcW w:w="4876" w:type="dxa"/>
            <w:tcBorders>
              <w:top w:val="nil"/>
              <w:left w:val="nil"/>
              <w:bottom w:val="nil"/>
              <w:right w:val="nil"/>
            </w:tcBorders>
          </w:tcPr>
          <w:p w14:paraId="4955234F" w14:textId="77777777" w:rsidR="00CE45E2" w:rsidRPr="00CE45E2" w:rsidRDefault="00CE45E2" w:rsidP="006476FB">
            <w:pPr>
              <w:pStyle w:val="Normal6a"/>
            </w:pPr>
          </w:p>
        </w:tc>
        <w:tc>
          <w:tcPr>
            <w:tcW w:w="4876" w:type="dxa"/>
            <w:tcBorders>
              <w:top w:val="nil"/>
              <w:left w:val="nil"/>
              <w:bottom w:val="nil"/>
              <w:right w:val="nil"/>
            </w:tcBorders>
          </w:tcPr>
          <w:p w14:paraId="623876AC" w14:textId="77777777" w:rsidR="00CE45E2" w:rsidRPr="00CE45E2" w:rsidRDefault="00CE45E2" w:rsidP="006476FB">
            <w:pPr>
              <w:pStyle w:val="Normal6a"/>
            </w:pPr>
            <w:r w:rsidRPr="00CE45E2">
              <w:rPr>
                <w:b/>
                <w:i/>
              </w:rPr>
              <w:t>Wprowadzenie i rozwój IORP w państwach członkowskich</w:t>
            </w:r>
          </w:p>
        </w:tc>
      </w:tr>
      <w:tr w:rsidR="00CE45E2" w:rsidRPr="00CE45E2" w14:paraId="63334CE6" w14:textId="77777777" w:rsidTr="006476FB">
        <w:trPr>
          <w:jc w:val="center"/>
        </w:trPr>
        <w:tc>
          <w:tcPr>
            <w:tcW w:w="4876" w:type="dxa"/>
            <w:tcBorders>
              <w:top w:val="nil"/>
              <w:left w:val="nil"/>
              <w:bottom w:val="nil"/>
              <w:right w:val="nil"/>
            </w:tcBorders>
          </w:tcPr>
          <w:p w14:paraId="0E144825" w14:textId="77777777" w:rsidR="00CE45E2" w:rsidRPr="00CE45E2" w:rsidRDefault="00CE45E2" w:rsidP="006476FB">
            <w:pPr>
              <w:pStyle w:val="Normal6a"/>
            </w:pPr>
          </w:p>
        </w:tc>
        <w:tc>
          <w:tcPr>
            <w:tcW w:w="4876" w:type="dxa"/>
            <w:tcBorders>
              <w:top w:val="nil"/>
              <w:left w:val="nil"/>
              <w:bottom w:val="nil"/>
              <w:right w:val="nil"/>
            </w:tcBorders>
          </w:tcPr>
          <w:p w14:paraId="3B205A41" w14:textId="77777777" w:rsidR="00CE45E2" w:rsidRPr="00CE45E2" w:rsidRDefault="00CE45E2" w:rsidP="006476FB">
            <w:pPr>
              <w:pStyle w:val="Normal6a"/>
            </w:pPr>
            <w:r w:rsidRPr="00CE45E2">
              <w:rPr>
                <w:b/>
                <w:i/>
              </w:rPr>
              <w:t>1. Bez uszczerbku dla art. 5 niniejszej dyrektywy państwa członkowskie mogą postanowić, że art. 18a, 19, 21, 22, 23, 24, 25, 26, 27, 28, 33, 36, 37, 37a, 38, 39, 40, 41, 41a, 42, 43, 44, 44b i 44c niniejszej dyrektywy nie mają zastosowania lub mają zastosowanie częściowe do IORP nowo zarejestrowanych lub posiadających zezwolenie na ich terytorium, które mają mniej niż 2 500 uczestników i których łączne aktywa nie przekraczają 100 mln EUR, przez okres nie dłuższy niż 3 lata od daty ich pierwszego zezwolenia lub rejestracji.</w:t>
            </w:r>
          </w:p>
        </w:tc>
      </w:tr>
      <w:tr w:rsidR="00CE45E2" w:rsidRPr="00CE45E2" w14:paraId="69E2B431" w14:textId="77777777" w:rsidTr="006476FB">
        <w:trPr>
          <w:jc w:val="center"/>
        </w:trPr>
        <w:tc>
          <w:tcPr>
            <w:tcW w:w="4876" w:type="dxa"/>
            <w:tcBorders>
              <w:top w:val="nil"/>
              <w:left w:val="nil"/>
              <w:bottom w:val="nil"/>
              <w:right w:val="nil"/>
            </w:tcBorders>
          </w:tcPr>
          <w:p w14:paraId="4219F2DD" w14:textId="77777777" w:rsidR="00CE45E2" w:rsidRPr="00CE45E2" w:rsidRDefault="00CE45E2" w:rsidP="006476FB">
            <w:pPr>
              <w:pStyle w:val="Normal6a"/>
            </w:pPr>
          </w:p>
        </w:tc>
        <w:tc>
          <w:tcPr>
            <w:tcW w:w="4876" w:type="dxa"/>
            <w:tcBorders>
              <w:top w:val="nil"/>
              <w:left w:val="nil"/>
              <w:bottom w:val="nil"/>
              <w:right w:val="nil"/>
            </w:tcBorders>
          </w:tcPr>
          <w:p w14:paraId="7886E3EB" w14:textId="77777777" w:rsidR="00CE45E2" w:rsidRPr="00CE45E2" w:rsidRDefault="00CE45E2" w:rsidP="006476FB">
            <w:pPr>
              <w:pStyle w:val="Normal6a"/>
            </w:pPr>
            <w:r w:rsidRPr="00CE45E2">
              <w:rPr>
                <w:b/>
                <w:i/>
              </w:rPr>
              <w:t>2. Właściwy organ państwa członkowskiego może zwrócić się do EIOPA o udzielenie wsparcia technicznego w zakresie stosowania niniejszej dyrektywy, wdrożonej do prawa krajowego, jeżeli system emerytur kapitałowych w tym państwie członkowskim pozostaje słabo rozwinięty w porównaniu z innymi państwami członkowskimi. EIOPA powołuje stały zespół doradczy złożony z krajowych ekspertów z organów publicznych, właściwych organów oraz partnerów społecznych w celu pomocy w udzielaniu takiego wsparcia.</w:t>
            </w:r>
          </w:p>
        </w:tc>
      </w:tr>
      <w:tr w:rsidR="00CE45E2" w:rsidRPr="00CE45E2" w14:paraId="1B0ECF76" w14:textId="77777777" w:rsidTr="006476FB">
        <w:trPr>
          <w:jc w:val="center"/>
        </w:trPr>
        <w:tc>
          <w:tcPr>
            <w:tcW w:w="4876" w:type="dxa"/>
            <w:tcBorders>
              <w:top w:val="nil"/>
              <w:left w:val="nil"/>
              <w:bottom w:val="nil"/>
              <w:right w:val="nil"/>
            </w:tcBorders>
          </w:tcPr>
          <w:p w14:paraId="3927A586" w14:textId="77777777" w:rsidR="00CE45E2" w:rsidRPr="00CE45E2" w:rsidRDefault="00CE45E2" w:rsidP="006476FB">
            <w:pPr>
              <w:pStyle w:val="Normal6a"/>
            </w:pPr>
          </w:p>
        </w:tc>
        <w:tc>
          <w:tcPr>
            <w:tcW w:w="4876" w:type="dxa"/>
            <w:tcBorders>
              <w:top w:val="nil"/>
              <w:left w:val="nil"/>
              <w:bottom w:val="nil"/>
              <w:right w:val="nil"/>
            </w:tcBorders>
          </w:tcPr>
          <w:p w14:paraId="4105EAD5" w14:textId="77777777" w:rsidR="00CE45E2" w:rsidRPr="00CE45E2" w:rsidRDefault="00CE45E2" w:rsidP="006476FB">
            <w:pPr>
              <w:pStyle w:val="Normal6a"/>
            </w:pPr>
            <w:r w:rsidRPr="00CE45E2">
              <w:rPr>
                <w:b/>
                <w:i/>
              </w:rPr>
              <w:t>Wsparcie techniczne może obejmować między innymi wymianę najlepszych praktyk, warsztaty techniczne, szkolenia dla właściwych organów i zaangażowanych partnerów społecznych, wsparcie działań informacyjnych skierowanych do opinii publicznej oraz pomoc w koordynacji dialogu społecznego i rokowań zbiorowych związanych z tworzeniem IORP oraz systemów emerytalnych.</w:t>
            </w:r>
          </w:p>
        </w:tc>
      </w:tr>
      <w:tr w:rsidR="00CE45E2" w:rsidRPr="00CE45E2" w14:paraId="270D5600" w14:textId="77777777" w:rsidTr="006476FB">
        <w:trPr>
          <w:jc w:val="center"/>
        </w:trPr>
        <w:tc>
          <w:tcPr>
            <w:tcW w:w="4876" w:type="dxa"/>
            <w:tcBorders>
              <w:top w:val="nil"/>
              <w:left w:val="nil"/>
              <w:bottom w:val="nil"/>
              <w:right w:val="nil"/>
            </w:tcBorders>
          </w:tcPr>
          <w:p w14:paraId="2239B2CB" w14:textId="77777777" w:rsidR="00CE45E2" w:rsidRPr="00CE45E2" w:rsidRDefault="00CE45E2" w:rsidP="006476FB">
            <w:pPr>
              <w:pStyle w:val="Normal6a"/>
            </w:pPr>
          </w:p>
        </w:tc>
        <w:tc>
          <w:tcPr>
            <w:tcW w:w="4876" w:type="dxa"/>
            <w:tcBorders>
              <w:top w:val="nil"/>
              <w:left w:val="nil"/>
              <w:bottom w:val="nil"/>
              <w:right w:val="nil"/>
            </w:tcBorders>
          </w:tcPr>
          <w:p w14:paraId="1A8CCFD1" w14:textId="77777777" w:rsidR="00CE45E2" w:rsidRPr="00CE45E2" w:rsidRDefault="00CE45E2" w:rsidP="006476FB">
            <w:pPr>
              <w:pStyle w:val="Normal6a"/>
            </w:pPr>
            <w:r w:rsidRPr="00CE45E2">
              <w:rPr>
                <w:b/>
                <w:i/>
              </w:rPr>
              <w:t>”</w:t>
            </w:r>
          </w:p>
        </w:tc>
      </w:tr>
    </w:tbl>
    <w:p w14:paraId="45A9060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058439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5248DB4" w14:textId="77777777" w:rsidR="00CE45E2" w:rsidRPr="00CE45E2" w:rsidRDefault="00CE45E2" w:rsidP="00CE45E2">
      <w:pPr>
        <w:pStyle w:val="AmJustText"/>
      </w:pPr>
      <w:r w:rsidRPr="00CE45E2">
        <w:t xml:space="preserve">One of the </w:t>
      </w:r>
      <w:proofErr w:type="spellStart"/>
      <w:r w:rsidRPr="00CE45E2">
        <w:t>main</w:t>
      </w:r>
      <w:proofErr w:type="spellEnd"/>
      <w:r w:rsidRPr="00CE45E2">
        <w:t xml:space="preserve"> </w:t>
      </w:r>
      <w:proofErr w:type="spellStart"/>
      <w:r w:rsidRPr="00CE45E2">
        <w:t>aims</w:t>
      </w:r>
      <w:proofErr w:type="spellEnd"/>
      <w:r w:rsidRPr="00CE45E2">
        <w:t xml:space="preserve"> of </w:t>
      </w:r>
      <w:proofErr w:type="spellStart"/>
      <w:r w:rsidRPr="00CE45E2">
        <w:t>this</w:t>
      </w:r>
      <w:proofErr w:type="spellEnd"/>
      <w:r w:rsidRPr="00CE45E2">
        <w:t xml:space="preserve"> </w:t>
      </w:r>
      <w:proofErr w:type="spellStart"/>
      <w:r w:rsidRPr="00CE45E2">
        <w:t>review</w:t>
      </w:r>
      <w:proofErr w:type="spellEnd"/>
      <w:r w:rsidRPr="00CE45E2">
        <w:t xml:space="preserve"> </w:t>
      </w:r>
      <w:proofErr w:type="spellStart"/>
      <w:r w:rsidRPr="00CE45E2">
        <w:t>should</w:t>
      </w:r>
      <w:proofErr w:type="spellEnd"/>
      <w:r w:rsidRPr="00CE45E2">
        <w:t xml:space="preserve"> be to </w:t>
      </w:r>
      <w:proofErr w:type="spellStart"/>
      <w:r w:rsidRPr="00CE45E2">
        <w:t>encourage</w:t>
      </w:r>
      <w:proofErr w:type="spellEnd"/>
      <w:r w:rsidRPr="00CE45E2">
        <w:t xml:space="preserve"> and </w:t>
      </w:r>
      <w:proofErr w:type="spellStart"/>
      <w:r w:rsidRPr="00CE45E2">
        <w:t>support</w:t>
      </w:r>
      <w:proofErr w:type="spellEnd"/>
      <w:r w:rsidRPr="00CE45E2">
        <w:t xml:space="preserve"> </w:t>
      </w:r>
      <w:proofErr w:type="spellStart"/>
      <w:r w:rsidRPr="00CE45E2">
        <w:t>Member</w:t>
      </w:r>
      <w:proofErr w:type="spellEnd"/>
      <w:r w:rsidRPr="00CE45E2">
        <w:t xml:space="preserve"> </w:t>
      </w:r>
      <w:proofErr w:type="spellStart"/>
      <w:r w:rsidRPr="00CE45E2">
        <w:t>States</w:t>
      </w:r>
      <w:proofErr w:type="spellEnd"/>
      <w:r w:rsidRPr="00CE45E2">
        <w:t xml:space="preserve"> to </w:t>
      </w:r>
      <w:proofErr w:type="spellStart"/>
      <w:r w:rsidRPr="00CE45E2">
        <w:t>further</w:t>
      </w:r>
      <w:proofErr w:type="spellEnd"/>
      <w:r w:rsidRPr="00CE45E2">
        <w:t xml:space="preserve"> </w:t>
      </w:r>
      <w:proofErr w:type="spellStart"/>
      <w:r w:rsidRPr="00CE45E2">
        <w:t>develop</w:t>
      </w:r>
      <w:proofErr w:type="spellEnd"/>
      <w:r w:rsidRPr="00CE45E2">
        <w:t xml:space="preserve"> </w:t>
      </w:r>
      <w:proofErr w:type="spellStart"/>
      <w:r w:rsidRPr="00CE45E2">
        <w:t>funded</w:t>
      </w:r>
      <w:proofErr w:type="spellEnd"/>
      <w:r w:rsidRPr="00CE45E2">
        <w:t xml:space="preserve"> and </w:t>
      </w:r>
      <w:proofErr w:type="spellStart"/>
      <w:r w:rsidRPr="00CE45E2">
        <w:t>supplementary</w:t>
      </w:r>
      <w:proofErr w:type="spellEnd"/>
      <w:r w:rsidRPr="00CE45E2">
        <w:t xml:space="preserve"> </w:t>
      </w:r>
      <w:proofErr w:type="spellStart"/>
      <w:r w:rsidRPr="00CE45E2">
        <w:t>pension</w:t>
      </w:r>
      <w:proofErr w:type="spellEnd"/>
      <w:r w:rsidRPr="00CE45E2">
        <w:t xml:space="preserve"> </w:t>
      </w:r>
      <w:proofErr w:type="spellStart"/>
      <w:r w:rsidRPr="00CE45E2">
        <w:t>systems</w:t>
      </w:r>
      <w:proofErr w:type="spellEnd"/>
      <w:r w:rsidRPr="00CE45E2">
        <w:t xml:space="preserve"> and </w:t>
      </w:r>
      <w:proofErr w:type="spellStart"/>
      <w:r w:rsidRPr="00CE45E2">
        <w:t>establish</w:t>
      </w:r>
      <w:proofErr w:type="spellEnd"/>
      <w:r w:rsidRPr="00CE45E2">
        <w:t xml:space="preserve"> </w:t>
      </w:r>
      <w:proofErr w:type="spellStart"/>
      <w:r w:rsidRPr="00CE45E2">
        <w:t>more</w:t>
      </w:r>
      <w:proofErr w:type="spellEnd"/>
      <w:r w:rsidRPr="00CE45E2">
        <w:t xml:space="preserve"> </w:t>
      </w:r>
      <w:proofErr w:type="spellStart"/>
      <w:r w:rsidRPr="00CE45E2">
        <w:t>IORPs</w:t>
      </w:r>
      <w:proofErr w:type="spellEnd"/>
      <w:r w:rsidRPr="00CE45E2">
        <w:t xml:space="preserve">. </w:t>
      </w:r>
      <w:proofErr w:type="spellStart"/>
      <w:r w:rsidRPr="00CE45E2">
        <w:t>Since</w:t>
      </w:r>
      <w:proofErr w:type="spellEnd"/>
      <w:r w:rsidRPr="00CE45E2">
        <w:t xml:space="preserve"> regulatory </w:t>
      </w:r>
      <w:proofErr w:type="spellStart"/>
      <w:r w:rsidRPr="00CE45E2">
        <w:t>burden</w:t>
      </w:r>
      <w:proofErr w:type="spellEnd"/>
      <w:r w:rsidRPr="00CE45E2">
        <w:t xml:space="preserve"> </w:t>
      </w:r>
      <w:proofErr w:type="spellStart"/>
      <w:r w:rsidRPr="00CE45E2">
        <w:t>is</w:t>
      </w:r>
      <w:proofErr w:type="spellEnd"/>
      <w:r w:rsidRPr="00CE45E2">
        <w:t xml:space="preserve"> </w:t>
      </w:r>
      <w:proofErr w:type="spellStart"/>
      <w:r w:rsidRPr="00CE45E2">
        <w:t>often</w:t>
      </w:r>
      <w:proofErr w:type="spellEnd"/>
      <w:r w:rsidRPr="00CE45E2">
        <w:t xml:space="preserve"> </w:t>
      </w:r>
      <w:proofErr w:type="spellStart"/>
      <w:r w:rsidRPr="00CE45E2">
        <w:t>mentioned</w:t>
      </w:r>
      <w:proofErr w:type="spellEnd"/>
      <w:r w:rsidRPr="00CE45E2">
        <w:t xml:space="preserve"> as a major </w:t>
      </w:r>
      <w:proofErr w:type="spellStart"/>
      <w:r w:rsidRPr="00CE45E2">
        <w:t>obstacle</w:t>
      </w:r>
      <w:proofErr w:type="spellEnd"/>
      <w:r w:rsidRPr="00CE45E2">
        <w:t xml:space="preserve"> for small </w:t>
      </w:r>
      <w:proofErr w:type="spellStart"/>
      <w:r w:rsidRPr="00CE45E2">
        <w:t>IORPs</w:t>
      </w:r>
      <w:proofErr w:type="spellEnd"/>
      <w:r w:rsidRPr="00CE45E2">
        <w:t xml:space="preserve">, </w:t>
      </w:r>
      <w:proofErr w:type="spellStart"/>
      <w:r w:rsidRPr="00CE45E2">
        <w:t>an</w:t>
      </w:r>
      <w:proofErr w:type="spellEnd"/>
      <w:r w:rsidRPr="00CE45E2">
        <w:t xml:space="preserve"> </w:t>
      </w:r>
      <w:proofErr w:type="spellStart"/>
      <w:r w:rsidRPr="00CE45E2">
        <w:t>initial</w:t>
      </w:r>
      <w:proofErr w:type="spellEnd"/>
      <w:r w:rsidRPr="00CE45E2">
        <w:t xml:space="preserve"> </w:t>
      </w:r>
      <w:proofErr w:type="spellStart"/>
      <w:r w:rsidRPr="00CE45E2">
        <w:t>phase</w:t>
      </w:r>
      <w:proofErr w:type="spellEnd"/>
      <w:r w:rsidRPr="00CE45E2">
        <w:t xml:space="preserve"> ('starter </w:t>
      </w:r>
      <w:proofErr w:type="spellStart"/>
      <w:r w:rsidRPr="00CE45E2">
        <w:t>pack</w:t>
      </w:r>
      <w:proofErr w:type="spellEnd"/>
      <w:r w:rsidRPr="00CE45E2">
        <w:t xml:space="preserve">') with a </w:t>
      </w:r>
      <w:proofErr w:type="spellStart"/>
      <w:r w:rsidRPr="00CE45E2">
        <w:t>lower</w:t>
      </w:r>
      <w:proofErr w:type="spellEnd"/>
      <w:r w:rsidRPr="00CE45E2">
        <w:t xml:space="preserve"> </w:t>
      </w:r>
      <w:proofErr w:type="spellStart"/>
      <w:r w:rsidRPr="00CE45E2">
        <w:t>burden</w:t>
      </w:r>
      <w:proofErr w:type="spellEnd"/>
      <w:r w:rsidRPr="00CE45E2">
        <w:t xml:space="preserve"> </w:t>
      </w:r>
      <w:proofErr w:type="spellStart"/>
      <w:r w:rsidRPr="00CE45E2">
        <w:t>could</w:t>
      </w:r>
      <w:proofErr w:type="spellEnd"/>
      <w:r w:rsidRPr="00CE45E2">
        <w:t xml:space="preserve"> </w:t>
      </w:r>
      <w:proofErr w:type="spellStart"/>
      <w:r w:rsidRPr="00CE45E2">
        <w:t>support</w:t>
      </w:r>
      <w:proofErr w:type="spellEnd"/>
      <w:r w:rsidRPr="00CE45E2">
        <w:t xml:space="preserve"> the establishment of </w:t>
      </w:r>
      <w:proofErr w:type="spellStart"/>
      <w:r w:rsidRPr="00CE45E2">
        <w:t>new</w:t>
      </w:r>
      <w:proofErr w:type="spellEnd"/>
      <w:r w:rsidRPr="00CE45E2">
        <w:t xml:space="preserve"> </w:t>
      </w:r>
      <w:proofErr w:type="spellStart"/>
      <w:r w:rsidRPr="00CE45E2">
        <w:t>IORPs</w:t>
      </w:r>
      <w:proofErr w:type="spellEnd"/>
      <w:r w:rsidRPr="00CE45E2">
        <w:t xml:space="preserve"> and </w:t>
      </w:r>
      <w:proofErr w:type="spellStart"/>
      <w:r w:rsidRPr="00CE45E2">
        <w:t>therefore</w:t>
      </w:r>
      <w:proofErr w:type="spellEnd"/>
      <w:r w:rsidRPr="00CE45E2">
        <w:t xml:space="preserve"> </w:t>
      </w:r>
      <w:proofErr w:type="spellStart"/>
      <w:r w:rsidRPr="00CE45E2">
        <w:t>increase</w:t>
      </w:r>
      <w:proofErr w:type="spellEnd"/>
      <w:r w:rsidRPr="00CE45E2">
        <w:t xml:space="preserve"> the </w:t>
      </w:r>
      <w:proofErr w:type="spellStart"/>
      <w:r w:rsidRPr="00CE45E2">
        <w:t>amount</w:t>
      </w:r>
      <w:proofErr w:type="spellEnd"/>
      <w:r w:rsidRPr="00CE45E2">
        <w:t xml:space="preserve"> of </w:t>
      </w:r>
      <w:proofErr w:type="spellStart"/>
      <w:r w:rsidRPr="00CE45E2">
        <w:t>funded</w:t>
      </w:r>
      <w:proofErr w:type="spellEnd"/>
      <w:r w:rsidRPr="00CE45E2">
        <w:t xml:space="preserve"> </w:t>
      </w:r>
      <w:proofErr w:type="spellStart"/>
      <w:r w:rsidRPr="00CE45E2">
        <w:t>pension</w:t>
      </w:r>
      <w:proofErr w:type="spellEnd"/>
      <w:r w:rsidRPr="00CE45E2">
        <w:t xml:space="preserve"> </w:t>
      </w:r>
      <w:proofErr w:type="spellStart"/>
      <w:r w:rsidRPr="00CE45E2">
        <w:t>capital</w:t>
      </w:r>
      <w:proofErr w:type="spellEnd"/>
      <w:r w:rsidRPr="00CE45E2">
        <w:t xml:space="preserve"> in Europe. </w:t>
      </w:r>
      <w:proofErr w:type="spellStart"/>
      <w:r w:rsidRPr="00CE45E2">
        <w:t>Member</w:t>
      </w:r>
      <w:proofErr w:type="spellEnd"/>
      <w:r w:rsidRPr="00CE45E2">
        <w:t xml:space="preserve"> </w:t>
      </w:r>
      <w:proofErr w:type="spellStart"/>
      <w:r w:rsidRPr="00CE45E2">
        <w:t>State</w:t>
      </w:r>
      <w:proofErr w:type="spellEnd"/>
      <w:r w:rsidRPr="00CE45E2">
        <w:t xml:space="preserve"> </w:t>
      </w:r>
      <w:proofErr w:type="spellStart"/>
      <w:r w:rsidRPr="00CE45E2">
        <w:t>should</w:t>
      </w:r>
      <w:proofErr w:type="spellEnd"/>
      <w:r w:rsidRPr="00CE45E2">
        <w:t xml:space="preserve"> be </w:t>
      </w:r>
      <w:proofErr w:type="spellStart"/>
      <w:r w:rsidRPr="00CE45E2">
        <w:t>able</w:t>
      </w:r>
      <w:proofErr w:type="spellEnd"/>
      <w:r w:rsidRPr="00CE45E2">
        <w:t xml:space="preserve"> to not </w:t>
      </w:r>
      <w:proofErr w:type="spellStart"/>
      <w:r w:rsidRPr="00CE45E2">
        <w:t>or</w:t>
      </w:r>
      <w:proofErr w:type="spellEnd"/>
      <w:r w:rsidRPr="00CE45E2">
        <w:t xml:space="preserve"> </w:t>
      </w:r>
      <w:proofErr w:type="spellStart"/>
      <w:r w:rsidRPr="00CE45E2">
        <w:t>partially</w:t>
      </w:r>
      <w:proofErr w:type="spellEnd"/>
      <w:r w:rsidRPr="00CE45E2">
        <w:t xml:space="preserve"> </w:t>
      </w:r>
      <w:proofErr w:type="spellStart"/>
      <w:r w:rsidRPr="00CE45E2">
        <w:t>apply</w:t>
      </w:r>
      <w:proofErr w:type="spellEnd"/>
      <w:r w:rsidRPr="00CE45E2">
        <w:t xml:space="preserve"> </w:t>
      </w:r>
      <w:proofErr w:type="spellStart"/>
      <w:r w:rsidRPr="00CE45E2">
        <w:t>some</w:t>
      </w:r>
      <w:proofErr w:type="spellEnd"/>
      <w:r w:rsidRPr="00CE45E2">
        <w:t xml:space="preserve"> </w:t>
      </w:r>
      <w:proofErr w:type="spellStart"/>
      <w:r w:rsidRPr="00CE45E2">
        <w:t>burdensome</w:t>
      </w:r>
      <w:proofErr w:type="spellEnd"/>
      <w:r w:rsidRPr="00CE45E2">
        <w:t xml:space="preserve"> </w:t>
      </w:r>
      <w:proofErr w:type="spellStart"/>
      <w:r w:rsidRPr="00CE45E2">
        <w:t>provisions</w:t>
      </w:r>
      <w:proofErr w:type="spellEnd"/>
      <w:r w:rsidRPr="00CE45E2">
        <w:t xml:space="preserve"> for </w:t>
      </w:r>
      <w:proofErr w:type="spellStart"/>
      <w:r w:rsidRPr="00CE45E2">
        <w:t>new</w:t>
      </w:r>
      <w:proofErr w:type="spellEnd"/>
      <w:r w:rsidRPr="00CE45E2">
        <w:t xml:space="preserve"> </w:t>
      </w:r>
      <w:proofErr w:type="spellStart"/>
      <w:r w:rsidRPr="00CE45E2">
        <w:t>IORPs</w:t>
      </w:r>
      <w:proofErr w:type="spellEnd"/>
      <w:r w:rsidRPr="00CE45E2">
        <w:t xml:space="preserve"> for a maximum of </w:t>
      </w:r>
      <w:proofErr w:type="spellStart"/>
      <w:r w:rsidRPr="00CE45E2">
        <w:t>three</w:t>
      </w:r>
      <w:proofErr w:type="spellEnd"/>
      <w:r w:rsidRPr="00CE45E2">
        <w:t xml:space="preserve"> </w:t>
      </w:r>
      <w:proofErr w:type="spellStart"/>
      <w:r w:rsidRPr="00CE45E2">
        <w:t>years</w:t>
      </w:r>
      <w:proofErr w:type="spellEnd"/>
      <w:r w:rsidRPr="00CE45E2">
        <w:t xml:space="preserve">, </w:t>
      </w:r>
      <w:proofErr w:type="spellStart"/>
      <w:r w:rsidRPr="00CE45E2">
        <w:t>while</w:t>
      </w:r>
      <w:proofErr w:type="spellEnd"/>
      <w:r w:rsidRPr="00CE45E2">
        <w:t xml:space="preserve"> </w:t>
      </w:r>
      <w:proofErr w:type="spellStart"/>
      <w:r w:rsidRPr="00CE45E2">
        <w:t>taking</w:t>
      </w:r>
      <w:proofErr w:type="spellEnd"/>
      <w:r w:rsidRPr="00CE45E2">
        <w:t xml:space="preserve"> </w:t>
      </w:r>
      <w:proofErr w:type="spellStart"/>
      <w:r w:rsidRPr="00CE45E2">
        <w:t>into</w:t>
      </w:r>
      <w:proofErr w:type="spellEnd"/>
      <w:r w:rsidRPr="00CE45E2">
        <w:t xml:space="preserve"> </w:t>
      </w:r>
      <w:proofErr w:type="spellStart"/>
      <w:r w:rsidRPr="00CE45E2">
        <w:t>account</w:t>
      </w:r>
      <w:proofErr w:type="spellEnd"/>
      <w:r w:rsidRPr="00CE45E2">
        <w:t xml:space="preserve"> the </w:t>
      </w:r>
      <w:proofErr w:type="spellStart"/>
      <w:r w:rsidRPr="00CE45E2">
        <w:t>aims</w:t>
      </w:r>
      <w:proofErr w:type="spellEnd"/>
      <w:r w:rsidRPr="00CE45E2">
        <w:t xml:space="preserve"> of </w:t>
      </w:r>
      <w:proofErr w:type="spellStart"/>
      <w:r w:rsidRPr="00CE45E2">
        <w:t>these</w:t>
      </w:r>
      <w:proofErr w:type="spellEnd"/>
      <w:r w:rsidRPr="00CE45E2">
        <w:t xml:space="preserve"> </w:t>
      </w:r>
      <w:proofErr w:type="spellStart"/>
      <w:r w:rsidRPr="00CE45E2">
        <w:t>provisions</w:t>
      </w:r>
      <w:proofErr w:type="spellEnd"/>
      <w:r w:rsidRPr="00CE45E2">
        <w:t xml:space="preserve">. In </w:t>
      </w:r>
      <w:proofErr w:type="spellStart"/>
      <w:r w:rsidRPr="00CE45E2">
        <w:t>addition</w:t>
      </w:r>
      <w:proofErr w:type="spellEnd"/>
      <w:r w:rsidRPr="00CE45E2">
        <w:t xml:space="preserve">, as the </w:t>
      </w:r>
      <w:proofErr w:type="spellStart"/>
      <w:r w:rsidRPr="00CE45E2">
        <w:t>social</w:t>
      </w:r>
      <w:proofErr w:type="spellEnd"/>
      <w:r w:rsidRPr="00CE45E2">
        <w:t xml:space="preserve"> </w:t>
      </w:r>
      <w:proofErr w:type="spellStart"/>
      <w:r w:rsidRPr="00CE45E2">
        <w:t>dialogue</w:t>
      </w:r>
      <w:proofErr w:type="spellEnd"/>
      <w:r w:rsidRPr="00CE45E2">
        <w:t xml:space="preserve"> and </w:t>
      </w:r>
      <w:proofErr w:type="spellStart"/>
      <w:r w:rsidRPr="00CE45E2">
        <w:t>collective</w:t>
      </w:r>
      <w:proofErr w:type="spellEnd"/>
      <w:r w:rsidRPr="00CE45E2">
        <w:t xml:space="preserve"> </w:t>
      </w:r>
      <w:proofErr w:type="spellStart"/>
      <w:r w:rsidRPr="00CE45E2">
        <w:t>bargaining</w:t>
      </w:r>
      <w:proofErr w:type="spellEnd"/>
      <w:r w:rsidRPr="00CE45E2">
        <w:t xml:space="preserve"> to </w:t>
      </w:r>
      <w:proofErr w:type="spellStart"/>
      <w:r w:rsidRPr="00CE45E2">
        <w:t>establish</w:t>
      </w:r>
      <w:proofErr w:type="spellEnd"/>
      <w:r w:rsidRPr="00CE45E2">
        <w:t xml:space="preserve"> </w:t>
      </w:r>
      <w:proofErr w:type="spellStart"/>
      <w:r w:rsidRPr="00CE45E2">
        <w:t>IORPs</w:t>
      </w:r>
      <w:proofErr w:type="spellEnd"/>
      <w:r w:rsidRPr="00CE45E2">
        <w:t xml:space="preserve"> </w:t>
      </w:r>
      <w:proofErr w:type="spellStart"/>
      <w:r w:rsidRPr="00CE45E2">
        <w:t>generally</w:t>
      </w:r>
      <w:proofErr w:type="spellEnd"/>
      <w:r w:rsidRPr="00CE45E2">
        <w:t xml:space="preserve"> </w:t>
      </w:r>
      <w:proofErr w:type="spellStart"/>
      <w:r w:rsidRPr="00CE45E2">
        <w:t>is</w:t>
      </w:r>
      <w:proofErr w:type="spellEnd"/>
      <w:r w:rsidRPr="00CE45E2">
        <w:t xml:space="preserve"> a </w:t>
      </w:r>
      <w:proofErr w:type="spellStart"/>
      <w:r w:rsidRPr="00CE45E2">
        <w:t>sensitive</w:t>
      </w:r>
      <w:proofErr w:type="spellEnd"/>
      <w:r w:rsidRPr="00CE45E2">
        <w:t xml:space="preserve"> </w:t>
      </w:r>
      <w:proofErr w:type="spellStart"/>
      <w:r w:rsidRPr="00CE45E2">
        <w:t>process</w:t>
      </w:r>
      <w:proofErr w:type="spellEnd"/>
      <w:r w:rsidRPr="00CE45E2">
        <w:t xml:space="preserve"> </w:t>
      </w:r>
      <w:proofErr w:type="spellStart"/>
      <w:r w:rsidRPr="00CE45E2">
        <w:t>requiring</w:t>
      </w:r>
      <w:proofErr w:type="spellEnd"/>
      <w:r w:rsidRPr="00CE45E2">
        <w:t xml:space="preserve"> </w:t>
      </w:r>
      <w:proofErr w:type="spellStart"/>
      <w:r w:rsidRPr="00CE45E2">
        <w:t>sufficient</w:t>
      </w:r>
      <w:proofErr w:type="spellEnd"/>
      <w:r w:rsidRPr="00CE45E2">
        <w:t xml:space="preserve"> trust, </w:t>
      </w:r>
      <w:proofErr w:type="spellStart"/>
      <w:r w:rsidRPr="00CE45E2">
        <w:t>national</w:t>
      </w:r>
      <w:proofErr w:type="spellEnd"/>
      <w:r w:rsidRPr="00CE45E2">
        <w:t xml:space="preserve"> </w:t>
      </w:r>
      <w:proofErr w:type="spellStart"/>
      <w:r w:rsidRPr="00CE45E2">
        <w:t>competent</w:t>
      </w:r>
      <w:proofErr w:type="spellEnd"/>
      <w:r w:rsidRPr="00CE45E2">
        <w:t xml:space="preserve"> </w:t>
      </w:r>
      <w:proofErr w:type="spellStart"/>
      <w:r w:rsidRPr="00CE45E2">
        <w:t>authorities</w:t>
      </w:r>
      <w:proofErr w:type="spellEnd"/>
      <w:r w:rsidRPr="00CE45E2">
        <w:t xml:space="preserve"> </w:t>
      </w:r>
      <w:proofErr w:type="spellStart"/>
      <w:r w:rsidRPr="00CE45E2">
        <w:t>should</w:t>
      </w:r>
      <w:proofErr w:type="spellEnd"/>
      <w:r w:rsidRPr="00CE45E2">
        <w:t xml:space="preserve"> be </w:t>
      </w:r>
      <w:proofErr w:type="spellStart"/>
      <w:r w:rsidRPr="00CE45E2">
        <w:t>able</w:t>
      </w:r>
      <w:proofErr w:type="spellEnd"/>
      <w:r w:rsidRPr="00CE45E2">
        <w:t xml:space="preserve"> to </w:t>
      </w:r>
      <w:proofErr w:type="spellStart"/>
      <w:r w:rsidRPr="00CE45E2">
        <w:t>request</w:t>
      </w:r>
      <w:proofErr w:type="spellEnd"/>
      <w:r w:rsidRPr="00CE45E2">
        <w:t xml:space="preserve"> </w:t>
      </w:r>
      <w:proofErr w:type="spellStart"/>
      <w:r w:rsidRPr="00CE45E2">
        <w:t>technical</w:t>
      </w:r>
      <w:proofErr w:type="spellEnd"/>
      <w:r w:rsidRPr="00CE45E2">
        <w:t xml:space="preserve"> </w:t>
      </w:r>
      <w:proofErr w:type="spellStart"/>
      <w:r w:rsidRPr="00CE45E2">
        <w:t>support</w:t>
      </w:r>
      <w:proofErr w:type="spellEnd"/>
      <w:r w:rsidRPr="00CE45E2">
        <w:t xml:space="preserve"> and </w:t>
      </w:r>
      <w:proofErr w:type="spellStart"/>
      <w:r w:rsidRPr="00CE45E2">
        <w:t>expertise</w:t>
      </w:r>
      <w:proofErr w:type="spellEnd"/>
      <w:r w:rsidRPr="00CE45E2">
        <w:t xml:space="preserve"> from EIOPA, </w:t>
      </w:r>
      <w:proofErr w:type="spellStart"/>
      <w:r w:rsidRPr="00CE45E2">
        <w:t>which</w:t>
      </w:r>
      <w:proofErr w:type="spellEnd"/>
      <w:r w:rsidRPr="00CE45E2">
        <w:t xml:space="preserve"> </w:t>
      </w:r>
      <w:proofErr w:type="spellStart"/>
      <w:r w:rsidRPr="00CE45E2">
        <w:t>could</w:t>
      </w:r>
      <w:proofErr w:type="spellEnd"/>
      <w:r w:rsidRPr="00CE45E2">
        <w:t xml:space="preserve"> </w:t>
      </w:r>
      <w:proofErr w:type="spellStart"/>
      <w:r w:rsidRPr="00CE45E2">
        <w:t>leverage</w:t>
      </w:r>
      <w:proofErr w:type="spellEnd"/>
      <w:r w:rsidRPr="00CE45E2">
        <w:t xml:space="preserve"> </w:t>
      </w:r>
      <w:proofErr w:type="spellStart"/>
      <w:r w:rsidRPr="00CE45E2">
        <w:t>expertise</w:t>
      </w:r>
      <w:proofErr w:type="spellEnd"/>
      <w:r w:rsidRPr="00CE45E2">
        <w:t xml:space="preserve"> from </w:t>
      </w:r>
      <w:proofErr w:type="spellStart"/>
      <w:r w:rsidRPr="00CE45E2">
        <w:t>Member</w:t>
      </w:r>
      <w:proofErr w:type="spellEnd"/>
      <w:r w:rsidRPr="00CE45E2">
        <w:t xml:space="preserve"> </w:t>
      </w:r>
      <w:proofErr w:type="spellStart"/>
      <w:r w:rsidRPr="00CE45E2">
        <w:t>States</w:t>
      </w:r>
      <w:proofErr w:type="spellEnd"/>
      <w:r w:rsidRPr="00CE45E2">
        <w:t xml:space="preserve"> with </w:t>
      </w:r>
      <w:proofErr w:type="spellStart"/>
      <w:r w:rsidRPr="00CE45E2">
        <w:t>more</w:t>
      </w:r>
      <w:proofErr w:type="spellEnd"/>
      <w:r w:rsidRPr="00CE45E2">
        <w:t xml:space="preserve"> </w:t>
      </w:r>
      <w:proofErr w:type="spellStart"/>
      <w:r w:rsidRPr="00CE45E2">
        <w:t>developed</w:t>
      </w:r>
      <w:proofErr w:type="spellEnd"/>
      <w:r w:rsidRPr="00CE45E2">
        <w:t xml:space="preserve"> </w:t>
      </w:r>
      <w:proofErr w:type="spellStart"/>
      <w:r w:rsidRPr="00CE45E2">
        <w:t>funded</w:t>
      </w:r>
      <w:proofErr w:type="spellEnd"/>
      <w:r w:rsidRPr="00CE45E2">
        <w:t xml:space="preserve"> </w:t>
      </w:r>
      <w:proofErr w:type="spellStart"/>
      <w:r w:rsidRPr="00CE45E2">
        <w:t>pension</w:t>
      </w:r>
      <w:proofErr w:type="spellEnd"/>
      <w:r w:rsidRPr="00CE45E2">
        <w:t xml:space="preserve"> </w:t>
      </w:r>
      <w:proofErr w:type="spellStart"/>
      <w:r w:rsidRPr="00CE45E2">
        <w:t>sectors</w:t>
      </w:r>
      <w:proofErr w:type="spellEnd"/>
      <w:r w:rsidRPr="00CE45E2">
        <w:t xml:space="preserve"> via a standing </w:t>
      </w:r>
      <w:proofErr w:type="spellStart"/>
      <w:r w:rsidRPr="00CE45E2">
        <w:t>advisory</w:t>
      </w:r>
      <w:proofErr w:type="spellEnd"/>
      <w:r w:rsidRPr="00CE45E2">
        <w:t xml:space="preserve"> team.</w:t>
      </w:r>
    </w:p>
    <w:p w14:paraId="765D1A8A" w14:textId="77777777" w:rsidR="00CE45E2" w:rsidRPr="00CE45E2" w:rsidRDefault="00CE45E2" w:rsidP="00CE45E2">
      <w:r w:rsidRPr="00CE45E2">
        <w:rPr>
          <w:rStyle w:val="HideTWBExt"/>
        </w:rPr>
        <w:t>&lt;/Amend&gt;</w:t>
      </w:r>
    </w:p>
    <w:p w14:paraId="4D4E6B4D" w14:textId="0A56878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217</w:t>
      </w:r>
      <w:r w:rsidRPr="00CE45E2">
        <w:rPr>
          <w:rStyle w:val="HideTWBExt"/>
          <w:b w:val="0"/>
        </w:rPr>
        <w:t>&lt;/NumAm&gt;</w:t>
      </w:r>
    </w:p>
    <w:p w14:paraId="54775013"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047C059" w14:textId="77777777" w:rsidR="00CE45E2" w:rsidRPr="00CE45E2" w:rsidRDefault="00CE45E2" w:rsidP="00CE45E2">
      <w:pPr>
        <w:pStyle w:val="NormalBold"/>
      </w:pPr>
      <w:r w:rsidRPr="00CE45E2">
        <w:rPr>
          <w:rStyle w:val="HideTWBExt"/>
          <w:b w:val="0"/>
        </w:rPr>
        <w:t>&lt;/RepeatBlock-By&gt;</w:t>
      </w:r>
    </w:p>
    <w:p w14:paraId="5BAAC8D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1E77D8E" w14:textId="77777777" w:rsidR="00CE45E2" w:rsidRPr="00CE45E2" w:rsidRDefault="00CE45E2" w:rsidP="00CE45E2">
      <w:pPr>
        <w:pStyle w:val="NormalBold"/>
      </w:pPr>
      <w:r w:rsidRPr="00CE45E2">
        <w:rPr>
          <w:rStyle w:val="HideTWBExt"/>
          <w:b w:val="0"/>
        </w:rPr>
        <w:t>&lt;Article&gt;</w:t>
      </w:r>
      <w:r w:rsidRPr="00CE45E2">
        <w:t>Artykuł 1 – akapit 1 – punkt 7 – litera a</w:t>
      </w:r>
      <w:r w:rsidRPr="00CE45E2">
        <w:rPr>
          <w:rStyle w:val="HideTWBExt"/>
          <w:b w:val="0"/>
        </w:rPr>
        <w:t>&lt;/Article&gt;</w:t>
      </w:r>
    </w:p>
    <w:p w14:paraId="68C8813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F11B92D" w14:textId="77777777" w:rsidR="00CE45E2" w:rsidRPr="00CE45E2" w:rsidRDefault="00CE45E2" w:rsidP="00CE45E2">
      <w:r w:rsidRPr="00CE45E2">
        <w:rPr>
          <w:rStyle w:val="HideTWBExt"/>
        </w:rPr>
        <w:t>&lt;Article2&gt;</w:t>
      </w:r>
      <w:r w:rsidRPr="00CE45E2">
        <w:t>Artykuł 6 – punkt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C698EF1" w14:textId="77777777" w:rsidTr="006476FB">
        <w:trPr>
          <w:trHeight w:hRule="exact" w:val="240"/>
          <w:jc w:val="center"/>
        </w:trPr>
        <w:tc>
          <w:tcPr>
            <w:tcW w:w="9752" w:type="dxa"/>
            <w:gridSpan w:val="2"/>
            <w:tcBorders>
              <w:top w:val="nil"/>
              <w:left w:val="nil"/>
              <w:bottom w:val="nil"/>
              <w:right w:val="nil"/>
            </w:tcBorders>
          </w:tcPr>
          <w:p w14:paraId="15F9D4E8" w14:textId="77777777" w:rsidR="00CE45E2" w:rsidRPr="00CE45E2" w:rsidRDefault="00CE45E2" w:rsidP="006476FB"/>
        </w:tc>
      </w:tr>
      <w:tr w:rsidR="00CE45E2" w:rsidRPr="00CE45E2" w14:paraId="02226A4D" w14:textId="77777777" w:rsidTr="006476FB">
        <w:trPr>
          <w:trHeight w:val="240"/>
          <w:jc w:val="center"/>
        </w:trPr>
        <w:tc>
          <w:tcPr>
            <w:tcW w:w="4876" w:type="dxa"/>
            <w:tcBorders>
              <w:top w:val="nil"/>
              <w:left w:val="nil"/>
              <w:bottom w:val="nil"/>
              <w:right w:val="nil"/>
            </w:tcBorders>
          </w:tcPr>
          <w:p w14:paraId="689D720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B2CD633" w14:textId="77777777" w:rsidR="00CE45E2" w:rsidRPr="00CE45E2" w:rsidRDefault="00CE45E2" w:rsidP="006476FB">
            <w:pPr>
              <w:pStyle w:val="AmColumnHeading"/>
            </w:pPr>
            <w:r w:rsidRPr="00CE45E2">
              <w:t>Poprawka</w:t>
            </w:r>
          </w:p>
        </w:tc>
      </w:tr>
      <w:tr w:rsidR="00CE45E2" w:rsidRPr="00CE45E2" w14:paraId="2F37FCD0" w14:textId="77777777" w:rsidTr="006476FB">
        <w:trPr>
          <w:jc w:val="center"/>
        </w:trPr>
        <w:tc>
          <w:tcPr>
            <w:tcW w:w="4876" w:type="dxa"/>
            <w:tcBorders>
              <w:top w:val="nil"/>
              <w:left w:val="nil"/>
              <w:bottom w:val="nil"/>
              <w:right w:val="nil"/>
            </w:tcBorders>
          </w:tcPr>
          <w:p w14:paraId="7D54C48A" w14:textId="77777777" w:rsidR="00CE45E2" w:rsidRPr="00CE45E2" w:rsidRDefault="00CE45E2" w:rsidP="006476FB">
            <w:pPr>
              <w:pStyle w:val="Normal6a"/>
            </w:pPr>
            <w:r w:rsidRPr="00CE45E2">
              <w:t>a)</w:t>
            </w:r>
            <w:r w:rsidRPr="00CE45E2">
              <w:tab/>
            </w:r>
            <w:r w:rsidRPr="00CE45E2">
              <w:rPr>
                <w:b/>
                <w:i/>
              </w:rPr>
              <w:t>w pkt 1 słowa „i która prowadzi działalność bezpośrednio z nich wynikającą</w:t>
            </w:r>
            <w:proofErr w:type="gramStart"/>
            <w:r w:rsidRPr="00CE45E2">
              <w:rPr>
                <w:b/>
                <w:i/>
              </w:rPr>
              <w:t>;”  zastępuje</w:t>
            </w:r>
            <w:proofErr w:type="gramEnd"/>
            <w:r w:rsidRPr="00CE45E2">
              <w:rPr>
                <w:b/>
                <w:i/>
              </w:rPr>
              <w:t xml:space="preserve"> się słowami „i która prowadzi działalność bezpośrednio z nich wynikającą oraz – jeżeli dopuszcza to prawo krajowe – oferuje indywidualne programy emerytalne;”;</w:t>
            </w:r>
          </w:p>
        </w:tc>
        <w:tc>
          <w:tcPr>
            <w:tcW w:w="4876" w:type="dxa"/>
            <w:tcBorders>
              <w:top w:val="nil"/>
              <w:left w:val="nil"/>
              <w:bottom w:val="nil"/>
              <w:right w:val="nil"/>
            </w:tcBorders>
          </w:tcPr>
          <w:p w14:paraId="3804E7A8" w14:textId="77777777" w:rsidR="00CE45E2" w:rsidRPr="00CE45E2" w:rsidRDefault="00CE45E2" w:rsidP="006476FB">
            <w:pPr>
              <w:pStyle w:val="Normal6a"/>
            </w:pPr>
            <w:r w:rsidRPr="00CE45E2">
              <w:t>a)</w:t>
            </w:r>
            <w:r w:rsidRPr="00CE45E2">
              <w:tab/>
            </w:r>
            <w:r w:rsidRPr="00CE45E2">
              <w:rPr>
                <w:b/>
                <w:i/>
              </w:rPr>
              <w:t>skreśla się</w:t>
            </w:r>
          </w:p>
        </w:tc>
      </w:tr>
    </w:tbl>
    <w:p w14:paraId="11EA76C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ADC7C00" w14:textId="77777777" w:rsidR="00CE45E2" w:rsidRPr="00CE45E2" w:rsidRDefault="00CE45E2" w:rsidP="00CE45E2">
      <w:r w:rsidRPr="00CE45E2">
        <w:rPr>
          <w:rStyle w:val="HideTWBExt"/>
        </w:rPr>
        <w:t>&lt;/Amend&gt;</w:t>
      </w:r>
    </w:p>
    <w:p w14:paraId="497EFFCC" w14:textId="25DA909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218</w:t>
      </w:r>
      <w:r w:rsidRPr="00CE45E2">
        <w:rPr>
          <w:rStyle w:val="HideTWBExt"/>
          <w:b w:val="0"/>
        </w:rPr>
        <w:t>&lt;/NumAm&gt;</w:t>
      </w:r>
    </w:p>
    <w:p w14:paraId="2828132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4734AB5" w14:textId="77777777" w:rsidR="00CE45E2" w:rsidRPr="00CE45E2" w:rsidRDefault="00CE45E2" w:rsidP="00CE45E2">
      <w:pPr>
        <w:pStyle w:val="NormalBold"/>
      </w:pPr>
      <w:r w:rsidRPr="00CE45E2">
        <w:rPr>
          <w:rStyle w:val="HideTWBExt"/>
          <w:b w:val="0"/>
        </w:rPr>
        <w:t>&lt;/RepeatBlock-By&gt;</w:t>
      </w:r>
    </w:p>
    <w:p w14:paraId="7605DA8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99DE9B3" w14:textId="77777777" w:rsidR="00CE45E2" w:rsidRPr="00CE45E2" w:rsidRDefault="00CE45E2" w:rsidP="00CE45E2">
      <w:pPr>
        <w:pStyle w:val="NormalBold"/>
      </w:pPr>
      <w:r w:rsidRPr="00CE45E2">
        <w:rPr>
          <w:rStyle w:val="HideTWBExt"/>
          <w:b w:val="0"/>
        </w:rPr>
        <w:t>&lt;Article&gt;</w:t>
      </w:r>
      <w:r w:rsidRPr="00CE45E2">
        <w:t>Artykuł 1 – akapit 1 – punkt 7 – litera c b (nowa)</w:t>
      </w:r>
      <w:r w:rsidRPr="00CE45E2">
        <w:rPr>
          <w:rStyle w:val="HideTWBExt"/>
          <w:b w:val="0"/>
        </w:rPr>
        <w:t>&lt;/Article&gt;</w:t>
      </w:r>
    </w:p>
    <w:p w14:paraId="1A1B64C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7F4E2BB" w14:textId="77777777" w:rsidR="00CE45E2" w:rsidRPr="00CE45E2" w:rsidRDefault="00CE45E2" w:rsidP="00CE45E2">
      <w:r w:rsidRPr="00CE45E2">
        <w:rPr>
          <w:rStyle w:val="HideTWBExt"/>
        </w:rPr>
        <w:t>&lt;Article2&gt;</w:t>
      </w:r>
      <w:r w:rsidRPr="00CE45E2">
        <w:t>Artykuł 6 – punkt 19</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1C43808" w14:textId="77777777" w:rsidTr="006476FB">
        <w:trPr>
          <w:trHeight w:hRule="exact" w:val="240"/>
          <w:jc w:val="center"/>
        </w:trPr>
        <w:tc>
          <w:tcPr>
            <w:tcW w:w="9752" w:type="dxa"/>
            <w:gridSpan w:val="2"/>
            <w:tcBorders>
              <w:top w:val="nil"/>
              <w:left w:val="nil"/>
              <w:bottom w:val="nil"/>
              <w:right w:val="nil"/>
            </w:tcBorders>
          </w:tcPr>
          <w:p w14:paraId="78AAF69F" w14:textId="77777777" w:rsidR="00CE45E2" w:rsidRPr="00CE45E2" w:rsidRDefault="00CE45E2" w:rsidP="006476FB"/>
        </w:tc>
      </w:tr>
      <w:tr w:rsidR="00CE45E2" w:rsidRPr="00CE45E2" w14:paraId="03C58E01" w14:textId="77777777" w:rsidTr="006476FB">
        <w:trPr>
          <w:trHeight w:val="240"/>
          <w:jc w:val="center"/>
        </w:trPr>
        <w:tc>
          <w:tcPr>
            <w:tcW w:w="4876" w:type="dxa"/>
            <w:tcBorders>
              <w:top w:val="nil"/>
              <w:left w:val="nil"/>
              <w:bottom w:val="nil"/>
              <w:right w:val="nil"/>
            </w:tcBorders>
          </w:tcPr>
          <w:p w14:paraId="6FA677ED"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6053A3F3" w14:textId="77777777" w:rsidR="00CE45E2" w:rsidRPr="00CE45E2" w:rsidRDefault="00CE45E2" w:rsidP="006476FB">
            <w:pPr>
              <w:pStyle w:val="AmColumnHeading"/>
            </w:pPr>
            <w:r w:rsidRPr="00CE45E2">
              <w:t>Poprawka</w:t>
            </w:r>
          </w:p>
        </w:tc>
      </w:tr>
      <w:tr w:rsidR="00CE45E2" w:rsidRPr="00CE45E2" w14:paraId="52110648" w14:textId="77777777" w:rsidTr="006476FB">
        <w:trPr>
          <w:jc w:val="center"/>
        </w:trPr>
        <w:tc>
          <w:tcPr>
            <w:tcW w:w="4876" w:type="dxa"/>
            <w:tcBorders>
              <w:top w:val="nil"/>
              <w:left w:val="nil"/>
              <w:bottom w:val="nil"/>
              <w:right w:val="nil"/>
            </w:tcBorders>
          </w:tcPr>
          <w:p w14:paraId="4CE55EFB" w14:textId="77777777" w:rsidR="00CE45E2" w:rsidRPr="00CE45E2" w:rsidRDefault="00CE45E2" w:rsidP="006476FB">
            <w:pPr>
              <w:pStyle w:val="Normal6a"/>
            </w:pPr>
            <w:r w:rsidRPr="00CE45E2">
              <w:t>19) „działalność transgraniczna” oznacza obsługiwanie programu emerytalnego, w którym relacje między instytucją finansującą a uczestnikami i beneficjentami podlegają przepisom prawa socjalnego i prawa pracy odnoszącym się do pracowniczych programów emerytalnych obowiązującym w państwie członkowskim innym niż rodzime państwo członkowskie.</w:t>
            </w:r>
          </w:p>
        </w:tc>
        <w:tc>
          <w:tcPr>
            <w:tcW w:w="4876" w:type="dxa"/>
            <w:tcBorders>
              <w:top w:val="nil"/>
              <w:left w:val="nil"/>
              <w:bottom w:val="nil"/>
              <w:right w:val="nil"/>
            </w:tcBorders>
          </w:tcPr>
          <w:p w14:paraId="167999E1" w14:textId="77777777" w:rsidR="00CE45E2" w:rsidRPr="00CE45E2" w:rsidRDefault="00CE45E2" w:rsidP="006476FB">
            <w:pPr>
              <w:pStyle w:val="Normal6a"/>
            </w:pPr>
            <w:r w:rsidRPr="00CE45E2">
              <w:rPr>
                <w:b/>
                <w:bCs/>
                <w:i/>
                <w:iCs/>
              </w:rPr>
              <w:t>„</w:t>
            </w:r>
            <w:r w:rsidRPr="00CE45E2">
              <w:t>19</w:t>
            </w:r>
            <w:proofErr w:type="gramStart"/>
            <w:r w:rsidRPr="00CE45E2">
              <w:t xml:space="preserve">) </w:t>
            </w:r>
            <w:r w:rsidRPr="00CE45E2">
              <w:rPr>
                <w:b/>
                <w:bCs/>
                <w:i/>
                <w:iCs/>
              </w:rPr>
              <w:t>»</w:t>
            </w:r>
            <w:r w:rsidRPr="00CE45E2">
              <w:t>działalność</w:t>
            </w:r>
            <w:proofErr w:type="gramEnd"/>
            <w:r w:rsidRPr="00CE45E2">
              <w:t xml:space="preserve"> transgraniczna</w:t>
            </w:r>
            <w:r w:rsidRPr="00CE45E2">
              <w:rPr>
                <w:b/>
                <w:bCs/>
                <w:i/>
                <w:iCs/>
              </w:rPr>
              <w:t>«</w:t>
            </w:r>
            <w:r w:rsidRPr="00CE45E2">
              <w:t xml:space="preserve"> oznacza obsługiwanie programu emerytalnego, w którym relacje między instytucją finansującą a uczestnikami i beneficjentami podlegają przepisom prawa socjalnego i prawa pracy odnoszącym się do pracowniczych programów emerytalnych obowiązującym w państwie członkowskim innym niż rodzime państwo członkowskie</w:t>
            </w:r>
            <w:r w:rsidRPr="00CE45E2">
              <w:rPr>
                <w:b/>
                <w:bCs/>
                <w:i/>
                <w:iCs/>
              </w:rPr>
              <w:t>, z wyłączeniem instytucji finansujących, które prowadzą działalność wyłącznie w rodzimym państwie członkowskim</w:t>
            </w:r>
            <w:r w:rsidRPr="00CE45E2">
              <w:t>.</w:t>
            </w:r>
            <w:r w:rsidRPr="00CE45E2">
              <w:rPr>
                <w:b/>
                <w:bCs/>
                <w:i/>
                <w:iCs/>
              </w:rPr>
              <w:t>”</w:t>
            </w:r>
          </w:p>
        </w:tc>
      </w:tr>
    </w:tbl>
    <w:p w14:paraId="722AE52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A6D433" w14:textId="77777777" w:rsidR="00CE45E2" w:rsidRPr="00CE45E2" w:rsidRDefault="00CE45E2" w:rsidP="00CE45E2">
      <w:pPr>
        <w:pStyle w:val="AmCrossRef"/>
      </w:pPr>
      <w:r w:rsidRPr="00CE45E2">
        <w:t>(32016L2341)</w:t>
      </w:r>
    </w:p>
    <w:p w14:paraId="05279541" w14:textId="77777777" w:rsidR="00CE45E2" w:rsidRPr="00CE45E2" w:rsidRDefault="00CE45E2" w:rsidP="00CE45E2">
      <w:r w:rsidRPr="00CE45E2">
        <w:rPr>
          <w:rStyle w:val="HideTWBExt"/>
        </w:rPr>
        <w:t>&lt;/Amend&gt;</w:t>
      </w:r>
    </w:p>
    <w:p w14:paraId="54327AA9" w14:textId="4D2F494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219</w:t>
      </w:r>
      <w:r w:rsidRPr="00CE45E2">
        <w:rPr>
          <w:rStyle w:val="HideTWBExt"/>
          <w:b w:val="0"/>
        </w:rPr>
        <w:t>&lt;/NumAm&gt;</w:t>
      </w:r>
    </w:p>
    <w:p w14:paraId="2F98962A"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BC58AE6" w14:textId="77777777" w:rsidR="00CE45E2" w:rsidRPr="00CE45E2" w:rsidRDefault="00CE45E2" w:rsidP="00CE45E2">
      <w:pPr>
        <w:pStyle w:val="NormalBold"/>
      </w:pPr>
      <w:r w:rsidRPr="00CE45E2">
        <w:rPr>
          <w:rStyle w:val="HideTWBExt"/>
          <w:b w:val="0"/>
        </w:rPr>
        <w:t>&lt;/RepeatBlock-By&gt;</w:t>
      </w:r>
    </w:p>
    <w:p w14:paraId="346E518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73A75D3" w14:textId="77777777" w:rsidR="00CE45E2" w:rsidRPr="00CE45E2" w:rsidRDefault="00CE45E2" w:rsidP="00CE45E2">
      <w:pPr>
        <w:pStyle w:val="NormalBold"/>
      </w:pPr>
      <w:r w:rsidRPr="00CE45E2">
        <w:rPr>
          <w:rStyle w:val="HideTWBExt"/>
          <w:b w:val="0"/>
        </w:rPr>
        <w:t>&lt;Article&gt;</w:t>
      </w:r>
      <w:r w:rsidRPr="00CE45E2">
        <w:t>Artykuł 1 – akapit 1 – punkt 7 – litera d</w:t>
      </w:r>
      <w:r w:rsidRPr="00CE45E2">
        <w:rPr>
          <w:rStyle w:val="HideTWBExt"/>
          <w:b w:val="0"/>
        </w:rPr>
        <w:t>&lt;/Article&gt;</w:t>
      </w:r>
    </w:p>
    <w:p w14:paraId="68C6C198"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BFDC8ED" w14:textId="77777777" w:rsidR="00CE45E2" w:rsidRPr="00CE45E2" w:rsidRDefault="00CE45E2" w:rsidP="00CE45E2">
      <w:r w:rsidRPr="00CE45E2">
        <w:rPr>
          <w:rStyle w:val="HideTWBExt"/>
        </w:rPr>
        <w:t>&lt;Article2&gt;</w:t>
      </w:r>
      <w:r w:rsidRPr="00CE45E2">
        <w:t>Artykuł 6 – punkt 21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372D3CC" w14:textId="77777777" w:rsidTr="006476FB">
        <w:trPr>
          <w:trHeight w:hRule="exact" w:val="240"/>
          <w:jc w:val="center"/>
        </w:trPr>
        <w:tc>
          <w:tcPr>
            <w:tcW w:w="9752" w:type="dxa"/>
            <w:gridSpan w:val="2"/>
            <w:tcBorders>
              <w:top w:val="nil"/>
              <w:left w:val="nil"/>
              <w:bottom w:val="nil"/>
              <w:right w:val="nil"/>
            </w:tcBorders>
          </w:tcPr>
          <w:p w14:paraId="4211E45E" w14:textId="77777777" w:rsidR="00CE45E2" w:rsidRPr="00CE45E2" w:rsidRDefault="00CE45E2" w:rsidP="006476FB"/>
        </w:tc>
      </w:tr>
      <w:tr w:rsidR="00CE45E2" w:rsidRPr="00CE45E2" w14:paraId="6DF5D253" w14:textId="77777777" w:rsidTr="006476FB">
        <w:trPr>
          <w:trHeight w:val="240"/>
          <w:jc w:val="center"/>
        </w:trPr>
        <w:tc>
          <w:tcPr>
            <w:tcW w:w="4876" w:type="dxa"/>
            <w:tcBorders>
              <w:top w:val="nil"/>
              <w:left w:val="nil"/>
              <w:bottom w:val="nil"/>
              <w:right w:val="nil"/>
            </w:tcBorders>
          </w:tcPr>
          <w:p w14:paraId="2734174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46E7E74" w14:textId="77777777" w:rsidR="00CE45E2" w:rsidRPr="00CE45E2" w:rsidRDefault="00CE45E2" w:rsidP="006476FB">
            <w:pPr>
              <w:pStyle w:val="AmColumnHeading"/>
            </w:pPr>
            <w:r w:rsidRPr="00CE45E2">
              <w:t>Poprawka</w:t>
            </w:r>
          </w:p>
        </w:tc>
      </w:tr>
      <w:tr w:rsidR="00CE45E2" w:rsidRPr="00CE45E2" w14:paraId="61D6DC48" w14:textId="77777777" w:rsidTr="006476FB">
        <w:trPr>
          <w:jc w:val="center"/>
        </w:trPr>
        <w:tc>
          <w:tcPr>
            <w:tcW w:w="4876" w:type="dxa"/>
            <w:tcBorders>
              <w:top w:val="nil"/>
              <w:left w:val="nil"/>
              <w:bottom w:val="nil"/>
              <w:right w:val="nil"/>
            </w:tcBorders>
          </w:tcPr>
          <w:p w14:paraId="0A929E1C" w14:textId="77777777" w:rsidR="00CE45E2" w:rsidRPr="00CE45E2" w:rsidRDefault="00CE45E2" w:rsidP="006476FB">
            <w:pPr>
              <w:pStyle w:val="Normal6a"/>
            </w:pPr>
            <w:r w:rsidRPr="00CE45E2">
              <w:rPr>
                <w:b/>
                <w:i/>
              </w:rPr>
              <w:t>21)</w:t>
            </w:r>
            <w:proofErr w:type="gramStart"/>
            <w:r w:rsidRPr="00CE45E2">
              <w:tab/>
            </w:r>
            <w:r w:rsidRPr="00CE45E2">
              <w:rPr>
                <w:b/>
                <w:i/>
              </w:rPr>
              <w:t>»indywidualny</w:t>
            </w:r>
            <w:proofErr w:type="gramEnd"/>
            <w:r w:rsidRPr="00CE45E2">
              <w:rPr>
                <w:b/>
                <w:i/>
              </w:rPr>
              <w:t xml:space="preserve"> produkt emerytalny« oznacza indywidualny produkt emerytalny zdefiniowany w art. 2 pkt 1 rozporządzenia Parlamentu Europejskiego i Rady (UE) 2019/1238*.</w:t>
            </w:r>
          </w:p>
        </w:tc>
        <w:tc>
          <w:tcPr>
            <w:tcW w:w="4876" w:type="dxa"/>
            <w:tcBorders>
              <w:top w:val="nil"/>
              <w:left w:val="nil"/>
              <w:bottom w:val="nil"/>
              <w:right w:val="nil"/>
            </w:tcBorders>
          </w:tcPr>
          <w:p w14:paraId="35C857A3" w14:textId="77777777" w:rsidR="00CE45E2" w:rsidRPr="00CE45E2" w:rsidRDefault="00CE45E2" w:rsidP="006476FB">
            <w:pPr>
              <w:pStyle w:val="Normal6a"/>
            </w:pPr>
            <w:r w:rsidRPr="00CE45E2">
              <w:rPr>
                <w:b/>
                <w:i/>
              </w:rPr>
              <w:t>skreśla się</w:t>
            </w:r>
          </w:p>
        </w:tc>
      </w:tr>
    </w:tbl>
    <w:p w14:paraId="0ACDAEB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FB4864A" w14:textId="77777777" w:rsidR="00CE45E2" w:rsidRPr="00CE45E2" w:rsidRDefault="00CE45E2" w:rsidP="00CE45E2">
      <w:r w:rsidRPr="00CE45E2">
        <w:rPr>
          <w:rStyle w:val="HideTWBExt"/>
        </w:rPr>
        <w:t>&lt;/Amend&gt;</w:t>
      </w:r>
    </w:p>
    <w:p w14:paraId="29B93DDC" w14:textId="71FD2DE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220</w:t>
      </w:r>
      <w:r w:rsidRPr="00CE45E2">
        <w:rPr>
          <w:rStyle w:val="HideTWBExt"/>
          <w:b w:val="0"/>
        </w:rPr>
        <w:t>&lt;/NumAm&gt;</w:t>
      </w:r>
    </w:p>
    <w:p w14:paraId="4286DF0A"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4B274C5D" w14:textId="77777777" w:rsidR="00CE45E2" w:rsidRPr="00CE45E2" w:rsidRDefault="00CE45E2" w:rsidP="00CE45E2">
      <w:pPr>
        <w:pStyle w:val="NormalBold"/>
      </w:pPr>
      <w:r w:rsidRPr="00CE45E2">
        <w:rPr>
          <w:rStyle w:val="HideTWBExt"/>
          <w:b w:val="0"/>
        </w:rPr>
        <w:t>&lt;/RepeatBlock-By&gt;</w:t>
      </w:r>
    </w:p>
    <w:p w14:paraId="3DA95B6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5258E63" w14:textId="77777777" w:rsidR="00CE45E2" w:rsidRPr="00CE45E2" w:rsidRDefault="00CE45E2" w:rsidP="00CE45E2">
      <w:pPr>
        <w:pStyle w:val="NormalBold"/>
      </w:pPr>
      <w:r w:rsidRPr="00CE45E2">
        <w:rPr>
          <w:rStyle w:val="HideTWBExt"/>
          <w:b w:val="0"/>
        </w:rPr>
        <w:t>&lt;Article&gt;</w:t>
      </w:r>
      <w:r w:rsidRPr="00CE45E2">
        <w:t>Artykuł 1 – akapit 1 – punkt 7 – litera d</w:t>
      </w:r>
      <w:r w:rsidRPr="00CE45E2">
        <w:rPr>
          <w:rStyle w:val="HideTWBExt"/>
          <w:b w:val="0"/>
        </w:rPr>
        <w:t>&lt;/Article&gt;</w:t>
      </w:r>
    </w:p>
    <w:p w14:paraId="2CD4365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4369C26" w14:textId="77777777" w:rsidR="00CE45E2" w:rsidRPr="00CE45E2" w:rsidRDefault="00CE45E2" w:rsidP="00CE45E2">
      <w:r w:rsidRPr="00CE45E2">
        <w:rPr>
          <w:rStyle w:val="HideTWBExt"/>
        </w:rPr>
        <w:t>&lt;Article2&gt;</w:t>
      </w:r>
      <w:r w:rsidRPr="00CE45E2">
        <w:t>Artykuł 6 – punkt 22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63CFEDB" w14:textId="77777777" w:rsidTr="006476FB">
        <w:trPr>
          <w:trHeight w:hRule="exact" w:val="240"/>
          <w:jc w:val="center"/>
        </w:trPr>
        <w:tc>
          <w:tcPr>
            <w:tcW w:w="9752" w:type="dxa"/>
            <w:gridSpan w:val="2"/>
            <w:tcBorders>
              <w:top w:val="nil"/>
              <w:left w:val="nil"/>
              <w:bottom w:val="nil"/>
              <w:right w:val="nil"/>
            </w:tcBorders>
          </w:tcPr>
          <w:p w14:paraId="1E113C24" w14:textId="77777777" w:rsidR="00CE45E2" w:rsidRPr="00CE45E2" w:rsidRDefault="00CE45E2" w:rsidP="006476FB"/>
        </w:tc>
      </w:tr>
      <w:tr w:rsidR="00CE45E2" w:rsidRPr="00CE45E2" w14:paraId="6698998B" w14:textId="77777777" w:rsidTr="006476FB">
        <w:trPr>
          <w:trHeight w:val="240"/>
          <w:jc w:val="center"/>
        </w:trPr>
        <w:tc>
          <w:tcPr>
            <w:tcW w:w="4876" w:type="dxa"/>
            <w:tcBorders>
              <w:top w:val="nil"/>
              <w:left w:val="nil"/>
              <w:bottom w:val="nil"/>
              <w:right w:val="nil"/>
            </w:tcBorders>
          </w:tcPr>
          <w:p w14:paraId="3D09DFD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EDE05FD" w14:textId="77777777" w:rsidR="00CE45E2" w:rsidRPr="00CE45E2" w:rsidRDefault="00CE45E2" w:rsidP="006476FB">
            <w:pPr>
              <w:pStyle w:val="AmColumnHeading"/>
            </w:pPr>
            <w:r w:rsidRPr="00CE45E2">
              <w:t>Poprawka</w:t>
            </w:r>
          </w:p>
        </w:tc>
      </w:tr>
      <w:tr w:rsidR="00CE45E2" w:rsidRPr="00CE45E2" w14:paraId="78B23053" w14:textId="77777777" w:rsidTr="006476FB">
        <w:trPr>
          <w:jc w:val="center"/>
        </w:trPr>
        <w:tc>
          <w:tcPr>
            <w:tcW w:w="4876" w:type="dxa"/>
            <w:tcBorders>
              <w:top w:val="nil"/>
              <w:left w:val="nil"/>
              <w:bottom w:val="nil"/>
              <w:right w:val="nil"/>
            </w:tcBorders>
          </w:tcPr>
          <w:p w14:paraId="07475326" w14:textId="77777777" w:rsidR="00CE45E2" w:rsidRPr="00CE45E2" w:rsidRDefault="00CE45E2" w:rsidP="006476FB">
            <w:pPr>
              <w:pStyle w:val="Normal6a"/>
            </w:pPr>
            <w:r w:rsidRPr="00CE45E2">
              <w:t>(22)</w:t>
            </w:r>
            <w:proofErr w:type="gramStart"/>
            <w:r w:rsidRPr="00CE45E2">
              <w:tab/>
            </w:r>
            <w:r w:rsidRPr="00CE45E2">
              <w:rPr>
                <w:b/>
                <w:bCs/>
                <w:i/>
                <w:iCs/>
              </w:rPr>
              <w:t>»</w:t>
            </w:r>
            <w:r w:rsidRPr="00CE45E2">
              <w:t>system</w:t>
            </w:r>
            <w:proofErr w:type="gramEnd"/>
            <w:r w:rsidRPr="00CE45E2">
              <w:t xml:space="preserve"> monitorowania uprawnień emerytalnych</w:t>
            </w:r>
            <w:r w:rsidRPr="00CE45E2">
              <w:rPr>
                <w:b/>
                <w:bCs/>
                <w:i/>
                <w:iCs/>
              </w:rPr>
              <w:t>«</w:t>
            </w:r>
            <w:r w:rsidRPr="00CE45E2">
              <w:t xml:space="preserve"> oznacza narzędzie cyfrowe</w:t>
            </w:r>
            <w:r w:rsidRPr="00CE45E2">
              <w:rPr>
                <w:b/>
                <w:bCs/>
                <w:i/>
                <w:iCs/>
              </w:rPr>
              <w:t>, zazwyczaj bezpieczny portal internetowy lub aplikację mobilną</w:t>
            </w:r>
            <w:r w:rsidRPr="00CE45E2">
              <w:t xml:space="preserve">, które zapewnia osobom fizycznym przegląd ich indywidualnych nabytych uprawnień emerytalnych oraz </w:t>
            </w:r>
            <w:r w:rsidRPr="00CE45E2">
              <w:rPr>
                <w:b/>
                <w:bCs/>
                <w:i/>
                <w:iCs/>
              </w:rPr>
              <w:t>prognozy dotyczące przyszłych</w:t>
            </w:r>
            <w:r w:rsidRPr="00CE45E2">
              <w:t xml:space="preserve"> świadczeń w ramach programów emerytalnych, których dana osoba jest uczestnikiem lub beneficjentem.</w:t>
            </w:r>
          </w:p>
        </w:tc>
        <w:tc>
          <w:tcPr>
            <w:tcW w:w="4876" w:type="dxa"/>
            <w:tcBorders>
              <w:top w:val="nil"/>
              <w:left w:val="nil"/>
              <w:bottom w:val="nil"/>
              <w:right w:val="nil"/>
            </w:tcBorders>
          </w:tcPr>
          <w:p w14:paraId="564D90A0" w14:textId="77777777" w:rsidR="00CE45E2" w:rsidRPr="00CE45E2" w:rsidRDefault="00CE45E2" w:rsidP="006476FB">
            <w:pPr>
              <w:pStyle w:val="Normal6a"/>
            </w:pPr>
            <w:r w:rsidRPr="00CE45E2">
              <w:t>(22)</w:t>
            </w:r>
            <w:r w:rsidRPr="00CE45E2">
              <w:tab/>
            </w:r>
            <w:r w:rsidRPr="00CE45E2">
              <w:rPr>
                <w:b/>
                <w:bCs/>
                <w:i/>
                <w:iCs/>
              </w:rPr>
              <w:t>„</w:t>
            </w:r>
            <w:r w:rsidRPr="00CE45E2">
              <w:t>system monitorowania uprawnień emerytalnych</w:t>
            </w:r>
            <w:r w:rsidRPr="00CE45E2">
              <w:rPr>
                <w:b/>
                <w:bCs/>
                <w:i/>
                <w:iCs/>
              </w:rPr>
              <w:t>”</w:t>
            </w:r>
            <w:r w:rsidRPr="00CE45E2">
              <w:t xml:space="preserve"> oznacza </w:t>
            </w:r>
            <w:r w:rsidRPr="00CE45E2">
              <w:rPr>
                <w:b/>
                <w:bCs/>
                <w:i/>
                <w:iCs/>
              </w:rPr>
              <w:t>krajowe, branżowe lub prywatne</w:t>
            </w:r>
            <w:r w:rsidRPr="00CE45E2">
              <w:t xml:space="preserve"> narzędzie cyfrowe, które zapewnia osobom fizycznym przegląd ich indywidualnych nabytych uprawnień emerytalnych oraz </w:t>
            </w:r>
            <w:r w:rsidRPr="00CE45E2">
              <w:rPr>
                <w:b/>
                <w:bCs/>
                <w:i/>
                <w:iCs/>
              </w:rPr>
              <w:t>prognozowanych</w:t>
            </w:r>
            <w:r w:rsidRPr="00CE45E2">
              <w:t xml:space="preserve"> świadczeń w ramach programów emerytalnych, których dana osoba jest uczestnikiem lub beneficjentem.</w:t>
            </w:r>
          </w:p>
        </w:tc>
      </w:tr>
    </w:tbl>
    <w:p w14:paraId="66F4D71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9EB64D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68878C1" w14:textId="77777777" w:rsidR="00CE45E2" w:rsidRPr="00CE45E2" w:rsidRDefault="00CE45E2" w:rsidP="00CE45E2">
      <w:pPr>
        <w:pStyle w:val="AmJustText"/>
      </w:pPr>
      <w:r w:rsidRPr="00CE45E2">
        <w:t>Wspólne formaty techniczne mogą poprawić przenoszalność danych i umożliwić ich wymianę bez konieczności tworzenia centralnego systemu unijnego. Informacje dotyczące emerytur pozostają ściśle powiązane z krajowym prawem socjalnym, prawem pracy i prawem podatkowym oraz powinny nadal być zarządzane za pośrednictwem zdecentralizowanych systemów.</w:t>
      </w:r>
    </w:p>
    <w:p w14:paraId="2C8D4620" w14:textId="77777777" w:rsidR="00CE45E2" w:rsidRPr="00CE45E2" w:rsidRDefault="00CE45E2" w:rsidP="00CE45E2">
      <w:r w:rsidRPr="00CE45E2">
        <w:rPr>
          <w:rStyle w:val="HideTWBExt"/>
        </w:rPr>
        <w:t>&lt;/Amend&gt;</w:t>
      </w:r>
    </w:p>
    <w:p w14:paraId="262FF083" w14:textId="0C34969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221</w:t>
      </w:r>
      <w:r w:rsidRPr="00CE45E2">
        <w:rPr>
          <w:rStyle w:val="HideTWBExt"/>
          <w:b w:val="0"/>
        </w:rPr>
        <w:t>&lt;/NumAm&gt;</w:t>
      </w:r>
    </w:p>
    <w:p w14:paraId="182A8BD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3426336" w14:textId="77777777" w:rsidR="00CE45E2" w:rsidRPr="00CE45E2" w:rsidRDefault="00CE45E2" w:rsidP="00CE45E2">
      <w:pPr>
        <w:pStyle w:val="NormalBold"/>
      </w:pPr>
      <w:r w:rsidRPr="00CE45E2">
        <w:rPr>
          <w:rStyle w:val="HideTWBExt"/>
          <w:b w:val="0"/>
        </w:rPr>
        <w:t>&lt;/RepeatBlock-By&gt;</w:t>
      </w:r>
    </w:p>
    <w:p w14:paraId="14E4CE6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8CE4F2F" w14:textId="77777777" w:rsidR="00CE45E2" w:rsidRPr="00CE45E2" w:rsidRDefault="00CE45E2" w:rsidP="00CE45E2">
      <w:pPr>
        <w:pStyle w:val="NormalBold"/>
      </w:pPr>
      <w:r w:rsidRPr="00CE45E2">
        <w:rPr>
          <w:rStyle w:val="HideTWBExt"/>
          <w:b w:val="0"/>
        </w:rPr>
        <w:t>&lt;Article&gt;</w:t>
      </w:r>
      <w:r w:rsidRPr="00CE45E2">
        <w:t>Artykuł 1 – akapit 1 – punkt 7 – litera d</w:t>
      </w:r>
      <w:r w:rsidRPr="00CE45E2">
        <w:rPr>
          <w:rStyle w:val="HideTWBExt"/>
          <w:b w:val="0"/>
        </w:rPr>
        <w:t>&lt;/Article&gt;</w:t>
      </w:r>
    </w:p>
    <w:p w14:paraId="0DC07FC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CF32753" w14:textId="77777777" w:rsidR="00CE45E2" w:rsidRPr="00CE45E2" w:rsidRDefault="00CE45E2" w:rsidP="00CE45E2">
      <w:r w:rsidRPr="00CE45E2">
        <w:rPr>
          <w:rStyle w:val="HideTWBExt"/>
        </w:rPr>
        <w:t>&lt;Article2&gt;</w:t>
      </w:r>
      <w:r w:rsidRPr="00CE45E2">
        <w:t>Artykuł 6 – punkt 22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98021E2" w14:textId="77777777" w:rsidTr="006476FB">
        <w:trPr>
          <w:trHeight w:hRule="exact" w:val="240"/>
          <w:jc w:val="center"/>
        </w:trPr>
        <w:tc>
          <w:tcPr>
            <w:tcW w:w="9752" w:type="dxa"/>
            <w:gridSpan w:val="2"/>
            <w:tcBorders>
              <w:top w:val="nil"/>
              <w:left w:val="nil"/>
              <w:bottom w:val="nil"/>
              <w:right w:val="nil"/>
            </w:tcBorders>
          </w:tcPr>
          <w:p w14:paraId="073864D0" w14:textId="77777777" w:rsidR="00CE45E2" w:rsidRPr="00CE45E2" w:rsidRDefault="00CE45E2" w:rsidP="006476FB"/>
        </w:tc>
      </w:tr>
      <w:tr w:rsidR="00CE45E2" w:rsidRPr="00CE45E2" w14:paraId="13884C5D" w14:textId="77777777" w:rsidTr="006476FB">
        <w:trPr>
          <w:trHeight w:val="240"/>
          <w:jc w:val="center"/>
        </w:trPr>
        <w:tc>
          <w:tcPr>
            <w:tcW w:w="4876" w:type="dxa"/>
            <w:tcBorders>
              <w:top w:val="nil"/>
              <w:left w:val="nil"/>
              <w:bottom w:val="nil"/>
              <w:right w:val="nil"/>
            </w:tcBorders>
          </w:tcPr>
          <w:p w14:paraId="63A095E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2A448C4" w14:textId="77777777" w:rsidR="00CE45E2" w:rsidRPr="00CE45E2" w:rsidRDefault="00CE45E2" w:rsidP="006476FB">
            <w:pPr>
              <w:pStyle w:val="AmColumnHeading"/>
            </w:pPr>
            <w:r w:rsidRPr="00CE45E2">
              <w:t>Poprawka</w:t>
            </w:r>
          </w:p>
        </w:tc>
      </w:tr>
      <w:tr w:rsidR="00CE45E2" w:rsidRPr="00CE45E2" w14:paraId="357240ED" w14:textId="77777777" w:rsidTr="006476FB">
        <w:trPr>
          <w:jc w:val="center"/>
        </w:trPr>
        <w:tc>
          <w:tcPr>
            <w:tcW w:w="4876" w:type="dxa"/>
            <w:tcBorders>
              <w:top w:val="nil"/>
              <w:left w:val="nil"/>
              <w:bottom w:val="nil"/>
              <w:right w:val="nil"/>
            </w:tcBorders>
          </w:tcPr>
          <w:p w14:paraId="6EE6585C" w14:textId="77777777" w:rsidR="00CE45E2" w:rsidRPr="00CE45E2" w:rsidRDefault="00CE45E2" w:rsidP="006476FB">
            <w:pPr>
              <w:pStyle w:val="Normal6a"/>
            </w:pPr>
          </w:p>
        </w:tc>
        <w:tc>
          <w:tcPr>
            <w:tcW w:w="4876" w:type="dxa"/>
            <w:tcBorders>
              <w:top w:val="nil"/>
              <w:left w:val="nil"/>
              <w:bottom w:val="nil"/>
              <w:right w:val="nil"/>
            </w:tcBorders>
          </w:tcPr>
          <w:p w14:paraId="15D8B3B1" w14:textId="77777777" w:rsidR="00CE45E2" w:rsidRPr="00CE45E2" w:rsidRDefault="00CE45E2" w:rsidP="006476FB">
            <w:pPr>
              <w:pStyle w:val="Normal6a"/>
            </w:pPr>
            <w:r w:rsidRPr="00CE45E2">
              <w:rPr>
                <w:b/>
                <w:i/>
              </w:rPr>
              <w:t>22a)</w:t>
            </w:r>
            <w:r w:rsidRPr="00CE45E2">
              <w:tab/>
            </w:r>
            <w:r w:rsidRPr="00CE45E2">
              <w:rPr>
                <w:b/>
                <w:i/>
              </w:rPr>
              <w:t>„partner społeczny” oznacza organizację reprezentującą pracowników lub pracodawców, która uczestniczy w dialogu społecznym lub rokowaniach zbiorowych w celu ustanowienia systemu emerytalnego i która może uczestniczyć w zarządzaniu IORP lub systemem emerytalnym oraz w nadzorowaniu ich.</w:t>
            </w:r>
          </w:p>
        </w:tc>
      </w:tr>
    </w:tbl>
    <w:p w14:paraId="7B31A3B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A6227E7" w14:textId="77777777" w:rsidR="00CE45E2" w:rsidRPr="00CE45E2" w:rsidRDefault="00CE45E2" w:rsidP="00CE45E2">
      <w:r w:rsidRPr="00CE45E2">
        <w:rPr>
          <w:rStyle w:val="HideTWBExt"/>
        </w:rPr>
        <w:t>&lt;/Amend&gt;</w:t>
      </w:r>
    </w:p>
    <w:p w14:paraId="3A33E2B7" w14:textId="0F761C1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222</w:t>
      </w:r>
      <w:r w:rsidRPr="00CE45E2">
        <w:rPr>
          <w:rStyle w:val="HideTWBExt"/>
          <w:b w:val="0"/>
        </w:rPr>
        <w:t>&lt;/NumAm&gt;</w:t>
      </w:r>
    </w:p>
    <w:p w14:paraId="738D4BA3"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E9B9F28" w14:textId="77777777" w:rsidR="00CE45E2" w:rsidRPr="00CE45E2" w:rsidRDefault="00CE45E2" w:rsidP="00CE45E2">
      <w:pPr>
        <w:pStyle w:val="NormalBold"/>
      </w:pPr>
      <w:r w:rsidRPr="00CE45E2">
        <w:rPr>
          <w:rStyle w:val="HideTWBExt"/>
          <w:b w:val="0"/>
        </w:rPr>
        <w:t>&lt;/RepeatBlock-By&gt;</w:t>
      </w:r>
    </w:p>
    <w:p w14:paraId="03358D9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88574FB" w14:textId="77777777" w:rsidR="00CE45E2" w:rsidRPr="00CE45E2" w:rsidRDefault="00CE45E2" w:rsidP="00CE45E2">
      <w:pPr>
        <w:pStyle w:val="NormalBold"/>
      </w:pPr>
      <w:r w:rsidRPr="00CE45E2">
        <w:rPr>
          <w:rStyle w:val="HideTWBExt"/>
          <w:b w:val="0"/>
        </w:rPr>
        <w:t>&lt;Article&gt;</w:t>
      </w:r>
      <w:r w:rsidRPr="00CE45E2">
        <w:t>Artykuł 1 – akapit 1 – punkt 8</w:t>
      </w:r>
      <w:r w:rsidRPr="00CE45E2">
        <w:rPr>
          <w:rStyle w:val="HideTWBExt"/>
          <w:b w:val="0"/>
        </w:rPr>
        <w:t>&lt;/Article&gt;</w:t>
      </w:r>
    </w:p>
    <w:p w14:paraId="72E5919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C0EEE26" w14:textId="77777777" w:rsidR="00CE45E2" w:rsidRPr="00CE45E2" w:rsidRDefault="00CE45E2" w:rsidP="00CE45E2">
      <w:r w:rsidRPr="00CE45E2">
        <w:rPr>
          <w:rStyle w:val="HideTWBExt"/>
        </w:rPr>
        <w:t>&lt;Article2&gt;</w:t>
      </w:r>
      <w:r w:rsidRPr="00CE45E2">
        <w:t>Artykuł 7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29C558D" w14:textId="77777777" w:rsidTr="006476FB">
        <w:trPr>
          <w:trHeight w:hRule="exact" w:val="240"/>
          <w:jc w:val="center"/>
        </w:trPr>
        <w:tc>
          <w:tcPr>
            <w:tcW w:w="9752" w:type="dxa"/>
            <w:gridSpan w:val="2"/>
            <w:tcBorders>
              <w:top w:val="nil"/>
              <w:left w:val="nil"/>
              <w:bottom w:val="nil"/>
              <w:right w:val="nil"/>
            </w:tcBorders>
          </w:tcPr>
          <w:p w14:paraId="13D30CBC" w14:textId="77777777" w:rsidR="00CE45E2" w:rsidRPr="00CE45E2" w:rsidRDefault="00CE45E2" w:rsidP="006476FB"/>
        </w:tc>
      </w:tr>
      <w:tr w:rsidR="00CE45E2" w:rsidRPr="00CE45E2" w14:paraId="0CAADC39" w14:textId="77777777" w:rsidTr="006476FB">
        <w:trPr>
          <w:trHeight w:val="240"/>
          <w:jc w:val="center"/>
        </w:trPr>
        <w:tc>
          <w:tcPr>
            <w:tcW w:w="4876" w:type="dxa"/>
            <w:tcBorders>
              <w:top w:val="nil"/>
              <w:left w:val="nil"/>
              <w:bottom w:val="nil"/>
              <w:right w:val="nil"/>
            </w:tcBorders>
          </w:tcPr>
          <w:p w14:paraId="628AC01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FF8F3B8" w14:textId="77777777" w:rsidR="00CE45E2" w:rsidRPr="00CE45E2" w:rsidRDefault="00CE45E2" w:rsidP="006476FB">
            <w:pPr>
              <w:pStyle w:val="AmColumnHeading"/>
            </w:pPr>
            <w:r w:rsidRPr="00CE45E2">
              <w:t>Poprawka</w:t>
            </w:r>
          </w:p>
        </w:tc>
      </w:tr>
      <w:tr w:rsidR="00CE45E2" w:rsidRPr="00CE45E2" w14:paraId="3765F3B7" w14:textId="77777777" w:rsidTr="006476FB">
        <w:trPr>
          <w:jc w:val="center"/>
        </w:trPr>
        <w:tc>
          <w:tcPr>
            <w:tcW w:w="4876" w:type="dxa"/>
            <w:tcBorders>
              <w:top w:val="nil"/>
              <w:left w:val="nil"/>
              <w:bottom w:val="nil"/>
              <w:right w:val="nil"/>
            </w:tcBorders>
          </w:tcPr>
          <w:p w14:paraId="11CF2C49" w14:textId="77777777" w:rsidR="00CE45E2" w:rsidRPr="00CE45E2" w:rsidRDefault="00CE45E2" w:rsidP="006476FB">
            <w:pPr>
              <w:pStyle w:val="Normal6a"/>
            </w:pPr>
            <w:r w:rsidRPr="00CE45E2">
              <w:rPr>
                <w:b/>
                <w:i/>
              </w:rPr>
              <w:t>W przypadku gdy zgodnie z prawem krajowym IORP są uprawnione do oferowania indywidualnych produktów emerytalnych, wszystkie aktywa i pasywa odpowiadające działalności w zakresie oferowania indywidualnych programów emerytalnych są wyodrębniane, bez możliwości przeniesienia tych aktywów i pasywów na inną działalność instytucji w zakresie programów emerytalnych.”;</w:t>
            </w:r>
          </w:p>
        </w:tc>
        <w:tc>
          <w:tcPr>
            <w:tcW w:w="4876" w:type="dxa"/>
            <w:tcBorders>
              <w:top w:val="nil"/>
              <w:left w:val="nil"/>
              <w:bottom w:val="nil"/>
              <w:right w:val="nil"/>
            </w:tcBorders>
          </w:tcPr>
          <w:p w14:paraId="53E29B20" w14:textId="77777777" w:rsidR="00CE45E2" w:rsidRPr="00CE45E2" w:rsidRDefault="00CE45E2" w:rsidP="006476FB">
            <w:pPr>
              <w:pStyle w:val="Normal6a"/>
            </w:pPr>
            <w:r w:rsidRPr="00CE45E2">
              <w:rPr>
                <w:b/>
                <w:i/>
              </w:rPr>
              <w:t>skreśla się</w:t>
            </w:r>
          </w:p>
        </w:tc>
      </w:tr>
    </w:tbl>
    <w:p w14:paraId="5D438C3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3663668" w14:textId="77777777" w:rsidR="00CE45E2" w:rsidRPr="00CE45E2" w:rsidRDefault="00CE45E2" w:rsidP="00CE45E2">
      <w:r w:rsidRPr="00CE45E2">
        <w:rPr>
          <w:rStyle w:val="HideTWBExt"/>
        </w:rPr>
        <w:t>&lt;/Amend&gt;</w:t>
      </w:r>
    </w:p>
    <w:p w14:paraId="25D786F9" w14:textId="0B3BC03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223</w:t>
      </w:r>
      <w:r w:rsidRPr="00CE45E2">
        <w:rPr>
          <w:rStyle w:val="HideTWBExt"/>
          <w:b w:val="0"/>
        </w:rPr>
        <w:t>&lt;/NumAm&gt;</w:t>
      </w:r>
    </w:p>
    <w:p w14:paraId="5861B60D" w14:textId="77777777" w:rsidR="00CE45E2" w:rsidRPr="00CE45E2" w:rsidRDefault="00CE45E2" w:rsidP="00CE45E2">
      <w:pPr>
        <w:pStyle w:val="NormalBold"/>
      </w:pPr>
      <w:r w:rsidRPr="00CE45E2">
        <w:rPr>
          <w:rStyle w:val="HideTWBExt"/>
          <w:b w:val="0"/>
        </w:rPr>
        <w:t>&lt;RepeatBlock-By&gt;&lt;Members&gt;</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37920862" w14:textId="77777777" w:rsidR="00CE45E2" w:rsidRPr="00CE45E2" w:rsidRDefault="00CE45E2" w:rsidP="00CE45E2">
      <w:pPr>
        <w:pStyle w:val="NormalBold"/>
      </w:pPr>
      <w:r w:rsidRPr="00CE45E2">
        <w:rPr>
          <w:rStyle w:val="HideTWBExt"/>
          <w:b w:val="0"/>
        </w:rPr>
        <w:t>&lt;/RepeatBlock-By&gt;</w:t>
      </w:r>
    </w:p>
    <w:p w14:paraId="7858748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47AA86B" w14:textId="77777777" w:rsidR="00CE45E2" w:rsidRPr="00CE45E2" w:rsidRDefault="00CE45E2" w:rsidP="00CE45E2">
      <w:pPr>
        <w:pStyle w:val="NormalBold"/>
      </w:pPr>
      <w:r w:rsidRPr="00CE45E2">
        <w:rPr>
          <w:rStyle w:val="HideTWBExt"/>
          <w:b w:val="0"/>
        </w:rPr>
        <w:t>&lt;Article&gt;</w:t>
      </w:r>
      <w:r w:rsidRPr="00CE45E2">
        <w:t>Artykuł 1 – akapit 1 – punkt 8</w:t>
      </w:r>
      <w:r w:rsidRPr="00CE45E2">
        <w:rPr>
          <w:rStyle w:val="HideTWBExt"/>
          <w:b w:val="0"/>
        </w:rPr>
        <w:t>&lt;/Article&gt;</w:t>
      </w:r>
    </w:p>
    <w:p w14:paraId="209C013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BE67312" w14:textId="77777777" w:rsidR="00CE45E2" w:rsidRPr="00CE45E2" w:rsidRDefault="00CE45E2" w:rsidP="00CE45E2">
      <w:r w:rsidRPr="00CE45E2">
        <w:rPr>
          <w:rStyle w:val="HideTWBExt"/>
        </w:rPr>
        <w:t>&lt;Article2&gt;</w:t>
      </w:r>
      <w:r w:rsidRPr="00CE45E2">
        <w:t>Artykuł 7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04D67E1" w14:textId="77777777" w:rsidTr="006476FB">
        <w:trPr>
          <w:trHeight w:hRule="exact" w:val="240"/>
          <w:jc w:val="center"/>
        </w:trPr>
        <w:tc>
          <w:tcPr>
            <w:tcW w:w="9752" w:type="dxa"/>
            <w:gridSpan w:val="2"/>
            <w:tcBorders>
              <w:top w:val="nil"/>
              <w:left w:val="nil"/>
              <w:bottom w:val="nil"/>
              <w:right w:val="nil"/>
            </w:tcBorders>
          </w:tcPr>
          <w:p w14:paraId="72D92AD7" w14:textId="77777777" w:rsidR="00CE45E2" w:rsidRPr="00CE45E2" w:rsidRDefault="00CE45E2" w:rsidP="006476FB"/>
        </w:tc>
      </w:tr>
      <w:tr w:rsidR="00CE45E2" w:rsidRPr="00CE45E2" w14:paraId="754CAF26" w14:textId="77777777" w:rsidTr="006476FB">
        <w:trPr>
          <w:trHeight w:val="240"/>
          <w:jc w:val="center"/>
        </w:trPr>
        <w:tc>
          <w:tcPr>
            <w:tcW w:w="4876" w:type="dxa"/>
            <w:tcBorders>
              <w:top w:val="nil"/>
              <w:left w:val="nil"/>
              <w:bottom w:val="nil"/>
              <w:right w:val="nil"/>
            </w:tcBorders>
          </w:tcPr>
          <w:p w14:paraId="0496DA4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A4006AC" w14:textId="77777777" w:rsidR="00CE45E2" w:rsidRPr="00CE45E2" w:rsidRDefault="00CE45E2" w:rsidP="006476FB">
            <w:pPr>
              <w:pStyle w:val="AmColumnHeading"/>
            </w:pPr>
            <w:r w:rsidRPr="00CE45E2">
              <w:t>Poprawka</w:t>
            </w:r>
          </w:p>
        </w:tc>
      </w:tr>
      <w:tr w:rsidR="00CE45E2" w:rsidRPr="00CE45E2" w14:paraId="384A869D" w14:textId="77777777" w:rsidTr="006476FB">
        <w:trPr>
          <w:jc w:val="center"/>
        </w:trPr>
        <w:tc>
          <w:tcPr>
            <w:tcW w:w="4876" w:type="dxa"/>
            <w:tcBorders>
              <w:top w:val="nil"/>
              <w:left w:val="nil"/>
              <w:bottom w:val="nil"/>
              <w:right w:val="nil"/>
            </w:tcBorders>
          </w:tcPr>
          <w:p w14:paraId="19E84DA0" w14:textId="77777777" w:rsidR="00CE45E2" w:rsidRPr="00CE45E2" w:rsidRDefault="00CE45E2" w:rsidP="006476FB">
            <w:pPr>
              <w:pStyle w:val="Normal6a"/>
            </w:pPr>
            <w:r w:rsidRPr="00CE45E2">
              <w:t xml:space="preserve">W przypadku gdy zgodnie z prawem krajowym IORP są uprawnione do oferowania indywidualnych produktów emerytalnych, wszystkie aktywa i pasywa odpowiadające działalności w zakresie oferowania indywidualnych programów emerytalnych </w:t>
            </w:r>
            <w:r w:rsidRPr="00CE45E2">
              <w:rPr>
                <w:b/>
                <w:bCs/>
                <w:i/>
                <w:iCs/>
              </w:rPr>
              <w:t>są wyodrębniane</w:t>
            </w:r>
            <w:r w:rsidRPr="00CE45E2">
              <w:t>, bez możliwości przeniesienia tych aktywów i pasywów na inną działalność instytucji w zakresie programów emerytalnych.”;</w:t>
            </w:r>
          </w:p>
        </w:tc>
        <w:tc>
          <w:tcPr>
            <w:tcW w:w="4876" w:type="dxa"/>
            <w:tcBorders>
              <w:top w:val="nil"/>
              <w:left w:val="nil"/>
              <w:bottom w:val="nil"/>
              <w:right w:val="nil"/>
            </w:tcBorders>
          </w:tcPr>
          <w:p w14:paraId="7FF6C0AC" w14:textId="77777777" w:rsidR="00CE45E2" w:rsidRPr="00CE45E2" w:rsidRDefault="00CE45E2" w:rsidP="006476FB">
            <w:pPr>
              <w:pStyle w:val="Normal6a"/>
            </w:pPr>
            <w:r w:rsidRPr="00CE45E2">
              <w:t xml:space="preserve">W przypadku gdy zgodnie z prawem krajowym IORP są uprawnione do oferowania indywidualnych produktów emerytalnych, </w:t>
            </w:r>
            <w:r w:rsidRPr="00CE45E2">
              <w:rPr>
                <w:b/>
                <w:bCs/>
                <w:i/>
                <w:iCs/>
              </w:rPr>
              <w:t xml:space="preserve">państwa członkowskie mogą zdecydować o nałożeniu wymogu, aby </w:t>
            </w:r>
            <w:r w:rsidRPr="00CE45E2">
              <w:t xml:space="preserve">wszystkie aktywa i pasywa odpowiadające działalności w zakresie oferowania indywidualnych programów emerytalnych </w:t>
            </w:r>
            <w:r w:rsidRPr="00CE45E2">
              <w:rPr>
                <w:b/>
                <w:bCs/>
                <w:i/>
                <w:iCs/>
              </w:rPr>
              <w:t>były wyodrębnione</w:t>
            </w:r>
            <w:r w:rsidRPr="00CE45E2">
              <w:t>, bez możliwości przeniesienia tych aktywów i pasywów na inną działalność instytucji w zakresie programów emerytalnych.”;</w:t>
            </w:r>
          </w:p>
        </w:tc>
      </w:tr>
    </w:tbl>
    <w:p w14:paraId="1E1AFFE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CD792EA" w14:textId="77777777" w:rsidR="00CE45E2" w:rsidRPr="00CE45E2" w:rsidRDefault="00CE45E2" w:rsidP="00CE45E2">
      <w:r w:rsidRPr="00CE45E2">
        <w:rPr>
          <w:rStyle w:val="HideTWBExt"/>
        </w:rPr>
        <w:t>&lt;/Amend&gt;</w:t>
      </w:r>
    </w:p>
    <w:p w14:paraId="69A3F2BA" w14:textId="6464F7C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224</w:t>
      </w:r>
      <w:r w:rsidRPr="00CE45E2">
        <w:rPr>
          <w:rStyle w:val="HideTWBExt"/>
          <w:b w:val="0"/>
        </w:rPr>
        <w:t>&lt;/NumAm&gt;</w:t>
      </w:r>
    </w:p>
    <w:p w14:paraId="51A3B9BD"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11195E48" w14:textId="77777777" w:rsidR="00CE45E2" w:rsidRPr="00CE45E2" w:rsidRDefault="00CE45E2" w:rsidP="00CE45E2">
      <w:pPr>
        <w:pStyle w:val="NormalBold"/>
      </w:pPr>
      <w:r w:rsidRPr="00CE45E2">
        <w:rPr>
          <w:rStyle w:val="HideTWBExt"/>
          <w:b w:val="0"/>
        </w:rPr>
        <w:t>&lt;/RepeatBlock-By&gt;</w:t>
      </w:r>
    </w:p>
    <w:p w14:paraId="1542A2B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869D113" w14:textId="77777777" w:rsidR="00CE45E2" w:rsidRPr="00CE45E2" w:rsidRDefault="00CE45E2" w:rsidP="00CE45E2">
      <w:pPr>
        <w:pStyle w:val="NormalBold"/>
      </w:pPr>
      <w:r w:rsidRPr="00CE45E2">
        <w:rPr>
          <w:rStyle w:val="HideTWBExt"/>
          <w:b w:val="0"/>
        </w:rPr>
        <w:t>&lt;Article&gt;</w:t>
      </w:r>
      <w:r w:rsidRPr="00CE45E2">
        <w:t>Artykuł 1 – akapit 1 – punkt 9 a (nowy)</w:t>
      </w:r>
      <w:r w:rsidRPr="00CE45E2">
        <w:rPr>
          <w:rStyle w:val="HideTWBExt"/>
          <w:b w:val="0"/>
        </w:rPr>
        <w:t>&lt;/Article&gt;</w:t>
      </w:r>
    </w:p>
    <w:p w14:paraId="4E86AA61" w14:textId="77777777" w:rsidR="00CE45E2" w:rsidRPr="00CE45E2" w:rsidRDefault="00CE45E2" w:rsidP="00CE45E2">
      <w:r w:rsidRPr="00CE45E2">
        <w:rPr>
          <w:rStyle w:val="HideTWBExt"/>
        </w:rPr>
        <w:t>&lt;Article2&gt;</w:t>
      </w:r>
      <w:r w:rsidRPr="00CE45E2">
        <w:t>Artykuł 8 b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147FB86" w14:textId="77777777" w:rsidTr="006476FB">
        <w:trPr>
          <w:trHeight w:hRule="exact" w:val="240"/>
          <w:jc w:val="center"/>
        </w:trPr>
        <w:tc>
          <w:tcPr>
            <w:tcW w:w="9752" w:type="dxa"/>
            <w:gridSpan w:val="2"/>
            <w:tcBorders>
              <w:top w:val="nil"/>
              <w:left w:val="nil"/>
              <w:bottom w:val="nil"/>
              <w:right w:val="nil"/>
            </w:tcBorders>
          </w:tcPr>
          <w:p w14:paraId="1F433B55" w14:textId="77777777" w:rsidR="00CE45E2" w:rsidRPr="00CE45E2" w:rsidRDefault="00CE45E2" w:rsidP="006476FB"/>
        </w:tc>
      </w:tr>
      <w:tr w:rsidR="00CE45E2" w:rsidRPr="00CE45E2" w14:paraId="67303C6F" w14:textId="77777777" w:rsidTr="006476FB">
        <w:trPr>
          <w:trHeight w:val="240"/>
          <w:jc w:val="center"/>
        </w:trPr>
        <w:tc>
          <w:tcPr>
            <w:tcW w:w="4876" w:type="dxa"/>
            <w:tcBorders>
              <w:top w:val="nil"/>
              <w:left w:val="nil"/>
              <w:bottom w:val="nil"/>
              <w:right w:val="nil"/>
            </w:tcBorders>
          </w:tcPr>
          <w:p w14:paraId="7189471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A79A15D" w14:textId="77777777" w:rsidR="00CE45E2" w:rsidRPr="00CE45E2" w:rsidRDefault="00CE45E2" w:rsidP="006476FB">
            <w:pPr>
              <w:pStyle w:val="AmColumnHeading"/>
            </w:pPr>
            <w:r w:rsidRPr="00CE45E2">
              <w:t>Poprawka</w:t>
            </w:r>
          </w:p>
        </w:tc>
      </w:tr>
      <w:tr w:rsidR="00CE45E2" w:rsidRPr="00CE45E2" w14:paraId="06A10127" w14:textId="77777777" w:rsidTr="006476FB">
        <w:trPr>
          <w:jc w:val="center"/>
        </w:trPr>
        <w:tc>
          <w:tcPr>
            <w:tcW w:w="4876" w:type="dxa"/>
            <w:tcBorders>
              <w:top w:val="nil"/>
              <w:left w:val="nil"/>
              <w:bottom w:val="nil"/>
              <w:right w:val="nil"/>
            </w:tcBorders>
          </w:tcPr>
          <w:p w14:paraId="408B4B63" w14:textId="77777777" w:rsidR="00CE45E2" w:rsidRPr="00CE45E2" w:rsidRDefault="00CE45E2" w:rsidP="006476FB">
            <w:pPr>
              <w:pStyle w:val="Normal6a"/>
            </w:pPr>
          </w:p>
        </w:tc>
        <w:tc>
          <w:tcPr>
            <w:tcW w:w="4876" w:type="dxa"/>
            <w:tcBorders>
              <w:top w:val="nil"/>
              <w:left w:val="nil"/>
              <w:bottom w:val="nil"/>
              <w:right w:val="nil"/>
            </w:tcBorders>
          </w:tcPr>
          <w:p w14:paraId="3AD7DF5F" w14:textId="77777777" w:rsidR="00CE45E2" w:rsidRPr="00CE45E2" w:rsidRDefault="00CE45E2" w:rsidP="006476FB">
            <w:pPr>
              <w:pStyle w:val="Normal6a"/>
            </w:pPr>
            <w:r w:rsidRPr="00CE45E2">
              <w:rPr>
                <w:b/>
                <w:i/>
              </w:rPr>
              <w:t>9a)</w:t>
            </w:r>
            <w:r w:rsidRPr="00CE45E2">
              <w:tab/>
            </w:r>
            <w:r w:rsidRPr="00CE45E2">
              <w:rPr>
                <w:b/>
                <w:i/>
              </w:rPr>
              <w:t>dodaje się artykuł w brzmieniu:</w:t>
            </w:r>
          </w:p>
        </w:tc>
      </w:tr>
      <w:tr w:rsidR="00CE45E2" w:rsidRPr="00CE45E2" w14:paraId="4705D8DD" w14:textId="77777777" w:rsidTr="006476FB">
        <w:trPr>
          <w:jc w:val="center"/>
        </w:trPr>
        <w:tc>
          <w:tcPr>
            <w:tcW w:w="4876" w:type="dxa"/>
            <w:tcBorders>
              <w:top w:val="nil"/>
              <w:left w:val="nil"/>
              <w:bottom w:val="nil"/>
              <w:right w:val="nil"/>
            </w:tcBorders>
          </w:tcPr>
          <w:p w14:paraId="69B5ED23" w14:textId="77777777" w:rsidR="00CE45E2" w:rsidRPr="00CE45E2" w:rsidRDefault="00CE45E2" w:rsidP="006476FB">
            <w:pPr>
              <w:pStyle w:val="Normal6a"/>
            </w:pPr>
          </w:p>
        </w:tc>
        <w:tc>
          <w:tcPr>
            <w:tcW w:w="4876" w:type="dxa"/>
            <w:tcBorders>
              <w:top w:val="nil"/>
              <w:left w:val="nil"/>
              <w:bottom w:val="nil"/>
              <w:right w:val="nil"/>
            </w:tcBorders>
          </w:tcPr>
          <w:p w14:paraId="03574BDC" w14:textId="77777777" w:rsidR="00CE45E2" w:rsidRPr="00CE45E2" w:rsidRDefault="00CE45E2" w:rsidP="006476FB">
            <w:pPr>
              <w:pStyle w:val="Normal6a"/>
            </w:pPr>
            <w:r w:rsidRPr="00CE45E2">
              <w:rPr>
                <w:b/>
                <w:i/>
              </w:rPr>
              <w:t>„Artykuł 8b</w:t>
            </w:r>
          </w:p>
        </w:tc>
      </w:tr>
      <w:tr w:rsidR="00CE45E2" w:rsidRPr="00CE45E2" w14:paraId="4EBB3025" w14:textId="77777777" w:rsidTr="006476FB">
        <w:trPr>
          <w:jc w:val="center"/>
        </w:trPr>
        <w:tc>
          <w:tcPr>
            <w:tcW w:w="4876" w:type="dxa"/>
            <w:tcBorders>
              <w:top w:val="nil"/>
              <w:left w:val="nil"/>
              <w:bottom w:val="nil"/>
              <w:right w:val="nil"/>
            </w:tcBorders>
          </w:tcPr>
          <w:p w14:paraId="465D7AFD" w14:textId="77777777" w:rsidR="00CE45E2" w:rsidRPr="00CE45E2" w:rsidRDefault="00CE45E2" w:rsidP="006476FB">
            <w:pPr>
              <w:pStyle w:val="Normal6a"/>
            </w:pPr>
          </w:p>
        </w:tc>
        <w:tc>
          <w:tcPr>
            <w:tcW w:w="4876" w:type="dxa"/>
            <w:tcBorders>
              <w:top w:val="nil"/>
              <w:left w:val="nil"/>
              <w:bottom w:val="nil"/>
              <w:right w:val="nil"/>
            </w:tcBorders>
          </w:tcPr>
          <w:p w14:paraId="0B441A8C" w14:textId="77777777" w:rsidR="00CE45E2" w:rsidRPr="00CE45E2" w:rsidRDefault="00CE45E2" w:rsidP="006476FB">
            <w:pPr>
              <w:pStyle w:val="Normal6a"/>
            </w:pPr>
            <w:r w:rsidRPr="00CE45E2">
              <w:rPr>
                <w:b/>
                <w:i/>
              </w:rPr>
              <w:t>Własność prawna i ochrona składek emerytalnych</w:t>
            </w:r>
          </w:p>
        </w:tc>
      </w:tr>
      <w:tr w:rsidR="00CE45E2" w:rsidRPr="00CE45E2" w14:paraId="77E0280F" w14:textId="77777777" w:rsidTr="006476FB">
        <w:trPr>
          <w:jc w:val="center"/>
        </w:trPr>
        <w:tc>
          <w:tcPr>
            <w:tcW w:w="4876" w:type="dxa"/>
            <w:tcBorders>
              <w:top w:val="nil"/>
              <w:left w:val="nil"/>
              <w:bottom w:val="nil"/>
              <w:right w:val="nil"/>
            </w:tcBorders>
          </w:tcPr>
          <w:p w14:paraId="7E32D99F" w14:textId="77777777" w:rsidR="00CE45E2" w:rsidRPr="00CE45E2" w:rsidRDefault="00CE45E2" w:rsidP="006476FB">
            <w:pPr>
              <w:pStyle w:val="Normal6a"/>
            </w:pPr>
          </w:p>
        </w:tc>
        <w:tc>
          <w:tcPr>
            <w:tcW w:w="4876" w:type="dxa"/>
            <w:tcBorders>
              <w:top w:val="nil"/>
              <w:left w:val="nil"/>
              <w:bottom w:val="nil"/>
              <w:right w:val="nil"/>
            </w:tcBorders>
          </w:tcPr>
          <w:p w14:paraId="7FD3B553" w14:textId="77777777" w:rsidR="00CE45E2" w:rsidRPr="00CE45E2" w:rsidRDefault="00CE45E2" w:rsidP="006476FB">
            <w:pPr>
              <w:pStyle w:val="Normal6a"/>
            </w:pPr>
            <w:r w:rsidRPr="00CE45E2">
              <w:rPr>
                <w:b/>
                <w:i/>
              </w:rPr>
              <w:t>1. Państwa członkowskie zapewniają, aby składki wpłacane przez uczestników lub w ich imieniu oraz aktywa nabyte w wyniku inwestowania tych składek były prawnie uznawane za indywidualną własność uczestników i beneficjentów danego programu emerytalnego. Składki te stanowią wynagrodzenie odroczone.</w:t>
            </w:r>
          </w:p>
        </w:tc>
      </w:tr>
      <w:tr w:rsidR="00CE45E2" w:rsidRPr="00CE45E2" w14:paraId="1B70BB13" w14:textId="77777777" w:rsidTr="006476FB">
        <w:trPr>
          <w:jc w:val="center"/>
        </w:trPr>
        <w:tc>
          <w:tcPr>
            <w:tcW w:w="4876" w:type="dxa"/>
            <w:tcBorders>
              <w:top w:val="nil"/>
              <w:left w:val="nil"/>
              <w:bottom w:val="nil"/>
              <w:right w:val="nil"/>
            </w:tcBorders>
          </w:tcPr>
          <w:p w14:paraId="6D6DD1D7" w14:textId="77777777" w:rsidR="00CE45E2" w:rsidRPr="00CE45E2" w:rsidRDefault="00CE45E2" w:rsidP="006476FB">
            <w:pPr>
              <w:pStyle w:val="Normal6a"/>
            </w:pPr>
          </w:p>
        </w:tc>
        <w:tc>
          <w:tcPr>
            <w:tcW w:w="4876" w:type="dxa"/>
            <w:tcBorders>
              <w:top w:val="nil"/>
              <w:left w:val="nil"/>
              <w:bottom w:val="nil"/>
              <w:right w:val="nil"/>
            </w:tcBorders>
          </w:tcPr>
          <w:p w14:paraId="291811D4" w14:textId="77777777" w:rsidR="00CE45E2" w:rsidRPr="00CE45E2" w:rsidRDefault="00CE45E2" w:rsidP="006476FB">
            <w:pPr>
              <w:pStyle w:val="Normal6a"/>
            </w:pPr>
            <w:r w:rsidRPr="00CE45E2">
              <w:rPr>
                <w:b/>
                <w:i/>
              </w:rPr>
              <w:t>2. Aktywa, o których mowa w ust. 1, nie stanowią części aktywów IORP, instytucji finansującej, upoważnionego podmiotu prowadzącego IORP, członka organu administracyjnego, zarządzającego lub nadzorczego, podmiotu zarządzającego aktywami, usługodawcy ani żadnej innej osoby fizycznej lub prawnej odpowiedzialnej za administrowanie lub zarządzanie tymi aktywami.</w:t>
            </w:r>
          </w:p>
        </w:tc>
      </w:tr>
      <w:tr w:rsidR="00CE45E2" w:rsidRPr="00CE45E2" w14:paraId="655F2175" w14:textId="77777777" w:rsidTr="006476FB">
        <w:trPr>
          <w:jc w:val="center"/>
        </w:trPr>
        <w:tc>
          <w:tcPr>
            <w:tcW w:w="4876" w:type="dxa"/>
            <w:tcBorders>
              <w:top w:val="nil"/>
              <w:left w:val="nil"/>
              <w:bottom w:val="nil"/>
              <w:right w:val="nil"/>
            </w:tcBorders>
          </w:tcPr>
          <w:p w14:paraId="4EC57F33" w14:textId="77777777" w:rsidR="00CE45E2" w:rsidRPr="00CE45E2" w:rsidRDefault="00CE45E2" w:rsidP="006476FB">
            <w:pPr>
              <w:pStyle w:val="Normal6a"/>
            </w:pPr>
          </w:p>
        </w:tc>
        <w:tc>
          <w:tcPr>
            <w:tcW w:w="4876" w:type="dxa"/>
            <w:tcBorders>
              <w:top w:val="nil"/>
              <w:left w:val="nil"/>
              <w:bottom w:val="nil"/>
              <w:right w:val="nil"/>
            </w:tcBorders>
          </w:tcPr>
          <w:p w14:paraId="09ADA351" w14:textId="77777777" w:rsidR="00CE45E2" w:rsidRPr="00CE45E2" w:rsidRDefault="00CE45E2" w:rsidP="006476FB">
            <w:pPr>
              <w:pStyle w:val="Normal6a"/>
            </w:pPr>
            <w:r w:rsidRPr="00CE45E2">
              <w:rPr>
                <w:b/>
                <w:i/>
              </w:rPr>
              <w:t>3. Państwa członkowskie zapewniają, aby aktywa te były prawnie i operacyjnie wyodrębnione oraz chronione przed roszczeniami wierzycieli oraz przed niewypłacalnością, restrukturyzacją, likwidacją lub upadłością którejkolwiek z osób lub któregokolwiek z podmiotów, o których mowa w ust. 2.</w:t>
            </w:r>
          </w:p>
        </w:tc>
      </w:tr>
      <w:tr w:rsidR="00CE45E2" w:rsidRPr="00CE45E2" w14:paraId="3A17BE09" w14:textId="77777777" w:rsidTr="006476FB">
        <w:trPr>
          <w:jc w:val="center"/>
        </w:trPr>
        <w:tc>
          <w:tcPr>
            <w:tcW w:w="4876" w:type="dxa"/>
            <w:tcBorders>
              <w:top w:val="nil"/>
              <w:left w:val="nil"/>
              <w:bottom w:val="nil"/>
              <w:right w:val="nil"/>
            </w:tcBorders>
          </w:tcPr>
          <w:p w14:paraId="0D9366D7" w14:textId="77777777" w:rsidR="00CE45E2" w:rsidRPr="00CE45E2" w:rsidRDefault="00CE45E2" w:rsidP="006476FB">
            <w:pPr>
              <w:pStyle w:val="Normal6a"/>
            </w:pPr>
          </w:p>
        </w:tc>
        <w:tc>
          <w:tcPr>
            <w:tcW w:w="4876" w:type="dxa"/>
            <w:tcBorders>
              <w:top w:val="nil"/>
              <w:left w:val="nil"/>
              <w:bottom w:val="nil"/>
              <w:right w:val="nil"/>
            </w:tcBorders>
          </w:tcPr>
          <w:p w14:paraId="6ADCF7B5" w14:textId="77777777" w:rsidR="00CE45E2" w:rsidRPr="00CE45E2" w:rsidRDefault="00CE45E2" w:rsidP="006476FB">
            <w:pPr>
              <w:pStyle w:val="Normal6a"/>
            </w:pPr>
            <w:r w:rsidRPr="00CE45E2">
              <w:rPr>
                <w:b/>
                <w:i/>
              </w:rPr>
              <w:t>4. IORP oraz każda osoba działająca w jej imieniu wykonuje wyłącznie uprawnienia w zakresie administracji, inwestowania i rozporządzania niezbędne do prowadzenia programu emerytalnego, wypłacania świadczeń emerytalnych oraz pokrywania kosztów wyraźnie dozwolonych przez program emerytalny i prawo krajowe. Uprawnienia te są wykonywane wyłącznie w imieniu uczestników i beneficjentów.”</w:t>
            </w:r>
          </w:p>
        </w:tc>
      </w:tr>
    </w:tbl>
    <w:p w14:paraId="3BE22CA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ED88E4F"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4D86603" w14:textId="77777777" w:rsidR="00CE45E2" w:rsidRPr="00CE45E2" w:rsidRDefault="00CE45E2" w:rsidP="00CE45E2">
      <w:pPr>
        <w:pStyle w:val="AmJustText"/>
      </w:pPr>
      <w:r w:rsidRPr="00CE45E2">
        <w:t>Samo oddzielenie prawne niekoniecznie określa, kto jest ostatecznym właścicielem aktywów emerytalnych. Poprawka wyraźnie uznaje uczestników i beneficjentów za właścicieli oraz chroni aktywa przed nadużyciami, roszczeniami wierzycieli oraz niewypłacalnością instytucji lub podmiotów zarządzających.</w:t>
      </w:r>
    </w:p>
    <w:p w14:paraId="7CCE378F" w14:textId="77777777" w:rsidR="00CE45E2" w:rsidRPr="00CE45E2" w:rsidRDefault="00CE45E2" w:rsidP="00CE45E2">
      <w:r w:rsidRPr="00CE45E2">
        <w:rPr>
          <w:rStyle w:val="HideTWBExt"/>
        </w:rPr>
        <w:t>&lt;/Amend&gt;</w:t>
      </w:r>
    </w:p>
    <w:p w14:paraId="57ECEB2C" w14:textId="18C6A16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225</w:t>
      </w:r>
      <w:r w:rsidRPr="00CE45E2">
        <w:rPr>
          <w:rStyle w:val="HideTWBExt"/>
          <w:b w:val="0"/>
        </w:rPr>
        <w:t>&lt;/NumAm&gt;</w:t>
      </w:r>
    </w:p>
    <w:p w14:paraId="3706E5F4"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1EB09BDB" w14:textId="77777777" w:rsidR="00CE45E2" w:rsidRPr="00CE45E2" w:rsidRDefault="00CE45E2" w:rsidP="00CE45E2">
      <w:pPr>
        <w:pStyle w:val="NormalBold"/>
      </w:pPr>
      <w:r w:rsidRPr="00CE45E2">
        <w:rPr>
          <w:rStyle w:val="HideTWBExt"/>
          <w:b w:val="0"/>
        </w:rPr>
        <w:t>&lt;/RepeatBlock-By&gt;</w:t>
      </w:r>
    </w:p>
    <w:p w14:paraId="7857EEB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06D80E6" w14:textId="77777777" w:rsidR="00CE45E2" w:rsidRPr="00CE45E2" w:rsidRDefault="00CE45E2" w:rsidP="00CE45E2">
      <w:pPr>
        <w:pStyle w:val="NormalBold"/>
      </w:pPr>
      <w:r w:rsidRPr="00CE45E2">
        <w:rPr>
          <w:rStyle w:val="HideTWBExt"/>
          <w:b w:val="0"/>
        </w:rPr>
        <w:t>&lt;Article&gt;</w:t>
      </w:r>
      <w:r w:rsidRPr="00CE45E2">
        <w:t>Artykuł 1 – akapit 1 – punkt 10 – litera a</w:t>
      </w:r>
      <w:r w:rsidRPr="00CE45E2">
        <w:rPr>
          <w:rStyle w:val="HideTWBExt"/>
          <w:b w:val="0"/>
        </w:rPr>
        <w:t>&lt;/Article&gt;</w:t>
      </w:r>
    </w:p>
    <w:p w14:paraId="63F6EE2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31BAFB5" w14:textId="77777777" w:rsidR="00CE45E2" w:rsidRPr="00CE45E2" w:rsidRDefault="00CE45E2" w:rsidP="00CE45E2">
      <w:r w:rsidRPr="00CE45E2">
        <w:rPr>
          <w:rStyle w:val="HideTWBExt"/>
        </w:rPr>
        <w:t>&lt;Article2&gt;</w:t>
      </w:r>
      <w:r w:rsidRPr="00CE45E2">
        <w:t>Artykuł 9 – tytuł</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24D886F" w14:textId="77777777" w:rsidTr="006476FB">
        <w:trPr>
          <w:trHeight w:hRule="exact" w:val="240"/>
          <w:jc w:val="center"/>
        </w:trPr>
        <w:tc>
          <w:tcPr>
            <w:tcW w:w="9752" w:type="dxa"/>
            <w:gridSpan w:val="2"/>
            <w:tcBorders>
              <w:top w:val="nil"/>
              <w:left w:val="nil"/>
              <w:bottom w:val="nil"/>
              <w:right w:val="nil"/>
            </w:tcBorders>
          </w:tcPr>
          <w:p w14:paraId="28305C31" w14:textId="77777777" w:rsidR="00CE45E2" w:rsidRPr="00CE45E2" w:rsidRDefault="00CE45E2" w:rsidP="006476FB"/>
        </w:tc>
      </w:tr>
      <w:tr w:rsidR="00CE45E2" w:rsidRPr="00CE45E2" w14:paraId="5DA8C66B" w14:textId="77777777" w:rsidTr="006476FB">
        <w:trPr>
          <w:trHeight w:val="240"/>
          <w:jc w:val="center"/>
        </w:trPr>
        <w:tc>
          <w:tcPr>
            <w:tcW w:w="4876" w:type="dxa"/>
            <w:tcBorders>
              <w:top w:val="nil"/>
              <w:left w:val="nil"/>
              <w:bottom w:val="nil"/>
              <w:right w:val="nil"/>
            </w:tcBorders>
          </w:tcPr>
          <w:p w14:paraId="5377F2D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BAC5795" w14:textId="77777777" w:rsidR="00CE45E2" w:rsidRPr="00CE45E2" w:rsidRDefault="00CE45E2" w:rsidP="006476FB">
            <w:pPr>
              <w:pStyle w:val="AmColumnHeading"/>
            </w:pPr>
            <w:r w:rsidRPr="00CE45E2">
              <w:t>Poprawka</w:t>
            </w:r>
          </w:p>
        </w:tc>
      </w:tr>
      <w:tr w:rsidR="00CE45E2" w:rsidRPr="00CE45E2" w14:paraId="5BC0418C" w14:textId="77777777" w:rsidTr="006476FB">
        <w:trPr>
          <w:jc w:val="center"/>
        </w:trPr>
        <w:tc>
          <w:tcPr>
            <w:tcW w:w="4876" w:type="dxa"/>
            <w:tcBorders>
              <w:top w:val="nil"/>
              <w:left w:val="nil"/>
              <w:bottom w:val="nil"/>
              <w:right w:val="nil"/>
            </w:tcBorders>
          </w:tcPr>
          <w:p w14:paraId="2ED0E82A" w14:textId="77777777" w:rsidR="00CE45E2" w:rsidRPr="00CE45E2" w:rsidRDefault="00CE45E2" w:rsidP="006476FB">
            <w:pPr>
              <w:pStyle w:val="Normal6a"/>
            </w:pPr>
            <w:r w:rsidRPr="00CE45E2">
              <w:rPr>
                <w:b/>
                <w:i/>
              </w:rPr>
              <w:t>a)</w:t>
            </w:r>
            <w:r w:rsidRPr="00CE45E2">
              <w:tab/>
            </w:r>
            <w:r w:rsidRPr="00CE45E2">
              <w:rPr>
                <w:b/>
                <w:i/>
              </w:rPr>
              <w:t>tytuł otrzymuje brzmienie:</w:t>
            </w:r>
          </w:p>
        </w:tc>
        <w:tc>
          <w:tcPr>
            <w:tcW w:w="4876" w:type="dxa"/>
            <w:tcBorders>
              <w:top w:val="nil"/>
              <w:left w:val="nil"/>
              <w:bottom w:val="nil"/>
              <w:right w:val="nil"/>
            </w:tcBorders>
          </w:tcPr>
          <w:p w14:paraId="1F675F50" w14:textId="77777777" w:rsidR="00CE45E2" w:rsidRPr="00CE45E2" w:rsidRDefault="00CE45E2" w:rsidP="006476FB">
            <w:pPr>
              <w:pStyle w:val="Normal6a"/>
            </w:pPr>
            <w:r w:rsidRPr="00CE45E2">
              <w:rPr>
                <w:b/>
                <w:i/>
              </w:rPr>
              <w:t>skreśla się</w:t>
            </w:r>
          </w:p>
        </w:tc>
      </w:tr>
      <w:tr w:rsidR="00CE45E2" w:rsidRPr="00CE45E2" w14:paraId="24AEA337" w14:textId="77777777" w:rsidTr="006476FB">
        <w:trPr>
          <w:jc w:val="center"/>
        </w:trPr>
        <w:tc>
          <w:tcPr>
            <w:tcW w:w="4876" w:type="dxa"/>
            <w:tcBorders>
              <w:top w:val="nil"/>
              <w:left w:val="nil"/>
              <w:bottom w:val="nil"/>
              <w:right w:val="nil"/>
            </w:tcBorders>
          </w:tcPr>
          <w:p w14:paraId="799F8E9E" w14:textId="77777777" w:rsidR="00CE45E2" w:rsidRPr="00CE45E2" w:rsidRDefault="00CE45E2" w:rsidP="006476FB">
            <w:pPr>
              <w:pStyle w:val="Normal6a"/>
            </w:pPr>
            <w:r w:rsidRPr="00CE45E2">
              <w:rPr>
                <w:b/>
                <w:i/>
              </w:rPr>
              <w:t>„Zezwolenie”;</w:t>
            </w:r>
          </w:p>
        </w:tc>
        <w:tc>
          <w:tcPr>
            <w:tcW w:w="4876" w:type="dxa"/>
            <w:tcBorders>
              <w:top w:val="nil"/>
              <w:left w:val="nil"/>
              <w:bottom w:val="nil"/>
              <w:right w:val="nil"/>
            </w:tcBorders>
          </w:tcPr>
          <w:p w14:paraId="792F3FC7" w14:textId="77777777" w:rsidR="00CE45E2" w:rsidRPr="00CE45E2" w:rsidRDefault="00CE45E2" w:rsidP="006476FB">
            <w:pPr>
              <w:pStyle w:val="Normal6a"/>
            </w:pPr>
          </w:p>
        </w:tc>
      </w:tr>
    </w:tbl>
    <w:p w14:paraId="5AB83A7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8A6C323"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098F77F" w14:textId="77777777" w:rsidR="00CE45E2" w:rsidRPr="00CE45E2" w:rsidRDefault="00CE45E2" w:rsidP="00CE45E2">
      <w:pPr>
        <w:pStyle w:val="AmJustText"/>
      </w:pPr>
      <w:r w:rsidRPr="00CE45E2">
        <w:t xml:space="preserve">At the moment </w:t>
      </w:r>
      <w:proofErr w:type="spellStart"/>
      <w:r w:rsidRPr="00CE45E2">
        <w:t>Member</w:t>
      </w:r>
      <w:proofErr w:type="spellEnd"/>
      <w:r w:rsidRPr="00CE45E2">
        <w:t xml:space="preserve"> </w:t>
      </w:r>
      <w:proofErr w:type="spellStart"/>
      <w:r w:rsidRPr="00CE45E2">
        <w:t>States</w:t>
      </w:r>
      <w:proofErr w:type="spellEnd"/>
      <w:r w:rsidRPr="00CE45E2">
        <w:t xml:space="preserve"> </w:t>
      </w:r>
      <w:proofErr w:type="spellStart"/>
      <w:r w:rsidRPr="00CE45E2">
        <w:t>can</w:t>
      </w:r>
      <w:proofErr w:type="spellEnd"/>
      <w:r w:rsidRPr="00CE45E2">
        <w:t xml:space="preserve"> </w:t>
      </w:r>
      <w:proofErr w:type="spellStart"/>
      <w:r w:rsidRPr="00CE45E2">
        <w:t>choose</w:t>
      </w:r>
      <w:proofErr w:type="spellEnd"/>
      <w:r w:rsidRPr="00CE45E2">
        <w:t xml:space="preserve"> </w:t>
      </w:r>
      <w:proofErr w:type="spellStart"/>
      <w:r w:rsidRPr="00CE45E2">
        <w:t>whether</w:t>
      </w:r>
      <w:proofErr w:type="spellEnd"/>
      <w:r w:rsidRPr="00CE45E2">
        <w:t xml:space="preserve"> </w:t>
      </w:r>
      <w:proofErr w:type="spellStart"/>
      <w:r w:rsidRPr="00CE45E2">
        <w:t>they</w:t>
      </w:r>
      <w:proofErr w:type="spellEnd"/>
      <w:r w:rsidRPr="00CE45E2">
        <w:t xml:space="preserve"> </w:t>
      </w:r>
      <w:proofErr w:type="spellStart"/>
      <w:r w:rsidRPr="00CE45E2">
        <w:t>apply</w:t>
      </w:r>
      <w:proofErr w:type="spellEnd"/>
      <w:r w:rsidRPr="00CE45E2">
        <w:t xml:space="preserve"> </w:t>
      </w:r>
      <w:proofErr w:type="spellStart"/>
      <w:r w:rsidRPr="00CE45E2">
        <w:t>an</w:t>
      </w:r>
      <w:proofErr w:type="spellEnd"/>
      <w:r w:rsidRPr="00CE45E2">
        <w:t xml:space="preserve"> </w:t>
      </w:r>
      <w:proofErr w:type="spellStart"/>
      <w:r w:rsidRPr="00CE45E2">
        <w:t>authorisation</w:t>
      </w:r>
      <w:proofErr w:type="spellEnd"/>
      <w:r w:rsidRPr="00CE45E2">
        <w:t xml:space="preserve"> </w:t>
      </w:r>
      <w:proofErr w:type="spellStart"/>
      <w:r w:rsidRPr="00CE45E2">
        <w:t>or</w:t>
      </w:r>
      <w:proofErr w:type="spellEnd"/>
      <w:r w:rsidRPr="00CE45E2">
        <w:t xml:space="preserve"> </w:t>
      </w:r>
      <w:proofErr w:type="spellStart"/>
      <w:r w:rsidRPr="00CE45E2">
        <w:t>registration</w:t>
      </w:r>
      <w:proofErr w:type="spellEnd"/>
      <w:r w:rsidRPr="00CE45E2">
        <w:t xml:space="preserve"> </w:t>
      </w:r>
      <w:proofErr w:type="spellStart"/>
      <w:r w:rsidRPr="00CE45E2">
        <w:t>procedure</w:t>
      </w:r>
      <w:proofErr w:type="spellEnd"/>
      <w:r w:rsidRPr="00CE45E2">
        <w:t xml:space="preserve">. The </w:t>
      </w:r>
      <w:proofErr w:type="spellStart"/>
      <w:r w:rsidRPr="00CE45E2">
        <w:t>Commission</w:t>
      </w:r>
      <w:proofErr w:type="spellEnd"/>
      <w:r w:rsidRPr="00CE45E2">
        <w:t xml:space="preserve"> </w:t>
      </w:r>
      <w:proofErr w:type="spellStart"/>
      <w:r w:rsidRPr="00CE45E2">
        <w:t>states</w:t>
      </w:r>
      <w:proofErr w:type="spellEnd"/>
      <w:r w:rsidRPr="00CE45E2">
        <w:t xml:space="preserve"> </w:t>
      </w:r>
      <w:proofErr w:type="spellStart"/>
      <w:r w:rsidRPr="00CE45E2">
        <w:t>that</w:t>
      </w:r>
      <w:proofErr w:type="spellEnd"/>
      <w:r w:rsidRPr="00CE45E2">
        <w:t xml:space="preserve"> </w:t>
      </w:r>
      <w:proofErr w:type="spellStart"/>
      <w:r w:rsidRPr="00CE45E2">
        <w:t>divergent</w:t>
      </w:r>
      <w:proofErr w:type="spellEnd"/>
      <w:r w:rsidRPr="00CE45E2">
        <w:t xml:space="preserve"> </w:t>
      </w:r>
      <w:proofErr w:type="spellStart"/>
      <w:r w:rsidRPr="00CE45E2">
        <w:t>practices</w:t>
      </w:r>
      <w:proofErr w:type="spellEnd"/>
      <w:r w:rsidRPr="00CE45E2">
        <w:t xml:space="preserve"> </w:t>
      </w:r>
      <w:proofErr w:type="spellStart"/>
      <w:r w:rsidRPr="00CE45E2">
        <w:t>lead</w:t>
      </w:r>
      <w:proofErr w:type="spellEnd"/>
      <w:r w:rsidRPr="00CE45E2">
        <w:t xml:space="preserve"> to a </w:t>
      </w:r>
      <w:proofErr w:type="spellStart"/>
      <w:r w:rsidRPr="00CE45E2">
        <w:t>fragmented</w:t>
      </w:r>
      <w:proofErr w:type="spellEnd"/>
      <w:r w:rsidRPr="00CE45E2">
        <w:t xml:space="preserve"> </w:t>
      </w:r>
      <w:proofErr w:type="spellStart"/>
      <w:r w:rsidRPr="00CE45E2">
        <w:t>internal</w:t>
      </w:r>
      <w:proofErr w:type="spellEnd"/>
      <w:r w:rsidRPr="00CE45E2">
        <w:t xml:space="preserve"> market. </w:t>
      </w:r>
      <w:proofErr w:type="spellStart"/>
      <w:r w:rsidRPr="00CE45E2">
        <w:t>However</w:t>
      </w:r>
      <w:proofErr w:type="spellEnd"/>
      <w:r w:rsidRPr="00CE45E2">
        <w:t xml:space="preserve">, </w:t>
      </w:r>
      <w:proofErr w:type="spellStart"/>
      <w:r w:rsidRPr="00CE45E2">
        <w:t>limiting</w:t>
      </w:r>
      <w:proofErr w:type="spellEnd"/>
      <w:r w:rsidRPr="00CE45E2">
        <w:t xml:space="preserve"> </w:t>
      </w:r>
      <w:proofErr w:type="spellStart"/>
      <w:r w:rsidRPr="00CE45E2">
        <w:t>this</w:t>
      </w:r>
      <w:proofErr w:type="spellEnd"/>
      <w:r w:rsidRPr="00CE45E2">
        <w:t xml:space="preserve"> to </w:t>
      </w:r>
      <w:proofErr w:type="spellStart"/>
      <w:r w:rsidRPr="00CE45E2">
        <w:t>authorisation</w:t>
      </w:r>
      <w:proofErr w:type="spellEnd"/>
      <w:r w:rsidRPr="00CE45E2">
        <w:t xml:space="preserve"> </w:t>
      </w:r>
      <w:proofErr w:type="spellStart"/>
      <w:r w:rsidRPr="00CE45E2">
        <w:t>procedures</w:t>
      </w:r>
      <w:proofErr w:type="spellEnd"/>
      <w:r w:rsidRPr="00CE45E2">
        <w:t xml:space="preserve"> </w:t>
      </w:r>
      <w:proofErr w:type="spellStart"/>
      <w:r w:rsidRPr="00CE45E2">
        <w:t>only</w:t>
      </w:r>
      <w:proofErr w:type="spellEnd"/>
      <w:r w:rsidRPr="00CE45E2">
        <w:t xml:space="preserve"> </w:t>
      </w:r>
      <w:proofErr w:type="spellStart"/>
      <w:r w:rsidRPr="00CE45E2">
        <w:t>would</w:t>
      </w:r>
      <w:proofErr w:type="spellEnd"/>
      <w:r w:rsidRPr="00CE45E2">
        <w:t xml:space="preserve"> </w:t>
      </w:r>
      <w:proofErr w:type="spellStart"/>
      <w:r w:rsidRPr="00CE45E2">
        <w:t>create</w:t>
      </w:r>
      <w:proofErr w:type="spellEnd"/>
      <w:r w:rsidRPr="00CE45E2">
        <w:t xml:space="preserve"> </w:t>
      </w:r>
      <w:proofErr w:type="spellStart"/>
      <w:r w:rsidRPr="00CE45E2">
        <w:t>an</w:t>
      </w:r>
      <w:proofErr w:type="spellEnd"/>
      <w:r w:rsidRPr="00CE45E2">
        <w:t xml:space="preserve"> </w:t>
      </w:r>
      <w:proofErr w:type="spellStart"/>
      <w:r w:rsidRPr="00CE45E2">
        <w:t>additional</w:t>
      </w:r>
      <w:proofErr w:type="spellEnd"/>
      <w:r w:rsidRPr="00CE45E2">
        <w:t xml:space="preserve"> </w:t>
      </w:r>
      <w:proofErr w:type="spellStart"/>
      <w:r w:rsidRPr="00CE45E2">
        <w:t>barrier</w:t>
      </w:r>
      <w:proofErr w:type="spellEnd"/>
      <w:r w:rsidRPr="00CE45E2">
        <w:t xml:space="preserve"> for </w:t>
      </w:r>
      <w:proofErr w:type="spellStart"/>
      <w:r w:rsidRPr="00CE45E2">
        <w:t>Member</w:t>
      </w:r>
      <w:proofErr w:type="spellEnd"/>
      <w:r w:rsidRPr="00CE45E2">
        <w:t xml:space="preserve"> </w:t>
      </w:r>
      <w:proofErr w:type="spellStart"/>
      <w:r w:rsidRPr="00CE45E2">
        <w:t>States</w:t>
      </w:r>
      <w:proofErr w:type="spellEnd"/>
      <w:r w:rsidRPr="00CE45E2">
        <w:t xml:space="preserve"> to </w:t>
      </w:r>
      <w:proofErr w:type="spellStart"/>
      <w:r w:rsidRPr="00CE45E2">
        <w:t>further</w:t>
      </w:r>
      <w:proofErr w:type="spellEnd"/>
      <w:r w:rsidRPr="00CE45E2">
        <w:t xml:space="preserve"> </w:t>
      </w:r>
      <w:proofErr w:type="spellStart"/>
      <w:r w:rsidRPr="00CE45E2">
        <w:t>develop</w:t>
      </w:r>
      <w:proofErr w:type="spellEnd"/>
      <w:r w:rsidRPr="00CE45E2">
        <w:t xml:space="preserve"> a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sector</w:t>
      </w:r>
      <w:proofErr w:type="spellEnd"/>
      <w:r w:rsidRPr="00CE45E2">
        <w:t xml:space="preserve">, and </w:t>
      </w:r>
      <w:proofErr w:type="spellStart"/>
      <w:r w:rsidRPr="00CE45E2">
        <w:t>would</w:t>
      </w:r>
      <w:proofErr w:type="spellEnd"/>
      <w:r w:rsidRPr="00CE45E2">
        <w:t xml:space="preserve"> </w:t>
      </w:r>
      <w:proofErr w:type="spellStart"/>
      <w:r w:rsidRPr="00CE45E2">
        <w:t>require</w:t>
      </w:r>
      <w:proofErr w:type="spellEnd"/>
      <w:r w:rsidRPr="00CE45E2">
        <w:t xml:space="preserve"> </w:t>
      </w:r>
      <w:proofErr w:type="spellStart"/>
      <w:r w:rsidRPr="00CE45E2">
        <w:t>Member</w:t>
      </w:r>
      <w:proofErr w:type="spellEnd"/>
      <w:r w:rsidRPr="00CE45E2">
        <w:t xml:space="preserve"> </w:t>
      </w:r>
      <w:proofErr w:type="spellStart"/>
      <w:r w:rsidRPr="00CE45E2">
        <w:t>States</w:t>
      </w:r>
      <w:proofErr w:type="spellEnd"/>
      <w:r w:rsidRPr="00CE45E2">
        <w:t xml:space="preserve"> with </w:t>
      </w:r>
      <w:proofErr w:type="spellStart"/>
      <w:r w:rsidRPr="00CE45E2">
        <w:t>smaller</w:t>
      </w:r>
      <w:proofErr w:type="spellEnd"/>
      <w:r w:rsidRPr="00CE45E2">
        <w:t xml:space="preserve"> </w:t>
      </w:r>
      <w:proofErr w:type="spellStart"/>
      <w:r w:rsidRPr="00CE45E2">
        <w:t>sectors</w:t>
      </w:r>
      <w:proofErr w:type="spellEnd"/>
      <w:r w:rsidRPr="00CE45E2">
        <w:t xml:space="preserve"> and </w:t>
      </w:r>
      <w:proofErr w:type="spellStart"/>
      <w:r w:rsidRPr="00CE45E2">
        <w:t>that</w:t>
      </w:r>
      <w:proofErr w:type="spellEnd"/>
      <w:r w:rsidRPr="00CE45E2">
        <w:t xml:space="preserve"> </w:t>
      </w:r>
      <w:proofErr w:type="spellStart"/>
      <w:r w:rsidRPr="00CE45E2">
        <w:t>apply</w:t>
      </w:r>
      <w:proofErr w:type="spellEnd"/>
      <w:r w:rsidRPr="00CE45E2">
        <w:t xml:space="preserve"> </w:t>
      </w:r>
      <w:proofErr w:type="spellStart"/>
      <w:r w:rsidRPr="00CE45E2">
        <w:t>registration</w:t>
      </w:r>
      <w:proofErr w:type="spellEnd"/>
      <w:r w:rsidRPr="00CE45E2">
        <w:t xml:space="preserve"> </w:t>
      </w:r>
      <w:proofErr w:type="spellStart"/>
      <w:r w:rsidRPr="00CE45E2">
        <w:t>procedures</w:t>
      </w:r>
      <w:proofErr w:type="spellEnd"/>
      <w:r w:rsidRPr="00CE45E2">
        <w:t xml:space="preserve"> to </w:t>
      </w:r>
      <w:proofErr w:type="spellStart"/>
      <w:r w:rsidRPr="00CE45E2">
        <w:t>switch</w:t>
      </w:r>
      <w:proofErr w:type="spellEnd"/>
      <w:r w:rsidRPr="00CE45E2">
        <w:t xml:space="preserve"> to </w:t>
      </w:r>
      <w:proofErr w:type="spellStart"/>
      <w:r w:rsidRPr="00CE45E2">
        <w:t>authorisation</w:t>
      </w:r>
      <w:proofErr w:type="spellEnd"/>
      <w:r w:rsidRPr="00CE45E2">
        <w:t xml:space="preserve">. </w:t>
      </w:r>
      <w:proofErr w:type="spellStart"/>
      <w:r w:rsidRPr="00CE45E2">
        <w:t>This</w:t>
      </w:r>
      <w:proofErr w:type="spellEnd"/>
      <w:r w:rsidRPr="00CE45E2">
        <w:t xml:space="preserve"> </w:t>
      </w:r>
      <w:proofErr w:type="spellStart"/>
      <w:r w:rsidRPr="00CE45E2">
        <w:t>would</w:t>
      </w:r>
      <w:proofErr w:type="spellEnd"/>
      <w:r w:rsidRPr="00CE45E2">
        <w:t xml:space="preserve"> not be </w:t>
      </w:r>
      <w:proofErr w:type="spellStart"/>
      <w:r w:rsidRPr="00CE45E2">
        <w:t>proportional</w:t>
      </w:r>
      <w:proofErr w:type="spellEnd"/>
      <w:r w:rsidRPr="00CE45E2">
        <w:t xml:space="preserve">, </w:t>
      </w:r>
      <w:proofErr w:type="spellStart"/>
      <w:r w:rsidRPr="00CE45E2">
        <w:t>considering</w:t>
      </w:r>
      <w:proofErr w:type="spellEnd"/>
      <w:r w:rsidRPr="00CE45E2">
        <w:t xml:space="preserve"> </w:t>
      </w:r>
      <w:proofErr w:type="spellStart"/>
      <w:r w:rsidRPr="00CE45E2">
        <w:t>that</w:t>
      </w:r>
      <w:proofErr w:type="spellEnd"/>
      <w:r w:rsidRPr="00CE45E2">
        <w:t xml:space="preserve"> a single market for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is</w:t>
      </w:r>
      <w:proofErr w:type="spellEnd"/>
      <w:r w:rsidRPr="00CE45E2">
        <w:t xml:space="preserve"> </w:t>
      </w:r>
      <w:proofErr w:type="spellStart"/>
      <w:r w:rsidRPr="00CE45E2">
        <w:t>still</w:t>
      </w:r>
      <w:proofErr w:type="spellEnd"/>
      <w:r w:rsidRPr="00CE45E2">
        <w:t xml:space="preserve"> </w:t>
      </w:r>
      <w:proofErr w:type="spellStart"/>
      <w:r w:rsidRPr="00CE45E2">
        <w:t>largely</w:t>
      </w:r>
      <w:proofErr w:type="spellEnd"/>
      <w:r w:rsidRPr="00CE45E2">
        <w:t xml:space="preserve"> </w:t>
      </w:r>
      <w:proofErr w:type="spellStart"/>
      <w:r w:rsidRPr="00CE45E2">
        <w:t>absent</w:t>
      </w:r>
      <w:proofErr w:type="spellEnd"/>
      <w:r w:rsidRPr="00CE45E2">
        <w:t>.</w:t>
      </w:r>
    </w:p>
    <w:p w14:paraId="675B9E8C" w14:textId="77777777" w:rsidR="00CE45E2" w:rsidRPr="00CE45E2" w:rsidRDefault="00CE45E2" w:rsidP="00CE45E2">
      <w:r w:rsidRPr="00CE45E2">
        <w:rPr>
          <w:rStyle w:val="HideTWBExt"/>
        </w:rPr>
        <w:t>&lt;/Amend&gt;</w:t>
      </w:r>
    </w:p>
    <w:p w14:paraId="058DA58B" w14:textId="57AF981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226</w:t>
      </w:r>
      <w:r w:rsidRPr="00CE45E2">
        <w:rPr>
          <w:rStyle w:val="HideTWBExt"/>
          <w:b w:val="0"/>
        </w:rPr>
        <w:t>&lt;/NumAm&gt;</w:t>
      </w:r>
    </w:p>
    <w:p w14:paraId="2614802B"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7B85ADB6" w14:textId="77777777" w:rsidR="00CE45E2" w:rsidRPr="00CE45E2" w:rsidRDefault="00CE45E2" w:rsidP="00CE45E2">
      <w:pPr>
        <w:pStyle w:val="NormalBold"/>
      </w:pPr>
      <w:r w:rsidRPr="00CE45E2">
        <w:rPr>
          <w:rStyle w:val="HideTWBExt"/>
          <w:b w:val="0"/>
        </w:rPr>
        <w:t>&lt;/RepeatBlock-By&gt;</w:t>
      </w:r>
    </w:p>
    <w:p w14:paraId="526612E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0EF3401" w14:textId="77777777" w:rsidR="00CE45E2" w:rsidRPr="00CE45E2" w:rsidRDefault="00CE45E2" w:rsidP="00CE45E2">
      <w:pPr>
        <w:pStyle w:val="NormalBold"/>
      </w:pPr>
      <w:r w:rsidRPr="00CE45E2">
        <w:rPr>
          <w:rStyle w:val="HideTWBExt"/>
          <w:b w:val="0"/>
        </w:rPr>
        <w:t>&lt;Article&gt;</w:t>
      </w:r>
      <w:r w:rsidRPr="00CE45E2">
        <w:t>Artykuł 1 – akapit 1 – punkt 10 – litera a</w:t>
      </w:r>
      <w:r w:rsidRPr="00CE45E2">
        <w:rPr>
          <w:rStyle w:val="HideTWBExt"/>
          <w:b w:val="0"/>
        </w:rPr>
        <w:t>&lt;/Article&gt;</w:t>
      </w:r>
    </w:p>
    <w:p w14:paraId="63AAE44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E04506F" w14:textId="77777777" w:rsidR="00CE45E2" w:rsidRPr="00CE45E2" w:rsidRDefault="00CE45E2" w:rsidP="00CE45E2">
      <w:r w:rsidRPr="00CE45E2">
        <w:rPr>
          <w:rStyle w:val="HideTWBExt"/>
        </w:rPr>
        <w:t>&lt;Article2&gt;</w:t>
      </w:r>
      <w:r w:rsidRPr="00CE45E2">
        <w:t>Artykuł 9 – tytuł</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4F4A0D1" w14:textId="77777777" w:rsidTr="006476FB">
        <w:trPr>
          <w:trHeight w:hRule="exact" w:val="240"/>
          <w:jc w:val="center"/>
        </w:trPr>
        <w:tc>
          <w:tcPr>
            <w:tcW w:w="9752" w:type="dxa"/>
            <w:gridSpan w:val="2"/>
            <w:tcBorders>
              <w:top w:val="nil"/>
              <w:left w:val="nil"/>
              <w:bottom w:val="nil"/>
              <w:right w:val="nil"/>
            </w:tcBorders>
          </w:tcPr>
          <w:p w14:paraId="768E8797" w14:textId="77777777" w:rsidR="00CE45E2" w:rsidRPr="00CE45E2" w:rsidRDefault="00CE45E2" w:rsidP="006476FB"/>
        </w:tc>
      </w:tr>
      <w:tr w:rsidR="00CE45E2" w:rsidRPr="00CE45E2" w14:paraId="294CBB5F" w14:textId="77777777" w:rsidTr="006476FB">
        <w:trPr>
          <w:trHeight w:val="240"/>
          <w:jc w:val="center"/>
        </w:trPr>
        <w:tc>
          <w:tcPr>
            <w:tcW w:w="4876" w:type="dxa"/>
            <w:tcBorders>
              <w:top w:val="nil"/>
              <w:left w:val="nil"/>
              <w:bottom w:val="nil"/>
              <w:right w:val="nil"/>
            </w:tcBorders>
          </w:tcPr>
          <w:p w14:paraId="47CA609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9E88BEC" w14:textId="77777777" w:rsidR="00CE45E2" w:rsidRPr="00CE45E2" w:rsidRDefault="00CE45E2" w:rsidP="006476FB">
            <w:pPr>
              <w:pStyle w:val="AmColumnHeading"/>
            </w:pPr>
            <w:r w:rsidRPr="00CE45E2">
              <w:t>Poprawka</w:t>
            </w:r>
          </w:p>
        </w:tc>
      </w:tr>
      <w:tr w:rsidR="00CE45E2" w:rsidRPr="00CE45E2" w14:paraId="458CB186" w14:textId="77777777" w:rsidTr="006476FB">
        <w:trPr>
          <w:jc w:val="center"/>
        </w:trPr>
        <w:tc>
          <w:tcPr>
            <w:tcW w:w="4876" w:type="dxa"/>
            <w:tcBorders>
              <w:top w:val="nil"/>
              <w:left w:val="nil"/>
              <w:bottom w:val="nil"/>
              <w:right w:val="nil"/>
            </w:tcBorders>
          </w:tcPr>
          <w:p w14:paraId="7FBCEECB" w14:textId="77777777" w:rsidR="00CE45E2" w:rsidRPr="00CE45E2" w:rsidRDefault="00CE45E2" w:rsidP="006476FB">
            <w:pPr>
              <w:pStyle w:val="Normal6a"/>
            </w:pPr>
            <w:r w:rsidRPr="00CE45E2">
              <w:t>Zezwolenie;</w:t>
            </w:r>
          </w:p>
        </w:tc>
        <w:tc>
          <w:tcPr>
            <w:tcW w:w="4876" w:type="dxa"/>
            <w:tcBorders>
              <w:top w:val="nil"/>
              <w:left w:val="nil"/>
              <w:bottom w:val="nil"/>
              <w:right w:val="nil"/>
            </w:tcBorders>
          </w:tcPr>
          <w:p w14:paraId="0E21E64C" w14:textId="77777777" w:rsidR="00CE45E2" w:rsidRPr="00CE45E2" w:rsidRDefault="00CE45E2" w:rsidP="006476FB">
            <w:pPr>
              <w:pStyle w:val="Normal6a"/>
            </w:pPr>
            <w:r w:rsidRPr="00CE45E2">
              <w:t xml:space="preserve">Zezwolenie </w:t>
            </w:r>
            <w:r w:rsidRPr="00CE45E2">
              <w:rPr>
                <w:b/>
                <w:bCs/>
                <w:i/>
                <w:iCs/>
              </w:rPr>
              <w:t>i rejestracja</w:t>
            </w:r>
            <w:r w:rsidRPr="00CE45E2">
              <w:t>;</w:t>
            </w:r>
          </w:p>
        </w:tc>
      </w:tr>
    </w:tbl>
    <w:p w14:paraId="4183393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23612FF" w14:textId="77777777" w:rsidR="00CE45E2" w:rsidRPr="00CE45E2" w:rsidRDefault="00CE45E2" w:rsidP="00CE45E2">
      <w:r w:rsidRPr="00CE45E2">
        <w:rPr>
          <w:rStyle w:val="HideTWBExt"/>
        </w:rPr>
        <w:t>&lt;/Amend&gt;</w:t>
      </w:r>
    </w:p>
    <w:p w14:paraId="79212386" w14:textId="4BA4167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227</w:t>
      </w:r>
      <w:r w:rsidRPr="00CE45E2">
        <w:rPr>
          <w:rStyle w:val="HideTWBExt"/>
          <w:b w:val="0"/>
        </w:rPr>
        <w:t>&lt;/NumAm&gt;</w:t>
      </w:r>
    </w:p>
    <w:p w14:paraId="075CBE40"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BFB4664" w14:textId="77777777" w:rsidR="00CE45E2" w:rsidRPr="00CE45E2" w:rsidRDefault="00CE45E2" w:rsidP="00CE45E2">
      <w:pPr>
        <w:pStyle w:val="NormalBold"/>
      </w:pPr>
      <w:r w:rsidRPr="00CE45E2">
        <w:rPr>
          <w:rStyle w:val="HideTWBExt"/>
          <w:b w:val="0"/>
        </w:rPr>
        <w:t>&lt;/RepeatBlock-By&gt;</w:t>
      </w:r>
    </w:p>
    <w:p w14:paraId="41C8131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3912C01" w14:textId="77777777" w:rsidR="00CE45E2" w:rsidRPr="00CE45E2" w:rsidRDefault="00CE45E2" w:rsidP="00CE45E2">
      <w:pPr>
        <w:pStyle w:val="NormalBold"/>
      </w:pPr>
      <w:r w:rsidRPr="00CE45E2">
        <w:rPr>
          <w:rStyle w:val="HideTWBExt"/>
          <w:b w:val="0"/>
        </w:rPr>
        <w:t>&lt;Article&gt;</w:t>
      </w:r>
      <w:r w:rsidRPr="00CE45E2">
        <w:t>Artykuł 1 – akapit 1 – punkt 10 – litera b</w:t>
      </w:r>
      <w:r w:rsidRPr="00CE45E2">
        <w:rPr>
          <w:rStyle w:val="HideTWBExt"/>
          <w:b w:val="0"/>
        </w:rPr>
        <w:t>&lt;/Article&gt;</w:t>
      </w:r>
    </w:p>
    <w:p w14:paraId="6351E34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787F3A0" w14:textId="77777777" w:rsidR="00CE45E2" w:rsidRPr="00CE45E2" w:rsidRDefault="00CE45E2" w:rsidP="00CE45E2">
      <w:r w:rsidRPr="00CE45E2">
        <w:rPr>
          <w:rStyle w:val="HideTWBExt"/>
        </w:rPr>
        <w:t>&lt;Article2&gt;</w:t>
      </w:r>
      <w:r w:rsidRPr="00CE45E2">
        <w:t>Artykuł 9 – ustęp 1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8677518" w14:textId="77777777" w:rsidTr="006476FB">
        <w:trPr>
          <w:trHeight w:hRule="exact" w:val="240"/>
          <w:jc w:val="center"/>
        </w:trPr>
        <w:tc>
          <w:tcPr>
            <w:tcW w:w="9752" w:type="dxa"/>
            <w:gridSpan w:val="2"/>
            <w:tcBorders>
              <w:top w:val="nil"/>
              <w:left w:val="nil"/>
              <w:bottom w:val="nil"/>
              <w:right w:val="nil"/>
            </w:tcBorders>
          </w:tcPr>
          <w:p w14:paraId="159A381D" w14:textId="77777777" w:rsidR="00CE45E2" w:rsidRPr="00CE45E2" w:rsidRDefault="00CE45E2" w:rsidP="006476FB"/>
        </w:tc>
      </w:tr>
      <w:tr w:rsidR="00CE45E2" w:rsidRPr="00CE45E2" w14:paraId="58C4F5E3" w14:textId="77777777" w:rsidTr="006476FB">
        <w:trPr>
          <w:trHeight w:val="240"/>
          <w:jc w:val="center"/>
        </w:trPr>
        <w:tc>
          <w:tcPr>
            <w:tcW w:w="4876" w:type="dxa"/>
            <w:tcBorders>
              <w:top w:val="nil"/>
              <w:left w:val="nil"/>
              <w:bottom w:val="nil"/>
              <w:right w:val="nil"/>
            </w:tcBorders>
          </w:tcPr>
          <w:p w14:paraId="1403FB4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7CB994C" w14:textId="77777777" w:rsidR="00CE45E2" w:rsidRPr="00CE45E2" w:rsidRDefault="00CE45E2" w:rsidP="006476FB">
            <w:pPr>
              <w:pStyle w:val="AmColumnHeading"/>
            </w:pPr>
            <w:r w:rsidRPr="00CE45E2">
              <w:t>Poprawka</w:t>
            </w:r>
          </w:p>
        </w:tc>
      </w:tr>
      <w:tr w:rsidR="00CE45E2" w:rsidRPr="00CE45E2" w14:paraId="47385FC1" w14:textId="77777777" w:rsidTr="006476FB">
        <w:trPr>
          <w:jc w:val="center"/>
        </w:trPr>
        <w:tc>
          <w:tcPr>
            <w:tcW w:w="4876" w:type="dxa"/>
            <w:tcBorders>
              <w:top w:val="nil"/>
              <w:left w:val="nil"/>
              <w:bottom w:val="nil"/>
              <w:right w:val="nil"/>
            </w:tcBorders>
          </w:tcPr>
          <w:p w14:paraId="1719FA48" w14:textId="77777777" w:rsidR="00CE45E2" w:rsidRPr="00CE45E2" w:rsidRDefault="00CE45E2" w:rsidP="006476FB">
            <w:pPr>
              <w:pStyle w:val="Normal6a"/>
            </w:pPr>
            <w:r w:rsidRPr="00CE45E2">
              <w:t>Państwa członkowskie, w odniesieniu do każdej IORP, której zarząd znajduje się na ich terytoriach, zapewniają, aby IORP uzyskała zezwolenie właściwego organu</w:t>
            </w:r>
            <w:r w:rsidRPr="00CE45E2">
              <w:rPr>
                <w:b/>
                <w:bCs/>
                <w:i/>
                <w:iCs/>
              </w:rPr>
              <w:t xml:space="preserve"> i została wpisana do rejestru krajowego</w:t>
            </w:r>
            <w:r w:rsidRPr="00CE45E2">
              <w:t>.</w:t>
            </w:r>
          </w:p>
        </w:tc>
        <w:tc>
          <w:tcPr>
            <w:tcW w:w="4876" w:type="dxa"/>
            <w:tcBorders>
              <w:top w:val="nil"/>
              <w:left w:val="nil"/>
              <w:bottom w:val="nil"/>
              <w:right w:val="nil"/>
            </w:tcBorders>
          </w:tcPr>
          <w:p w14:paraId="5AA35673" w14:textId="77777777" w:rsidR="00CE45E2" w:rsidRPr="00CE45E2" w:rsidRDefault="00CE45E2" w:rsidP="006476FB">
            <w:pPr>
              <w:pStyle w:val="Normal6a"/>
            </w:pPr>
            <w:r w:rsidRPr="00CE45E2">
              <w:t xml:space="preserve">Państwa członkowskie, w odniesieniu do każdej IORP, której zarząd znajduje się na ich terytoriach, zapewniają, aby IORP </w:t>
            </w:r>
            <w:r w:rsidRPr="00CE45E2">
              <w:rPr>
                <w:b/>
                <w:bCs/>
                <w:i/>
                <w:iCs/>
              </w:rPr>
              <w:t>została wpisana do rejestru krajowego lub</w:t>
            </w:r>
            <w:r w:rsidRPr="00CE45E2">
              <w:t xml:space="preserve"> uzyskała zezwolenie właściwego organu.</w:t>
            </w:r>
          </w:p>
        </w:tc>
      </w:tr>
    </w:tbl>
    <w:p w14:paraId="58BE511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83ADC3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51F0E89" w14:textId="77777777" w:rsidR="00CE45E2" w:rsidRPr="00CE45E2" w:rsidRDefault="00CE45E2" w:rsidP="00CE45E2">
      <w:pPr>
        <w:pStyle w:val="AmJustText"/>
      </w:pPr>
      <w:r w:rsidRPr="00CE45E2">
        <w:t xml:space="preserve">At the moment </w:t>
      </w:r>
      <w:proofErr w:type="spellStart"/>
      <w:r w:rsidRPr="00CE45E2">
        <w:t>Member</w:t>
      </w:r>
      <w:proofErr w:type="spellEnd"/>
      <w:r w:rsidRPr="00CE45E2">
        <w:t xml:space="preserve"> </w:t>
      </w:r>
      <w:proofErr w:type="spellStart"/>
      <w:r w:rsidRPr="00CE45E2">
        <w:t>States</w:t>
      </w:r>
      <w:proofErr w:type="spellEnd"/>
      <w:r w:rsidRPr="00CE45E2">
        <w:t xml:space="preserve"> </w:t>
      </w:r>
      <w:proofErr w:type="spellStart"/>
      <w:r w:rsidRPr="00CE45E2">
        <w:t>can</w:t>
      </w:r>
      <w:proofErr w:type="spellEnd"/>
      <w:r w:rsidRPr="00CE45E2">
        <w:t xml:space="preserve"> </w:t>
      </w:r>
      <w:proofErr w:type="spellStart"/>
      <w:r w:rsidRPr="00CE45E2">
        <w:t>choose</w:t>
      </w:r>
      <w:proofErr w:type="spellEnd"/>
      <w:r w:rsidRPr="00CE45E2">
        <w:t xml:space="preserve"> </w:t>
      </w:r>
      <w:proofErr w:type="spellStart"/>
      <w:r w:rsidRPr="00CE45E2">
        <w:t>whether</w:t>
      </w:r>
      <w:proofErr w:type="spellEnd"/>
      <w:r w:rsidRPr="00CE45E2">
        <w:t xml:space="preserve"> </w:t>
      </w:r>
      <w:proofErr w:type="spellStart"/>
      <w:r w:rsidRPr="00CE45E2">
        <w:t>they</w:t>
      </w:r>
      <w:proofErr w:type="spellEnd"/>
      <w:r w:rsidRPr="00CE45E2">
        <w:t xml:space="preserve"> </w:t>
      </w:r>
      <w:proofErr w:type="spellStart"/>
      <w:r w:rsidRPr="00CE45E2">
        <w:t>apply</w:t>
      </w:r>
      <w:proofErr w:type="spellEnd"/>
      <w:r w:rsidRPr="00CE45E2">
        <w:t xml:space="preserve"> </w:t>
      </w:r>
      <w:proofErr w:type="spellStart"/>
      <w:r w:rsidRPr="00CE45E2">
        <w:t>an</w:t>
      </w:r>
      <w:proofErr w:type="spellEnd"/>
      <w:r w:rsidRPr="00CE45E2">
        <w:t xml:space="preserve"> </w:t>
      </w:r>
      <w:proofErr w:type="spellStart"/>
      <w:r w:rsidRPr="00CE45E2">
        <w:t>authorisation</w:t>
      </w:r>
      <w:proofErr w:type="spellEnd"/>
      <w:r w:rsidRPr="00CE45E2">
        <w:t xml:space="preserve"> </w:t>
      </w:r>
      <w:proofErr w:type="spellStart"/>
      <w:r w:rsidRPr="00CE45E2">
        <w:t>or</w:t>
      </w:r>
      <w:proofErr w:type="spellEnd"/>
      <w:r w:rsidRPr="00CE45E2">
        <w:t xml:space="preserve"> </w:t>
      </w:r>
      <w:proofErr w:type="spellStart"/>
      <w:r w:rsidRPr="00CE45E2">
        <w:t>registration</w:t>
      </w:r>
      <w:proofErr w:type="spellEnd"/>
      <w:r w:rsidRPr="00CE45E2">
        <w:t xml:space="preserve"> </w:t>
      </w:r>
      <w:proofErr w:type="spellStart"/>
      <w:r w:rsidRPr="00CE45E2">
        <w:t>procedure</w:t>
      </w:r>
      <w:proofErr w:type="spellEnd"/>
      <w:r w:rsidRPr="00CE45E2">
        <w:t xml:space="preserve">. The </w:t>
      </w:r>
      <w:proofErr w:type="spellStart"/>
      <w:r w:rsidRPr="00CE45E2">
        <w:t>Commission</w:t>
      </w:r>
      <w:proofErr w:type="spellEnd"/>
      <w:r w:rsidRPr="00CE45E2">
        <w:t xml:space="preserve"> </w:t>
      </w:r>
      <w:proofErr w:type="spellStart"/>
      <w:r w:rsidRPr="00CE45E2">
        <w:t>states</w:t>
      </w:r>
      <w:proofErr w:type="spellEnd"/>
      <w:r w:rsidRPr="00CE45E2">
        <w:t xml:space="preserve"> </w:t>
      </w:r>
      <w:proofErr w:type="spellStart"/>
      <w:r w:rsidRPr="00CE45E2">
        <w:t>that</w:t>
      </w:r>
      <w:proofErr w:type="spellEnd"/>
      <w:r w:rsidRPr="00CE45E2">
        <w:t xml:space="preserve"> </w:t>
      </w:r>
      <w:proofErr w:type="spellStart"/>
      <w:r w:rsidRPr="00CE45E2">
        <w:t>divergent</w:t>
      </w:r>
      <w:proofErr w:type="spellEnd"/>
      <w:r w:rsidRPr="00CE45E2">
        <w:t xml:space="preserve"> </w:t>
      </w:r>
      <w:proofErr w:type="spellStart"/>
      <w:r w:rsidRPr="00CE45E2">
        <w:t>practices</w:t>
      </w:r>
      <w:proofErr w:type="spellEnd"/>
      <w:r w:rsidRPr="00CE45E2">
        <w:t xml:space="preserve"> </w:t>
      </w:r>
      <w:proofErr w:type="spellStart"/>
      <w:r w:rsidRPr="00CE45E2">
        <w:t>lead</w:t>
      </w:r>
      <w:proofErr w:type="spellEnd"/>
      <w:r w:rsidRPr="00CE45E2">
        <w:t xml:space="preserve"> to a </w:t>
      </w:r>
      <w:proofErr w:type="spellStart"/>
      <w:r w:rsidRPr="00CE45E2">
        <w:t>fragmented</w:t>
      </w:r>
      <w:proofErr w:type="spellEnd"/>
      <w:r w:rsidRPr="00CE45E2">
        <w:t xml:space="preserve"> </w:t>
      </w:r>
      <w:proofErr w:type="spellStart"/>
      <w:r w:rsidRPr="00CE45E2">
        <w:t>internal</w:t>
      </w:r>
      <w:proofErr w:type="spellEnd"/>
      <w:r w:rsidRPr="00CE45E2">
        <w:t xml:space="preserve"> market. </w:t>
      </w:r>
      <w:proofErr w:type="spellStart"/>
      <w:r w:rsidRPr="00CE45E2">
        <w:t>However</w:t>
      </w:r>
      <w:proofErr w:type="spellEnd"/>
      <w:r w:rsidRPr="00CE45E2">
        <w:t xml:space="preserve">, </w:t>
      </w:r>
      <w:proofErr w:type="spellStart"/>
      <w:r w:rsidRPr="00CE45E2">
        <w:t>limiting</w:t>
      </w:r>
      <w:proofErr w:type="spellEnd"/>
      <w:r w:rsidRPr="00CE45E2">
        <w:t xml:space="preserve"> </w:t>
      </w:r>
      <w:proofErr w:type="spellStart"/>
      <w:r w:rsidRPr="00CE45E2">
        <w:t>this</w:t>
      </w:r>
      <w:proofErr w:type="spellEnd"/>
      <w:r w:rsidRPr="00CE45E2">
        <w:t xml:space="preserve"> to </w:t>
      </w:r>
      <w:proofErr w:type="spellStart"/>
      <w:r w:rsidRPr="00CE45E2">
        <w:t>authorisation</w:t>
      </w:r>
      <w:proofErr w:type="spellEnd"/>
      <w:r w:rsidRPr="00CE45E2">
        <w:t xml:space="preserve"> </w:t>
      </w:r>
      <w:proofErr w:type="spellStart"/>
      <w:r w:rsidRPr="00CE45E2">
        <w:t>procedures</w:t>
      </w:r>
      <w:proofErr w:type="spellEnd"/>
      <w:r w:rsidRPr="00CE45E2">
        <w:t xml:space="preserve"> </w:t>
      </w:r>
      <w:proofErr w:type="spellStart"/>
      <w:r w:rsidRPr="00CE45E2">
        <w:t>only</w:t>
      </w:r>
      <w:proofErr w:type="spellEnd"/>
      <w:r w:rsidRPr="00CE45E2">
        <w:t xml:space="preserve"> </w:t>
      </w:r>
      <w:proofErr w:type="spellStart"/>
      <w:r w:rsidRPr="00CE45E2">
        <w:t>would</w:t>
      </w:r>
      <w:proofErr w:type="spellEnd"/>
      <w:r w:rsidRPr="00CE45E2">
        <w:t xml:space="preserve"> </w:t>
      </w:r>
      <w:proofErr w:type="spellStart"/>
      <w:r w:rsidRPr="00CE45E2">
        <w:t>create</w:t>
      </w:r>
      <w:proofErr w:type="spellEnd"/>
      <w:r w:rsidRPr="00CE45E2">
        <w:t xml:space="preserve"> </w:t>
      </w:r>
      <w:proofErr w:type="spellStart"/>
      <w:r w:rsidRPr="00CE45E2">
        <w:t>an</w:t>
      </w:r>
      <w:proofErr w:type="spellEnd"/>
      <w:r w:rsidRPr="00CE45E2">
        <w:t xml:space="preserve"> </w:t>
      </w:r>
      <w:proofErr w:type="spellStart"/>
      <w:r w:rsidRPr="00CE45E2">
        <w:t>additional</w:t>
      </w:r>
      <w:proofErr w:type="spellEnd"/>
      <w:r w:rsidRPr="00CE45E2">
        <w:t xml:space="preserve"> </w:t>
      </w:r>
      <w:proofErr w:type="spellStart"/>
      <w:r w:rsidRPr="00CE45E2">
        <w:t>barrier</w:t>
      </w:r>
      <w:proofErr w:type="spellEnd"/>
      <w:r w:rsidRPr="00CE45E2">
        <w:t xml:space="preserve"> for </w:t>
      </w:r>
      <w:proofErr w:type="spellStart"/>
      <w:r w:rsidRPr="00CE45E2">
        <w:t>Member</w:t>
      </w:r>
      <w:proofErr w:type="spellEnd"/>
      <w:r w:rsidRPr="00CE45E2">
        <w:t xml:space="preserve"> </w:t>
      </w:r>
      <w:proofErr w:type="spellStart"/>
      <w:r w:rsidRPr="00CE45E2">
        <w:t>States</w:t>
      </w:r>
      <w:proofErr w:type="spellEnd"/>
      <w:r w:rsidRPr="00CE45E2">
        <w:t xml:space="preserve"> to </w:t>
      </w:r>
      <w:proofErr w:type="spellStart"/>
      <w:r w:rsidRPr="00CE45E2">
        <w:t>further</w:t>
      </w:r>
      <w:proofErr w:type="spellEnd"/>
      <w:r w:rsidRPr="00CE45E2">
        <w:t xml:space="preserve"> </w:t>
      </w:r>
      <w:proofErr w:type="spellStart"/>
      <w:r w:rsidRPr="00CE45E2">
        <w:t>develop</w:t>
      </w:r>
      <w:proofErr w:type="spellEnd"/>
      <w:r w:rsidRPr="00CE45E2">
        <w:t xml:space="preserve"> a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sector</w:t>
      </w:r>
      <w:proofErr w:type="spellEnd"/>
      <w:r w:rsidRPr="00CE45E2">
        <w:t xml:space="preserve">, and </w:t>
      </w:r>
      <w:proofErr w:type="spellStart"/>
      <w:r w:rsidRPr="00CE45E2">
        <w:t>would</w:t>
      </w:r>
      <w:proofErr w:type="spellEnd"/>
      <w:r w:rsidRPr="00CE45E2">
        <w:t xml:space="preserve"> </w:t>
      </w:r>
      <w:proofErr w:type="spellStart"/>
      <w:r w:rsidRPr="00CE45E2">
        <w:t>require</w:t>
      </w:r>
      <w:proofErr w:type="spellEnd"/>
      <w:r w:rsidRPr="00CE45E2">
        <w:t xml:space="preserve"> </w:t>
      </w:r>
      <w:proofErr w:type="spellStart"/>
      <w:r w:rsidRPr="00CE45E2">
        <w:t>Member</w:t>
      </w:r>
      <w:proofErr w:type="spellEnd"/>
      <w:r w:rsidRPr="00CE45E2">
        <w:t xml:space="preserve"> </w:t>
      </w:r>
      <w:proofErr w:type="spellStart"/>
      <w:r w:rsidRPr="00CE45E2">
        <w:t>States</w:t>
      </w:r>
      <w:proofErr w:type="spellEnd"/>
      <w:r w:rsidRPr="00CE45E2">
        <w:t xml:space="preserve"> with </w:t>
      </w:r>
      <w:proofErr w:type="spellStart"/>
      <w:r w:rsidRPr="00CE45E2">
        <w:t>smaller</w:t>
      </w:r>
      <w:proofErr w:type="spellEnd"/>
      <w:r w:rsidRPr="00CE45E2">
        <w:t xml:space="preserve"> </w:t>
      </w:r>
      <w:proofErr w:type="spellStart"/>
      <w:r w:rsidRPr="00CE45E2">
        <w:t>sectors</w:t>
      </w:r>
      <w:proofErr w:type="spellEnd"/>
      <w:r w:rsidRPr="00CE45E2">
        <w:t xml:space="preserve"> and </w:t>
      </w:r>
      <w:proofErr w:type="spellStart"/>
      <w:r w:rsidRPr="00CE45E2">
        <w:t>that</w:t>
      </w:r>
      <w:proofErr w:type="spellEnd"/>
      <w:r w:rsidRPr="00CE45E2">
        <w:t xml:space="preserve"> </w:t>
      </w:r>
      <w:proofErr w:type="spellStart"/>
      <w:r w:rsidRPr="00CE45E2">
        <w:t>apply</w:t>
      </w:r>
      <w:proofErr w:type="spellEnd"/>
      <w:r w:rsidRPr="00CE45E2">
        <w:t xml:space="preserve"> </w:t>
      </w:r>
      <w:proofErr w:type="spellStart"/>
      <w:r w:rsidRPr="00CE45E2">
        <w:t>registration</w:t>
      </w:r>
      <w:proofErr w:type="spellEnd"/>
      <w:r w:rsidRPr="00CE45E2">
        <w:t xml:space="preserve"> </w:t>
      </w:r>
      <w:proofErr w:type="spellStart"/>
      <w:r w:rsidRPr="00CE45E2">
        <w:t>procedures</w:t>
      </w:r>
      <w:proofErr w:type="spellEnd"/>
      <w:r w:rsidRPr="00CE45E2">
        <w:t xml:space="preserve"> to </w:t>
      </w:r>
      <w:proofErr w:type="spellStart"/>
      <w:r w:rsidRPr="00CE45E2">
        <w:t>switch</w:t>
      </w:r>
      <w:proofErr w:type="spellEnd"/>
      <w:r w:rsidRPr="00CE45E2">
        <w:t xml:space="preserve"> to </w:t>
      </w:r>
      <w:proofErr w:type="spellStart"/>
      <w:r w:rsidRPr="00CE45E2">
        <w:t>authorisation</w:t>
      </w:r>
      <w:proofErr w:type="spellEnd"/>
      <w:r w:rsidRPr="00CE45E2">
        <w:t xml:space="preserve">. </w:t>
      </w:r>
      <w:proofErr w:type="spellStart"/>
      <w:r w:rsidRPr="00CE45E2">
        <w:t>This</w:t>
      </w:r>
      <w:proofErr w:type="spellEnd"/>
      <w:r w:rsidRPr="00CE45E2">
        <w:t xml:space="preserve"> </w:t>
      </w:r>
      <w:proofErr w:type="spellStart"/>
      <w:r w:rsidRPr="00CE45E2">
        <w:t>would</w:t>
      </w:r>
      <w:proofErr w:type="spellEnd"/>
      <w:r w:rsidRPr="00CE45E2">
        <w:t xml:space="preserve"> not be </w:t>
      </w:r>
      <w:proofErr w:type="spellStart"/>
      <w:r w:rsidRPr="00CE45E2">
        <w:t>proportional</w:t>
      </w:r>
      <w:proofErr w:type="spellEnd"/>
      <w:r w:rsidRPr="00CE45E2">
        <w:t xml:space="preserve">, </w:t>
      </w:r>
      <w:proofErr w:type="spellStart"/>
      <w:r w:rsidRPr="00CE45E2">
        <w:t>considering</w:t>
      </w:r>
      <w:proofErr w:type="spellEnd"/>
      <w:r w:rsidRPr="00CE45E2">
        <w:t xml:space="preserve"> </w:t>
      </w:r>
      <w:proofErr w:type="spellStart"/>
      <w:r w:rsidRPr="00CE45E2">
        <w:t>that</w:t>
      </w:r>
      <w:proofErr w:type="spellEnd"/>
      <w:r w:rsidRPr="00CE45E2">
        <w:t xml:space="preserve"> a single market for </w:t>
      </w:r>
      <w:proofErr w:type="spellStart"/>
      <w:r w:rsidRPr="00CE45E2">
        <w:t>supplementary</w:t>
      </w:r>
      <w:proofErr w:type="spellEnd"/>
      <w:r w:rsidRPr="00CE45E2">
        <w:t xml:space="preserve"> </w:t>
      </w:r>
      <w:proofErr w:type="spellStart"/>
      <w:r w:rsidRPr="00CE45E2">
        <w:t>pensions</w:t>
      </w:r>
      <w:proofErr w:type="spellEnd"/>
      <w:r w:rsidRPr="00CE45E2">
        <w:t xml:space="preserve"> </w:t>
      </w:r>
      <w:proofErr w:type="spellStart"/>
      <w:r w:rsidRPr="00CE45E2">
        <w:t>is</w:t>
      </w:r>
      <w:proofErr w:type="spellEnd"/>
      <w:r w:rsidRPr="00CE45E2">
        <w:t xml:space="preserve"> </w:t>
      </w:r>
      <w:proofErr w:type="spellStart"/>
      <w:r w:rsidRPr="00CE45E2">
        <w:t>still</w:t>
      </w:r>
      <w:proofErr w:type="spellEnd"/>
      <w:r w:rsidRPr="00CE45E2">
        <w:t xml:space="preserve"> </w:t>
      </w:r>
      <w:proofErr w:type="spellStart"/>
      <w:r w:rsidRPr="00CE45E2">
        <w:t>largely</w:t>
      </w:r>
      <w:proofErr w:type="spellEnd"/>
      <w:r w:rsidRPr="00CE45E2">
        <w:t xml:space="preserve"> </w:t>
      </w:r>
      <w:proofErr w:type="spellStart"/>
      <w:r w:rsidRPr="00CE45E2">
        <w:t>absent</w:t>
      </w:r>
      <w:proofErr w:type="spellEnd"/>
      <w:r w:rsidRPr="00CE45E2">
        <w:t>.</w:t>
      </w:r>
    </w:p>
    <w:p w14:paraId="337D6E78" w14:textId="77777777" w:rsidR="00CE45E2" w:rsidRPr="00CE45E2" w:rsidRDefault="00CE45E2" w:rsidP="00CE45E2">
      <w:r w:rsidRPr="00CE45E2">
        <w:rPr>
          <w:rStyle w:val="HideTWBExt"/>
        </w:rPr>
        <w:t>&lt;/Amend&gt;</w:t>
      </w:r>
    </w:p>
    <w:p w14:paraId="306383ED" w14:textId="0F914E3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228</w:t>
      </w:r>
      <w:r w:rsidRPr="00CE45E2">
        <w:rPr>
          <w:rStyle w:val="HideTWBExt"/>
          <w:b w:val="0"/>
        </w:rPr>
        <w:t>&lt;/NumAm&gt;</w:t>
      </w:r>
    </w:p>
    <w:p w14:paraId="74C8EF8A"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5B9A762B" w14:textId="77777777" w:rsidR="00CE45E2" w:rsidRPr="00CE45E2" w:rsidRDefault="00CE45E2" w:rsidP="00CE45E2">
      <w:pPr>
        <w:pStyle w:val="NormalBold"/>
      </w:pPr>
      <w:r w:rsidRPr="00CE45E2">
        <w:rPr>
          <w:rStyle w:val="HideTWBExt"/>
          <w:b w:val="0"/>
        </w:rPr>
        <w:t>&lt;/RepeatBlock-By&gt;</w:t>
      </w:r>
    </w:p>
    <w:p w14:paraId="4FB4455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1D4B56E" w14:textId="77777777" w:rsidR="00CE45E2" w:rsidRPr="00CE45E2" w:rsidRDefault="00CE45E2" w:rsidP="00CE45E2">
      <w:pPr>
        <w:pStyle w:val="NormalBold"/>
      </w:pPr>
      <w:r w:rsidRPr="00CE45E2">
        <w:rPr>
          <w:rStyle w:val="HideTWBExt"/>
          <w:b w:val="0"/>
        </w:rPr>
        <w:t>&lt;Article&gt;</w:t>
      </w:r>
      <w:r w:rsidRPr="00CE45E2">
        <w:t>Artykuł 1 – akapit 1 – punkt 10 – litera b</w:t>
      </w:r>
      <w:r w:rsidRPr="00CE45E2">
        <w:rPr>
          <w:rStyle w:val="HideTWBExt"/>
          <w:b w:val="0"/>
        </w:rPr>
        <w:t>&lt;/Article&gt;</w:t>
      </w:r>
    </w:p>
    <w:p w14:paraId="684117D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43CC656" w14:textId="77777777" w:rsidR="00CE45E2" w:rsidRPr="00CE45E2" w:rsidRDefault="00CE45E2" w:rsidP="00CE45E2">
      <w:r w:rsidRPr="00CE45E2">
        <w:rPr>
          <w:rStyle w:val="HideTWBExt"/>
        </w:rPr>
        <w:t>&lt;Article2&gt;</w:t>
      </w:r>
      <w:r w:rsidRPr="00CE45E2">
        <w:t>Artykuł 9 – ustęp 1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E663871" w14:textId="77777777" w:rsidTr="006476FB">
        <w:trPr>
          <w:trHeight w:hRule="exact" w:val="240"/>
          <w:jc w:val="center"/>
        </w:trPr>
        <w:tc>
          <w:tcPr>
            <w:tcW w:w="9752" w:type="dxa"/>
            <w:gridSpan w:val="2"/>
            <w:tcBorders>
              <w:top w:val="nil"/>
              <w:left w:val="nil"/>
              <w:bottom w:val="nil"/>
              <w:right w:val="nil"/>
            </w:tcBorders>
          </w:tcPr>
          <w:p w14:paraId="4A91974D" w14:textId="77777777" w:rsidR="00CE45E2" w:rsidRPr="00CE45E2" w:rsidRDefault="00CE45E2" w:rsidP="006476FB"/>
        </w:tc>
      </w:tr>
      <w:tr w:rsidR="00CE45E2" w:rsidRPr="00CE45E2" w14:paraId="2C58546E" w14:textId="77777777" w:rsidTr="006476FB">
        <w:trPr>
          <w:trHeight w:val="240"/>
          <w:jc w:val="center"/>
        </w:trPr>
        <w:tc>
          <w:tcPr>
            <w:tcW w:w="4876" w:type="dxa"/>
            <w:tcBorders>
              <w:top w:val="nil"/>
              <w:left w:val="nil"/>
              <w:bottom w:val="nil"/>
              <w:right w:val="nil"/>
            </w:tcBorders>
          </w:tcPr>
          <w:p w14:paraId="42902E3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04A457B" w14:textId="77777777" w:rsidR="00CE45E2" w:rsidRPr="00CE45E2" w:rsidRDefault="00CE45E2" w:rsidP="006476FB">
            <w:pPr>
              <w:pStyle w:val="AmColumnHeading"/>
            </w:pPr>
            <w:r w:rsidRPr="00CE45E2">
              <w:t>Poprawka</w:t>
            </w:r>
          </w:p>
        </w:tc>
      </w:tr>
      <w:tr w:rsidR="00CE45E2" w:rsidRPr="00CE45E2" w14:paraId="6B045D6D" w14:textId="77777777" w:rsidTr="006476FB">
        <w:trPr>
          <w:jc w:val="center"/>
        </w:trPr>
        <w:tc>
          <w:tcPr>
            <w:tcW w:w="4876" w:type="dxa"/>
            <w:tcBorders>
              <w:top w:val="nil"/>
              <w:left w:val="nil"/>
              <w:bottom w:val="nil"/>
              <w:right w:val="nil"/>
            </w:tcBorders>
          </w:tcPr>
          <w:p w14:paraId="53ABC425" w14:textId="77777777" w:rsidR="00CE45E2" w:rsidRPr="00CE45E2" w:rsidRDefault="00CE45E2" w:rsidP="006476FB">
            <w:pPr>
              <w:pStyle w:val="Normal6a"/>
            </w:pPr>
            <w:r w:rsidRPr="00CE45E2">
              <w:t>Państwa członkowskie, w odniesieniu do każdej IORP, której zarząd znajduje się na ich terytoriach, zapewniają, aby IORP uzyskała zezwolenie właściwego organu</w:t>
            </w:r>
            <w:r w:rsidRPr="00CE45E2">
              <w:rPr>
                <w:b/>
                <w:bCs/>
                <w:i/>
                <w:iCs/>
              </w:rPr>
              <w:t xml:space="preserve"> i została wpisana do rejestru krajowego</w:t>
            </w:r>
            <w:r w:rsidRPr="00CE45E2">
              <w:t>.</w:t>
            </w:r>
          </w:p>
        </w:tc>
        <w:tc>
          <w:tcPr>
            <w:tcW w:w="4876" w:type="dxa"/>
            <w:tcBorders>
              <w:top w:val="nil"/>
              <w:left w:val="nil"/>
              <w:bottom w:val="nil"/>
              <w:right w:val="nil"/>
            </w:tcBorders>
          </w:tcPr>
          <w:p w14:paraId="7F90A484" w14:textId="77777777" w:rsidR="00CE45E2" w:rsidRPr="00CE45E2" w:rsidRDefault="00CE45E2" w:rsidP="006476FB">
            <w:pPr>
              <w:pStyle w:val="Normal6a"/>
            </w:pPr>
            <w:r w:rsidRPr="00CE45E2">
              <w:t>Państwa członkowskie, w odniesieniu do każdej IORP, której zarząd znajduje się na ich terytoriach, zapewniają, aby IORP</w:t>
            </w:r>
            <w:r w:rsidRPr="00CE45E2">
              <w:rPr>
                <w:b/>
                <w:bCs/>
                <w:i/>
                <w:iCs/>
              </w:rPr>
              <w:t xml:space="preserve"> została wpisana do rejestru krajowego lub</w:t>
            </w:r>
            <w:r w:rsidRPr="00CE45E2">
              <w:t xml:space="preserve"> uzyskała zezwolenie właściwego organu.</w:t>
            </w:r>
          </w:p>
        </w:tc>
      </w:tr>
    </w:tbl>
    <w:p w14:paraId="21811A0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0CF787E" w14:textId="77777777" w:rsidR="00CE45E2" w:rsidRPr="00CE45E2" w:rsidRDefault="00CE45E2" w:rsidP="00CE45E2">
      <w:r w:rsidRPr="00CE45E2">
        <w:rPr>
          <w:rStyle w:val="HideTWBExt"/>
        </w:rPr>
        <w:t>&lt;/Amend&gt;</w:t>
      </w:r>
    </w:p>
    <w:p w14:paraId="2E03661B" w14:textId="2FA797E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229</w:t>
      </w:r>
      <w:r w:rsidRPr="00CE45E2">
        <w:rPr>
          <w:rStyle w:val="HideTWBExt"/>
          <w:b w:val="0"/>
        </w:rPr>
        <w:t>&lt;/NumAm&gt;</w:t>
      </w:r>
    </w:p>
    <w:p w14:paraId="5370D3E1"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A7D2FD0" w14:textId="77777777" w:rsidR="00CE45E2" w:rsidRPr="00CE45E2" w:rsidRDefault="00CE45E2" w:rsidP="00CE45E2">
      <w:pPr>
        <w:pStyle w:val="NormalBold"/>
      </w:pPr>
      <w:r w:rsidRPr="00CE45E2">
        <w:rPr>
          <w:rStyle w:val="HideTWBExt"/>
          <w:b w:val="0"/>
        </w:rPr>
        <w:t>&lt;/RepeatBlock-By&gt;</w:t>
      </w:r>
    </w:p>
    <w:p w14:paraId="1FA0069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928D7DE" w14:textId="77777777" w:rsidR="00CE45E2" w:rsidRPr="00CE45E2" w:rsidRDefault="00CE45E2" w:rsidP="00CE45E2">
      <w:pPr>
        <w:pStyle w:val="NormalBold"/>
      </w:pPr>
      <w:r w:rsidRPr="00CE45E2">
        <w:rPr>
          <w:rStyle w:val="HideTWBExt"/>
          <w:b w:val="0"/>
        </w:rPr>
        <w:t>&lt;Article&gt;</w:t>
      </w:r>
      <w:r w:rsidRPr="00CE45E2">
        <w:t>Artykuł 1 – akapit 1 – punkt 10 – litera b</w:t>
      </w:r>
      <w:r w:rsidRPr="00CE45E2">
        <w:rPr>
          <w:rStyle w:val="HideTWBExt"/>
          <w:b w:val="0"/>
        </w:rPr>
        <w:t>&lt;/Article&gt;</w:t>
      </w:r>
    </w:p>
    <w:p w14:paraId="0EEE4EC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7509D5A" w14:textId="77777777" w:rsidR="00CE45E2" w:rsidRPr="00CE45E2" w:rsidRDefault="00CE45E2" w:rsidP="00CE45E2">
      <w:r w:rsidRPr="00CE45E2">
        <w:rPr>
          <w:rStyle w:val="HideTWBExt"/>
        </w:rPr>
        <w:t>&lt;Article2&gt;</w:t>
      </w:r>
      <w:r w:rsidRPr="00CE45E2">
        <w:t>Artykuł 9 – ustęp 1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46DFCA1" w14:textId="77777777" w:rsidTr="006476FB">
        <w:trPr>
          <w:trHeight w:hRule="exact" w:val="240"/>
          <w:jc w:val="center"/>
        </w:trPr>
        <w:tc>
          <w:tcPr>
            <w:tcW w:w="9752" w:type="dxa"/>
            <w:gridSpan w:val="2"/>
            <w:tcBorders>
              <w:top w:val="nil"/>
              <w:left w:val="nil"/>
              <w:bottom w:val="nil"/>
              <w:right w:val="nil"/>
            </w:tcBorders>
          </w:tcPr>
          <w:p w14:paraId="1AB171F8" w14:textId="77777777" w:rsidR="00CE45E2" w:rsidRPr="00CE45E2" w:rsidRDefault="00CE45E2" w:rsidP="006476FB"/>
        </w:tc>
      </w:tr>
      <w:tr w:rsidR="00CE45E2" w:rsidRPr="00CE45E2" w14:paraId="34C26152" w14:textId="77777777" w:rsidTr="006476FB">
        <w:trPr>
          <w:trHeight w:val="240"/>
          <w:jc w:val="center"/>
        </w:trPr>
        <w:tc>
          <w:tcPr>
            <w:tcW w:w="4876" w:type="dxa"/>
            <w:tcBorders>
              <w:top w:val="nil"/>
              <w:left w:val="nil"/>
              <w:bottom w:val="nil"/>
              <w:right w:val="nil"/>
            </w:tcBorders>
          </w:tcPr>
          <w:p w14:paraId="2A81758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3873328" w14:textId="77777777" w:rsidR="00CE45E2" w:rsidRPr="00CE45E2" w:rsidRDefault="00CE45E2" w:rsidP="006476FB">
            <w:pPr>
              <w:pStyle w:val="AmColumnHeading"/>
            </w:pPr>
            <w:r w:rsidRPr="00CE45E2">
              <w:t>Poprawka</w:t>
            </w:r>
          </w:p>
        </w:tc>
      </w:tr>
      <w:tr w:rsidR="00CE45E2" w:rsidRPr="00CE45E2" w14:paraId="1D8875BB" w14:textId="77777777" w:rsidTr="006476FB">
        <w:trPr>
          <w:jc w:val="center"/>
        </w:trPr>
        <w:tc>
          <w:tcPr>
            <w:tcW w:w="4876" w:type="dxa"/>
            <w:tcBorders>
              <w:top w:val="nil"/>
              <w:left w:val="nil"/>
              <w:bottom w:val="nil"/>
              <w:right w:val="nil"/>
            </w:tcBorders>
          </w:tcPr>
          <w:p w14:paraId="201C4DD3" w14:textId="77777777" w:rsidR="00CE45E2" w:rsidRPr="00CE45E2" w:rsidRDefault="00CE45E2" w:rsidP="006476FB">
            <w:pPr>
              <w:pStyle w:val="Normal6a"/>
            </w:pPr>
            <w:r w:rsidRPr="00CE45E2">
              <w:t xml:space="preserve">Państwa członkowskie </w:t>
            </w:r>
            <w:r w:rsidRPr="00CE45E2">
              <w:rPr>
                <w:b/>
                <w:bCs/>
                <w:i/>
                <w:iCs/>
              </w:rPr>
              <w:t>wymagają</w:t>
            </w:r>
            <w:r w:rsidRPr="00CE45E2">
              <w:t>, aby właściwe organy przeprowadzały ocenę ostrożnościową w ramach udzielania zezwoleń IORP. W ocenie uwzględnia się charakter, skalę i złożoność działalności danej IORP.</w:t>
            </w:r>
          </w:p>
        </w:tc>
        <w:tc>
          <w:tcPr>
            <w:tcW w:w="4876" w:type="dxa"/>
            <w:tcBorders>
              <w:top w:val="nil"/>
              <w:left w:val="nil"/>
              <w:bottom w:val="nil"/>
              <w:right w:val="nil"/>
            </w:tcBorders>
          </w:tcPr>
          <w:p w14:paraId="78E2529E" w14:textId="77777777" w:rsidR="00CE45E2" w:rsidRPr="00CE45E2" w:rsidRDefault="00CE45E2" w:rsidP="006476FB">
            <w:pPr>
              <w:pStyle w:val="Normal6a"/>
            </w:pPr>
            <w:r w:rsidRPr="00CE45E2">
              <w:t xml:space="preserve">Państwa członkowskie </w:t>
            </w:r>
            <w:r w:rsidRPr="00CE45E2">
              <w:rPr>
                <w:b/>
                <w:bCs/>
                <w:i/>
                <w:iCs/>
              </w:rPr>
              <w:t>mogą wymagać</w:t>
            </w:r>
            <w:r w:rsidRPr="00CE45E2">
              <w:t>, aby właściwe organy przeprowadzały ocenę ostrożnościową w ramach udzielania zezwoleń IORP. W ocenie uwzględnia się charakter</w:t>
            </w:r>
            <w:r w:rsidRPr="00CE45E2">
              <w:rPr>
                <w:b/>
                <w:bCs/>
                <w:i/>
                <w:iCs/>
              </w:rPr>
              <w:t>, ryzyko</w:t>
            </w:r>
            <w:r w:rsidRPr="00CE45E2">
              <w:t>, skalę i złożoność działalności danej IORP.</w:t>
            </w:r>
          </w:p>
        </w:tc>
      </w:tr>
    </w:tbl>
    <w:p w14:paraId="1719440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F528F43" w14:textId="77777777" w:rsidR="00CE45E2" w:rsidRPr="00CE45E2" w:rsidRDefault="00CE45E2" w:rsidP="00CE45E2">
      <w:r w:rsidRPr="00CE45E2">
        <w:rPr>
          <w:rStyle w:val="HideTWBExt"/>
        </w:rPr>
        <w:t>&lt;/Amend&gt;</w:t>
      </w:r>
    </w:p>
    <w:p w14:paraId="34C8EDE4" w14:textId="57B210A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230</w:t>
      </w:r>
      <w:r w:rsidRPr="00CE45E2">
        <w:rPr>
          <w:rStyle w:val="HideTWBExt"/>
          <w:b w:val="0"/>
        </w:rPr>
        <w:t>&lt;/NumAm&gt;</w:t>
      </w:r>
    </w:p>
    <w:p w14:paraId="1B5B0BE9"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EE4B972" w14:textId="77777777" w:rsidR="00CE45E2" w:rsidRPr="00CE45E2" w:rsidRDefault="00CE45E2" w:rsidP="00CE45E2">
      <w:pPr>
        <w:pStyle w:val="NormalBold"/>
      </w:pPr>
      <w:r w:rsidRPr="00CE45E2">
        <w:rPr>
          <w:rStyle w:val="HideTWBExt"/>
          <w:b w:val="0"/>
        </w:rPr>
        <w:t>&lt;/RepeatBlock-By&gt;</w:t>
      </w:r>
    </w:p>
    <w:p w14:paraId="77AB0F0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86D27E2" w14:textId="77777777" w:rsidR="00CE45E2" w:rsidRPr="00CE45E2" w:rsidRDefault="00CE45E2" w:rsidP="00CE45E2">
      <w:pPr>
        <w:pStyle w:val="NormalBold"/>
      </w:pPr>
      <w:r w:rsidRPr="00CE45E2">
        <w:rPr>
          <w:rStyle w:val="HideTWBExt"/>
          <w:b w:val="0"/>
        </w:rPr>
        <w:t>&lt;Article&gt;</w:t>
      </w:r>
      <w:r w:rsidRPr="00CE45E2">
        <w:t>Artykuł 1 – akapit 1 – punkt 10 – litera b</w:t>
      </w:r>
      <w:r w:rsidRPr="00CE45E2">
        <w:rPr>
          <w:rStyle w:val="HideTWBExt"/>
          <w:b w:val="0"/>
        </w:rPr>
        <w:t>&lt;/Article&gt;</w:t>
      </w:r>
    </w:p>
    <w:p w14:paraId="0E9FF1EE"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910EF6F" w14:textId="77777777" w:rsidR="00CE45E2" w:rsidRPr="00CE45E2" w:rsidRDefault="00CE45E2" w:rsidP="00CE45E2">
      <w:r w:rsidRPr="00CE45E2">
        <w:rPr>
          <w:rStyle w:val="HideTWBExt"/>
        </w:rPr>
        <w:t>&lt;Article2&gt;</w:t>
      </w:r>
      <w:r w:rsidRPr="00CE45E2">
        <w:t>Artykuł 9 – ustęp 1 – akapit 4</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32104C0" w14:textId="77777777" w:rsidTr="006476FB">
        <w:trPr>
          <w:trHeight w:hRule="exact" w:val="240"/>
          <w:jc w:val="center"/>
        </w:trPr>
        <w:tc>
          <w:tcPr>
            <w:tcW w:w="9752" w:type="dxa"/>
            <w:gridSpan w:val="2"/>
            <w:tcBorders>
              <w:top w:val="nil"/>
              <w:left w:val="nil"/>
              <w:bottom w:val="nil"/>
              <w:right w:val="nil"/>
            </w:tcBorders>
          </w:tcPr>
          <w:p w14:paraId="09BE431A" w14:textId="77777777" w:rsidR="00CE45E2" w:rsidRPr="00CE45E2" w:rsidRDefault="00CE45E2" w:rsidP="006476FB"/>
        </w:tc>
      </w:tr>
      <w:tr w:rsidR="00CE45E2" w:rsidRPr="00CE45E2" w14:paraId="65A56394" w14:textId="77777777" w:rsidTr="006476FB">
        <w:trPr>
          <w:trHeight w:val="240"/>
          <w:jc w:val="center"/>
        </w:trPr>
        <w:tc>
          <w:tcPr>
            <w:tcW w:w="4876" w:type="dxa"/>
            <w:tcBorders>
              <w:top w:val="nil"/>
              <w:left w:val="nil"/>
              <w:bottom w:val="nil"/>
              <w:right w:val="nil"/>
            </w:tcBorders>
          </w:tcPr>
          <w:p w14:paraId="04C01E7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95D26C6" w14:textId="77777777" w:rsidR="00CE45E2" w:rsidRPr="00CE45E2" w:rsidRDefault="00CE45E2" w:rsidP="006476FB">
            <w:pPr>
              <w:pStyle w:val="AmColumnHeading"/>
            </w:pPr>
            <w:r w:rsidRPr="00CE45E2">
              <w:t>Poprawka</w:t>
            </w:r>
          </w:p>
        </w:tc>
      </w:tr>
      <w:tr w:rsidR="00CE45E2" w:rsidRPr="00CE45E2" w14:paraId="7B1EE13A" w14:textId="77777777" w:rsidTr="006476FB">
        <w:trPr>
          <w:jc w:val="center"/>
        </w:trPr>
        <w:tc>
          <w:tcPr>
            <w:tcW w:w="4876" w:type="dxa"/>
            <w:tcBorders>
              <w:top w:val="nil"/>
              <w:left w:val="nil"/>
              <w:bottom w:val="nil"/>
              <w:right w:val="nil"/>
            </w:tcBorders>
          </w:tcPr>
          <w:p w14:paraId="14EA02F4" w14:textId="77777777" w:rsidR="00CE45E2" w:rsidRPr="00CE45E2" w:rsidRDefault="00CE45E2" w:rsidP="006476FB">
            <w:pPr>
              <w:pStyle w:val="Normal6a"/>
            </w:pPr>
            <w:r w:rsidRPr="00CE45E2">
              <w:t xml:space="preserve">IORP ubiegające się o zezwolenie </w:t>
            </w:r>
            <w:r w:rsidRPr="00CE45E2">
              <w:rPr>
                <w:b/>
                <w:bCs/>
                <w:i/>
                <w:iCs/>
              </w:rPr>
              <w:t>przygotowują</w:t>
            </w:r>
            <w:r w:rsidRPr="00CE45E2">
              <w:t xml:space="preserve"> i </w:t>
            </w:r>
            <w:r w:rsidRPr="00CE45E2">
              <w:rPr>
                <w:b/>
                <w:bCs/>
                <w:i/>
                <w:iCs/>
              </w:rPr>
              <w:t>przedkładają</w:t>
            </w:r>
            <w:r w:rsidRPr="00CE45E2">
              <w:t xml:space="preserve"> właściwemu organowi biznesplan dotyczący ich całej planowanej działalności, wyszczególniający dostępne zasoby finansowe na pokrycie bieżących i przyszłych kosztów operacyjnych. Biznesplan zawiera prognozy przychodów i kosztów IORP w okresie obejmującym co najmniej trzy lata oraz podział kosztów operacyjnych IORP, w tym, w stosownych przypadkach, koszty dystrybucji i nabycia oraz wszelkie inne elementy, które mają pomóc właściwym organom w ocenie zgodności z wymogami operacyjnymi.</w:t>
            </w:r>
          </w:p>
        </w:tc>
        <w:tc>
          <w:tcPr>
            <w:tcW w:w="4876" w:type="dxa"/>
            <w:tcBorders>
              <w:top w:val="nil"/>
              <w:left w:val="nil"/>
              <w:bottom w:val="nil"/>
              <w:right w:val="nil"/>
            </w:tcBorders>
          </w:tcPr>
          <w:p w14:paraId="70800A7A" w14:textId="77777777" w:rsidR="00CE45E2" w:rsidRPr="00CE45E2" w:rsidRDefault="00CE45E2" w:rsidP="006476FB">
            <w:pPr>
              <w:pStyle w:val="Normal6a"/>
            </w:pPr>
            <w:r w:rsidRPr="00CE45E2">
              <w:rPr>
                <w:b/>
                <w:bCs/>
                <w:i/>
                <w:iCs/>
              </w:rPr>
              <w:t>Właściwy organ państwa członkowskiego może wymagać, aby</w:t>
            </w:r>
            <w:r w:rsidRPr="00CE45E2">
              <w:t xml:space="preserve"> IORP ubiegające się o zezwolenie </w:t>
            </w:r>
            <w:r w:rsidRPr="00CE45E2">
              <w:rPr>
                <w:b/>
                <w:bCs/>
                <w:i/>
                <w:iCs/>
              </w:rPr>
              <w:t>przygotowały i przedłożyły</w:t>
            </w:r>
            <w:r w:rsidRPr="00CE45E2">
              <w:t xml:space="preserve"> właściwemu organowi biznesplan dotyczący ich całej planowanej działalności, wyszczególniający dostępne zasoby finansowe na pokrycie bieżących i przyszłych kosztów operacyjnych. Biznesplan zawiera prognozy przychodów i kosztów IORP w okresie obejmującym co najmniej trzy lata oraz podział kosztów operacyjnych IORP, w tym, w stosownych przypadkach, koszty dystrybucji i nabycia oraz wszelkie inne elementy, które mają pomóc właściwym organom w ocenie zgodności z wymogami operacyjnymi.</w:t>
            </w:r>
          </w:p>
        </w:tc>
      </w:tr>
    </w:tbl>
    <w:p w14:paraId="6AB3787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2213398" w14:textId="77777777" w:rsidR="00CE45E2" w:rsidRPr="00CE45E2" w:rsidRDefault="00CE45E2" w:rsidP="00CE45E2">
      <w:r w:rsidRPr="00CE45E2">
        <w:rPr>
          <w:rStyle w:val="HideTWBExt"/>
        </w:rPr>
        <w:t>&lt;/Amend&gt;</w:t>
      </w:r>
    </w:p>
    <w:p w14:paraId="4EFB17A0" w14:textId="661AD79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231</w:t>
      </w:r>
      <w:r w:rsidRPr="00CE45E2">
        <w:rPr>
          <w:rStyle w:val="HideTWBExt"/>
          <w:b w:val="0"/>
        </w:rPr>
        <w:t>&lt;/NumAm&gt;</w:t>
      </w:r>
    </w:p>
    <w:p w14:paraId="11C63AA8"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CC4F739" w14:textId="77777777" w:rsidR="00CE45E2" w:rsidRPr="00CE45E2" w:rsidRDefault="00CE45E2" w:rsidP="00CE45E2">
      <w:pPr>
        <w:pStyle w:val="NormalBold"/>
      </w:pPr>
      <w:r w:rsidRPr="00CE45E2">
        <w:rPr>
          <w:rStyle w:val="HideTWBExt"/>
          <w:b w:val="0"/>
        </w:rPr>
        <w:t>&lt;/RepeatBlock-By&gt;</w:t>
      </w:r>
    </w:p>
    <w:p w14:paraId="2B4D4EC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FD2FE21" w14:textId="77777777" w:rsidR="00CE45E2" w:rsidRPr="00CE45E2" w:rsidRDefault="00CE45E2" w:rsidP="00CE45E2">
      <w:pPr>
        <w:pStyle w:val="NormalBold"/>
      </w:pPr>
      <w:r w:rsidRPr="00CE45E2">
        <w:rPr>
          <w:rStyle w:val="HideTWBExt"/>
          <w:b w:val="0"/>
        </w:rPr>
        <w:t>&lt;Article&gt;</w:t>
      </w:r>
      <w:r w:rsidRPr="00CE45E2">
        <w:t>Artykuł 1 – akapit 1 – punkt 10 – litera c</w:t>
      </w:r>
      <w:r w:rsidRPr="00CE45E2">
        <w:rPr>
          <w:rStyle w:val="HideTWBExt"/>
          <w:b w:val="0"/>
        </w:rPr>
        <w:t>&lt;/Article&gt;</w:t>
      </w:r>
    </w:p>
    <w:p w14:paraId="6C6C24C8"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BCC02F9" w14:textId="77777777" w:rsidR="00CE45E2" w:rsidRPr="00CE45E2" w:rsidRDefault="00CE45E2" w:rsidP="00CE45E2">
      <w:r w:rsidRPr="00CE45E2">
        <w:rPr>
          <w:rStyle w:val="HideTWBExt"/>
        </w:rPr>
        <w:t>&lt;Article2&gt;</w:t>
      </w:r>
      <w:r w:rsidRPr="00CE45E2">
        <w:t>Artykuł 9 – ustęp 1 a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66157E9" w14:textId="77777777" w:rsidTr="006476FB">
        <w:trPr>
          <w:trHeight w:hRule="exact" w:val="240"/>
          <w:jc w:val="center"/>
        </w:trPr>
        <w:tc>
          <w:tcPr>
            <w:tcW w:w="9752" w:type="dxa"/>
            <w:gridSpan w:val="2"/>
            <w:tcBorders>
              <w:top w:val="nil"/>
              <w:left w:val="nil"/>
              <w:bottom w:val="nil"/>
              <w:right w:val="nil"/>
            </w:tcBorders>
          </w:tcPr>
          <w:p w14:paraId="2C9AB6BE" w14:textId="77777777" w:rsidR="00CE45E2" w:rsidRPr="00CE45E2" w:rsidRDefault="00CE45E2" w:rsidP="006476FB"/>
        </w:tc>
      </w:tr>
      <w:tr w:rsidR="00CE45E2" w:rsidRPr="00CE45E2" w14:paraId="6E23C465" w14:textId="77777777" w:rsidTr="006476FB">
        <w:trPr>
          <w:trHeight w:val="240"/>
          <w:jc w:val="center"/>
        </w:trPr>
        <w:tc>
          <w:tcPr>
            <w:tcW w:w="4876" w:type="dxa"/>
            <w:tcBorders>
              <w:top w:val="nil"/>
              <w:left w:val="nil"/>
              <w:bottom w:val="nil"/>
              <w:right w:val="nil"/>
            </w:tcBorders>
          </w:tcPr>
          <w:p w14:paraId="1F766B0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CF495CE" w14:textId="77777777" w:rsidR="00CE45E2" w:rsidRPr="00CE45E2" w:rsidRDefault="00CE45E2" w:rsidP="006476FB">
            <w:pPr>
              <w:pStyle w:val="AmColumnHeading"/>
            </w:pPr>
            <w:r w:rsidRPr="00CE45E2">
              <w:t>Poprawka</w:t>
            </w:r>
          </w:p>
        </w:tc>
      </w:tr>
      <w:tr w:rsidR="00CE45E2" w:rsidRPr="00CE45E2" w14:paraId="5BE36A35" w14:textId="77777777" w:rsidTr="006476FB">
        <w:trPr>
          <w:jc w:val="center"/>
        </w:trPr>
        <w:tc>
          <w:tcPr>
            <w:tcW w:w="4876" w:type="dxa"/>
            <w:tcBorders>
              <w:top w:val="nil"/>
              <w:left w:val="nil"/>
              <w:bottom w:val="nil"/>
              <w:right w:val="nil"/>
            </w:tcBorders>
          </w:tcPr>
          <w:p w14:paraId="6D32383F" w14:textId="77777777" w:rsidR="00CE45E2" w:rsidRPr="00CE45E2" w:rsidRDefault="00CE45E2" w:rsidP="006476FB">
            <w:pPr>
              <w:pStyle w:val="Normal6a"/>
            </w:pPr>
            <w:r w:rsidRPr="00CE45E2">
              <w:t xml:space="preserve">Bez uszczerbku dla art. 48 ust. 9 każde państwo członkowskie </w:t>
            </w:r>
            <w:r w:rsidRPr="00CE45E2">
              <w:rPr>
                <w:b/>
                <w:bCs/>
                <w:i/>
                <w:iCs/>
              </w:rPr>
              <w:t>zapewnia</w:t>
            </w:r>
            <w:r w:rsidRPr="00CE45E2">
              <w:t xml:space="preserve"> prawo do odwołania się do sądu, w </w:t>
            </w:r>
            <w:proofErr w:type="gramStart"/>
            <w:r w:rsidRPr="00CE45E2">
              <w:t>przypadku</w:t>
            </w:r>
            <w:proofErr w:type="gramEnd"/>
            <w:r w:rsidRPr="00CE45E2">
              <w:t xml:space="preserve"> gdy jego właściwe organy nie rozpatrzą wniosku o udzielenie zezwolenia w terminie sześciu miesięcy od daty jego otrzymania.”;</w:t>
            </w:r>
          </w:p>
        </w:tc>
        <w:tc>
          <w:tcPr>
            <w:tcW w:w="4876" w:type="dxa"/>
            <w:tcBorders>
              <w:top w:val="nil"/>
              <w:left w:val="nil"/>
              <w:bottom w:val="nil"/>
              <w:right w:val="nil"/>
            </w:tcBorders>
          </w:tcPr>
          <w:p w14:paraId="3AA4B5E8" w14:textId="77777777" w:rsidR="00CE45E2" w:rsidRPr="00CE45E2" w:rsidRDefault="00CE45E2" w:rsidP="006476FB">
            <w:pPr>
              <w:pStyle w:val="Normal6a"/>
            </w:pPr>
            <w:r w:rsidRPr="00CE45E2">
              <w:t xml:space="preserve">Bez uszczerbku dla art. 48 ust. 9 każde państwo członkowskie </w:t>
            </w:r>
            <w:r w:rsidRPr="00CE45E2">
              <w:rPr>
                <w:b/>
                <w:bCs/>
                <w:i/>
                <w:iCs/>
              </w:rPr>
              <w:t>stosujące procedurę udzielania zezwoleń może przewidzieć</w:t>
            </w:r>
            <w:r w:rsidRPr="00CE45E2">
              <w:t xml:space="preserve"> prawo do odwołania się do sądu, w </w:t>
            </w:r>
            <w:proofErr w:type="gramStart"/>
            <w:r w:rsidRPr="00CE45E2">
              <w:t>przypadku</w:t>
            </w:r>
            <w:proofErr w:type="gramEnd"/>
            <w:r w:rsidRPr="00CE45E2">
              <w:t xml:space="preserve"> gdy jego właściwe organy nie rozpatrzą wniosku o udzielenie zezwolenia w terminie sześciu miesięcy od daty jego otrzymania.”;</w:t>
            </w:r>
          </w:p>
        </w:tc>
      </w:tr>
    </w:tbl>
    <w:p w14:paraId="3E6E66C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C6A5709" w14:textId="77777777" w:rsidR="00CE45E2" w:rsidRPr="00CE45E2" w:rsidRDefault="00CE45E2" w:rsidP="00CE45E2">
      <w:r w:rsidRPr="00CE45E2">
        <w:rPr>
          <w:rStyle w:val="HideTWBExt"/>
        </w:rPr>
        <w:t>&lt;/Amend&gt;</w:t>
      </w:r>
    </w:p>
    <w:p w14:paraId="1D7099B4" w14:textId="4C3DA14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232</w:t>
      </w:r>
      <w:r w:rsidRPr="00CE45E2">
        <w:rPr>
          <w:rStyle w:val="HideTWBExt"/>
          <w:b w:val="0"/>
        </w:rPr>
        <w:t>&lt;/NumAm&gt;</w:t>
      </w:r>
    </w:p>
    <w:p w14:paraId="03C55CFF"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458D4481" w14:textId="77777777" w:rsidR="00CE45E2" w:rsidRPr="00CE45E2" w:rsidRDefault="00CE45E2" w:rsidP="00CE45E2">
      <w:pPr>
        <w:pStyle w:val="NormalBold"/>
      </w:pPr>
      <w:r w:rsidRPr="00CE45E2">
        <w:rPr>
          <w:rStyle w:val="HideTWBExt"/>
          <w:b w:val="0"/>
        </w:rPr>
        <w:t>&lt;/RepeatBlock-By&gt;</w:t>
      </w:r>
    </w:p>
    <w:p w14:paraId="5789E69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0605E56"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6C0FF28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AD793A9" w14:textId="77777777" w:rsidR="00CE45E2" w:rsidRPr="00CE45E2" w:rsidRDefault="00CE45E2" w:rsidP="00CE45E2">
      <w:r w:rsidRPr="00CE45E2">
        <w:rPr>
          <w:rStyle w:val="HideTWBExt"/>
        </w:rPr>
        <w:t>&lt;Article2&gt;</w:t>
      </w:r>
      <w:r w:rsidRPr="00CE45E2">
        <w:t>Artykuł 9 a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99C9CC8" w14:textId="77777777" w:rsidTr="006476FB">
        <w:trPr>
          <w:trHeight w:hRule="exact" w:val="240"/>
          <w:jc w:val="center"/>
        </w:trPr>
        <w:tc>
          <w:tcPr>
            <w:tcW w:w="9752" w:type="dxa"/>
            <w:gridSpan w:val="2"/>
            <w:tcBorders>
              <w:top w:val="nil"/>
              <w:left w:val="nil"/>
              <w:bottom w:val="nil"/>
              <w:right w:val="nil"/>
            </w:tcBorders>
          </w:tcPr>
          <w:p w14:paraId="7B488ED6" w14:textId="77777777" w:rsidR="00CE45E2" w:rsidRPr="00CE45E2" w:rsidRDefault="00CE45E2" w:rsidP="006476FB"/>
        </w:tc>
      </w:tr>
      <w:tr w:rsidR="00CE45E2" w:rsidRPr="00CE45E2" w14:paraId="3F09B90C" w14:textId="77777777" w:rsidTr="006476FB">
        <w:trPr>
          <w:trHeight w:val="240"/>
          <w:jc w:val="center"/>
        </w:trPr>
        <w:tc>
          <w:tcPr>
            <w:tcW w:w="4876" w:type="dxa"/>
            <w:tcBorders>
              <w:top w:val="nil"/>
              <w:left w:val="nil"/>
              <w:bottom w:val="nil"/>
              <w:right w:val="nil"/>
            </w:tcBorders>
          </w:tcPr>
          <w:p w14:paraId="7837740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26A31EB" w14:textId="77777777" w:rsidR="00CE45E2" w:rsidRPr="00CE45E2" w:rsidRDefault="00CE45E2" w:rsidP="006476FB">
            <w:pPr>
              <w:pStyle w:val="AmColumnHeading"/>
            </w:pPr>
            <w:r w:rsidRPr="00CE45E2">
              <w:t>Poprawka</w:t>
            </w:r>
          </w:p>
        </w:tc>
      </w:tr>
      <w:tr w:rsidR="00CE45E2" w:rsidRPr="00CE45E2" w14:paraId="1511D662" w14:textId="77777777" w:rsidTr="006476FB">
        <w:trPr>
          <w:jc w:val="center"/>
        </w:trPr>
        <w:tc>
          <w:tcPr>
            <w:tcW w:w="4876" w:type="dxa"/>
            <w:tcBorders>
              <w:top w:val="nil"/>
              <w:left w:val="nil"/>
              <w:bottom w:val="nil"/>
              <w:right w:val="nil"/>
            </w:tcBorders>
          </w:tcPr>
          <w:p w14:paraId="730CCF6F" w14:textId="77777777" w:rsidR="00CE45E2" w:rsidRPr="00CE45E2" w:rsidRDefault="00CE45E2" w:rsidP="006476FB">
            <w:pPr>
              <w:pStyle w:val="Normal6a"/>
            </w:pPr>
            <w:r w:rsidRPr="00CE45E2">
              <w:t xml:space="preserve">Państwa członkowskie zapewniają IORP możliwość obsługi różnych programów emerytalnych, w tym programów o różnej polityce </w:t>
            </w:r>
            <w:proofErr w:type="gramStart"/>
            <w:r w:rsidRPr="00CE45E2">
              <w:t>inwestycyjnej,</w:t>
            </w:r>
            <w:proofErr w:type="gramEnd"/>
            <w:r w:rsidRPr="00CE45E2">
              <w:t xml:space="preserve"> oraz przyjmowania finansowania ze strony wielu instytucji finansujących w ramach tego samego programu emerytalnego.</w:t>
            </w:r>
          </w:p>
        </w:tc>
        <w:tc>
          <w:tcPr>
            <w:tcW w:w="4876" w:type="dxa"/>
            <w:tcBorders>
              <w:top w:val="nil"/>
              <w:left w:val="nil"/>
              <w:bottom w:val="nil"/>
              <w:right w:val="nil"/>
            </w:tcBorders>
          </w:tcPr>
          <w:p w14:paraId="4D7ED081" w14:textId="77777777" w:rsidR="00CE45E2" w:rsidRPr="00CE45E2" w:rsidRDefault="00CE45E2" w:rsidP="006476FB">
            <w:pPr>
              <w:pStyle w:val="Normal6a"/>
            </w:pPr>
            <w:r w:rsidRPr="00CE45E2">
              <w:rPr>
                <w:b/>
                <w:bCs/>
                <w:i/>
                <w:iCs/>
              </w:rPr>
              <w:t>Bez uszczerbku dla krajowego prawa socjalnego i prawa pracy dotyczącego organizacji systemów emerytalnych, w tym branżowych funduszy emerytalnych, funduszy emerytalnych przedsiębiorstw oraz obowiązkowego członkostwa,</w:t>
            </w:r>
            <w:r w:rsidRPr="00CE45E2">
              <w:t xml:space="preserve"> państwa członkowskie zapewniają IORP możliwość obsługi różnych programów emerytalnych, w tym programów o różnej polityce inwestycyjnej, oraz przyjmowania finansowania ze strony wielu instytucji finansujących w ramach tego samego programu emerytalnego.</w:t>
            </w:r>
          </w:p>
        </w:tc>
      </w:tr>
    </w:tbl>
    <w:p w14:paraId="685A283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5C4E1A6" w14:textId="77777777" w:rsidR="00CE45E2" w:rsidRPr="00CE45E2" w:rsidRDefault="00CE45E2" w:rsidP="00CE45E2">
      <w:r w:rsidRPr="00CE45E2">
        <w:rPr>
          <w:rStyle w:val="HideTWBExt"/>
        </w:rPr>
        <w:t>&lt;/Amend&gt;</w:t>
      </w:r>
    </w:p>
    <w:p w14:paraId="0D100BEF" w14:textId="668DD7C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233</w:t>
      </w:r>
      <w:r w:rsidRPr="00CE45E2">
        <w:rPr>
          <w:rStyle w:val="HideTWBExt"/>
          <w:b w:val="0"/>
        </w:rPr>
        <w:t>&lt;/NumAm&gt;</w:t>
      </w:r>
    </w:p>
    <w:p w14:paraId="3BA67F41"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D6CB9A0" w14:textId="77777777" w:rsidR="00CE45E2" w:rsidRPr="00CE45E2" w:rsidRDefault="00CE45E2" w:rsidP="00CE45E2">
      <w:pPr>
        <w:pStyle w:val="NormalBold"/>
      </w:pPr>
      <w:r w:rsidRPr="00CE45E2">
        <w:rPr>
          <w:rStyle w:val="HideTWBExt"/>
          <w:b w:val="0"/>
        </w:rPr>
        <w:t>&lt;/RepeatBlock-By&gt;</w:t>
      </w:r>
    </w:p>
    <w:p w14:paraId="4F1A273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960093B"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344EED8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2FA5C3B" w14:textId="77777777" w:rsidR="00CE45E2" w:rsidRPr="00CE45E2" w:rsidRDefault="00CE45E2" w:rsidP="00CE45E2">
      <w:r w:rsidRPr="00CE45E2">
        <w:rPr>
          <w:rStyle w:val="HideTWBExt"/>
        </w:rPr>
        <w:t>&lt;Article2&gt;</w:t>
      </w:r>
      <w:r w:rsidRPr="00CE45E2">
        <w:t>Artykuł 9 a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DF0133E" w14:textId="77777777" w:rsidTr="006476FB">
        <w:trPr>
          <w:trHeight w:hRule="exact" w:val="240"/>
          <w:jc w:val="center"/>
        </w:trPr>
        <w:tc>
          <w:tcPr>
            <w:tcW w:w="9752" w:type="dxa"/>
            <w:gridSpan w:val="2"/>
            <w:tcBorders>
              <w:top w:val="nil"/>
              <w:left w:val="nil"/>
              <w:bottom w:val="nil"/>
              <w:right w:val="nil"/>
            </w:tcBorders>
          </w:tcPr>
          <w:p w14:paraId="69B132A0" w14:textId="77777777" w:rsidR="00CE45E2" w:rsidRPr="00CE45E2" w:rsidRDefault="00CE45E2" w:rsidP="006476FB"/>
        </w:tc>
      </w:tr>
      <w:tr w:rsidR="00CE45E2" w:rsidRPr="00CE45E2" w14:paraId="69842302" w14:textId="77777777" w:rsidTr="006476FB">
        <w:trPr>
          <w:trHeight w:val="240"/>
          <w:jc w:val="center"/>
        </w:trPr>
        <w:tc>
          <w:tcPr>
            <w:tcW w:w="4876" w:type="dxa"/>
            <w:tcBorders>
              <w:top w:val="nil"/>
              <w:left w:val="nil"/>
              <w:bottom w:val="nil"/>
              <w:right w:val="nil"/>
            </w:tcBorders>
          </w:tcPr>
          <w:p w14:paraId="0E1F19A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A28C7C1" w14:textId="77777777" w:rsidR="00CE45E2" w:rsidRPr="00CE45E2" w:rsidRDefault="00CE45E2" w:rsidP="006476FB">
            <w:pPr>
              <w:pStyle w:val="AmColumnHeading"/>
            </w:pPr>
            <w:r w:rsidRPr="00CE45E2">
              <w:t>Poprawka</w:t>
            </w:r>
          </w:p>
        </w:tc>
      </w:tr>
      <w:tr w:rsidR="00CE45E2" w:rsidRPr="00CE45E2" w14:paraId="16F3B13C" w14:textId="77777777" w:rsidTr="006476FB">
        <w:trPr>
          <w:jc w:val="center"/>
        </w:trPr>
        <w:tc>
          <w:tcPr>
            <w:tcW w:w="4876" w:type="dxa"/>
            <w:tcBorders>
              <w:top w:val="nil"/>
              <w:left w:val="nil"/>
              <w:bottom w:val="nil"/>
              <w:right w:val="nil"/>
            </w:tcBorders>
          </w:tcPr>
          <w:p w14:paraId="0D3FF326" w14:textId="77777777" w:rsidR="00CE45E2" w:rsidRPr="00CE45E2" w:rsidRDefault="00CE45E2" w:rsidP="006476FB">
            <w:pPr>
              <w:pStyle w:val="Normal6a"/>
            </w:pPr>
            <w:r w:rsidRPr="00CE45E2">
              <w:t xml:space="preserve">Państwa członkowskie zapewniają IORP możliwość obsługi różnych programów emerytalnych, w tym programów o różnej polityce </w:t>
            </w:r>
            <w:proofErr w:type="gramStart"/>
            <w:r w:rsidRPr="00CE45E2">
              <w:t>inwestycyjnej,</w:t>
            </w:r>
            <w:proofErr w:type="gramEnd"/>
            <w:r w:rsidRPr="00CE45E2">
              <w:t xml:space="preserve"> oraz przyjmowania finansowania ze strony wielu instytucji finansujących w ramach tego samego programu emerytalnego.</w:t>
            </w:r>
          </w:p>
        </w:tc>
        <w:tc>
          <w:tcPr>
            <w:tcW w:w="4876" w:type="dxa"/>
            <w:tcBorders>
              <w:top w:val="nil"/>
              <w:left w:val="nil"/>
              <w:bottom w:val="nil"/>
              <w:right w:val="nil"/>
            </w:tcBorders>
          </w:tcPr>
          <w:p w14:paraId="695FB019" w14:textId="77777777" w:rsidR="00CE45E2" w:rsidRPr="00CE45E2" w:rsidRDefault="00CE45E2" w:rsidP="006476FB">
            <w:pPr>
              <w:pStyle w:val="Normal6a"/>
            </w:pPr>
            <w:r w:rsidRPr="00CE45E2">
              <w:t xml:space="preserve">Państwa członkowskie zapewniają </w:t>
            </w:r>
            <w:r w:rsidRPr="00CE45E2">
              <w:rPr>
                <w:b/>
                <w:bCs/>
                <w:i/>
                <w:iCs/>
              </w:rPr>
              <w:t>wszystkim lub określonym rodzajom</w:t>
            </w:r>
            <w:r w:rsidRPr="00CE45E2">
              <w:t xml:space="preserve"> IORP możliwość obsługi różnych programów emerytalnych, w tym programów o różnej polityce inwestycyjnej, oraz przyjmowania finansowania ze strony wielu instytucji finansujących w ramach tego samego programu emerytalnego.</w:t>
            </w:r>
          </w:p>
        </w:tc>
      </w:tr>
    </w:tbl>
    <w:p w14:paraId="1DE311D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B2FD359"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4CBD54C" w14:textId="77777777" w:rsidR="00CE45E2" w:rsidRPr="00CE45E2" w:rsidRDefault="00CE45E2" w:rsidP="00CE45E2">
      <w:pPr>
        <w:pStyle w:val="AmJustText"/>
      </w:pPr>
      <w:r w:rsidRPr="00CE45E2">
        <w:t>W niektórych państwach członkowskich określone fundusze emerytalne przedsiębiorstw nie mogą prowadzić różnych programów emerytalnych, ponieważ są powiązane z jednym przedsiębiorstwem. Ta krajowa swoboda powinna pozostać nienaruszona.</w:t>
      </w:r>
    </w:p>
    <w:p w14:paraId="7AC2A7E3" w14:textId="77777777" w:rsidR="00CE45E2" w:rsidRPr="00CE45E2" w:rsidRDefault="00CE45E2" w:rsidP="00CE45E2">
      <w:r w:rsidRPr="00CE45E2">
        <w:rPr>
          <w:rStyle w:val="HideTWBExt"/>
        </w:rPr>
        <w:t>&lt;/Amend&gt;</w:t>
      </w:r>
    </w:p>
    <w:p w14:paraId="66A7D1AE" w14:textId="041109C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234</w:t>
      </w:r>
      <w:r w:rsidRPr="00CE45E2">
        <w:rPr>
          <w:rStyle w:val="HideTWBExt"/>
          <w:b w:val="0"/>
        </w:rPr>
        <w:t>&lt;/NumAm&gt;</w:t>
      </w:r>
    </w:p>
    <w:p w14:paraId="4F23E570"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René</w:t>
      </w:r>
      <w:proofErr w:type="spellEnd"/>
      <w:r w:rsidRPr="00CE45E2">
        <w:t xml:space="preserve"> </w:t>
      </w:r>
      <w:proofErr w:type="spellStart"/>
      <w:r w:rsidRPr="00CE45E2">
        <w:t>Repasi</w:t>
      </w:r>
      <w:proofErr w:type="spellEnd"/>
      <w:r w:rsidRPr="00CE45E2">
        <w:rPr>
          <w:rStyle w:val="HideTWBExt"/>
          <w:b w:val="0"/>
        </w:rPr>
        <w:t>&lt;/Members&gt;</w:t>
      </w:r>
    </w:p>
    <w:p w14:paraId="2F25E2BD" w14:textId="77777777" w:rsidR="00CE45E2" w:rsidRPr="00CE45E2" w:rsidRDefault="00CE45E2" w:rsidP="00CE45E2">
      <w:pPr>
        <w:pStyle w:val="NormalBold"/>
      </w:pPr>
      <w:r w:rsidRPr="00CE45E2">
        <w:rPr>
          <w:rStyle w:val="HideTWBExt"/>
          <w:b w:val="0"/>
        </w:rPr>
        <w:t>&lt;/RepeatBlock-By&gt;</w:t>
      </w:r>
    </w:p>
    <w:p w14:paraId="5B78397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E4144AD"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18F46E6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43C18D1" w14:textId="77777777" w:rsidR="00CE45E2" w:rsidRPr="00CE45E2" w:rsidRDefault="00CE45E2" w:rsidP="00CE45E2">
      <w:r w:rsidRPr="00CE45E2">
        <w:rPr>
          <w:rStyle w:val="HideTWBExt"/>
        </w:rPr>
        <w:t>&lt;Article2&gt;</w:t>
      </w:r>
      <w:r w:rsidRPr="00CE45E2">
        <w:t>Artykuł 9 a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4F9BFDD" w14:textId="77777777" w:rsidTr="006476FB">
        <w:trPr>
          <w:trHeight w:hRule="exact" w:val="240"/>
          <w:jc w:val="center"/>
        </w:trPr>
        <w:tc>
          <w:tcPr>
            <w:tcW w:w="9752" w:type="dxa"/>
            <w:gridSpan w:val="2"/>
            <w:tcBorders>
              <w:top w:val="nil"/>
              <w:left w:val="nil"/>
              <w:bottom w:val="nil"/>
              <w:right w:val="nil"/>
            </w:tcBorders>
          </w:tcPr>
          <w:p w14:paraId="4090FAFE" w14:textId="77777777" w:rsidR="00CE45E2" w:rsidRPr="00CE45E2" w:rsidRDefault="00CE45E2" w:rsidP="006476FB"/>
        </w:tc>
      </w:tr>
      <w:tr w:rsidR="00CE45E2" w:rsidRPr="00CE45E2" w14:paraId="66D33A4E" w14:textId="77777777" w:rsidTr="006476FB">
        <w:trPr>
          <w:trHeight w:val="240"/>
          <w:jc w:val="center"/>
        </w:trPr>
        <w:tc>
          <w:tcPr>
            <w:tcW w:w="4876" w:type="dxa"/>
            <w:tcBorders>
              <w:top w:val="nil"/>
              <w:left w:val="nil"/>
              <w:bottom w:val="nil"/>
              <w:right w:val="nil"/>
            </w:tcBorders>
          </w:tcPr>
          <w:p w14:paraId="4C422FB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22E572E" w14:textId="77777777" w:rsidR="00CE45E2" w:rsidRPr="00CE45E2" w:rsidRDefault="00CE45E2" w:rsidP="006476FB">
            <w:pPr>
              <w:pStyle w:val="AmColumnHeading"/>
            </w:pPr>
            <w:r w:rsidRPr="00CE45E2">
              <w:t>Poprawka</w:t>
            </w:r>
          </w:p>
        </w:tc>
      </w:tr>
      <w:tr w:rsidR="00CE45E2" w:rsidRPr="00CE45E2" w14:paraId="022C7ECE" w14:textId="77777777" w:rsidTr="006476FB">
        <w:trPr>
          <w:jc w:val="center"/>
        </w:trPr>
        <w:tc>
          <w:tcPr>
            <w:tcW w:w="4876" w:type="dxa"/>
            <w:tcBorders>
              <w:top w:val="nil"/>
              <w:left w:val="nil"/>
              <w:bottom w:val="nil"/>
              <w:right w:val="nil"/>
            </w:tcBorders>
          </w:tcPr>
          <w:p w14:paraId="50709DD3" w14:textId="77777777" w:rsidR="00CE45E2" w:rsidRPr="00CE45E2" w:rsidRDefault="00CE45E2" w:rsidP="006476FB">
            <w:pPr>
              <w:pStyle w:val="Normal6a"/>
            </w:pPr>
            <w:r w:rsidRPr="00CE45E2">
              <w:t>Akapit pierwszy pozostaje bez uszczerbku dla decyzji państwa członkowskiego wymagającej, aby programy obejmujące wiele instytucji finansujących były obsługiwane na podstawie dyrektywy 2009/138/WE.”;</w:t>
            </w:r>
          </w:p>
        </w:tc>
        <w:tc>
          <w:tcPr>
            <w:tcW w:w="4876" w:type="dxa"/>
            <w:tcBorders>
              <w:top w:val="nil"/>
              <w:left w:val="nil"/>
              <w:bottom w:val="nil"/>
              <w:right w:val="nil"/>
            </w:tcBorders>
          </w:tcPr>
          <w:p w14:paraId="0B63792E" w14:textId="77777777" w:rsidR="00CE45E2" w:rsidRPr="00CE45E2" w:rsidRDefault="00CE45E2" w:rsidP="006476FB">
            <w:pPr>
              <w:pStyle w:val="Normal6a"/>
            </w:pPr>
            <w:r w:rsidRPr="00CE45E2">
              <w:t>Akapit pierwszy pozostaje bez uszczerbku dla decyzji państwa członkowskiego wymagającej, aby programy obejmujące wiele instytucji finansujących były obsługiwane na podstawie dyrektywy 2009/138/</w:t>
            </w:r>
            <w:proofErr w:type="gramStart"/>
            <w:r w:rsidRPr="00CE45E2">
              <w:t>WE</w:t>
            </w:r>
            <w:r w:rsidRPr="00CE45E2">
              <w:rPr>
                <w:b/>
                <w:bCs/>
                <w:i/>
                <w:iCs/>
              </w:rPr>
              <w:t>,</w:t>
            </w:r>
            <w:proofErr w:type="gramEnd"/>
            <w:r w:rsidRPr="00CE45E2">
              <w:rPr>
                <w:b/>
                <w:bCs/>
                <w:i/>
                <w:iCs/>
              </w:rPr>
              <w:t xml:space="preserve"> oraz bez uszczerbku dla prawa państw członkowskich dotyczącego organizacji systemów emerytalnych, w tym branżowych funduszy emerytalnych, funduszy emerytalnych przedsiębiorstw i obowiązkowego członkostwa</w:t>
            </w:r>
            <w:r w:rsidRPr="00CE45E2">
              <w:t>. .;</w:t>
            </w:r>
          </w:p>
        </w:tc>
      </w:tr>
    </w:tbl>
    <w:p w14:paraId="000954F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10C6C8F" w14:textId="77777777" w:rsidR="00CE45E2" w:rsidRPr="00CE45E2" w:rsidRDefault="00CE45E2" w:rsidP="00CE45E2">
      <w:r w:rsidRPr="00CE45E2">
        <w:rPr>
          <w:rStyle w:val="HideTWBExt"/>
        </w:rPr>
        <w:t>&lt;/Amend&gt;</w:t>
      </w:r>
    </w:p>
    <w:p w14:paraId="35AE339E" w14:textId="667F7BB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235</w:t>
      </w:r>
      <w:r w:rsidRPr="00CE45E2">
        <w:rPr>
          <w:rStyle w:val="HideTWBExt"/>
          <w:b w:val="0"/>
        </w:rPr>
        <w:t>&lt;/NumAm&gt;</w:t>
      </w:r>
    </w:p>
    <w:p w14:paraId="76FF06AB"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0AFB8E5" w14:textId="77777777" w:rsidR="00CE45E2" w:rsidRPr="00CE45E2" w:rsidRDefault="00CE45E2" w:rsidP="00CE45E2">
      <w:pPr>
        <w:pStyle w:val="NormalBold"/>
      </w:pPr>
      <w:r w:rsidRPr="00CE45E2">
        <w:rPr>
          <w:rStyle w:val="HideTWBExt"/>
          <w:b w:val="0"/>
        </w:rPr>
        <w:t>&lt;/RepeatBlock-By&gt;</w:t>
      </w:r>
    </w:p>
    <w:p w14:paraId="6054FCE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776662F"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543AEB1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35ADA20" w14:textId="77777777" w:rsidR="00CE45E2" w:rsidRPr="00CE45E2" w:rsidRDefault="00CE45E2" w:rsidP="00CE45E2">
      <w:r w:rsidRPr="00CE45E2">
        <w:rPr>
          <w:rStyle w:val="HideTWBExt"/>
        </w:rPr>
        <w:t>&lt;Article2&gt;</w:t>
      </w:r>
      <w:r w:rsidRPr="00CE45E2">
        <w:t>Artykuł 9 a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0F83528" w14:textId="77777777" w:rsidTr="006476FB">
        <w:trPr>
          <w:trHeight w:hRule="exact" w:val="240"/>
          <w:jc w:val="center"/>
        </w:trPr>
        <w:tc>
          <w:tcPr>
            <w:tcW w:w="9752" w:type="dxa"/>
            <w:gridSpan w:val="2"/>
            <w:tcBorders>
              <w:top w:val="nil"/>
              <w:left w:val="nil"/>
              <w:bottom w:val="nil"/>
              <w:right w:val="nil"/>
            </w:tcBorders>
          </w:tcPr>
          <w:p w14:paraId="7F6F03F8" w14:textId="77777777" w:rsidR="00CE45E2" w:rsidRPr="00CE45E2" w:rsidRDefault="00CE45E2" w:rsidP="006476FB"/>
        </w:tc>
      </w:tr>
      <w:tr w:rsidR="00CE45E2" w:rsidRPr="00CE45E2" w14:paraId="67A98B20" w14:textId="77777777" w:rsidTr="006476FB">
        <w:trPr>
          <w:trHeight w:val="240"/>
          <w:jc w:val="center"/>
        </w:trPr>
        <w:tc>
          <w:tcPr>
            <w:tcW w:w="4876" w:type="dxa"/>
            <w:tcBorders>
              <w:top w:val="nil"/>
              <w:left w:val="nil"/>
              <w:bottom w:val="nil"/>
              <w:right w:val="nil"/>
            </w:tcBorders>
          </w:tcPr>
          <w:p w14:paraId="2D1C274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C1CCB21" w14:textId="77777777" w:rsidR="00CE45E2" w:rsidRPr="00CE45E2" w:rsidRDefault="00CE45E2" w:rsidP="006476FB">
            <w:pPr>
              <w:pStyle w:val="AmColumnHeading"/>
            </w:pPr>
            <w:r w:rsidRPr="00CE45E2">
              <w:t>Poprawka</w:t>
            </w:r>
          </w:p>
        </w:tc>
      </w:tr>
      <w:tr w:rsidR="00CE45E2" w:rsidRPr="00CE45E2" w14:paraId="3ADFD2A1" w14:textId="77777777" w:rsidTr="006476FB">
        <w:trPr>
          <w:jc w:val="center"/>
        </w:trPr>
        <w:tc>
          <w:tcPr>
            <w:tcW w:w="4876" w:type="dxa"/>
            <w:tcBorders>
              <w:top w:val="nil"/>
              <w:left w:val="nil"/>
              <w:bottom w:val="nil"/>
              <w:right w:val="nil"/>
            </w:tcBorders>
          </w:tcPr>
          <w:p w14:paraId="6E4B382B" w14:textId="77777777" w:rsidR="00CE45E2" w:rsidRPr="00CE45E2" w:rsidRDefault="00CE45E2" w:rsidP="006476FB">
            <w:pPr>
              <w:pStyle w:val="Normal6a"/>
            </w:pPr>
            <w:r w:rsidRPr="00CE45E2">
              <w:t>Akapit pierwszy pozostaje bez uszczerbku dla decyzji państwa członkowskiego wymagającej, aby programy obejmujące wiele instytucji finansujących były obsługiwane na podstawie dyrektywy 2009/138/WE.”;</w:t>
            </w:r>
          </w:p>
        </w:tc>
        <w:tc>
          <w:tcPr>
            <w:tcW w:w="4876" w:type="dxa"/>
            <w:tcBorders>
              <w:top w:val="nil"/>
              <w:left w:val="nil"/>
              <w:bottom w:val="nil"/>
              <w:right w:val="nil"/>
            </w:tcBorders>
          </w:tcPr>
          <w:p w14:paraId="56B6B8E3" w14:textId="77777777" w:rsidR="00CE45E2" w:rsidRPr="00CE45E2" w:rsidRDefault="00CE45E2" w:rsidP="006476FB">
            <w:pPr>
              <w:pStyle w:val="Normal6a"/>
            </w:pPr>
            <w:r w:rsidRPr="00CE45E2">
              <w:t xml:space="preserve">Akapit pierwszy pozostaje bez uszczerbku dla decyzji państwa członkowskiego wymagającej, aby programy obejmujące wiele instytucji finansujących były obsługiwane na podstawie dyrektywy 2009/138/WE. </w:t>
            </w:r>
            <w:r w:rsidRPr="00CE45E2">
              <w:rPr>
                <w:b/>
                <w:bCs/>
                <w:i/>
                <w:iCs/>
              </w:rPr>
              <w:t>Ponadto akapit pierwszy pozostaje bez uszczerbku dla roli rokowań zbiorowych, partnerów społecznych oraz prawa socjalnego i prawa pracy w państwie członkowskim.</w:t>
            </w:r>
            <w:r w:rsidRPr="00CE45E2">
              <w:t>”;</w:t>
            </w:r>
          </w:p>
        </w:tc>
      </w:tr>
    </w:tbl>
    <w:p w14:paraId="37A02F2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73CA0CA" w14:textId="77777777" w:rsidR="00CE45E2" w:rsidRPr="00CE45E2" w:rsidRDefault="00CE45E2" w:rsidP="00CE45E2">
      <w:r w:rsidRPr="00CE45E2">
        <w:rPr>
          <w:rStyle w:val="HideTWBExt"/>
        </w:rPr>
        <w:t>&lt;/Amend&gt;</w:t>
      </w:r>
    </w:p>
    <w:p w14:paraId="4A8A42BE" w14:textId="61CE4F9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236</w:t>
      </w:r>
      <w:r w:rsidRPr="00CE45E2">
        <w:rPr>
          <w:rStyle w:val="HideTWBExt"/>
          <w:b w:val="0"/>
        </w:rPr>
        <w:t>&lt;/NumAm&gt;</w:t>
      </w:r>
    </w:p>
    <w:p w14:paraId="352F5BED"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74E651F6" w14:textId="77777777" w:rsidR="00CE45E2" w:rsidRPr="00CE45E2" w:rsidRDefault="00CE45E2" w:rsidP="00CE45E2">
      <w:pPr>
        <w:pStyle w:val="NormalBold"/>
      </w:pPr>
      <w:r w:rsidRPr="00CE45E2">
        <w:rPr>
          <w:rStyle w:val="HideTWBExt"/>
          <w:b w:val="0"/>
        </w:rPr>
        <w:t>&lt;/RepeatBlock-By&gt;</w:t>
      </w:r>
    </w:p>
    <w:p w14:paraId="42E3336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1385CD3"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0A4DD30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6A5C593" w14:textId="77777777" w:rsidR="00CE45E2" w:rsidRPr="00CE45E2" w:rsidRDefault="00CE45E2" w:rsidP="00CE45E2">
      <w:r w:rsidRPr="00CE45E2">
        <w:rPr>
          <w:rStyle w:val="HideTWBExt"/>
        </w:rPr>
        <w:t>&lt;Article2&gt;</w:t>
      </w:r>
      <w:r w:rsidRPr="00CE45E2">
        <w:t>Artykuł 9 a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F9A22D2" w14:textId="77777777" w:rsidTr="006476FB">
        <w:trPr>
          <w:trHeight w:hRule="exact" w:val="240"/>
          <w:jc w:val="center"/>
        </w:trPr>
        <w:tc>
          <w:tcPr>
            <w:tcW w:w="9752" w:type="dxa"/>
            <w:gridSpan w:val="2"/>
            <w:tcBorders>
              <w:top w:val="nil"/>
              <w:left w:val="nil"/>
              <w:bottom w:val="nil"/>
              <w:right w:val="nil"/>
            </w:tcBorders>
          </w:tcPr>
          <w:p w14:paraId="00999948" w14:textId="77777777" w:rsidR="00CE45E2" w:rsidRPr="00CE45E2" w:rsidRDefault="00CE45E2" w:rsidP="006476FB"/>
        </w:tc>
      </w:tr>
      <w:tr w:rsidR="00CE45E2" w:rsidRPr="00CE45E2" w14:paraId="106110D3" w14:textId="77777777" w:rsidTr="006476FB">
        <w:trPr>
          <w:trHeight w:val="240"/>
          <w:jc w:val="center"/>
        </w:trPr>
        <w:tc>
          <w:tcPr>
            <w:tcW w:w="4876" w:type="dxa"/>
            <w:tcBorders>
              <w:top w:val="nil"/>
              <w:left w:val="nil"/>
              <w:bottom w:val="nil"/>
              <w:right w:val="nil"/>
            </w:tcBorders>
          </w:tcPr>
          <w:p w14:paraId="7736869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1D62BF5" w14:textId="77777777" w:rsidR="00CE45E2" w:rsidRPr="00CE45E2" w:rsidRDefault="00CE45E2" w:rsidP="006476FB">
            <w:pPr>
              <w:pStyle w:val="AmColumnHeading"/>
            </w:pPr>
            <w:r w:rsidRPr="00CE45E2">
              <w:t>Poprawka</w:t>
            </w:r>
          </w:p>
        </w:tc>
      </w:tr>
      <w:tr w:rsidR="00CE45E2" w:rsidRPr="00CE45E2" w14:paraId="5284AF52" w14:textId="77777777" w:rsidTr="006476FB">
        <w:trPr>
          <w:jc w:val="center"/>
        </w:trPr>
        <w:tc>
          <w:tcPr>
            <w:tcW w:w="4876" w:type="dxa"/>
            <w:tcBorders>
              <w:top w:val="nil"/>
              <w:left w:val="nil"/>
              <w:bottom w:val="nil"/>
              <w:right w:val="nil"/>
            </w:tcBorders>
          </w:tcPr>
          <w:p w14:paraId="76CF38AE" w14:textId="77777777" w:rsidR="00CE45E2" w:rsidRPr="00CE45E2" w:rsidRDefault="00CE45E2" w:rsidP="006476FB">
            <w:pPr>
              <w:pStyle w:val="Normal6a"/>
            </w:pPr>
            <w:r w:rsidRPr="00CE45E2">
              <w:t>Akapit pierwszy pozostaje bez uszczerbku dla decyzji państwa członkowskiego wymagającej, aby programy obejmujące wiele instytucji finansujących były obsługiwane na podstawie dyrektywy 2009/138/WE.</w:t>
            </w:r>
            <w:r w:rsidRPr="00CE45E2">
              <w:rPr>
                <w:b/>
                <w:bCs/>
                <w:i/>
                <w:iCs/>
              </w:rPr>
              <w:t>”;</w:t>
            </w:r>
          </w:p>
        </w:tc>
        <w:tc>
          <w:tcPr>
            <w:tcW w:w="4876" w:type="dxa"/>
            <w:tcBorders>
              <w:top w:val="nil"/>
              <w:left w:val="nil"/>
              <w:bottom w:val="nil"/>
              <w:right w:val="nil"/>
            </w:tcBorders>
          </w:tcPr>
          <w:p w14:paraId="06BE6DBD" w14:textId="77777777" w:rsidR="00CE45E2" w:rsidRPr="00CE45E2" w:rsidRDefault="00CE45E2" w:rsidP="006476FB">
            <w:pPr>
              <w:pStyle w:val="Normal6a"/>
            </w:pPr>
            <w:r w:rsidRPr="00CE45E2">
              <w:t>Akapit pierwszy pozostaje bez uszczerbku dla decyzji państwa członkowskiego wymagającej, aby programy obejmujące wiele instytucji finansujących były obsługiwane na podstawie dyrektywy 2009/138/</w:t>
            </w:r>
            <w:proofErr w:type="gramStart"/>
            <w:r w:rsidRPr="00CE45E2">
              <w:t>WE</w:t>
            </w:r>
            <w:r w:rsidRPr="00CE45E2">
              <w:rPr>
                <w:b/>
                <w:bCs/>
                <w:i/>
                <w:iCs/>
              </w:rPr>
              <w:t>,</w:t>
            </w:r>
            <w:proofErr w:type="gramEnd"/>
            <w:r w:rsidRPr="00CE45E2">
              <w:rPr>
                <w:b/>
                <w:bCs/>
                <w:i/>
                <w:iCs/>
              </w:rPr>
              <w:t xml:space="preserve"> oraz bez uszczerbku dla rokowań zbiorowych oraz przepisów prawa socjalnego i prawa pracy</w:t>
            </w:r>
            <w:r w:rsidRPr="00CE45E2">
              <w:t>.</w:t>
            </w:r>
          </w:p>
        </w:tc>
      </w:tr>
    </w:tbl>
    <w:p w14:paraId="4746B77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EF8AEBC" w14:textId="77777777" w:rsidR="00CE45E2" w:rsidRPr="00CE45E2" w:rsidRDefault="00CE45E2" w:rsidP="00CE45E2">
      <w:r w:rsidRPr="00CE45E2">
        <w:rPr>
          <w:rStyle w:val="HideTWBExt"/>
        </w:rPr>
        <w:t>&lt;/Amend&gt;</w:t>
      </w:r>
    </w:p>
    <w:p w14:paraId="3F2FA273" w14:textId="633D5762"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237</w:t>
      </w:r>
      <w:r w:rsidRPr="00CE45E2">
        <w:rPr>
          <w:rStyle w:val="HideTWBExt"/>
          <w:b w:val="0"/>
        </w:rPr>
        <w:t>&lt;/NumAm&gt;</w:t>
      </w:r>
    </w:p>
    <w:p w14:paraId="2177D9AA"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0DE617F7" w14:textId="77777777" w:rsidR="00CE45E2" w:rsidRPr="00CE45E2" w:rsidRDefault="00CE45E2" w:rsidP="00CE45E2">
      <w:pPr>
        <w:pStyle w:val="NormalBold"/>
      </w:pPr>
      <w:r w:rsidRPr="00CE45E2">
        <w:rPr>
          <w:rStyle w:val="HideTWBExt"/>
          <w:b w:val="0"/>
        </w:rPr>
        <w:t>&lt;/RepeatBlock-By&gt;</w:t>
      </w:r>
    </w:p>
    <w:p w14:paraId="4F3223F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19A8E46" w14:textId="77777777" w:rsidR="00CE45E2" w:rsidRPr="00CE45E2" w:rsidRDefault="00CE45E2" w:rsidP="00CE45E2">
      <w:pPr>
        <w:pStyle w:val="NormalBold"/>
      </w:pPr>
      <w:r w:rsidRPr="00CE45E2">
        <w:rPr>
          <w:rStyle w:val="HideTWBExt"/>
          <w:b w:val="0"/>
        </w:rPr>
        <w:t>&lt;Article&gt;</w:t>
      </w:r>
      <w:r w:rsidRPr="00CE45E2">
        <w:t>Artykuł 1 – akapit 1 – punkt 11</w:t>
      </w:r>
      <w:r w:rsidRPr="00CE45E2">
        <w:rPr>
          <w:rStyle w:val="HideTWBExt"/>
          <w:b w:val="0"/>
        </w:rPr>
        <w:t>&lt;/Article&gt;</w:t>
      </w:r>
    </w:p>
    <w:p w14:paraId="3151019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BB63EB2" w14:textId="77777777" w:rsidR="00CE45E2" w:rsidRPr="00CE45E2" w:rsidRDefault="00CE45E2" w:rsidP="00CE45E2">
      <w:r w:rsidRPr="00CE45E2">
        <w:rPr>
          <w:rStyle w:val="HideTWBExt"/>
        </w:rPr>
        <w:t>&lt;Article2&gt;</w:t>
      </w:r>
      <w:r w:rsidRPr="00CE45E2">
        <w:t>Artykuł 9 a – akapit 2 b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FC7ACE6" w14:textId="77777777" w:rsidTr="006476FB">
        <w:trPr>
          <w:trHeight w:hRule="exact" w:val="240"/>
          <w:jc w:val="center"/>
        </w:trPr>
        <w:tc>
          <w:tcPr>
            <w:tcW w:w="9752" w:type="dxa"/>
            <w:gridSpan w:val="2"/>
            <w:tcBorders>
              <w:top w:val="nil"/>
              <w:left w:val="nil"/>
              <w:bottom w:val="nil"/>
              <w:right w:val="nil"/>
            </w:tcBorders>
          </w:tcPr>
          <w:p w14:paraId="698FE16B" w14:textId="77777777" w:rsidR="00CE45E2" w:rsidRPr="00CE45E2" w:rsidRDefault="00CE45E2" w:rsidP="006476FB"/>
        </w:tc>
      </w:tr>
      <w:tr w:rsidR="00CE45E2" w:rsidRPr="00CE45E2" w14:paraId="4952ADD7" w14:textId="77777777" w:rsidTr="006476FB">
        <w:trPr>
          <w:trHeight w:val="240"/>
          <w:jc w:val="center"/>
        </w:trPr>
        <w:tc>
          <w:tcPr>
            <w:tcW w:w="4876" w:type="dxa"/>
            <w:tcBorders>
              <w:top w:val="nil"/>
              <w:left w:val="nil"/>
              <w:bottom w:val="nil"/>
              <w:right w:val="nil"/>
            </w:tcBorders>
          </w:tcPr>
          <w:p w14:paraId="3A40C40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1AD1D87" w14:textId="77777777" w:rsidR="00CE45E2" w:rsidRPr="00CE45E2" w:rsidRDefault="00CE45E2" w:rsidP="006476FB">
            <w:pPr>
              <w:pStyle w:val="AmColumnHeading"/>
            </w:pPr>
            <w:r w:rsidRPr="00CE45E2">
              <w:t>Poprawka</w:t>
            </w:r>
          </w:p>
        </w:tc>
      </w:tr>
      <w:tr w:rsidR="00CE45E2" w:rsidRPr="00CE45E2" w14:paraId="47E79C34" w14:textId="77777777" w:rsidTr="006476FB">
        <w:trPr>
          <w:jc w:val="center"/>
        </w:trPr>
        <w:tc>
          <w:tcPr>
            <w:tcW w:w="4876" w:type="dxa"/>
            <w:tcBorders>
              <w:top w:val="nil"/>
              <w:left w:val="nil"/>
              <w:bottom w:val="nil"/>
              <w:right w:val="nil"/>
            </w:tcBorders>
          </w:tcPr>
          <w:p w14:paraId="03E3FD3B" w14:textId="77777777" w:rsidR="00CE45E2" w:rsidRPr="00CE45E2" w:rsidRDefault="00CE45E2" w:rsidP="006476FB">
            <w:pPr>
              <w:pStyle w:val="Normal6a"/>
            </w:pPr>
          </w:p>
        </w:tc>
        <w:tc>
          <w:tcPr>
            <w:tcW w:w="4876" w:type="dxa"/>
            <w:tcBorders>
              <w:top w:val="nil"/>
              <w:left w:val="nil"/>
              <w:bottom w:val="nil"/>
              <w:right w:val="nil"/>
            </w:tcBorders>
          </w:tcPr>
          <w:p w14:paraId="5C767807" w14:textId="77777777" w:rsidR="00CE45E2" w:rsidRPr="00CE45E2" w:rsidRDefault="00CE45E2" w:rsidP="006476FB">
            <w:pPr>
              <w:pStyle w:val="Normal6a"/>
            </w:pPr>
            <w:r w:rsidRPr="00CE45E2">
              <w:rPr>
                <w:b/>
                <w:i/>
              </w:rPr>
              <w:t>Odroczony beneficjent w rozumieniu art. 3 lit. h) dyrektywy 2014/50/UE, którego nieaktywne uprawnienia emerytalne – lub ich wartość – nie przekraczają 600 EUR, lub wyższego progu ustalonego przez państwo członkowskie, w którym prawa te zostały nabyte, zgodnie z art. 5 ust. 3 tej dyrektywy, ma prawo, na wniosek i bezpłatnie ze strony programu dokonującego przeniesienia, do przeniesienia wartości tych uprawnień do wybranej przez siebie IORP w tym samym lub innym państwie członkowskim. IORP przyjmująca akceptuje takie przeniesienie, jeżeli została wybrana. Przeniesienie nie może skutkować utratą nabytych uprawnień.</w:t>
            </w:r>
          </w:p>
        </w:tc>
      </w:tr>
    </w:tbl>
    <w:p w14:paraId="1B6053C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97BC24D"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BD9F436" w14:textId="77777777" w:rsidR="00CE45E2" w:rsidRPr="00CE45E2" w:rsidRDefault="00CE45E2" w:rsidP="00CE45E2">
      <w:pPr>
        <w:pStyle w:val="AmJustText"/>
      </w:pPr>
      <w:r w:rsidRPr="00CE45E2">
        <w:t>Niewielkie nieaktywne uprawnienia emerytalne są rutynowo uszczuplane przez opłaty administracyjne w trakcie życia zawodowego i obciążają rejestry państw członkowskich. Prawo do bezpłatnego przeniesienia, dostosowane do progu 600 EUR, pozwala pracownikom na konsolidację niewielkich środków w wybranej przez nich IORP. Obowiązek przyjęcia przez IORP przyjmującą gwarantuje skuteczność tego prawa. Dostosowuje on emerytury pracownicze do logiki ochrony konsumentów, która ma już zastosowanie w zakresie przenoszenia uprawnień na jednolitym rynku.</w:t>
      </w:r>
    </w:p>
    <w:p w14:paraId="737ABF90" w14:textId="77777777" w:rsidR="00CE45E2" w:rsidRPr="00CE45E2" w:rsidRDefault="00CE45E2" w:rsidP="00CE45E2">
      <w:r w:rsidRPr="00CE45E2">
        <w:rPr>
          <w:rStyle w:val="HideTWBExt"/>
        </w:rPr>
        <w:t>&lt;/Amend&gt;</w:t>
      </w:r>
    </w:p>
    <w:p w14:paraId="55A23930" w14:textId="292645B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238</w:t>
      </w:r>
      <w:r w:rsidRPr="00CE45E2">
        <w:rPr>
          <w:rStyle w:val="HideTWBExt"/>
          <w:b w:val="0"/>
        </w:rPr>
        <w:t>&lt;/NumAm&gt;</w:t>
      </w:r>
    </w:p>
    <w:p w14:paraId="4B78CC44" w14:textId="77777777" w:rsidR="00CE45E2" w:rsidRPr="00CE45E2" w:rsidRDefault="00CE45E2" w:rsidP="00CE45E2">
      <w:pPr>
        <w:pStyle w:val="NormalBold"/>
      </w:pPr>
      <w:r w:rsidRPr="00CE45E2">
        <w:rPr>
          <w:rStyle w:val="HideTWBExt"/>
          <w:b w:val="0"/>
        </w:rPr>
        <w:t>&lt;RepeatBlock-By&gt;&lt;Members&gt;</w:t>
      </w:r>
      <w:proofErr w:type="spellStart"/>
      <w:r w:rsidRPr="00CE45E2">
        <w:t>Danuše</w:t>
      </w:r>
      <w:proofErr w:type="spellEnd"/>
      <w:r w:rsidRPr="00CE45E2">
        <w:t xml:space="preserve"> </w:t>
      </w:r>
      <w:proofErr w:type="spellStart"/>
      <w:r w:rsidRPr="00CE45E2">
        <w:t>Nerudová</w:t>
      </w:r>
      <w:proofErr w:type="spellEnd"/>
      <w:r w:rsidRPr="00CE45E2">
        <w:rPr>
          <w:rStyle w:val="HideTWBExt"/>
          <w:b w:val="0"/>
        </w:rPr>
        <w:t>&lt;/Members&gt;</w:t>
      </w:r>
    </w:p>
    <w:p w14:paraId="744120C5" w14:textId="77777777" w:rsidR="00CE45E2" w:rsidRPr="00CE45E2" w:rsidRDefault="00CE45E2" w:rsidP="00CE45E2">
      <w:pPr>
        <w:pStyle w:val="NormalBold"/>
      </w:pPr>
      <w:r w:rsidRPr="00CE45E2">
        <w:rPr>
          <w:rStyle w:val="HideTWBExt"/>
          <w:b w:val="0"/>
        </w:rPr>
        <w:t>&lt;/RepeatBlock-By&gt;</w:t>
      </w:r>
    </w:p>
    <w:p w14:paraId="01931E2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3F79582" w14:textId="77777777" w:rsidR="00CE45E2" w:rsidRPr="00CE45E2" w:rsidRDefault="00CE45E2" w:rsidP="00CE45E2">
      <w:pPr>
        <w:pStyle w:val="NormalBold"/>
      </w:pPr>
      <w:r w:rsidRPr="00CE45E2">
        <w:rPr>
          <w:rStyle w:val="HideTWBExt"/>
          <w:b w:val="0"/>
        </w:rPr>
        <w:t>&lt;Article&gt;</w:t>
      </w:r>
      <w:r w:rsidRPr="00CE45E2">
        <w:t>Artykuł 1 – akapit 1 – punkt 11 a (nowy)</w:t>
      </w:r>
      <w:r w:rsidRPr="00CE45E2">
        <w:rPr>
          <w:rStyle w:val="HideTWBExt"/>
          <w:b w:val="0"/>
        </w:rPr>
        <w:t>&lt;/Article&gt;</w:t>
      </w:r>
    </w:p>
    <w:p w14:paraId="4C2F549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ECC6127" w14:textId="77777777" w:rsidR="00CE45E2" w:rsidRPr="00CE45E2" w:rsidRDefault="00CE45E2" w:rsidP="00CE45E2">
      <w:r w:rsidRPr="00CE45E2">
        <w:rPr>
          <w:rStyle w:val="HideTWBExt"/>
        </w:rPr>
        <w:t>&lt;Article2&gt;</w:t>
      </w:r>
      <w:r w:rsidRPr="00CE45E2">
        <w:t>Artykuł 9 a – akapit 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96FC4DA" w14:textId="77777777" w:rsidTr="006476FB">
        <w:trPr>
          <w:trHeight w:hRule="exact" w:val="240"/>
          <w:jc w:val="center"/>
        </w:trPr>
        <w:tc>
          <w:tcPr>
            <w:tcW w:w="9752" w:type="dxa"/>
            <w:gridSpan w:val="2"/>
            <w:tcBorders>
              <w:top w:val="nil"/>
              <w:left w:val="nil"/>
              <w:bottom w:val="nil"/>
              <w:right w:val="nil"/>
            </w:tcBorders>
          </w:tcPr>
          <w:p w14:paraId="11B7F647" w14:textId="77777777" w:rsidR="00CE45E2" w:rsidRPr="00CE45E2" w:rsidRDefault="00CE45E2" w:rsidP="006476FB"/>
        </w:tc>
      </w:tr>
      <w:tr w:rsidR="00CE45E2" w:rsidRPr="00CE45E2" w14:paraId="2CD9D820" w14:textId="77777777" w:rsidTr="006476FB">
        <w:trPr>
          <w:trHeight w:val="240"/>
          <w:jc w:val="center"/>
        </w:trPr>
        <w:tc>
          <w:tcPr>
            <w:tcW w:w="4876" w:type="dxa"/>
            <w:tcBorders>
              <w:top w:val="nil"/>
              <w:left w:val="nil"/>
              <w:bottom w:val="nil"/>
              <w:right w:val="nil"/>
            </w:tcBorders>
          </w:tcPr>
          <w:p w14:paraId="2FDFCED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80EDA4F" w14:textId="77777777" w:rsidR="00CE45E2" w:rsidRPr="00CE45E2" w:rsidRDefault="00CE45E2" w:rsidP="006476FB">
            <w:pPr>
              <w:pStyle w:val="AmColumnHeading"/>
            </w:pPr>
            <w:r w:rsidRPr="00CE45E2">
              <w:t>Poprawka</w:t>
            </w:r>
          </w:p>
        </w:tc>
      </w:tr>
      <w:tr w:rsidR="00CE45E2" w:rsidRPr="00CE45E2" w14:paraId="54B8EC1C" w14:textId="77777777" w:rsidTr="006476FB">
        <w:trPr>
          <w:jc w:val="center"/>
        </w:trPr>
        <w:tc>
          <w:tcPr>
            <w:tcW w:w="4876" w:type="dxa"/>
            <w:tcBorders>
              <w:top w:val="nil"/>
              <w:left w:val="nil"/>
              <w:bottom w:val="nil"/>
              <w:right w:val="nil"/>
            </w:tcBorders>
          </w:tcPr>
          <w:p w14:paraId="3C450BC8" w14:textId="77777777" w:rsidR="00CE45E2" w:rsidRPr="00CE45E2" w:rsidRDefault="00CE45E2" w:rsidP="006476FB">
            <w:pPr>
              <w:pStyle w:val="Normal6a"/>
            </w:pPr>
          </w:p>
        </w:tc>
        <w:tc>
          <w:tcPr>
            <w:tcW w:w="4876" w:type="dxa"/>
            <w:tcBorders>
              <w:top w:val="nil"/>
              <w:left w:val="nil"/>
              <w:bottom w:val="nil"/>
              <w:right w:val="nil"/>
            </w:tcBorders>
          </w:tcPr>
          <w:p w14:paraId="3FE1CE6C" w14:textId="77777777" w:rsidR="00CE45E2" w:rsidRPr="00CE45E2" w:rsidRDefault="00CE45E2" w:rsidP="006476FB">
            <w:pPr>
              <w:pStyle w:val="Normal6a"/>
            </w:pPr>
            <w:r w:rsidRPr="00CE45E2">
              <w:rPr>
                <w:b/>
                <w:i/>
              </w:rPr>
              <w:t>(11a)</w:t>
            </w:r>
            <w:r w:rsidRPr="00CE45E2">
              <w:tab/>
            </w:r>
            <w:r w:rsidRPr="00CE45E2">
              <w:rPr>
                <w:b/>
                <w:i/>
              </w:rPr>
              <w:t>Państwa członkowskie dbają o to, by co najmniej jedna IORP prowadząca działalność na ich terytorium akceptowała finansowanie ze strony dowolnych podmiotów i osób samozatrudnionych, które nie podlegają obowiązkowemu uczestnictwu w innym pracowniczym programie emerytalnym na mocy prawa krajowego. Obowiązek ten może być spełniony wspólnie przez co najmniej dwa państwa członkowskie, w tym poprzez IORP, która uzyskała zezwolenie w innym państwie członkowskim zgodnie z niniejszą dyrektywą.</w:t>
            </w:r>
          </w:p>
        </w:tc>
      </w:tr>
    </w:tbl>
    <w:p w14:paraId="5546D71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9B5B2C5" w14:textId="77777777" w:rsidR="00CE45E2" w:rsidRPr="00CE45E2" w:rsidRDefault="00CE45E2" w:rsidP="00CE45E2">
      <w:r w:rsidRPr="00CE45E2">
        <w:rPr>
          <w:rStyle w:val="HideTWBExt"/>
        </w:rPr>
        <w:t>&lt;/Amend&gt;</w:t>
      </w:r>
    </w:p>
    <w:p w14:paraId="34BCEDD6" w14:textId="06E3915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239</w:t>
      </w:r>
      <w:r w:rsidRPr="00CE45E2">
        <w:rPr>
          <w:rStyle w:val="HideTWBExt"/>
          <w:b w:val="0"/>
        </w:rPr>
        <w:t>&lt;/NumAm&gt;</w:t>
      </w:r>
    </w:p>
    <w:p w14:paraId="4EFCF96B"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René</w:t>
      </w:r>
      <w:proofErr w:type="spellEnd"/>
      <w:r w:rsidRPr="00CE45E2">
        <w:t xml:space="preserve"> </w:t>
      </w:r>
      <w:proofErr w:type="spellStart"/>
      <w:r w:rsidRPr="00CE45E2">
        <w:t>Repasi</w:t>
      </w:r>
      <w:proofErr w:type="spellEnd"/>
      <w:r w:rsidRPr="00CE45E2">
        <w:rPr>
          <w:rStyle w:val="HideTWBExt"/>
          <w:b w:val="0"/>
        </w:rPr>
        <w:t>&lt;/Members&gt;</w:t>
      </w:r>
    </w:p>
    <w:p w14:paraId="59F94D12" w14:textId="77777777" w:rsidR="00CE45E2" w:rsidRPr="00CE45E2" w:rsidRDefault="00CE45E2" w:rsidP="00CE45E2">
      <w:pPr>
        <w:pStyle w:val="NormalBold"/>
      </w:pPr>
      <w:r w:rsidRPr="00CE45E2">
        <w:rPr>
          <w:rStyle w:val="HideTWBExt"/>
          <w:b w:val="0"/>
        </w:rPr>
        <w:t>&lt;/RepeatBlock-By&gt;</w:t>
      </w:r>
    </w:p>
    <w:p w14:paraId="4C0E852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4170C4C"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633FA55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BB7ADE4"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07BE316" w14:textId="77777777" w:rsidTr="006476FB">
        <w:trPr>
          <w:trHeight w:hRule="exact" w:val="240"/>
          <w:jc w:val="center"/>
        </w:trPr>
        <w:tc>
          <w:tcPr>
            <w:tcW w:w="9752" w:type="dxa"/>
            <w:gridSpan w:val="2"/>
            <w:tcBorders>
              <w:top w:val="nil"/>
              <w:left w:val="nil"/>
              <w:bottom w:val="nil"/>
              <w:right w:val="nil"/>
            </w:tcBorders>
          </w:tcPr>
          <w:p w14:paraId="7096B3C8" w14:textId="77777777" w:rsidR="00CE45E2" w:rsidRPr="00CE45E2" w:rsidRDefault="00CE45E2" w:rsidP="006476FB"/>
        </w:tc>
      </w:tr>
      <w:tr w:rsidR="00CE45E2" w:rsidRPr="00CE45E2" w14:paraId="469F36ED" w14:textId="77777777" w:rsidTr="006476FB">
        <w:trPr>
          <w:trHeight w:val="240"/>
          <w:jc w:val="center"/>
        </w:trPr>
        <w:tc>
          <w:tcPr>
            <w:tcW w:w="4876" w:type="dxa"/>
            <w:tcBorders>
              <w:top w:val="nil"/>
              <w:left w:val="nil"/>
              <w:bottom w:val="nil"/>
              <w:right w:val="nil"/>
            </w:tcBorders>
          </w:tcPr>
          <w:p w14:paraId="0BC39E5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A9DE676" w14:textId="77777777" w:rsidR="00CE45E2" w:rsidRPr="00CE45E2" w:rsidRDefault="00CE45E2" w:rsidP="006476FB">
            <w:pPr>
              <w:pStyle w:val="AmColumnHeading"/>
            </w:pPr>
            <w:r w:rsidRPr="00CE45E2">
              <w:t>Poprawka</w:t>
            </w:r>
          </w:p>
        </w:tc>
      </w:tr>
      <w:tr w:rsidR="00CE45E2" w:rsidRPr="00CE45E2" w14:paraId="3E63CC53" w14:textId="77777777" w:rsidTr="006476FB">
        <w:trPr>
          <w:jc w:val="center"/>
        </w:trPr>
        <w:tc>
          <w:tcPr>
            <w:tcW w:w="4876" w:type="dxa"/>
            <w:tcBorders>
              <w:top w:val="nil"/>
              <w:left w:val="nil"/>
              <w:bottom w:val="nil"/>
              <w:right w:val="nil"/>
            </w:tcBorders>
          </w:tcPr>
          <w:p w14:paraId="650AF7D0" w14:textId="77777777" w:rsidR="00CE45E2" w:rsidRPr="00CE45E2" w:rsidRDefault="00CE45E2" w:rsidP="006476FB">
            <w:pPr>
              <w:pStyle w:val="Normal6a"/>
            </w:pPr>
            <w:r w:rsidRPr="00CE45E2">
              <w:rPr>
                <w:b/>
                <w:bCs/>
                <w:i/>
                <w:iCs/>
              </w:rPr>
              <w:t>b)</w:t>
            </w:r>
            <w:r w:rsidRPr="00CE45E2">
              <w:tab/>
            </w:r>
            <w:r w:rsidRPr="00CE45E2">
              <w:rPr>
                <w:b/>
                <w:i/>
              </w:rPr>
              <w:t>dodaje się ust. 3 w brzmieniu:</w:t>
            </w:r>
          </w:p>
        </w:tc>
        <w:tc>
          <w:tcPr>
            <w:tcW w:w="4876" w:type="dxa"/>
            <w:tcBorders>
              <w:top w:val="nil"/>
              <w:left w:val="nil"/>
              <w:bottom w:val="nil"/>
              <w:right w:val="nil"/>
            </w:tcBorders>
          </w:tcPr>
          <w:p w14:paraId="70D1DEF8" w14:textId="77777777" w:rsidR="00CE45E2" w:rsidRPr="00CE45E2" w:rsidRDefault="00CE45E2" w:rsidP="006476FB">
            <w:pPr>
              <w:pStyle w:val="Normal6a"/>
            </w:pPr>
            <w:r w:rsidRPr="00CE45E2">
              <w:rPr>
                <w:b/>
                <w:i/>
              </w:rPr>
              <w:t>skreśla się</w:t>
            </w:r>
          </w:p>
        </w:tc>
      </w:tr>
      <w:tr w:rsidR="00CE45E2" w:rsidRPr="00CE45E2" w14:paraId="753FE61E" w14:textId="77777777" w:rsidTr="006476FB">
        <w:trPr>
          <w:jc w:val="center"/>
        </w:trPr>
        <w:tc>
          <w:tcPr>
            <w:tcW w:w="4876" w:type="dxa"/>
            <w:tcBorders>
              <w:top w:val="nil"/>
              <w:left w:val="nil"/>
              <w:bottom w:val="nil"/>
              <w:right w:val="nil"/>
            </w:tcBorders>
          </w:tcPr>
          <w:p w14:paraId="15A26C4A" w14:textId="77777777" w:rsidR="00CE45E2" w:rsidRPr="00CE45E2" w:rsidRDefault="00CE45E2" w:rsidP="006476FB">
            <w:pPr>
              <w:pStyle w:val="Normal6a"/>
            </w:pPr>
            <w:r w:rsidRPr="00CE45E2">
              <w:rPr>
                <w:b/>
                <w:i/>
              </w:rPr>
              <w:t>„3. 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13210816" w14:textId="77777777" w:rsidR="00CE45E2" w:rsidRPr="00CE45E2" w:rsidRDefault="00CE45E2" w:rsidP="006476FB">
            <w:pPr>
              <w:pStyle w:val="Normal6a"/>
            </w:pPr>
          </w:p>
        </w:tc>
      </w:tr>
    </w:tbl>
    <w:p w14:paraId="2F6BFA9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C79700F"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9CCDD4B" w14:textId="77777777" w:rsidR="00CE45E2" w:rsidRPr="00CE45E2" w:rsidRDefault="00CE45E2" w:rsidP="00CE45E2">
      <w:pPr>
        <w:pStyle w:val="AmJustText"/>
      </w:pPr>
      <w:r w:rsidRPr="00CE45E2">
        <w:t>Uprawnienia przyznane EIOPA muszą być ograniczone. Ponieważ niniejsza dyrektywa opiera się na minimalnej harmonizacji, wszelkie przepisy, które mogłyby stanowić wymogi dotyczące kapitału, finansowania lub funduszy własnych, powinny być jasno określone na poziomie 1, przy pełnej demokratycznej kontroli ze strony prawodawcy unijnego, i nie powinny być wprowadzane za pośrednictwem wytycznych poziomu 3.</w:t>
      </w:r>
    </w:p>
    <w:p w14:paraId="03526B07" w14:textId="77777777" w:rsidR="00CE45E2" w:rsidRPr="00CE45E2" w:rsidRDefault="00CE45E2" w:rsidP="00CE45E2">
      <w:r w:rsidRPr="00CE45E2">
        <w:rPr>
          <w:rStyle w:val="HideTWBExt"/>
        </w:rPr>
        <w:t>&lt;/Amend&gt;</w:t>
      </w:r>
    </w:p>
    <w:p w14:paraId="6D3CA63B" w14:textId="539AFEC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240</w:t>
      </w:r>
      <w:r w:rsidRPr="00CE45E2">
        <w:rPr>
          <w:rStyle w:val="HideTWBExt"/>
          <w:b w:val="0"/>
        </w:rPr>
        <w:t>&lt;/NumAm&gt;</w:t>
      </w:r>
    </w:p>
    <w:p w14:paraId="4AC218D3"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133F2601" w14:textId="77777777" w:rsidR="00CE45E2" w:rsidRPr="00CE45E2" w:rsidRDefault="00CE45E2" w:rsidP="00CE45E2">
      <w:pPr>
        <w:pStyle w:val="NormalBold"/>
      </w:pPr>
      <w:r w:rsidRPr="00CE45E2">
        <w:rPr>
          <w:rStyle w:val="HideTWBExt"/>
          <w:b w:val="0"/>
        </w:rPr>
        <w:t>&lt;/RepeatBlock-By&gt;</w:t>
      </w:r>
    </w:p>
    <w:p w14:paraId="78A1B58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EBEBD1C"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2669C1C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23AAFDA"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014C906" w14:textId="77777777" w:rsidTr="006476FB">
        <w:trPr>
          <w:trHeight w:hRule="exact" w:val="240"/>
          <w:jc w:val="center"/>
        </w:trPr>
        <w:tc>
          <w:tcPr>
            <w:tcW w:w="9752" w:type="dxa"/>
            <w:gridSpan w:val="2"/>
            <w:tcBorders>
              <w:top w:val="nil"/>
              <w:left w:val="nil"/>
              <w:bottom w:val="nil"/>
              <w:right w:val="nil"/>
            </w:tcBorders>
          </w:tcPr>
          <w:p w14:paraId="60791483" w14:textId="77777777" w:rsidR="00CE45E2" w:rsidRPr="00CE45E2" w:rsidRDefault="00CE45E2" w:rsidP="006476FB"/>
        </w:tc>
      </w:tr>
      <w:tr w:rsidR="00CE45E2" w:rsidRPr="00CE45E2" w14:paraId="41F502B4" w14:textId="77777777" w:rsidTr="006476FB">
        <w:trPr>
          <w:trHeight w:val="240"/>
          <w:jc w:val="center"/>
        </w:trPr>
        <w:tc>
          <w:tcPr>
            <w:tcW w:w="4876" w:type="dxa"/>
            <w:tcBorders>
              <w:top w:val="nil"/>
              <w:left w:val="nil"/>
              <w:bottom w:val="nil"/>
              <w:right w:val="nil"/>
            </w:tcBorders>
          </w:tcPr>
          <w:p w14:paraId="5870A01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3BA023E" w14:textId="77777777" w:rsidR="00CE45E2" w:rsidRPr="00CE45E2" w:rsidRDefault="00CE45E2" w:rsidP="006476FB">
            <w:pPr>
              <w:pStyle w:val="AmColumnHeading"/>
            </w:pPr>
            <w:r w:rsidRPr="00CE45E2">
              <w:t>Poprawka</w:t>
            </w:r>
          </w:p>
        </w:tc>
      </w:tr>
      <w:tr w:rsidR="00CE45E2" w:rsidRPr="00CE45E2" w14:paraId="4FE92DE8" w14:textId="77777777" w:rsidTr="006476FB">
        <w:trPr>
          <w:jc w:val="center"/>
        </w:trPr>
        <w:tc>
          <w:tcPr>
            <w:tcW w:w="4876" w:type="dxa"/>
            <w:tcBorders>
              <w:top w:val="nil"/>
              <w:left w:val="nil"/>
              <w:bottom w:val="nil"/>
              <w:right w:val="nil"/>
            </w:tcBorders>
          </w:tcPr>
          <w:p w14:paraId="6F7588BB" w14:textId="77777777" w:rsidR="00CE45E2" w:rsidRPr="00CE45E2" w:rsidRDefault="00CE45E2" w:rsidP="006476FB">
            <w:pPr>
              <w:pStyle w:val="Normal6a"/>
            </w:pPr>
            <w:r w:rsidRPr="00CE45E2">
              <w:rPr>
                <w:b/>
                <w:bCs/>
                <w:i/>
                <w:iCs/>
              </w:rPr>
              <w:t>b)</w:t>
            </w:r>
            <w:r w:rsidRPr="00CE45E2">
              <w:tab/>
            </w:r>
            <w:r w:rsidRPr="00CE45E2">
              <w:rPr>
                <w:b/>
                <w:i/>
              </w:rPr>
              <w:t>dodaje się ust. 3 w brzmieniu:</w:t>
            </w:r>
          </w:p>
        </w:tc>
        <w:tc>
          <w:tcPr>
            <w:tcW w:w="4876" w:type="dxa"/>
            <w:tcBorders>
              <w:top w:val="nil"/>
              <w:left w:val="nil"/>
              <w:bottom w:val="nil"/>
              <w:right w:val="nil"/>
            </w:tcBorders>
          </w:tcPr>
          <w:p w14:paraId="0B0B69DE" w14:textId="77777777" w:rsidR="00CE45E2" w:rsidRPr="00CE45E2" w:rsidRDefault="00CE45E2" w:rsidP="006476FB">
            <w:pPr>
              <w:pStyle w:val="Normal6a"/>
            </w:pPr>
            <w:r w:rsidRPr="00CE45E2">
              <w:rPr>
                <w:b/>
                <w:i/>
              </w:rPr>
              <w:t>skreśla się</w:t>
            </w:r>
          </w:p>
        </w:tc>
      </w:tr>
      <w:tr w:rsidR="00CE45E2" w:rsidRPr="00CE45E2" w14:paraId="68A1FAA5" w14:textId="77777777" w:rsidTr="006476FB">
        <w:trPr>
          <w:jc w:val="center"/>
        </w:trPr>
        <w:tc>
          <w:tcPr>
            <w:tcW w:w="4876" w:type="dxa"/>
            <w:tcBorders>
              <w:top w:val="nil"/>
              <w:left w:val="nil"/>
              <w:bottom w:val="nil"/>
              <w:right w:val="nil"/>
            </w:tcBorders>
          </w:tcPr>
          <w:p w14:paraId="3F930954" w14:textId="77777777" w:rsidR="00CE45E2" w:rsidRPr="00CE45E2" w:rsidRDefault="00CE45E2" w:rsidP="006476FB">
            <w:pPr>
              <w:pStyle w:val="Normal6a"/>
            </w:pPr>
            <w:r w:rsidRPr="00CE45E2">
              <w:rPr>
                <w:b/>
                <w:i/>
              </w:rPr>
              <w:t>„3. 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06D9B283" w14:textId="77777777" w:rsidR="00CE45E2" w:rsidRPr="00CE45E2" w:rsidRDefault="00CE45E2" w:rsidP="006476FB">
            <w:pPr>
              <w:pStyle w:val="Normal6a"/>
            </w:pPr>
          </w:p>
        </w:tc>
      </w:tr>
    </w:tbl>
    <w:p w14:paraId="2919687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EC9F6AC"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50902F8" w14:textId="77777777" w:rsidR="00CE45E2" w:rsidRPr="00CE45E2" w:rsidRDefault="00CE45E2" w:rsidP="00CE45E2">
      <w:pPr>
        <w:pStyle w:val="AmJustText"/>
      </w:pPr>
      <w:r w:rsidRPr="00CE45E2">
        <w:t xml:space="preserve">Uprawnienia te są zdecydowanie zbyt szerokie. Przyznanie tych uprawnień w odniesieniu do całego systemu nadzoru ostrożnościowego i ładu korporacyjnego w ramach dyrektywy przewidującej minimalną harmonizację jest nieuzasadnione z konstytucyjnego punktu widzenia: umożliwiłoby to EIOPA osiągnięcie za pomocą wytycznych tego, czego </w:t>
      </w:r>
      <w:proofErr w:type="spellStart"/>
      <w:r w:rsidRPr="00CE45E2">
        <w:t>współprawodawcy</w:t>
      </w:r>
      <w:proofErr w:type="spellEnd"/>
      <w:r w:rsidRPr="00CE45E2">
        <w:t xml:space="preserve"> celowo nie uwzględnili w tekście dyrektywy. Z tego względu przepis należy skreślić.</w:t>
      </w:r>
    </w:p>
    <w:p w14:paraId="35C3BFCF" w14:textId="77777777" w:rsidR="00CE45E2" w:rsidRPr="00CE45E2" w:rsidRDefault="00CE45E2" w:rsidP="00CE45E2">
      <w:r w:rsidRPr="00CE45E2">
        <w:rPr>
          <w:rStyle w:val="HideTWBExt"/>
        </w:rPr>
        <w:t>&lt;/Amend&gt;</w:t>
      </w:r>
    </w:p>
    <w:p w14:paraId="06F13B76" w14:textId="513264C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241</w:t>
      </w:r>
      <w:r w:rsidRPr="00CE45E2">
        <w:rPr>
          <w:rStyle w:val="HideTWBExt"/>
          <w:b w:val="0"/>
        </w:rPr>
        <w:t>&lt;/NumAm&gt;</w:t>
      </w:r>
    </w:p>
    <w:p w14:paraId="6F82D323"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08EAEB8A"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375AD07F" w14:textId="77777777" w:rsidR="00CE45E2" w:rsidRPr="00CE45E2" w:rsidRDefault="00CE45E2" w:rsidP="00CE45E2">
      <w:pPr>
        <w:pStyle w:val="NormalBold"/>
      </w:pPr>
      <w:r w:rsidRPr="00CE45E2">
        <w:rPr>
          <w:rStyle w:val="HideTWBExt"/>
          <w:b w:val="0"/>
        </w:rPr>
        <w:t>&lt;/RepeatBlock-By&gt;</w:t>
      </w:r>
    </w:p>
    <w:p w14:paraId="31FD56E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EFCA42D"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1D3349A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39CAC49"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E69B83A" w14:textId="77777777" w:rsidTr="006476FB">
        <w:trPr>
          <w:trHeight w:hRule="exact" w:val="240"/>
          <w:jc w:val="center"/>
        </w:trPr>
        <w:tc>
          <w:tcPr>
            <w:tcW w:w="9752" w:type="dxa"/>
            <w:gridSpan w:val="2"/>
            <w:tcBorders>
              <w:top w:val="nil"/>
              <w:left w:val="nil"/>
              <w:bottom w:val="nil"/>
              <w:right w:val="nil"/>
            </w:tcBorders>
          </w:tcPr>
          <w:p w14:paraId="3C8A3D98" w14:textId="77777777" w:rsidR="00CE45E2" w:rsidRPr="00CE45E2" w:rsidRDefault="00CE45E2" w:rsidP="006476FB"/>
        </w:tc>
      </w:tr>
      <w:tr w:rsidR="00CE45E2" w:rsidRPr="00CE45E2" w14:paraId="418455A3" w14:textId="77777777" w:rsidTr="006476FB">
        <w:trPr>
          <w:trHeight w:val="240"/>
          <w:jc w:val="center"/>
        </w:trPr>
        <w:tc>
          <w:tcPr>
            <w:tcW w:w="4876" w:type="dxa"/>
            <w:tcBorders>
              <w:top w:val="nil"/>
              <w:left w:val="nil"/>
              <w:bottom w:val="nil"/>
              <w:right w:val="nil"/>
            </w:tcBorders>
          </w:tcPr>
          <w:p w14:paraId="58CD51E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7CBD3AC" w14:textId="77777777" w:rsidR="00CE45E2" w:rsidRPr="00CE45E2" w:rsidRDefault="00CE45E2" w:rsidP="006476FB">
            <w:pPr>
              <w:pStyle w:val="AmColumnHeading"/>
            </w:pPr>
            <w:r w:rsidRPr="00CE45E2">
              <w:t>Poprawka</w:t>
            </w:r>
          </w:p>
        </w:tc>
      </w:tr>
      <w:tr w:rsidR="00CE45E2" w:rsidRPr="00CE45E2" w14:paraId="18D44EF4" w14:textId="77777777" w:rsidTr="006476FB">
        <w:trPr>
          <w:jc w:val="center"/>
        </w:trPr>
        <w:tc>
          <w:tcPr>
            <w:tcW w:w="4876" w:type="dxa"/>
            <w:tcBorders>
              <w:top w:val="nil"/>
              <w:left w:val="nil"/>
              <w:bottom w:val="nil"/>
              <w:right w:val="nil"/>
            </w:tcBorders>
          </w:tcPr>
          <w:p w14:paraId="0CD61420" w14:textId="77777777" w:rsidR="00CE45E2" w:rsidRPr="00CE45E2" w:rsidRDefault="00CE45E2" w:rsidP="006476FB">
            <w:pPr>
              <w:pStyle w:val="Normal6a"/>
            </w:pPr>
            <w:r w:rsidRPr="00CE45E2">
              <w:rPr>
                <w:b/>
                <w:bCs/>
                <w:i/>
                <w:iCs/>
              </w:rPr>
              <w:t>b)</w:t>
            </w:r>
            <w:r w:rsidRPr="00CE45E2">
              <w:tab/>
            </w:r>
            <w:r w:rsidRPr="00CE45E2">
              <w:rPr>
                <w:b/>
                <w:i/>
              </w:rPr>
              <w:t>dodaje się ust. 3 w brzmieniu:</w:t>
            </w:r>
          </w:p>
        </w:tc>
        <w:tc>
          <w:tcPr>
            <w:tcW w:w="4876" w:type="dxa"/>
            <w:tcBorders>
              <w:top w:val="nil"/>
              <w:left w:val="nil"/>
              <w:bottom w:val="nil"/>
              <w:right w:val="nil"/>
            </w:tcBorders>
          </w:tcPr>
          <w:p w14:paraId="0BCED529" w14:textId="77777777" w:rsidR="00CE45E2" w:rsidRPr="00CE45E2" w:rsidRDefault="00CE45E2" w:rsidP="006476FB">
            <w:pPr>
              <w:pStyle w:val="Normal6a"/>
            </w:pPr>
            <w:r w:rsidRPr="00CE45E2">
              <w:rPr>
                <w:b/>
                <w:i/>
              </w:rPr>
              <w:t>skreśla się</w:t>
            </w:r>
          </w:p>
        </w:tc>
      </w:tr>
      <w:tr w:rsidR="00CE45E2" w:rsidRPr="00CE45E2" w14:paraId="124BCCDB" w14:textId="77777777" w:rsidTr="006476FB">
        <w:trPr>
          <w:jc w:val="center"/>
        </w:trPr>
        <w:tc>
          <w:tcPr>
            <w:tcW w:w="4876" w:type="dxa"/>
            <w:tcBorders>
              <w:top w:val="nil"/>
              <w:left w:val="nil"/>
              <w:bottom w:val="nil"/>
              <w:right w:val="nil"/>
            </w:tcBorders>
          </w:tcPr>
          <w:p w14:paraId="23E59DF1" w14:textId="77777777" w:rsidR="00CE45E2" w:rsidRPr="00CE45E2" w:rsidRDefault="00CE45E2" w:rsidP="006476FB">
            <w:pPr>
              <w:pStyle w:val="Normal6a"/>
            </w:pPr>
            <w:r w:rsidRPr="00CE45E2">
              <w:rPr>
                <w:b/>
                <w:i/>
              </w:rPr>
              <w:t>„3. 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3AE8DBFA" w14:textId="77777777" w:rsidR="00CE45E2" w:rsidRPr="00CE45E2" w:rsidRDefault="00CE45E2" w:rsidP="006476FB">
            <w:pPr>
              <w:pStyle w:val="Normal6a"/>
            </w:pPr>
          </w:p>
        </w:tc>
      </w:tr>
    </w:tbl>
    <w:p w14:paraId="00FEA88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4941B02" w14:textId="77777777" w:rsidR="00CE45E2" w:rsidRPr="00CE45E2" w:rsidRDefault="00CE45E2" w:rsidP="00CE45E2">
      <w:r w:rsidRPr="00CE45E2">
        <w:rPr>
          <w:rStyle w:val="HideTWBExt"/>
        </w:rPr>
        <w:t>&lt;/Amend&gt;</w:t>
      </w:r>
    </w:p>
    <w:p w14:paraId="62E22602" w14:textId="3F1CDF0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242</w:t>
      </w:r>
      <w:r w:rsidRPr="00CE45E2">
        <w:rPr>
          <w:rStyle w:val="HideTWBExt"/>
          <w:b w:val="0"/>
        </w:rPr>
        <w:t>&lt;/NumAm&gt;</w:t>
      </w:r>
    </w:p>
    <w:p w14:paraId="18D9123D"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5A9D7D22" w14:textId="77777777" w:rsidR="00CE45E2" w:rsidRPr="00CE45E2" w:rsidRDefault="00CE45E2" w:rsidP="00CE45E2">
      <w:pPr>
        <w:pStyle w:val="NormalBold"/>
      </w:pPr>
      <w:r w:rsidRPr="00CE45E2">
        <w:rPr>
          <w:rStyle w:val="HideTWBExt"/>
          <w:b w:val="0"/>
        </w:rPr>
        <w:t>&lt;/RepeatBlock-By&gt;</w:t>
      </w:r>
    </w:p>
    <w:p w14:paraId="66D66C6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B0A5ABA"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6747763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B8E5A32"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4F479D9" w14:textId="77777777" w:rsidTr="006476FB">
        <w:trPr>
          <w:trHeight w:hRule="exact" w:val="240"/>
          <w:jc w:val="center"/>
        </w:trPr>
        <w:tc>
          <w:tcPr>
            <w:tcW w:w="9752" w:type="dxa"/>
            <w:gridSpan w:val="2"/>
            <w:tcBorders>
              <w:top w:val="nil"/>
              <w:left w:val="nil"/>
              <w:bottom w:val="nil"/>
              <w:right w:val="nil"/>
            </w:tcBorders>
          </w:tcPr>
          <w:p w14:paraId="5F26F792" w14:textId="77777777" w:rsidR="00CE45E2" w:rsidRPr="00CE45E2" w:rsidRDefault="00CE45E2" w:rsidP="006476FB"/>
        </w:tc>
      </w:tr>
      <w:tr w:rsidR="00CE45E2" w:rsidRPr="00CE45E2" w14:paraId="7E4DCB9C" w14:textId="77777777" w:rsidTr="006476FB">
        <w:trPr>
          <w:trHeight w:val="240"/>
          <w:jc w:val="center"/>
        </w:trPr>
        <w:tc>
          <w:tcPr>
            <w:tcW w:w="4876" w:type="dxa"/>
            <w:tcBorders>
              <w:top w:val="nil"/>
              <w:left w:val="nil"/>
              <w:bottom w:val="nil"/>
              <w:right w:val="nil"/>
            </w:tcBorders>
          </w:tcPr>
          <w:p w14:paraId="61F3638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13F23D0" w14:textId="77777777" w:rsidR="00CE45E2" w:rsidRPr="00CE45E2" w:rsidRDefault="00CE45E2" w:rsidP="006476FB">
            <w:pPr>
              <w:pStyle w:val="AmColumnHeading"/>
            </w:pPr>
            <w:r w:rsidRPr="00CE45E2">
              <w:t>Poprawka</w:t>
            </w:r>
          </w:p>
        </w:tc>
      </w:tr>
      <w:tr w:rsidR="00CE45E2" w:rsidRPr="00CE45E2" w14:paraId="434DDAA5" w14:textId="77777777" w:rsidTr="006476FB">
        <w:trPr>
          <w:jc w:val="center"/>
        </w:trPr>
        <w:tc>
          <w:tcPr>
            <w:tcW w:w="4876" w:type="dxa"/>
            <w:tcBorders>
              <w:top w:val="nil"/>
              <w:left w:val="nil"/>
              <w:bottom w:val="nil"/>
              <w:right w:val="nil"/>
            </w:tcBorders>
          </w:tcPr>
          <w:p w14:paraId="098912D7" w14:textId="77777777" w:rsidR="00CE45E2" w:rsidRPr="00CE45E2" w:rsidRDefault="00CE45E2" w:rsidP="006476FB">
            <w:pPr>
              <w:pStyle w:val="Normal6a"/>
            </w:pPr>
            <w:r w:rsidRPr="00CE45E2">
              <w:rPr>
                <w:b/>
                <w:i/>
              </w:rPr>
              <w:t>3.</w:t>
            </w:r>
            <w:r w:rsidRPr="00CE45E2">
              <w:tab/>
            </w:r>
            <w:r w:rsidRPr="00CE45E2">
              <w:rPr>
                <w:b/>
                <w:i/>
              </w:rPr>
              <w:t>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6AA47C9F" w14:textId="77777777" w:rsidR="00CE45E2" w:rsidRPr="00CE45E2" w:rsidRDefault="00CE45E2" w:rsidP="006476FB">
            <w:pPr>
              <w:pStyle w:val="Normal6a"/>
            </w:pPr>
            <w:r w:rsidRPr="00CE45E2">
              <w:rPr>
                <w:b/>
                <w:i/>
              </w:rPr>
              <w:t>skreśla się</w:t>
            </w:r>
          </w:p>
        </w:tc>
      </w:tr>
    </w:tbl>
    <w:p w14:paraId="1CC9C19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3146293"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0165507" w14:textId="77777777" w:rsidR="00CE45E2" w:rsidRPr="00CE45E2" w:rsidRDefault="00CE45E2" w:rsidP="00CE45E2">
      <w:pPr>
        <w:pStyle w:val="AmJustText"/>
      </w:pPr>
      <w:r w:rsidRPr="00CE45E2">
        <w:t>Kilka przepisów nakłada na EIOPA nowe zadania, takie jak opracowywanie wytycznych lub standardów technicznych. Nie popieramy tych propozycji, ponieważ nie są one zgodne z charakterem dyrektywy przewidującej minimalną harmonizację. Ponadto EIOPA nie zawsze jest najbardziej odpowiednim organem do realizacji tych zadań.</w:t>
      </w:r>
    </w:p>
    <w:p w14:paraId="33C8CD28" w14:textId="77777777" w:rsidR="00CE45E2" w:rsidRPr="00CE45E2" w:rsidRDefault="00CE45E2" w:rsidP="00CE45E2">
      <w:r w:rsidRPr="00CE45E2">
        <w:rPr>
          <w:rStyle w:val="HideTWBExt"/>
        </w:rPr>
        <w:t>&lt;/Amend&gt;</w:t>
      </w:r>
    </w:p>
    <w:p w14:paraId="63678FA6" w14:textId="152B437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243</w:t>
      </w:r>
      <w:r w:rsidRPr="00CE45E2">
        <w:rPr>
          <w:rStyle w:val="HideTWBExt"/>
          <w:b w:val="0"/>
        </w:rPr>
        <w:t>&lt;/NumAm&gt;</w:t>
      </w:r>
    </w:p>
    <w:p w14:paraId="16FEB371"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t xml:space="preserve">, </w:t>
      </w:r>
      <w:proofErr w:type="spellStart"/>
      <w:r w:rsidRPr="00CE45E2">
        <w:t>Mireia</w:t>
      </w:r>
      <w:proofErr w:type="spellEnd"/>
      <w:r w:rsidRPr="00CE45E2">
        <w:t xml:space="preserve"> </w:t>
      </w:r>
      <w:proofErr w:type="spellStart"/>
      <w:r w:rsidRPr="00CE45E2">
        <w:t>Borrás</w:t>
      </w:r>
      <w:proofErr w:type="spellEnd"/>
      <w:r w:rsidRPr="00CE45E2">
        <w:t xml:space="preserve"> </w:t>
      </w:r>
      <w:proofErr w:type="spellStart"/>
      <w:r w:rsidRPr="00CE45E2">
        <w:t>Pabón</w:t>
      </w:r>
      <w:proofErr w:type="spellEnd"/>
      <w:r w:rsidRPr="00CE45E2">
        <w:rPr>
          <w:rStyle w:val="HideTWBExt"/>
          <w:b w:val="0"/>
        </w:rPr>
        <w:t>&lt;/Members&gt;</w:t>
      </w:r>
    </w:p>
    <w:p w14:paraId="4436AB40" w14:textId="77777777" w:rsidR="00CE45E2" w:rsidRPr="00CE45E2" w:rsidRDefault="00CE45E2" w:rsidP="00CE45E2">
      <w:pPr>
        <w:pStyle w:val="NormalBold"/>
      </w:pPr>
      <w:r w:rsidRPr="00CE45E2">
        <w:rPr>
          <w:rStyle w:val="HideTWBExt"/>
          <w:b w:val="0"/>
        </w:rPr>
        <w:t>&lt;/RepeatBlock-By&gt;</w:t>
      </w:r>
    </w:p>
    <w:p w14:paraId="00548EB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6F4D65B"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39D037E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3FD6ECA"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9B6F4FE" w14:textId="77777777" w:rsidTr="006476FB">
        <w:trPr>
          <w:trHeight w:hRule="exact" w:val="240"/>
          <w:jc w:val="center"/>
        </w:trPr>
        <w:tc>
          <w:tcPr>
            <w:tcW w:w="9752" w:type="dxa"/>
            <w:gridSpan w:val="2"/>
            <w:tcBorders>
              <w:top w:val="nil"/>
              <w:left w:val="nil"/>
              <w:bottom w:val="nil"/>
              <w:right w:val="nil"/>
            </w:tcBorders>
          </w:tcPr>
          <w:p w14:paraId="2C8FF501" w14:textId="77777777" w:rsidR="00CE45E2" w:rsidRPr="00CE45E2" w:rsidRDefault="00CE45E2" w:rsidP="006476FB"/>
        </w:tc>
      </w:tr>
      <w:tr w:rsidR="00CE45E2" w:rsidRPr="00CE45E2" w14:paraId="73F5D0B6" w14:textId="77777777" w:rsidTr="006476FB">
        <w:trPr>
          <w:trHeight w:val="240"/>
          <w:jc w:val="center"/>
        </w:trPr>
        <w:tc>
          <w:tcPr>
            <w:tcW w:w="4876" w:type="dxa"/>
            <w:tcBorders>
              <w:top w:val="nil"/>
              <w:left w:val="nil"/>
              <w:bottom w:val="nil"/>
              <w:right w:val="nil"/>
            </w:tcBorders>
          </w:tcPr>
          <w:p w14:paraId="6AE16EA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55E7686" w14:textId="77777777" w:rsidR="00CE45E2" w:rsidRPr="00CE45E2" w:rsidRDefault="00CE45E2" w:rsidP="006476FB">
            <w:pPr>
              <w:pStyle w:val="AmColumnHeading"/>
            </w:pPr>
            <w:r w:rsidRPr="00CE45E2">
              <w:t>Poprawka</w:t>
            </w:r>
          </w:p>
        </w:tc>
      </w:tr>
      <w:tr w:rsidR="00CE45E2" w:rsidRPr="00CE45E2" w14:paraId="28186D4C" w14:textId="77777777" w:rsidTr="006476FB">
        <w:trPr>
          <w:jc w:val="center"/>
        </w:trPr>
        <w:tc>
          <w:tcPr>
            <w:tcW w:w="4876" w:type="dxa"/>
            <w:tcBorders>
              <w:top w:val="nil"/>
              <w:left w:val="nil"/>
              <w:bottom w:val="nil"/>
              <w:right w:val="nil"/>
            </w:tcBorders>
          </w:tcPr>
          <w:p w14:paraId="3854D4BF" w14:textId="77777777" w:rsidR="00CE45E2" w:rsidRPr="00CE45E2" w:rsidRDefault="00CE45E2" w:rsidP="006476FB">
            <w:pPr>
              <w:pStyle w:val="Normal6a"/>
            </w:pPr>
            <w:r w:rsidRPr="00CE45E2">
              <w:rPr>
                <w:b/>
                <w:i/>
              </w:rPr>
              <w:t>3.</w:t>
            </w:r>
            <w:r w:rsidRPr="00CE45E2">
              <w:tab/>
            </w:r>
            <w:r w:rsidRPr="00CE45E2">
              <w:rPr>
                <w:b/>
                <w:i/>
              </w:rPr>
              <w:t>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29727C54" w14:textId="77777777" w:rsidR="00CE45E2" w:rsidRPr="00CE45E2" w:rsidRDefault="00CE45E2" w:rsidP="006476FB">
            <w:pPr>
              <w:pStyle w:val="Normal6a"/>
            </w:pPr>
            <w:r w:rsidRPr="00CE45E2">
              <w:rPr>
                <w:b/>
                <w:i/>
              </w:rPr>
              <w:t>skreśla się</w:t>
            </w:r>
          </w:p>
        </w:tc>
      </w:tr>
    </w:tbl>
    <w:p w14:paraId="4C25BAB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E793B4C" w14:textId="77777777" w:rsidR="00CE45E2" w:rsidRPr="00CE45E2" w:rsidRDefault="00CE45E2" w:rsidP="00CE45E2">
      <w:r w:rsidRPr="00CE45E2">
        <w:rPr>
          <w:rStyle w:val="HideTWBExt"/>
        </w:rPr>
        <w:t>&lt;/Amend&gt;</w:t>
      </w:r>
    </w:p>
    <w:p w14:paraId="703CA2B3" w14:textId="2E844E4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244</w:t>
      </w:r>
      <w:r w:rsidRPr="00CE45E2">
        <w:rPr>
          <w:rStyle w:val="HideTWBExt"/>
          <w:b w:val="0"/>
        </w:rPr>
        <w:t>&lt;/NumAm&gt;</w:t>
      </w:r>
    </w:p>
    <w:p w14:paraId="613A9EEB"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20EF7ACF" w14:textId="77777777" w:rsidR="00CE45E2" w:rsidRPr="00CE45E2" w:rsidRDefault="00CE45E2" w:rsidP="00CE45E2">
      <w:pPr>
        <w:pStyle w:val="NormalBold"/>
      </w:pPr>
      <w:r w:rsidRPr="00CE45E2">
        <w:rPr>
          <w:rStyle w:val="HideTWBExt"/>
          <w:b w:val="0"/>
        </w:rPr>
        <w:t>&lt;/RepeatBlock-By&gt;</w:t>
      </w:r>
    </w:p>
    <w:p w14:paraId="1E471E1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959DF07"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77CDC96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CB3BD7F"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F0673CD" w14:textId="77777777" w:rsidTr="006476FB">
        <w:trPr>
          <w:trHeight w:hRule="exact" w:val="240"/>
          <w:jc w:val="center"/>
        </w:trPr>
        <w:tc>
          <w:tcPr>
            <w:tcW w:w="9752" w:type="dxa"/>
            <w:gridSpan w:val="2"/>
            <w:tcBorders>
              <w:top w:val="nil"/>
              <w:left w:val="nil"/>
              <w:bottom w:val="nil"/>
              <w:right w:val="nil"/>
            </w:tcBorders>
          </w:tcPr>
          <w:p w14:paraId="06798596" w14:textId="77777777" w:rsidR="00CE45E2" w:rsidRPr="00CE45E2" w:rsidRDefault="00CE45E2" w:rsidP="006476FB"/>
        </w:tc>
      </w:tr>
      <w:tr w:rsidR="00CE45E2" w:rsidRPr="00CE45E2" w14:paraId="3F7FA81A" w14:textId="77777777" w:rsidTr="006476FB">
        <w:trPr>
          <w:trHeight w:val="240"/>
          <w:jc w:val="center"/>
        </w:trPr>
        <w:tc>
          <w:tcPr>
            <w:tcW w:w="4876" w:type="dxa"/>
            <w:tcBorders>
              <w:top w:val="nil"/>
              <w:left w:val="nil"/>
              <w:bottom w:val="nil"/>
              <w:right w:val="nil"/>
            </w:tcBorders>
          </w:tcPr>
          <w:p w14:paraId="3595750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1B7B3F5" w14:textId="77777777" w:rsidR="00CE45E2" w:rsidRPr="00CE45E2" w:rsidRDefault="00CE45E2" w:rsidP="006476FB">
            <w:pPr>
              <w:pStyle w:val="AmColumnHeading"/>
            </w:pPr>
            <w:r w:rsidRPr="00CE45E2">
              <w:t>Poprawka</w:t>
            </w:r>
          </w:p>
        </w:tc>
      </w:tr>
      <w:tr w:rsidR="00CE45E2" w:rsidRPr="00CE45E2" w14:paraId="5503EED1" w14:textId="77777777" w:rsidTr="006476FB">
        <w:trPr>
          <w:jc w:val="center"/>
        </w:trPr>
        <w:tc>
          <w:tcPr>
            <w:tcW w:w="4876" w:type="dxa"/>
            <w:tcBorders>
              <w:top w:val="nil"/>
              <w:left w:val="nil"/>
              <w:bottom w:val="nil"/>
              <w:right w:val="nil"/>
            </w:tcBorders>
          </w:tcPr>
          <w:p w14:paraId="1F60CF14" w14:textId="77777777" w:rsidR="00CE45E2" w:rsidRPr="00CE45E2" w:rsidRDefault="00CE45E2" w:rsidP="006476FB">
            <w:pPr>
              <w:pStyle w:val="Normal6a"/>
            </w:pPr>
            <w:r w:rsidRPr="00CE45E2">
              <w:rPr>
                <w:b/>
                <w:i/>
              </w:rPr>
              <w:t>3.</w:t>
            </w:r>
            <w:r w:rsidRPr="00CE45E2">
              <w:tab/>
            </w:r>
            <w:r w:rsidRPr="00CE45E2">
              <w:rPr>
                <w:b/>
                <w:i/>
              </w:rPr>
              <w:t>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5FF4FFBD" w14:textId="77777777" w:rsidR="00CE45E2" w:rsidRPr="00CE45E2" w:rsidRDefault="00CE45E2" w:rsidP="006476FB">
            <w:pPr>
              <w:pStyle w:val="Normal6a"/>
            </w:pPr>
            <w:r w:rsidRPr="00CE45E2">
              <w:rPr>
                <w:b/>
                <w:i/>
              </w:rPr>
              <w:t>skreśla się</w:t>
            </w:r>
          </w:p>
        </w:tc>
      </w:tr>
    </w:tbl>
    <w:p w14:paraId="12EDBD1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57CDEAC" w14:textId="77777777" w:rsidR="00CE45E2" w:rsidRPr="00CE45E2" w:rsidRDefault="00CE45E2" w:rsidP="00CE45E2">
      <w:r w:rsidRPr="00CE45E2">
        <w:rPr>
          <w:rStyle w:val="HideTWBExt"/>
        </w:rPr>
        <w:t>&lt;/Amend&gt;</w:t>
      </w:r>
    </w:p>
    <w:p w14:paraId="4D11FC86" w14:textId="7F0797F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245</w:t>
      </w:r>
      <w:r w:rsidRPr="00CE45E2">
        <w:rPr>
          <w:rStyle w:val="HideTWBExt"/>
          <w:b w:val="0"/>
        </w:rPr>
        <w:t>&lt;/NumAm&gt;</w:t>
      </w:r>
    </w:p>
    <w:p w14:paraId="4611860F"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950BE13" w14:textId="77777777" w:rsidR="00CE45E2" w:rsidRPr="00CE45E2" w:rsidRDefault="00CE45E2" w:rsidP="00CE45E2">
      <w:pPr>
        <w:pStyle w:val="NormalBold"/>
      </w:pPr>
      <w:r w:rsidRPr="00CE45E2">
        <w:rPr>
          <w:rStyle w:val="HideTWBExt"/>
          <w:b w:val="0"/>
        </w:rPr>
        <w:t>&lt;/RepeatBlock-By&gt;</w:t>
      </w:r>
    </w:p>
    <w:p w14:paraId="1998A37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FC3C76D" w14:textId="77777777" w:rsidR="00CE45E2" w:rsidRPr="00CE45E2" w:rsidRDefault="00CE45E2" w:rsidP="00CE45E2">
      <w:pPr>
        <w:pStyle w:val="NormalBold"/>
      </w:pPr>
      <w:r w:rsidRPr="00CE45E2">
        <w:rPr>
          <w:rStyle w:val="HideTWBExt"/>
          <w:b w:val="0"/>
        </w:rPr>
        <w:t>&lt;Article&gt;</w:t>
      </w:r>
      <w:r w:rsidRPr="00CE45E2">
        <w:t>Artykuł 1 – akapit 1 – punkt 12 – litera b</w:t>
      </w:r>
      <w:r w:rsidRPr="00CE45E2">
        <w:rPr>
          <w:rStyle w:val="HideTWBExt"/>
          <w:b w:val="0"/>
        </w:rPr>
        <w:t>&lt;/Article&gt;</w:t>
      </w:r>
    </w:p>
    <w:p w14:paraId="64C6671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A6E4DBA" w14:textId="77777777" w:rsidR="00CE45E2" w:rsidRPr="00CE45E2" w:rsidRDefault="00CE45E2" w:rsidP="00CE45E2">
      <w:r w:rsidRPr="00CE45E2">
        <w:rPr>
          <w:rStyle w:val="HideTWBExt"/>
        </w:rPr>
        <w:t>&lt;Article2&gt;</w:t>
      </w:r>
      <w:r w:rsidRPr="00CE45E2">
        <w:t>Artykuł 10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51C4B7A" w14:textId="77777777" w:rsidTr="006476FB">
        <w:trPr>
          <w:trHeight w:hRule="exact" w:val="240"/>
          <w:jc w:val="center"/>
        </w:trPr>
        <w:tc>
          <w:tcPr>
            <w:tcW w:w="9752" w:type="dxa"/>
            <w:gridSpan w:val="2"/>
            <w:tcBorders>
              <w:top w:val="nil"/>
              <w:left w:val="nil"/>
              <w:bottom w:val="nil"/>
              <w:right w:val="nil"/>
            </w:tcBorders>
          </w:tcPr>
          <w:p w14:paraId="64A8A705" w14:textId="77777777" w:rsidR="00CE45E2" w:rsidRPr="00CE45E2" w:rsidRDefault="00CE45E2" w:rsidP="006476FB"/>
        </w:tc>
      </w:tr>
      <w:tr w:rsidR="00CE45E2" w:rsidRPr="00CE45E2" w14:paraId="17F65556" w14:textId="77777777" w:rsidTr="006476FB">
        <w:trPr>
          <w:trHeight w:val="240"/>
          <w:jc w:val="center"/>
        </w:trPr>
        <w:tc>
          <w:tcPr>
            <w:tcW w:w="4876" w:type="dxa"/>
            <w:tcBorders>
              <w:top w:val="nil"/>
              <w:left w:val="nil"/>
              <w:bottom w:val="nil"/>
              <w:right w:val="nil"/>
            </w:tcBorders>
          </w:tcPr>
          <w:p w14:paraId="198846F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C1620D5" w14:textId="77777777" w:rsidR="00CE45E2" w:rsidRPr="00CE45E2" w:rsidRDefault="00CE45E2" w:rsidP="006476FB">
            <w:pPr>
              <w:pStyle w:val="AmColumnHeading"/>
            </w:pPr>
            <w:r w:rsidRPr="00CE45E2">
              <w:t>Poprawka</w:t>
            </w:r>
          </w:p>
        </w:tc>
      </w:tr>
      <w:tr w:rsidR="00CE45E2" w:rsidRPr="00CE45E2" w14:paraId="1F068AB6" w14:textId="77777777" w:rsidTr="006476FB">
        <w:trPr>
          <w:jc w:val="center"/>
        </w:trPr>
        <w:tc>
          <w:tcPr>
            <w:tcW w:w="4876" w:type="dxa"/>
            <w:tcBorders>
              <w:top w:val="nil"/>
              <w:left w:val="nil"/>
              <w:bottom w:val="nil"/>
              <w:right w:val="nil"/>
            </w:tcBorders>
          </w:tcPr>
          <w:p w14:paraId="6034826E" w14:textId="77777777" w:rsidR="00CE45E2" w:rsidRPr="00CE45E2" w:rsidRDefault="00CE45E2" w:rsidP="006476FB">
            <w:pPr>
              <w:pStyle w:val="Normal6a"/>
            </w:pPr>
            <w:r w:rsidRPr="00CE45E2">
              <w:rPr>
                <w:b/>
                <w:i/>
              </w:rPr>
              <w:t>3.</w:t>
            </w:r>
            <w:r w:rsidRPr="00CE45E2">
              <w:tab/>
            </w:r>
            <w:r w:rsidRPr="00CE45E2">
              <w:rPr>
                <w:b/>
                <w:i/>
              </w:rPr>
              <w:t>EIOPA wydaje wytyczne, zgodnie z art. 16 rozporządzenia (UE) nr 1094/2010, w sprawie oceny ostrożnościowej, którą należy przeprowadzić w ramach udzielania zezwolenia IORP, a także w sprawie wymogów określonych w tytułach II i III.”;</w:t>
            </w:r>
          </w:p>
        </w:tc>
        <w:tc>
          <w:tcPr>
            <w:tcW w:w="4876" w:type="dxa"/>
            <w:tcBorders>
              <w:top w:val="nil"/>
              <w:left w:val="nil"/>
              <w:bottom w:val="nil"/>
              <w:right w:val="nil"/>
            </w:tcBorders>
          </w:tcPr>
          <w:p w14:paraId="597CAD05" w14:textId="77777777" w:rsidR="00CE45E2" w:rsidRPr="00CE45E2" w:rsidRDefault="00CE45E2" w:rsidP="006476FB">
            <w:pPr>
              <w:pStyle w:val="Normal6a"/>
            </w:pPr>
            <w:r w:rsidRPr="00CE45E2">
              <w:rPr>
                <w:b/>
                <w:i/>
              </w:rPr>
              <w:t>skreśla się</w:t>
            </w:r>
          </w:p>
        </w:tc>
      </w:tr>
    </w:tbl>
    <w:p w14:paraId="59041F3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E2D61B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E0949F7" w14:textId="77777777" w:rsidR="00CE45E2" w:rsidRPr="00CE45E2" w:rsidRDefault="00CE45E2" w:rsidP="00CE45E2">
      <w:pPr>
        <w:pStyle w:val="AmJustText"/>
      </w:pPr>
      <w:r w:rsidRPr="00CE45E2">
        <w:t>Skreślono ze względu na charakter dyrektywy IORP, która przewiduje minimalną harmonizację.</w:t>
      </w:r>
    </w:p>
    <w:p w14:paraId="45678F4D" w14:textId="77777777" w:rsidR="00CE45E2" w:rsidRPr="00CE45E2" w:rsidRDefault="00CE45E2" w:rsidP="00CE45E2">
      <w:r w:rsidRPr="00CE45E2">
        <w:rPr>
          <w:rStyle w:val="HideTWBExt"/>
        </w:rPr>
        <w:t>&lt;/Amend&gt;</w:t>
      </w:r>
    </w:p>
    <w:p w14:paraId="5510D306" w14:textId="638A0A4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246</w:t>
      </w:r>
      <w:r w:rsidRPr="00CE45E2">
        <w:rPr>
          <w:rStyle w:val="HideTWBExt"/>
          <w:b w:val="0"/>
        </w:rPr>
        <w:t>&lt;/NumAm&gt;</w:t>
      </w:r>
    </w:p>
    <w:p w14:paraId="017C66CC"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1C805CE1"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0377E322" w14:textId="77777777" w:rsidR="00CE45E2" w:rsidRPr="00CE45E2" w:rsidRDefault="00CE45E2" w:rsidP="00CE45E2">
      <w:pPr>
        <w:pStyle w:val="NormalBold"/>
      </w:pPr>
      <w:r w:rsidRPr="00CE45E2">
        <w:rPr>
          <w:rStyle w:val="HideTWBExt"/>
          <w:b w:val="0"/>
        </w:rPr>
        <w:t>&lt;/RepeatBlock-By&gt;</w:t>
      </w:r>
    </w:p>
    <w:p w14:paraId="2951419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D4E22D3" w14:textId="77777777" w:rsidR="00CE45E2" w:rsidRPr="00CE45E2" w:rsidRDefault="00CE45E2" w:rsidP="00CE45E2">
      <w:pPr>
        <w:pStyle w:val="NormalBold"/>
      </w:pPr>
      <w:r w:rsidRPr="00CE45E2">
        <w:rPr>
          <w:rStyle w:val="HideTWBExt"/>
          <w:b w:val="0"/>
        </w:rPr>
        <w:t>&lt;Article&gt;</w:t>
      </w:r>
      <w:r w:rsidRPr="00CE45E2">
        <w:t>Artykuł 1 – akapit 1 – punkt 13</w:t>
      </w:r>
      <w:r w:rsidRPr="00CE45E2">
        <w:rPr>
          <w:rStyle w:val="HideTWBExt"/>
          <w:b w:val="0"/>
        </w:rPr>
        <w:t>&lt;/Article&gt;</w:t>
      </w:r>
    </w:p>
    <w:p w14:paraId="299AB62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F49FE65" w14:textId="77777777" w:rsidR="00CE45E2" w:rsidRPr="00CE45E2" w:rsidRDefault="00CE45E2" w:rsidP="00CE45E2">
      <w:r w:rsidRPr="00CE45E2">
        <w:rPr>
          <w:rStyle w:val="HideTWBExt"/>
        </w:rPr>
        <w:t>&lt;Article2&gt;</w:t>
      </w:r>
      <w:r w:rsidRPr="00CE45E2">
        <w:t>Artykuł 11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02B3350" w14:textId="77777777" w:rsidTr="006476FB">
        <w:trPr>
          <w:trHeight w:hRule="exact" w:val="240"/>
          <w:jc w:val="center"/>
        </w:trPr>
        <w:tc>
          <w:tcPr>
            <w:tcW w:w="9752" w:type="dxa"/>
            <w:gridSpan w:val="2"/>
            <w:tcBorders>
              <w:top w:val="nil"/>
              <w:left w:val="nil"/>
              <w:bottom w:val="nil"/>
              <w:right w:val="nil"/>
            </w:tcBorders>
          </w:tcPr>
          <w:p w14:paraId="44B14830" w14:textId="77777777" w:rsidR="00CE45E2" w:rsidRPr="00CE45E2" w:rsidRDefault="00CE45E2" w:rsidP="006476FB"/>
        </w:tc>
      </w:tr>
      <w:tr w:rsidR="00CE45E2" w:rsidRPr="00CE45E2" w14:paraId="191CA738" w14:textId="77777777" w:rsidTr="006476FB">
        <w:trPr>
          <w:trHeight w:val="240"/>
          <w:jc w:val="center"/>
        </w:trPr>
        <w:tc>
          <w:tcPr>
            <w:tcW w:w="4876" w:type="dxa"/>
            <w:tcBorders>
              <w:top w:val="nil"/>
              <w:left w:val="nil"/>
              <w:bottom w:val="nil"/>
              <w:right w:val="nil"/>
            </w:tcBorders>
          </w:tcPr>
          <w:p w14:paraId="745C6C5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8B5FFA2" w14:textId="77777777" w:rsidR="00CE45E2" w:rsidRPr="00CE45E2" w:rsidRDefault="00CE45E2" w:rsidP="006476FB">
            <w:pPr>
              <w:pStyle w:val="AmColumnHeading"/>
            </w:pPr>
            <w:r w:rsidRPr="00CE45E2">
              <w:t>Poprawka</w:t>
            </w:r>
          </w:p>
        </w:tc>
      </w:tr>
      <w:tr w:rsidR="00CE45E2" w:rsidRPr="00CE45E2" w14:paraId="7E3B4914" w14:textId="77777777" w:rsidTr="006476FB">
        <w:trPr>
          <w:jc w:val="center"/>
        </w:trPr>
        <w:tc>
          <w:tcPr>
            <w:tcW w:w="4876" w:type="dxa"/>
            <w:tcBorders>
              <w:top w:val="nil"/>
              <w:left w:val="nil"/>
              <w:bottom w:val="nil"/>
              <w:right w:val="nil"/>
            </w:tcBorders>
          </w:tcPr>
          <w:p w14:paraId="7B47E01D" w14:textId="77777777" w:rsidR="00CE45E2" w:rsidRPr="00CE45E2" w:rsidRDefault="00CE45E2" w:rsidP="006476FB">
            <w:pPr>
              <w:pStyle w:val="Normal6a"/>
            </w:pPr>
            <w:r w:rsidRPr="00CE45E2">
              <w:rPr>
                <w:b/>
                <w:i/>
              </w:rPr>
              <w:t>[...]</w:t>
            </w:r>
          </w:p>
        </w:tc>
        <w:tc>
          <w:tcPr>
            <w:tcW w:w="4876" w:type="dxa"/>
            <w:tcBorders>
              <w:top w:val="nil"/>
              <w:left w:val="nil"/>
              <w:bottom w:val="nil"/>
              <w:right w:val="nil"/>
            </w:tcBorders>
          </w:tcPr>
          <w:p w14:paraId="0F6DB166" w14:textId="77777777" w:rsidR="00CE45E2" w:rsidRPr="00CE45E2" w:rsidRDefault="00CE45E2" w:rsidP="006476FB">
            <w:pPr>
              <w:pStyle w:val="Normal6a"/>
            </w:pPr>
            <w:r w:rsidRPr="00CE45E2">
              <w:rPr>
                <w:b/>
                <w:i/>
              </w:rPr>
              <w:t>skreśla się</w:t>
            </w:r>
          </w:p>
        </w:tc>
      </w:tr>
    </w:tbl>
    <w:p w14:paraId="436F78D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67C3550" w14:textId="77777777" w:rsidR="00CE45E2" w:rsidRPr="00CE45E2" w:rsidRDefault="00CE45E2" w:rsidP="00CE45E2">
      <w:r w:rsidRPr="00CE45E2">
        <w:rPr>
          <w:rStyle w:val="HideTWBExt"/>
        </w:rPr>
        <w:t>&lt;/Amend&gt;</w:t>
      </w:r>
    </w:p>
    <w:p w14:paraId="0A02D0A2" w14:textId="6901912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247</w:t>
      </w:r>
      <w:r w:rsidRPr="00CE45E2">
        <w:rPr>
          <w:rStyle w:val="HideTWBExt"/>
          <w:b w:val="0"/>
        </w:rPr>
        <w:t>&lt;/NumAm&gt;</w:t>
      </w:r>
    </w:p>
    <w:p w14:paraId="290A939F"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15CDFA27"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1A027746" w14:textId="77777777" w:rsidR="00CE45E2" w:rsidRPr="00CE45E2" w:rsidRDefault="00CE45E2" w:rsidP="00CE45E2">
      <w:pPr>
        <w:pStyle w:val="NormalBold"/>
      </w:pPr>
      <w:r w:rsidRPr="00CE45E2">
        <w:rPr>
          <w:rStyle w:val="HideTWBExt"/>
          <w:b w:val="0"/>
        </w:rPr>
        <w:t>&lt;/RepeatBlock-By&gt;</w:t>
      </w:r>
    </w:p>
    <w:p w14:paraId="6BA6686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9FF5B07" w14:textId="77777777" w:rsidR="00CE45E2" w:rsidRPr="00CE45E2" w:rsidRDefault="00CE45E2" w:rsidP="00CE45E2">
      <w:pPr>
        <w:pStyle w:val="NormalBold"/>
      </w:pPr>
      <w:r w:rsidRPr="00CE45E2">
        <w:rPr>
          <w:rStyle w:val="HideTWBExt"/>
          <w:b w:val="0"/>
        </w:rPr>
        <w:t>&lt;Article&gt;</w:t>
      </w:r>
      <w:r w:rsidRPr="00CE45E2">
        <w:t>Artykuł 1 – akapit 1 – punkt 13 – wprowadzenie</w:t>
      </w:r>
      <w:r w:rsidRPr="00CE45E2">
        <w:rPr>
          <w:rStyle w:val="HideTWBExt"/>
          <w:b w:val="0"/>
        </w:rPr>
        <w:t>&lt;/Article&gt;</w:t>
      </w:r>
    </w:p>
    <w:p w14:paraId="04541D3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9F2BD79" w14:textId="77777777" w:rsidR="00CE45E2" w:rsidRPr="00CE45E2" w:rsidRDefault="00CE45E2" w:rsidP="00CE45E2">
      <w:r w:rsidRPr="00CE45E2">
        <w:rPr>
          <w:rStyle w:val="HideTWBExt"/>
        </w:rPr>
        <w:t>&lt;Article2&gt;</w:t>
      </w:r>
      <w:r w:rsidRPr="00CE45E2">
        <w:t>Artykuł 11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5E24263" w14:textId="77777777" w:rsidTr="006476FB">
        <w:trPr>
          <w:trHeight w:hRule="exact" w:val="240"/>
          <w:jc w:val="center"/>
        </w:trPr>
        <w:tc>
          <w:tcPr>
            <w:tcW w:w="9752" w:type="dxa"/>
            <w:gridSpan w:val="2"/>
            <w:tcBorders>
              <w:top w:val="nil"/>
              <w:left w:val="nil"/>
              <w:bottom w:val="nil"/>
              <w:right w:val="nil"/>
            </w:tcBorders>
          </w:tcPr>
          <w:p w14:paraId="605B9EA6" w14:textId="77777777" w:rsidR="00CE45E2" w:rsidRPr="00CE45E2" w:rsidRDefault="00CE45E2" w:rsidP="006476FB"/>
        </w:tc>
      </w:tr>
      <w:tr w:rsidR="00CE45E2" w:rsidRPr="00CE45E2" w14:paraId="2A6EF0FD" w14:textId="77777777" w:rsidTr="006476FB">
        <w:trPr>
          <w:trHeight w:val="240"/>
          <w:jc w:val="center"/>
        </w:trPr>
        <w:tc>
          <w:tcPr>
            <w:tcW w:w="4876" w:type="dxa"/>
            <w:tcBorders>
              <w:top w:val="nil"/>
              <w:left w:val="nil"/>
              <w:bottom w:val="nil"/>
              <w:right w:val="nil"/>
            </w:tcBorders>
          </w:tcPr>
          <w:p w14:paraId="4419A20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66922F6" w14:textId="77777777" w:rsidR="00CE45E2" w:rsidRPr="00CE45E2" w:rsidRDefault="00CE45E2" w:rsidP="006476FB">
            <w:pPr>
              <w:pStyle w:val="AmColumnHeading"/>
            </w:pPr>
            <w:r w:rsidRPr="00CE45E2">
              <w:t>Poprawka</w:t>
            </w:r>
          </w:p>
        </w:tc>
      </w:tr>
      <w:tr w:rsidR="00CE45E2" w:rsidRPr="00CE45E2" w14:paraId="104A4286" w14:textId="77777777" w:rsidTr="006476FB">
        <w:trPr>
          <w:jc w:val="center"/>
        </w:trPr>
        <w:tc>
          <w:tcPr>
            <w:tcW w:w="4876" w:type="dxa"/>
            <w:tcBorders>
              <w:top w:val="nil"/>
              <w:left w:val="nil"/>
              <w:bottom w:val="nil"/>
              <w:right w:val="nil"/>
            </w:tcBorders>
          </w:tcPr>
          <w:p w14:paraId="7D1FE788" w14:textId="77777777" w:rsidR="00CE45E2" w:rsidRPr="00CE45E2" w:rsidRDefault="00CE45E2" w:rsidP="006476FB">
            <w:pPr>
              <w:pStyle w:val="Normal6a"/>
            </w:pPr>
            <w:r w:rsidRPr="00CE45E2">
              <w:t>13)</w:t>
            </w:r>
            <w:r w:rsidRPr="00CE45E2">
              <w:tab/>
              <w:t>w art. 11 wprowadza się następujące zmiany:</w:t>
            </w:r>
          </w:p>
        </w:tc>
        <w:tc>
          <w:tcPr>
            <w:tcW w:w="4876" w:type="dxa"/>
            <w:tcBorders>
              <w:top w:val="nil"/>
              <w:left w:val="nil"/>
              <w:bottom w:val="nil"/>
              <w:right w:val="nil"/>
            </w:tcBorders>
          </w:tcPr>
          <w:p w14:paraId="4C025380" w14:textId="77777777" w:rsidR="00CE45E2" w:rsidRPr="00CE45E2" w:rsidRDefault="00CE45E2" w:rsidP="006476FB">
            <w:pPr>
              <w:pStyle w:val="Normal6a"/>
            </w:pPr>
            <w:r w:rsidRPr="00CE45E2">
              <w:t>13)</w:t>
            </w:r>
            <w:r w:rsidRPr="00CE45E2">
              <w:tab/>
              <w:t>w art. 11 wprowadza się następujące zmiany:</w:t>
            </w:r>
          </w:p>
        </w:tc>
      </w:tr>
      <w:tr w:rsidR="00CE45E2" w:rsidRPr="00CE45E2" w14:paraId="01A15436" w14:textId="77777777" w:rsidTr="006476FB">
        <w:trPr>
          <w:jc w:val="center"/>
        </w:trPr>
        <w:tc>
          <w:tcPr>
            <w:tcW w:w="4876" w:type="dxa"/>
            <w:tcBorders>
              <w:top w:val="nil"/>
              <w:left w:val="nil"/>
              <w:bottom w:val="nil"/>
              <w:right w:val="nil"/>
            </w:tcBorders>
          </w:tcPr>
          <w:p w14:paraId="0BE6CD2C" w14:textId="77777777" w:rsidR="00CE45E2" w:rsidRPr="00CE45E2" w:rsidRDefault="00CE45E2" w:rsidP="006476FB">
            <w:pPr>
              <w:pStyle w:val="Normal6a"/>
            </w:pPr>
            <w:r w:rsidRPr="00CE45E2">
              <w:t>[…]</w:t>
            </w:r>
          </w:p>
        </w:tc>
        <w:tc>
          <w:tcPr>
            <w:tcW w:w="4876" w:type="dxa"/>
            <w:tcBorders>
              <w:top w:val="nil"/>
              <w:left w:val="nil"/>
              <w:bottom w:val="nil"/>
              <w:right w:val="nil"/>
            </w:tcBorders>
          </w:tcPr>
          <w:p w14:paraId="3059D732" w14:textId="77777777" w:rsidR="00CE45E2" w:rsidRPr="00CE45E2" w:rsidRDefault="00CE45E2" w:rsidP="006476FB">
            <w:pPr>
              <w:pStyle w:val="Normal6a"/>
            </w:pPr>
            <w:r w:rsidRPr="00CE45E2">
              <w:rPr>
                <w:b/>
                <w:i/>
              </w:rPr>
              <w:t>1. Bez uszczerbku dla krajowych przepisów prawa socjalnego i prawa pracy w sprawie organizacji systemów emerytalnych, włącznie z obowiązkowym uczestnictwem i wynikami działań zbiorowych, państwa członkowskie zezwalają IORP zarejestrowanym lub wykonującym działalność na podstawie zezwolenia na ich terytoriach na prowadzenie działalności transgranicznej, w tym na przyjmowanie wsparcia finansowego od przedsiębiorstw z innych państw członkowskich. Państwa członkowskie zezwalają również przedsiębiorstwom znajdującym się na ich terytoriach na finansowanie IORP, które proponują prowadzenie działalności transgranicznej lub prowadzą taką działalność. Państwa członkowskie zapewniają, aby IORP mogły przyjmować wsparcie finansowe od co najmniej jednego przedsiębiorstwa mającego siedzibę w państwie członkowskim innym niż rodzime państwo członkowskie danej IORP, gdy tylko spełnione zostaną warunki określone w niniejszym artykule.</w:t>
            </w:r>
          </w:p>
        </w:tc>
      </w:tr>
      <w:tr w:rsidR="00CE45E2" w:rsidRPr="00CE45E2" w14:paraId="0A7B8ACA" w14:textId="77777777" w:rsidTr="006476FB">
        <w:trPr>
          <w:jc w:val="center"/>
        </w:trPr>
        <w:tc>
          <w:tcPr>
            <w:tcW w:w="4876" w:type="dxa"/>
            <w:tcBorders>
              <w:top w:val="nil"/>
              <w:left w:val="nil"/>
              <w:bottom w:val="nil"/>
              <w:right w:val="nil"/>
            </w:tcBorders>
          </w:tcPr>
          <w:p w14:paraId="25285431" w14:textId="77777777" w:rsidR="00CE45E2" w:rsidRPr="00CE45E2" w:rsidRDefault="00CE45E2" w:rsidP="006476FB">
            <w:pPr>
              <w:pStyle w:val="Normal6a"/>
            </w:pPr>
          </w:p>
        </w:tc>
        <w:tc>
          <w:tcPr>
            <w:tcW w:w="4876" w:type="dxa"/>
            <w:tcBorders>
              <w:top w:val="nil"/>
              <w:left w:val="nil"/>
              <w:bottom w:val="nil"/>
              <w:right w:val="nil"/>
            </w:tcBorders>
          </w:tcPr>
          <w:p w14:paraId="1732949A" w14:textId="77777777" w:rsidR="00CE45E2" w:rsidRPr="00CE45E2" w:rsidRDefault="00CE45E2" w:rsidP="006476FB">
            <w:pPr>
              <w:pStyle w:val="Normal6a"/>
            </w:pPr>
            <w:r w:rsidRPr="00CE45E2">
              <w:rPr>
                <w:b/>
                <w:i/>
              </w:rPr>
              <w:t>2. IORP zamierzająca prowadzić działalność transgraniczną, w tym poprzez przyjmowanie wsparcia finansowego od co najmniej jednej instytucji finansującej z siedzibą w innym państwie członkowskim, powiadamia o tym zamiarze właściwy organ swojego rodzimego państwa członkowskiego. Jeżeli zgodnie z prawem krajowym IORP są odrębne od upoważnionych podmiotów odpowiedzialnych za ich prowadzenie i działających w ich imieniu, powiadomienie może zostać złożone przez ten upoważniony podmiot.</w:t>
            </w:r>
          </w:p>
        </w:tc>
      </w:tr>
      <w:tr w:rsidR="00CE45E2" w:rsidRPr="00CE45E2" w14:paraId="2D7EAB06" w14:textId="77777777" w:rsidTr="006476FB">
        <w:trPr>
          <w:jc w:val="center"/>
        </w:trPr>
        <w:tc>
          <w:tcPr>
            <w:tcW w:w="4876" w:type="dxa"/>
            <w:tcBorders>
              <w:top w:val="nil"/>
              <w:left w:val="nil"/>
              <w:bottom w:val="nil"/>
              <w:right w:val="nil"/>
            </w:tcBorders>
          </w:tcPr>
          <w:p w14:paraId="40881101" w14:textId="77777777" w:rsidR="00CE45E2" w:rsidRPr="00CE45E2" w:rsidRDefault="00CE45E2" w:rsidP="006476FB">
            <w:pPr>
              <w:pStyle w:val="Normal6a"/>
            </w:pPr>
          </w:p>
        </w:tc>
        <w:tc>
          <w:tcPr>
            <w:tcW w:w="4876" w:type="dxa"/>
            <w:tcBorders>
              <w:top w:val="nil"/>
              <w:left w:val="nil"/>
              <w:bottom w:val="nil"/>
              <w:right w:val="nil"/>
            </w:tcBorders>
          </w:tcPr>
          <w:p w14:paraId="3F013C9A" w14:textId="77777777" w:rsidR="00CE45E2" w:rsidRPr="00CE45E2" w:rsidRDefault="00CE45E2" w:rsidP="006476FB">
            <w:pPr>
              <w:pStyle w:val="Normal6a"/>
            </w:pPr>
            <w:r w:rsidRPr="00CE45E2">
              <w:rPr>
                <w:b/>
                <w:i/>
              </w:rPr>
              <w:t>3. Państwa członkowskie wymagają, aby zgłoszenie, o którym mowa w ust. 2, zawierało następujące informacje:</w:t>
            </w:r>
          </w:p>
        </w:tc>
      </w:tr>
      <w:tr w:rsidR="00CE45E2" w:rsidRPr="00CE45E2" w14:paraId="3DBD2C95" w14:textId="77777777" w:rsidTr="006476FB">
        <w:trPr>
          <w:jc w:val="center"/>
        </w:trPr>
        <w:tc>
          <w:tcPr>
            <w:tcW w:w="4876" w:type="dxa"/>
            <w:tcBorders>
              <w:top w:val="nil"/>
              <w:left w:val="nil"/>
              <w:bottom w:val="nil"/>
              <w:right w:val="nil"/>
            </w:tcBorders>
          </w:tcPr>
          <w:p w14:paraId="6F73DF2A" w14:textId="77777777" w:rsidR="00CE45E2" w:rsidRPr="00CE45E2" w:rsidRDefault="00CE45E2" w:rsidP="006476FB">
            <w:pPr>
              <w:pStyle w:val="Normal6a"/>
            </w:pPr>
          </w:p>
        </w:tc>
        <w:tc>
          <w:tcPr>
            <w:tcW w:w="4876" w:type="dxa"/>
            <w:tcBorders>
              <w:top w:val="nil"/>
              <w:left w:val="nil"/>
              <w:bottom w:val="nil"/>
              <w:right w:val="nil"/>
            </w:tcBorders>
          </w:tcPr>
          <w:p w14:paraId="4B45543B" w14:textId="77777777" w:rsidR="00CE45E2" w:rsidRPr="00CE45E2" w:rsidRDefault="00CE45E2" w:rsidP="006476FB">
            <w:pPr>
              <w:pStyle w:val="Normal6a"/>
            </w:pPr>
            <w:r w:rsidRPr="00CE45E2">
              <w:rPr>
                <w:b/>
                <w:i/>
              </w:rPr>
              <w:t>a) nazwa przyjmującego państwa członkowskiego lub państw członkowskich, którą określają w stosownych przypadkach instytucja finansująca lub instytucje finansujące;</w:t>
            </w:r>
          </w:p>
        </w:tc>
      </w:tr>
      <w:tr w:rsidR="00CE45E2" w:rsidRPr="00CE45E2" w14:paraId="0E9B9E73" w14:textId="77777777" w:rsidTr="006476FB">
        <w:trPr>
          <w:jc w:val="center"/>
        </w:trPr>
        <w:tc>
          <w:tcPr>
            <w:tcW w:w="4876" w:type="dxa"/>
            <w:tcBorders>
              <w:top w:val="nil"/>
              <w:left w:val="nil"/>
              <w:bottom w:val="nil"/>
              <w:right w:val="nil"/>
            </w:tcBorders>
          </w:tcPr>
          <w:p w14:paraId="1D641F1B" w14:textId="77777777" w:rsidR="00CE45E2" w:rsidRPr="00CE45E2" w:rsidRDefault="00CE45E2" w:rsidP="006476FB">
            <w:pPr>
              <w:pStyle w:val="Normal6a"/>
            </w:pPr>
          </w:p>
        </w:tc>
        <w:tc>
          <w:tcPr>
            <w:tcW w:w="4876" w:type="dxa"/>
            <w:tcBorders>
              <w:top w:val="nil"/>
              <w:left w:val="nil"/>
              <w:bottom w:val="nil"/>
              <w:right w:val="nil"/>
            </w:tcBorders>
          </w:tcPr>
          <w:p w14:paraId="250A1385" w14:textId="77777777" w:rsidR="00CE45E2" w:rsidRPr="00CE45E2" w:rsidRDefault="00CE45E2" w:rsidP="006476FB">
            <w:pPr>
              <w:pStyle w:val="Normal6a"/>
            </w:pPr>
            <w:r w:rsidRPr="00CE45E2">
              <w:rPr>
                <w:b/>
                <w:bCs/>
                <w:i/>
                <w:iCs/>
              </w:rPr>
              <w:t>b)</w:t>
            </w:r>
            <w:r w:rsidRPr="00CE45E2">
              <w:rPr>
                <w:b/>
                <w:i/>
              </w:rPr>
              <w:t xml:space="preserve"> nazwa instytucji finansującej lub instytucji finansujących i miejsce, w którym znajduje się ich zarząd;</w:t>
            </w:r>
          </w:p>
        </w:tc>
      </w:tr>
      <w:tr w:rsidR="00CE45E2" w:rsidRPr="00CE45E2" w14:paraId="1E8D0A2B" w14:textId="77777777" w:rsidTr="006476FB">
        <w:trPr>
          <w:jc w:val="center"/>
        </w:trPr>
        <w:tc>
          <w:tcPr>
            <w:tcW w:w="4876" w:type="dxa"/>
            <w:tcBorders>
              <w:top w:val="nil"/>
              <w:left w:val="nil"/>
              <w:bottom w:val="nil"/>
              <w:right w:val="nil"/>
            </w:tcBorders>
          </w:tcPr>
          <w:p w14:paraId="031A600C" w14:textId="77777777" w:rsidR="00CE45E2" w:rsidRPr="00CE45E2" w:rsidRDefault="00CE45E2" w:rsidP="006476FB">
            <w:pPr>
              <w:pStyle w:val="Normal6a"/>
            </w:pPr>
          </w:p>
        </w:tc>
        <w:tc>
          <w:tcPr>
            <w:tcW w:w="4876" w:type="dxa"/>
            <w:tcBorders>
              <w:top w:val="nil"/>
              <w:left w:val="nil"/>
              <w:bottom w:val="nil"/>
              <w:right w:val="nil"/>
            </w:tcBorders>
          </w:tcPr>
          <w:p w14:paraId="25E35DAA" w14:textId="77777777" w:rsidR="00CE45E2" w:rsidRPr="00CE45E2" w:rsidRDefault="00CE45E2" w:rsidP="006476FB">
            <w:pPr>
              <w:pStyle w:val="Normal6a"/>
            </w:pPr>
            <w:r w:rsidRPr="00CE45E2">
              <w:rPr>
                <w:b/>
                <w:i/>
              </w:rPr>
              <w:t>c) główne cechy charakterystyczne programu emerytalnego lub programów emerytalnych, jakie mają być obsługiwane dla instytucji finansującej lub instytucji finansujących.</w:t>
            </w:r>
          </w:p>
        </w:tc>
      </w:tr>
      <w:tr w:rsidR="00CE45E2" w:rsidRPr="00CE45E2" w14:paraId="7E7D3D23" w14:textId="77777777" w:rsidTr="006476FB">
        <w:trPr>
          <w:jc w:val="center"/>
        </w:trPr>
        <w:tc>
          <w:tcPr>
            <w:tcW w:w="4876" w:type="dxa"/>
            <w:tcBorders>
              <w:top w:val="nil"/>
              <w:left w:val="nil"/>
              <w:bottom w:val="nil"/>
              <w:right w:val="nil"/>
            </w:tcBorders>
          </w:tcPr>
          <w:p w14:paraId="23CBE213" w14:textId="77777777" w:rsidR="00CE45E2" w:rsidRPr="00CE45E2" w:rsidRDefault="00CE45E2" w:rsidP="006476FB">
            <w:pPr>
              <w:pStyle w:val="Normal6a"/>
            </w:pPr>
          </w:p>
        </w:tc>
        <w:tc>
          <w:tcPr>
            <w:tcW w:w="4876" w:type="dxa"/>
            <w:tcBorders>
              <w:top w:val="nil"/>
              <w:left w:val="nil"/>
              <w:bottom w:val="nil"/>
              <w:right w:val="nil"/>
            </w:tcBorders>
          </w:tcPr>
          <w:p w14:paraId="5FACAD32" w14:textId="77777777" w:rsidR="00CE45E2" w:rsidRPr="00CE45E2" w:rsidRDefault="00CE45E2" w:rsidP="006476FB">
            <w:pPr>
              <w:pStyle w:val="Normal6a"/>
            </w:pPr>
            <w:r w:rsidRPr="00CE45E2">
              <w:rPr>
                <w:b/>
                <w:i/>
              </w:rPr>
              <w:t xml:space="preserve">4. Właściwy organ rodzimego państwa członkowskiego przekazuje, nie później niż 2 miesiące od daty otrzymania wszystkich dokumentów notyfikacyjnych, o których mowa w ust. 3, te dokumenty właściwemu organowi przyjmującego państwa członkowskiego lub przyjmujących państw członkowskich. Właściwy organ rodzimego państwa członkowskiego dołącza oświadczenie, że IORP </w:t>
            </w:r>
            <w:proofErr w:type="gramStart"/>
            <w:r w:rsidRPr="00CE45E2">
              <w:rPr>
                <w:b/>
                <w:i/>
              </w:rPr>
              <w:t>lub,</w:t>
            </w:r>
            <w:proofErr w:type="gramEnd"/>
            <w:r w:rsidRPr="00CE45E2">
              <w:rPr>
                <w:b/>
                <w:i/>
              </w:rPr>
              <w:t xml:space="preserve"> w stosownych przypadkach, upoważniony podmiot odpowiedzialny za prowadzenie działalności tej IORP i działający w jej imieniu, posiada zezwolenie w swoim rodzimym państwie członkowskim oraz przestrzega i będzie nadal przestrzegać niniejszej dyrektywy.</w:t>
            </w:r>
          </w:p>
        </w:tc>
      </w:tr>
      <w:tr w:rsidR="00CE45E2" w:rsidRPr="00CE45E2" w14:paraId="2305B978" w14:textId="77777777" w:rsidTr="006476FB">
        <w:trPr>
          <w:jc w:val="center"/>
        </w:trPr>
        <w:tc>
          <w:tcPr>
            <w:tcW w:w="4876" w:type="dxa"/>
            <w:tcBorders>
              <w:top w:val="nil"/>
              <w:left w:val="nil"/>
              <w:bottom w:val="nil"/>
              <w:right w:val="nil"/>
            </w:tcBorders>
          </w:tcPr>
          <w:p w14:paraId="259F7016" w14:textId="77777777" w:rsidR="00CE45E2" w:rsidRPr="00CE45E2" w:rsidRDefault="00CE45E2" w:rsidP="006476FB">
            <w:pPr>
              <w:pStyle w:val="Normal6a"/>
            </w:pPr>
          </w:p>
        </w:tc>
        <w:tc>
          <w:tcPr>
            <w:tcW w:w="4876" w:type="dxa"/>
            <w:tcBorders>
              <w:top w:val="nil"/>
              <w:left w:val="nil"/>
              <w:bottom w:val="nil"/>
              <w:right w:val="nil"/>
            </w:tcBorders>
          </w:tcPr>
          <w:p w14:paraId="709BC5F2" w14:textId="77777777" w:rsidR="00CE45E2" w:rsidRPr="00CE45E2" w:rsidRDefault="00CE45E2" w:rsidP="006476FB">
            <w:pPr>
              <w:pStyle w:val="Normal6a"/>
            </w:pPr>
            <w:r w:rsidRPr="00CE45E2">
              <w:rPr>
                <w:b/>
                <w:i/>
              </w:rPr>
              <w:t>Gdy właściwy organ rodzimego państwa członkowskiego nie przekaże informacji, o których mowa w ust. 3, właściwemu organowi przyjmującego państwa członkowskiego ze względu na nieodpowiednią strukturę administracyjną lub sytuację finansową IORP, przedstawia on zainteresowanej IORP uzasadnienie takiego postępowania w tym samym terminie dwóch miesięcy od otrzymania wszystkich tych informacji. W przypadku nieprzekazania informacji przysługuje prawo do odwołania się do sądu w rodzimym państwie członkowskim.</w:t>
            </w:r>
          </w:p>
        </w:tc>
      </w:tr>
      <w:tr w:rsidR="00CE45E2" w:rsidRPr="00CE45E2" w14:paraId="3F110E26" w14:textId="77777777" w:rsidTr="006476FB">
        <w:trPr>
          <w:jc w:val="center"/>
        </w:trPr>
        <w:tc>
          <w:tcPr>
            <w:tcW w:w="4876" w:type="dxa"/>
            <w:tcBorders>
              <w:top w:val="nil"/>
              <w:left w:val="nil"/>
              <w:bottom w:val="nil"/>
              <w:right w:val="nil"/>
            </w:tcBorders>
          </w:tcPr>
          <w:p w14:paraId="2DA90171" w14:textId="77777777" w:rsidR="00CE45E2" w:rsidRPr="00CE45E2" w:rsidRDefault="00CE45E2" w:rsidP="006476FB">
            <w:pPr>
              <w:pStyle w:val="Normal6a"/>
            </w:pPr>
          </w:p>
        </w:tc>
        <w:tc>
          <w:tcPr>
            <w:tcW w:w="4876" w:type="dxa"/>
            <w:tcBorders>
              <w:top w:val="nil"/>
              <w:left w:val="nil"/>
              <w:bottom w:val="nil"/>
              <w:right w:val="nil"/>
            </w:tcBorders>
          </w:tcPr>
          <w:p w14:paraId="47A92584" w14:textId="77777777" w:rsidR="00CE45E2" w:rsidRPr="00CE45E2" w:rsidRDefault="00CE45E2" w:rsidP="006476FB">
            <w:pPr>
              <w:pStyle w:val="Normal6a"/>
            </w:pPr>
            <w:r w:rsidRPr="00CE45E2">
              <w:rPr>
                <w:b/>
                <w:i/>
              </w:rPr>
              <w:t xml:space="preserve">5. Jeżeli właściwy organ rodzimego państwa członkowskiego przekazuje dokumenty notyfikacyjne, o których mowa w ust. 3, niezwłocznie powiadamia o tym IORP </w:t>
            </w:r>
            <w:proofErr w:type="gramStart"/>
            <w:r w:rsidRPr="00CE45E2">
              <w:rPr>
                <w:b/>
                <w:i/>
              </w:rPr>
              <w:t>lub,</w:t>
            </w:r>
            <w:proofErr w:type="gramEnd"/>
            <w:r w:rsidRPr="00CE45E2">
              <w:rPr>
                <w:b/>
                <w:i/>
              </w:rPr>
              <w:t xml:space="preserve"> w stosownych przypadkach, upoważniony podmiot odpowiedzialny za prowadzenie działalności tej IORP i działający w jej imieniu.</w:t>
            </w:r>
          </w:p>
        </w:tc>
      </w:tr>
      <w:tr w:rsidR="00CE45E2" w:rsidRPr="00CE45E2" w14:paraId="1D06C4FF" w14:textId="77777777" w:rsidTr="006476FB">
        <w:trPr>
          <w:jc w:val="center"/>
        </w:trPr>
        <w:tc>
          <w:tcPr>
            <w:tcW w:w="4876" w:type="dxa"/>
            <w:tcBorders>
              <w:top w:val="nil"/>
              <w:left w:val="nil"/>
              <w:bottom w:val="nil"/>
              <w:right w:val="nil"/>
            </w:tcBorders>
          </w:tcPr>
          <w:p w14:paraId="0C588F71" w14:textId="77777777" w:rsidR="00CE45E2" w:rsidRPr="00CE45E2" w:rsidRDefault="00CE45E2" w:rsidP="006476FB">
            <w:pPr>
              <w:pStyle w:val="Normal6a"/>
            </w:pPr>
          </w:p>
        </w:tc>
        <w:tc>
          <w:tcPr>
            <w:tcW w:w="4876" w:type="dxa"/>
            <w:tcBorders>
              <w:top w:val="nil"/>
              <w:left w:val="nil"/>
              <w:bottom w:val="nil"/>
              <w:right w:val="nil"/>
            </w:tcBorders>
          </w:tcPr>
          <w:p w14:paraId="3C83880A" w14:textId="77777777" w:rsidR="00CE45E2" w:rsidRPr="00CE45E2" w:rsidRDefault="00CE45E2" w:rsidP="006476FB">
            <w:pPr>
              <w:pStyle w:val="Normal6a"/>
            </w:pPr>
            <w:r w:rsidRPr="00CE45E2">
              <w:rPr>
                <w:b/>
                <w:i/>
              </w:rPr>
              <w:t xml:space="preserve">IORP </w:t>
            </w:r>
            <w:proofErr w:type="gramStart"/>
            <w:r w:rsidRPr="00CE45E2">
              <w:rPr>
                <w:b/>
                <w:i/>
              </w:rPr>
              <w:t>lub,</w:t>
            </w:r>
            <w:proofErr w:type="gramEnd"/>
            <w:r w:rsidRPr="00CE45E2">
              <w:rPr>
                <w:b/>
                <w:i/>
              </w:rPr>
              <w:t xml:space="preserve"> w stosownych przypadkach, upoważniony podmiot odpowiedzialny za prowadzenie działalności tej IORP i działający w jej imieniu może rozpocząć prowadzenie działalności transgranicznej w przyjmującym państwie członkowskim od daty tego powiadomienia.</w:t>
            </w:r>
          </w:p>
        </w:tc>
      </w:tr>
      <w:tr w:rsidR="00CE45E2" w:rsidRPr="00CE45E2" w14:paraId="6C33447E" w14:textId="77777777" w:rsidTr="006476FB">
        <w:trPr>
          <w:jc w:val="center"/>
        </w:trPr>
        <w:tc>
          <w:tcPr>
            <w:tcW w:w="4876" w:type="dxa"/>
            <w:tcBorders>
              <w:top w:val="nil"/>
              <w:left w:val="nil"/>
              <w:bottom w:val="nil"/>
              <w:right w:val="nil"/>
            </w:tcBorders>
          </w:tcPr>
          <w:p w14:paraId="27C02A8D" w14:textId="77777777" w:rsidR="00CE45E2" w:rsidRPr="00CE45E2" w:rsidRDefault="00CE45E2" w:rsidP="006476FB">
            <w:pPr>
              <w:pStyle w:val="Normal6a"/>
            </w:pPr>
          </w:p>
        </w:tc>
        <w:tc>
          <w:tcPr>
            <w:tcW w:w="4876" w:type="dxa"/>
            <w:tcBorders>
              <w:top w:val="nil"/>
              <w:left w:val="nil"/>
              <w:bottom w:val="nil"/>
              <w:right w:val="nil"/>
            </w:tcBorders>
          </w:tcPr>
          <w:p w14:paraId="122D3ABE" w14:textId="77777777" w:rsidR="00CE45E2" w:rsidRPr="00CE45E2" w:rsidRDefault="00CE45E2" w:rsidP="006476FB">
            <w:pPr>
              <w:pStyle w:val="Normal6a"/>
            </w:pPr>
            <w:r w:rsidRPr="00CE45E2">
              <w:rPr>
                <w:b/>
                <w:i/>
              </w:rPr>
              <w:t>Jeżeli właściwy organ rodzimego państwa członkowskiego podmiotu uprawnionego odpowiedzialnego za prowadzenie działalności tej IORP i działającego w jej imieniu nie jest tym samym organem, co właściwy organ rodzimego państwa członkowskiego IORP, pierwszy wspomniany organ informuje również drugi wspomniany organ, że upoważniony podmiot zarządzający IORP może rozpocząć przyjmowanie instytucji finansujących w przyjmującym państwie członkowskim lub w przyjmujących państwach członkowskich IORP.</w:t>
            </w:r>
          </w:p>
        </w:tc>
      </w:tr>
      <w:tr w:rsidR="00CE45E2" w:rsidRPr="00CE45E2" w14:paraId="07604411" w14:textId="77777777" w:rsidTr="006476FB">
        <w:trPr>
          <w:jc w:val="center"/>
        </w:trPr>
        <w:tc>
          <w:tcPr>
            <w:tcW w:w="4876" w:type="dxa"/>
            <w:tcBorders>
              <w:top w:val="nil"/>
              <w:left w:val="nil"/>
              <w:bottom w:val="nil"/>
              <w:right w:val="nil"/>
            </w:tcBorders>
          </w:tcPr>
          <w:p w14:paraId="05D77BD4" w14:textId="77777777" w:rsidR="00CE45E2" w:rsidRPr="00CE45E2" w:rsidRDefault="00CE45E2" w:rsidP="006476FB">
            <w:pPr>
              <w:pStyle w:val="Normal6a"/>
            </w:pPr>
          </w:p>
        </w:tc>
        <w:tc>
          <w:tcPr>
            <w:tcW w:w="4876" w:type="dxa"/>
            <w:tcBorders>
              <w:top w:val="nil"/>
              <w:left w:val="nil"/>
              <w:bottom w:val="nil"/>
              <w:right w:val="nil"/>
            </w:tcBorders>
          </w:tcPr>
          <w:p w14:paraId="36B636C7" w14:textId="77777777" w:rsidR="00CE45E2" w:rsidRPr="00CE45E2" w:rsidRDefault="00CE45E2" w:rsidP="006476FB">
            <w:pPr>
              <w:pStyle w:val="Normal6a"/>
            </w:pPr>
            <w:r w:rsidRPr="00CE45E2">
              <w:rPr>
                <w:b/>
                <w:i/>
              </w:rPr>
              <w:t>6. IORP prowadzące działalność transgraniczną podlegają wymogom prawa socjalnego i prawa pracy przyjmującego państwa członkowskiego dotyczących obszaru pracowniczych programów emerytalnych.</w:t>
            </w:r>
          </w:p>
        </w:tc>
      </w:tr>
      <w:tr w:rsidR="00CE45E2" w:rsidRPr="00CE45E2" w14:paraId="5BD9DDD7" w14:textId="77777777" w:rsidTr="006476FB">
        <w:trPr>
          <w:jc w:val="center"/>
        </w:trPr>
        <w:tc>
          <w:tcPr>
            <w:tcW w:w="4876" w:type="dxa"/>
            <w:tcBorders>
              <w:top w:val="nil"/>
              <w:left w:val="nil"/>
              <w:bottom w:val="nil"/>
              <w:right w:val="nil"/>
            </w:tcBorders>
          </w:tcPr>
          <w:p w14:paraId="131FF680" w14:textId="77777777" w:rsidR="00CE45E2" w:rsidRPr="00CE45E2" w:rsidRDefault="00CE45E2" w:rsidP="006476FB">
            <w:pPr>
              <w:pStyle w:val="Normal6a"/>
            </w:pPr>
          </w:p>
        </w:tc>
        <w:tc>
          <w:tcPr>
            <w:tcW w:w="4876" w:type="dxa"/>
            <w:tcBorders>
              <w:top w:val="nil"/>
              <w:left w:val="nil"/>
              <w:bottom w:val="nil"/>
              <w:right w:val="nil"/>
            </w:tcBorders>
          </w:tcPr>
          <w:p w14:paraId="4C405A6D" w14:textId="77777777" w:rsidR="00CE45E2" w:rsidRPr="00CE45E2" w:rsidRDefault="00CE45E2" w:rsidP="006476FB">
            <w:pPr>
              <w:pStyle w:val="Normal6a"/>
            </w:pPr>
            <w:r w:rsidRPr="00CE45E2">
              <w:rPr>
                <w:b/>
                <w:i/>
              </w:rPr>
              <w:t>Podlegają one również wprowadzonym przez przyjmujące państwo członkowskie wymogom dotyczącym przekazywania informacji, o których mowa w tytule IV, potencjalnym uczestnikom, uczestnikom i beneficjentom, których dotyczy ta działalność transgraniczna.</w:t>
            </w:r>
          </w:p>
        </w:tc>
      </w:tr>
      <w:tr w:rsidR="00CE45E2" w:rsidRPr="00CE45E2" w14:paraId="4A8F190E" w14:textId="77777777" w:rsidTr="006476FB">
        <w:trPr>
          <w:jc w:val="center"/>
        </w:trPr>
        <w:tc>
          <w:tcPr>
            <w:tcW w:w="4876" w:type="dxa"/>
            <w:tcBorders>
              <w:top w:val="nil"/>
              <w:left w:val="nil"/>
              <w:bottom w:val="nil"/>
              <w:right w:val="nil"/>
            </w:tcBorders>
          </w:tcPr>
          <w:p w14:paraId="50205D91" w14:textId="77777777" w:rsidR="00CE45E2" w:rsidRPr="00CE45E2" w:rsidRDefault="00CE45E2" w:rsidP="006476FB">
            <w:pPr>
              <w:pStyle w:val="Normal6a"/>
            </w:pPr>
          </w:p>
        </w:tc>
        <w:tc>
          <w:tcPr>
            <w:tcW w:w="4876" w:type="dxa"/>
            <w:tcBorders>
              <w:top w:val="nil"/>
              <w:left w:val="nil"/>
              <w:bottom w:val="nil"/>
              <w:right w:val="nil"/>
            </w:tcBorders>
          </w:tcPr>
          <w:p w14:paraId="04B26310" w14:textId="77777777" w:rsidR="00CE45E2" w:rsidRPr="00CE45E2" w:rsidRDefault="00CE45E2" w:rsidP="006476FB">
            <w:pPr>
              <w:pStyle w:val="Normal6a"/>
            </w:pPr>
            <w:r w:rsidRPr="00CE45E2">
              <w:rPr>
                <w:b/>
                <w:i/>
              </w:rPr>
              <w:t xml:space="preserve">Właściwy organ przyjmującego państwa członkowskiego, w terminie jednego miesiąca od otrzymania informacji, o których mowa w ust. 3,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 </w:t>
            </w:r>
            <w:proofErr w:type="gramStart"/>
            <w:r w:rsidRPr="00CE45E2">
              <w:rPr>
                <w:b/>
                <w:i/>
              </w:rPr>
              <w:t>lub,</w:t>
            </w:r>
            <w:proofErr w:type="gramEnd"/>
            <w:r w:rsidRPr="00CE45E2">
              <w:rPr>
                <w:b/>
                <w:i/>
              </w:rPr>
              <w:t xml:space="preserve"> w stosownych przypadkach, upoważnionym podmiotom, o których mowa w ust. 2, a po upływie czterech tygodni od otrzymania tego powiadomienia IORP może rozpocząć działalność transgraniczną.</w:t>
            </w:r>
          </w:p>
        </w:tc>
      </w:tr>
      <w:tr w:rsidR="00CE45E2" w:rsidRPr="00CE45E2" w14:paraId="769104EA" w14:textId="77777777" w:rsidTr="006476FB">
        <w:trPr>
          <w:jc w:val="center"/>
        </w:trPr>
        <w:tc>
          <w:tcPr>
            <w:tcW w:w="4876" w:type="dxa"/>
            <w:tcBorders>
              <w:top w:val="nil"/>
              <w:left w:val="nil"/>
              <w:bottom w:val="nil"/>
              <w:right w:val="nil"/>
            </w:tcBorders>
          </w:tcPr>
          <w:p w14:paraId="6EC1096C" w14:textId="77777777" w:rsidR="00CE45E2" w:rsidRPr="00CE45E2" w:rsidRDefault="00CE45E2" w:rsidP="006476FB">
            <w:pPr>
              <w:pStyle w:val="Normal6a"/>
            </w:pPr>
          </w:p>
        </w:tc>
        <w:tc>
          <w:tcPr>
            <w:tcW w:w="4876" w:type="dxa"/>
            <w:tcBorders>
              <w:top w:val="nil"/>
              <w:left w:val="nil"/>
              <w:bottom w:val="nil"/>
              <w:right w:val="nil"/>
            </w:tcBorders>
          </w:tcPr>
          <w:p w14:paraId="7E935E2E" w14:textId="77777777" w:rsidR="00CE45E2" w:rsidRPr="00CE45E2" w:rsidRDefault="00CE45E2" w:rsidP="006476FB">
            <w:pPr>
              <w:pStyle w:val="Normal6a"/>
            </w:pPr>
            <w:r w:rsidRPr="00CE45E2">
              <w:rPr>
                <w:b/>
                <w:i/>
              </w:rPr>
              <w:t>7. Właściwy organ przyjmującego państwa członkowskiego nadzoruje przestrzeganie wymogów prawa socjalnego i prawa pracy mających zastosowanie w dziedzinie pracowniczych programów emerytalnych oraz wymogów dotyczących przekazywania informacji, o których mowa w ust. 6. Jeżeli zgodnie z prawem krajowym IORP są utworzone w formie, w której za ich prowadzenie i działanie w ich imieniu odpowiedzialne są upoważnione podmioty, właściwy organ tego upoważnionego podmiotu jest odpowiedzialny za nadzorowanie adekwatności ustaleń i organizacji tego podmiotu, tak aby był on w stanie wywiązywać się z obowiązków i przestrzegać zasad dotyczących utworzenia i funkcjonowania wszystkich IORP, którymi zarządza.</w:t>
            </w:r>
          </w:p>
        </w:tc>
      </w:tr>
      <w:tr w:rsidR="00CE45E2" w:rsidRPr="00CE45E2" w14:paraId="54D77BB6" w14:textId="77777777" w:rsidTr="006476FB">
        <w:trPr>
          <w:jc w:val="center"/>
        </w:trPr>
        <w:tc>
          <w:tcPr>
            <w:tcW w:w="4876" w:type="dxa"/>
            <w:tcBorders>
              <w:top w:val="nil"/>
              <w:left w:val="nil"/>
              <w:bottom w:val="nil"/>
              <w:right w:val="nil"/>
            </w:tcBorders>
          </w:tcPr>
          <w:p w14:paraId="34768F1A" w14:textId="77777777" w:rsidR="00CE45E2" w:rsidRPr="00CE45E2" w:rsidRDefault="00CE45E2" w:rsidP="006476FB">
            <w:pPr>
              <w:pStyle w:val="Normal6a"/>
            </w:pPr>
          </w:p>
        </w:tc>
        <w:tc>
          <w:tcPr>
            <w:tcW w:w="4876" w:type="dxa"/>
            <w:tcBorders>
              <w:top w:val="nil"/>
              <w:left w:val="nil"/>
              <w:bottom w:val="nil"/>
              <w:right w:val="nil"/>
            </w:tcBorders>
          </w:tcPr>
          <w:p w14:paraId="435CA94B" w14:textId="77777777" w:rsidR="00CE45E2" w:rsidRPr="00CE45E2" w:rsidRDefault="00CE45E2" w:rsidP="006476FB">
            <w:pPr>
              <w:pStyle w:val="Normal6a"/>
            </w:pPr>
            <w:r w:rsidRPr="00CE45E2">
              <w:rPr>
                <w:b/>
                <w:i/>
              </w:rPr>
              <w:t>8. Właściwy organ przyjmującego państwa członkowskiego informuje właściwy organ rodzimego państwa członkowskiego IORP o wszelkich istotnych zmianach wymagań prawa socjalnego i prawa pracy w przyjmującym państwie członkowskim dotyczących pracowniczych programów emerytalnych, które mogą wpływać na cechy charakterystyczne programu emerytalnego w zakresie, w jakim dotyczy to działalności transgranicznej.</w:t>
            </w:r>
          </w:p>
        </w:tc>
      </w:tr>
      <w:tr w:rsidR="00CE45E2" w:rsidRPr="00CE45E2" w14:paraId="14F84705" w14:textId="77777777" w:rsidTr="006476FB">
        <w:trPr>
          <w:jc w:val="center"/>
        </w:trPr>
        <w:tc>
          <w:tcPr>
            <w:tcW w:w="4876" w:type="dxa"/>
            <w:tcBorders>
              <w:top w:val="nil"/>
              <w:left w:val="nil"/>
              <w:bottom w:val="nil"/>
              <w:right w:val="nil"/>
            </w:tcBorders>
          </w:tcPr>
          <w:p w14:paraId="69B1CA4F" w14:textId="77777777" w:rsidR="00CE45E2" w:rsidRPr="00CE45E2" w:rsidRDefault="00CE45E2" w:rsidP="006476FB">
            <w:pPr>
              <w:pStyle w:val="Normal6a"/>
            </w:pPr>
          </w:p>
        </w:tc>
        <w:tc>
          <w:tcPr>
            <w:tcW w:w="4876" w:type="dxa"/>
            <w:tcBorders>
              <w:top w:val="nil"/>
              <w:left w:val="nil"/>
              <w:bottom w:val="nil"/>
              <w:right w:val="nil"/>
            </w:tcBorders>
          </w:tcPr>
          <w:p w14:paraId="64AB26B1" w14:textId="77777777" w:rsidR="00CE45E2" w:rsidRPr="00CE45E2" w:rsidRDefault="00CE45E2" w:rsidP="006476FB">
            <w:pPr>
              <w:pStyle w:val="Normal6a"/>
            </w:pPr>
            <w:r w:rsidRPr="00CE45E2">
              <w:rPr>
                <w:b/>
                <w:i/>
              </w:rPr>
              <w:t>Powiadamia on również właściwy organ rodzimego państwa członkowskiego o wszelkich istotnych zmianach w wymogach przyjmującego państwa członkowskiego dotyczących przekazywania informacji, o których mowa w ust. 6.</w:t>
            </w:r>
          </w:p>
        </w:tc>
      </w:tr>
      <w:tr w:rsidR="00CE45E2" w:rsidRPr="00CE45E2" w14:paraId="21B645A0" w14:textId="77777777" w:rsidTr="006476FB">
        <w:trPr>
          <w:jc w:val="center"/>
        </w:trPr>
        <w:tc>
          <w:tcPr>
            <w:tcW w:w="4876" w:type="dxa"/>
            <w:tcBorders>
              <w:top w:val="nil"/>
              <w:left w:val="nil"/>
              <w:bottom w:val="nil"/>
              <w:right w:val="nil"/>
            </w:tcBorders>
          </w:tcPr>
          <w:p w14:paraId="13C941D1" w14:textId="77777777" w:rsidR="00CE45E2" w:rsidRPr="00CE45E2" w:rsidRDefault="00CE45E2" w:rsidP="006476FB">
            <w:pPr>
              <w:pStyle w:val="Normal6a"/>
            </w:pPr>
          </w:p>
        </w:tc>
        <w:tc>
          <w:tcPr>
            <w:tcW w:w="4876" w:type="dxa"/>
            <w:tcBorders>
              <w:top w:val="nil"/>
              <w:left w:val="nil"/>
              <w:bottom w:val="nil"/>
              <w:right w:val="nil"/>
            </w:tcBorders>
          </w:tcPr>
          <w:p w14:paraId="2AEEAED7" w14:textId="77777777" w:rsidR="00CE45E2" w:rsidRPr="00CE45E2" w:rsidRDefault="00CE45E2" w:rsidP="006476FB">
            <w:pPr>
              <w:pStyle w:val="Normal6a"/>
            </w:pPr>
            <w:r w:rsidRPr="00CE45E2">
              <w:rPr>
                <w:b/>
                <w:i/>
              </w:rPr>
              <w:t xml:space="preserve">Właściwy organ rodzimego państwa członkowskiego przekazuje te informacje IORP </w:t>
            </w:r>
            <w:proofErr w:type="gramStart"/>
            <w:r w:rsidRPr="00CE45E2">
              <w:rPr>
                <w:b/>
                <w:i/>
              </w:rPr>
              <w:t>lub,</w:t>
            </w:r>
            <w:proofErr w:type="gramEnd"/>
            <w:r w:rsidRPr="00CE45E2">
              <w:rPr>
                <w:b/>
                <w:i/>
              </w:rPr>
              <w:t xml:space="preserve"> w stosownych przypadkach, upoważnionym podmiotom, o których mowa w ust. 2.</w:t>
            </w:r>
          </w:p>
        </w:tc>
      </w:tr>
      <w:tr w:rsidR="00CE45E2" w:rsidRPr="00CE45E2" w14:paraId="2529FD0B" w14:textId="77777777" w:rsidTr="006476FB">
        <w:trPr>
          <w:jc w:val="center"/>
        </w:trPr>
        <w:tc>
          <w:tcPr>
            <w:tcW w:w="4876" w:type="dxa"/>
            <w:tcBorders>
              <w:top w:val="nil"/>
              <w:left w:val="nil"/>
              <w:bottom w:val="nil"/>
              <w:right w:val="nil"/>
            </w:tcBorders>
          </w:tcPr>
          <w:p w14:paraId="6899C498" w14:textId="77777777" w:rsidR="00CE45E2" w:rsidRPr="00CE45E2" w:rsidRDefault="00CE45E2" w:rsidP="006476FB">
            <w:pPr>
              <w:pStyle w:val="Normal6a"/>
            </w:pPr>
          </w:p>
        </w:tc>
        <w:tc>
          <w:tcPr>
            <w:tcW w:w="4876" w:type="dxa"/>
            <w:tcBorders>
              <w:top w:val="nil"/>
              <w:left w:val="nil"/>
              <w:bottom w:val="nil"/>
              <w:right w:val="nil"/>
            </w:tcBorders>
          </w:tcPr>
          <w:p w14:paraId="6E17E145" w14:textId="77777777" w:rsidR="00CE45E2" w:rsidRPr="00CE45E2" w:rsidRDefault="00CE45E2" w:rsidP="006476FB">
            <w:pPr>
              <w:pStyle w:val="Normal6a"/>
            </w:pPr>
            <w:r w:rsidRPr="00CE45E2">
              <w:rPr>
                <w:b/>
                <w:i/>
              </w:rPr>
              <w:t>9. Państwa członkowskie zapewniają, aby wszystkie procedury i formalności związane z działalnością i powiązanymi procedurami transgranicznymi można było łatwo dopełnić drogą elektroniczną.</w:t>
            </w:r>
          </w:p>
        </w:tc>
      </w:tr>
      <w:tr w:rsidR="00CE45E2" w:rsidRPr="00CE45E2" w14:paraId="5091D3FB" w14:textId="77777777" w:rsidTr="006476FB">
        <w:trPr>
          <w:jc w:val="center"/>
        </w:trPr>
        <w:tc>
          <w:tcPr>
            <w:tcW w:w="4876" w:type="dxa"/>
            <w:tcBorders>
              <w:top w:val="nil"/>
              <w:left w:val="nil"/>
              <w:bottom w:val="nil"/>
              <w:right w:val="nil"/>
            </w:tcBorders>
          </w:tcPr>
          <w:p w14:paraId="56DD54E7" w14:textId="77777777" w:rsidR="00CE45E2" w:rsidRPr="00CE45E2" w:rsidRDefault="00CE45E2" w:rsidP="006476FB">
            <w:pPr>
              <w:pStyle w:val="Normal6a"/>
            </w:pPr>
          </w:p>
        </w:tc>
        <w:tc>
          <w:tcPr>
            <w:tcW w:w="4876" w:type="dxa"/>
            <w:tcBorders>
              <w:top w:val="nil"/>
              <w:left w:val="nil"/>
              <w:bottom w:val="nil"/>
              <w:right w:val="nil"/>
            </w:tcBorders>
          </w:tcPr>
          <w:p w14:paraId="040F0DD2" w14:textId="77777777" w:rsidR="00CE45E2" w:rsidRPr="00CE45E2" w:rsidRDefault="00CE45E2" w:rsidP="006476FB">
            <w:pPr>
              <w:pStyle w:val="Normal6a"/>
            </w:pPr>
            <w:r w:rsidRPr="00CE45E2">
              <w:rPr>
                <w:b/>
                <w:i/>
              </w:rPr>
              <w:t>Państwa członkowskie zapewniają, aby ich właściwe organy akceptowały elektroniczną formę przekazywania i składania dokumentów, o których mowa w niniejszym artykule.</w:t>
            </w:r>
          </w:p>
        </w:tc>
      </w:tr>
      <w:tr w:rsidR="00CE45E2" w:rsidRPr="00CE45E2" w14:paraId="3E85A602" w14:textId="77777777" w:rsidTr="006476FB">
        <w:trPr>
          <w:jc w:val="center"/>
        </w:trPr>
        <w:tc>
          <w:tcPr>
            <w:tcW w:w="4876" w:type="dxa"/>
            <w:tcBorders>
              <w:top w:val="nil"/>
              <w:left w:val="nil"/>
              <w:bottom w:val="nil"/>
              <w:right w:val="nil"/>
            </w:tcBorders>
          </w:tcPr>
          <w:p w14:paraId="057E21D9" w14:textId="77777777" w:rsidR="00CE45E2" w:rsidRPr="00CE45E2" w:rsidRDefault="00CE45E2" w:rsidP="006476FB">
            <w:pPr>
              <w:pStyle w:val="Normal6a"/>
            </w:pPr>
          </w:p>
        </w:tc>
        <w:tc>
          <w:tcPr>
            <w:tcW w:w="4876" w:type="dxa"/>
            <w:tcBorders>
              <w:top w:val="nil"/>
              <w:left w:val="nil"/>
              <w:bottom w:val="nil"/>
              <w:right w:val="nil"/>
            </w:tcBorders>
          </w:tcPr>
          <w:p w14:paraId="52E53741" w14:textId="77777777" w:rsidR="00CE45E2" w:rsidRPr="00CE45E2" w:rsidRDefault="00CE45E2" w:rsidP="006476FB">
            <w:pPr>
              <w:pStyle w:val="Normal6a"/>
            </w:pPr>
            <w:r w:rsidRPr="00CE45E2">
              <w:rPr>
                <w:b/>
                <w:i/>
              </w:rPr>
              <w:t>Państwa członkowskie zapewniają przedstawienie dokumentów notyfikacyjnych, o których mowa w ust. 3, i oświadczenia, o którym mowa w ust. 4, w języku zwyczajowo używanym w sferze finansów międzynarodowych.</w:t>
            </w:r>
          </w:p>
        </w:tc>
      </w:tr>
      <w:tr w:rsidR="00CE45E2" w:rsidRPr="00CE45E2" w14:paraId="6B9D7CC9" w14:textId="77777777" w:rsidTr="006476FB">
        <w:trPr>
          <w:jc w:val="center"/>
        </w:trPr>
        <w:tc>
          <w:tcPr>
            <w:tcW w:w="4876" w:type="dxa"/>
            <w:tcBorders>
              <w:top w:val="nil"/>
              <w:left w:val="nil"/>
              <w:bottom w:val="nil"/>
              <w:right w:val="nil"/>
            </w:tcBorders>
          </w:tcPr>
          <w:p w14:paraId="283E7C0F" w14:textId="77777777" w:rsidR="00CE45E2" w:rsidRPr="00CE45E2" w:rsidRDefault="00CE45E2" w:rsidP="006476FB">
            <w:pPr>
              <w:pStyle w:val="Normal6a"/>
            </w:pPr>
          </w:p>
        </w:tc>
        <w:tc>
          <w:tcPr>
            <w:tcW w:w="4876" w:type="dxa"/>
            <w:tcBorders>
              <w:top w:val="nil"/>
              <w:left w:val="nil"/>
              <w:bottom w:val="nil"/>
              <w:right w:val="nil"/>
            </w:tcBorders>
          </w:tcPr>
          <w:p w14:paraId="002A236B" w14:textId="77777777" w:rsidR="00CE45E2" w:rsidRPr="00CE45E2" w:rsidRDefault="00CE45E2" w:rsidP="006476FB">
            <w:pPr>
              <w:pStyle w:val="Normal6a"/>
            </w:pPr>
            <w:r w:rsidRPr="00CE45E2">
              <w:rPr>
                <w:b/>
                <w:i/>
              </w:rPr>
              <w:t>10. Właściwy organ przyjmującego państwa członkowskiego, który ma powody, by uznać, że IORP prowadząca działalność na jego terytorium nie spełnia wymogów prawa socjalnego i prawa pracy przyjmującego państwa członkowskiego dotyczących obszaru pracowniczych programów emerytalnych lub obowiązujących w tym państwie wymogów dotyczących przekazywania informacji, niezwłocznie informuje o tym właściwy organ rodzimego państwa członkowskiego.</w:t>
            </w:r>
          </w:p>
        </w:tc>
      </w:tr>
      <w:tr w:rsidR="00CE45E2" w:rsidRPr="00CE45E2" w14:paraId="5270650E" w14:textId="77777777" w:rsidTr="006476FB">
        <w:trPr>
          <w:jc w:val="center"/>
        </w:trPr>
        <w:tc>
          <w:tcPr>
            <w:tcW w:w="4876" w:type="dxa"/>
            <w:tcBorders>
              <w:top w:val="nil"/>
              <w:left w:val="nil"/>
              <w:bottom w:val="nil"/>
              <w:right w:val="nil"/>
            </w:tcBorders>
          </w:tcPr>
          <w:p w14:paraId="13C91EB7" w14:textId="77777777" w:rsidR="00CE45E2" w:rsidRPr="00CE45E2" w:rsidRDefault="00CE45E2" w:rsidP="006476FB">
            <w:pPr>
              <w:pStyle w:val="Normal6a"/>
            </w:pPr>
          </w:p>
        </w:tc>
        <w:tc>
          <w:tcPr>
            <w:tcW w:w="4876" w:type="dxa"/>
            <w:tcBorders>
              <w:top w:val="nil"/>
              <w:left w:val="nil"/>
              <w:bottom w:val="nil"/>
              <w:right w:val="nil"/>
            </w:tcBorders>
          </w:tcPr>
          <w:p w14:paraId="25ABFF5D" w14:textId="77777777" w:rsidR="00CE45E2" w:rsidRPr="00CE45E2" w:rsidRDefault="00CE45E2" w:rsidP="006476FB">
            <w:pPr>
              <w:pStyle w:val="Normal6a"/>
            </w:pPr>
            <w:r w:rsidRPr="00CE45E2">
              <w:rPr>
                <w:b/>
                <w:i/>
              </w:rPr>
              <w:t>Właściwy organ rodzimego państwa członkowskiego podejmuje, w koordynacji z właściwym organem przyjmującego państwa członkowskiego, niezbędne kroki w celu zapewnienia, aby IORP zaprzestała stwierdzonych naruszeń.</w:t>
            </w:r>
          </w:p>
        </w:tc>
      </w:tr>
      <w:tr w:rsidR="00CE45E2" w:rsidRPr="00CE45E2" w14:paraId="0200B640" w14:textId="77777777" w:rsidTr="006476FB">
        <w:trPr>
          <w:jc w:val="center"/>
        </w:trPr>
        <w:tc>
          <w:tcPr>
            <w:tcW w:w="4876" w:type="dxa"/>
            <w:tcBorders>
              <w:top w:val="nil"/>
              <w:left w:val="nil"/>
              <w:bottom w:val="nil"/>
              <w:right w:val="nil"/>
            </w:tcBorders>
          </w:tcPr>
          <w:p w14:paraId="3CE1B4DC" w14:textId="77777777" w:rsidR="00CE45E2" w:rsidRPr="00CE45E2" w:rsidRDefault="00CE45E2" w:rsidP="006476FB">
            <w:pPr>
              <w:pStyle w:val="Normal6a"/>
            </w:pPr>
          </w:p>
        </w:tc>
        <w:tc>
          <w:tcPr>
            <w:tcW w:w="4876" w:type="dxa"/>
            <w:tcBorders>
              <w:top w:val="nil"/>
              <w:left w:val="nil"/>
              <w:bottom w:val="nil"/>
              <w:right w:val="nil"/>
            </w:tcBorders>
          </w:tcPr>
          <w:p w14:paraId="39E42F8B" w14:textId="38796318" w:rsidR="00CE45E2" w:rsidRPr="00CE45E2" w:rsidRDefault="00CE45E2" w:rsidP="006476FB">
            <w:pPr>
              <w:pStyle w:val="Normal6a"/>
            </w:pPr>
            <w:r w:rsidRPr="00CE45E2">
              <w:rPr>
                <w:b/>
                <w:i/>
              </w:rPr>
              <w:t>11. Jeżeli, pomimo środków podjętych przez właściwy organ rodzimego państwa członkowskiego lub wobec braku odpowiednich środków w rodzimym państwie członkowskim, IORP uporczywie narusza obowiązujące przepisy dotyczące wymogów prawa socjalnego i prawa pracy przyjmującego państwa członkowskiego dotyczących pracowniczych programów emerytalnych lub mające zastosowanie wymogi przyjmującego państwa członkowskiego dotyczące przekazywania informacji,</w:t>
            </w:r>
            <w:r w:rsidR="0010594F">
              <w:rPr>
                <w:b/>
                <w:i/>
              </w:rPr>
              <w:t xml:space="preserve"> </w:t>
            </w:r>
            <w:r w:rsidRPr="00CE45E2">
              <w:rPr>
                <w:b/>
                <w:i/>
              </w:rPr>
              <w:t>właściwy organ przyjmującego państwa członkowskiego może, po poinformowaniu właściwego organu rodzimego państwa członkowskiego, podjąć odpowiednie kroki w celu zapobieżenia dalszym nieprawidłowościom lub nałożenia kar z tego tytułu, łącznie z, w zakresie, w jakim jest to absolutnie niezbędne, uniemożliwieniem działania IORP w przyjmującym państwie członkowskim na rzecz instytucji finansującej.</w:t>
            </w:r>
          </w:p>
        </w:tc>
      </w:tr>
      <w:tr w:rsidR="00CE45E2" w:rsidRPr="00CE45E2" w14:paraId="70FFEB45" w14:textId="77777777" w:rsidTr="006476FB">
        <w:trPr>
          <w:jc w:val="center"/>
        </w:trPr>
        <w:tc>
          <w:tcPr>
            <w:tcW w:w="4876" w:type="dxa"/>
            <w:tcBorders>
              <w:top w:val="nil"/>
              <w:left w:val="nil"/>
              <w:bottom w:val="nil"/>
              <w:right w:val="nil"/>
            </w:tcBorders>
          </w:tcPr>
          <w:p w14:paraId="705C650D" w14:textId="77777777" w:rsidR="00CE45E2" w:rsidRPr="00CE45E2" w:rsidRDefault="00CE45E2" w:rsidP="006476FB">
            <w:pPr>
              <w:pStyle w:val="Normal6a"/>
            </w:pPr>
          </w:p>
        </w:tc>
        <w:tc>
          <w:tcPr>
            <w:tcW w:w="4876" w:type="dxa"/>
            <w:tcBorders>
              <w:top w:val="nil"/>
              <w:left w:val="nil"/>
              <w:bottom w:val="nil"/>
              <w:right w:val="nil"/>
            </w:tcBorders>
          </w:tcPr>
          <w:p w14:paraId="239D9F95" w14:textId="77777777" w:rsidR="00CE45E2" w:rsidRPr="00CE45E2" w:rsidRDefault="00CE45E2" w:rsidP="006476FB">
            <w:pPr>
              <w:pStyle w:val="Normal6a"/>
            </w:pPr>
            <w:r w:rsidRPr="00CE45E2">
              <w:rPr>
                <w:b/>
                <w:i/>
              </w:rPr>
              <w:t>Państwa członkowskie zapewniają możliwość doręczania IORP na terytorium tych państw dokumentów prawnych koniecznych w przypadku wprowadzenia takich środków.</w:t>
            </w:r>
          </w:p>
        </w:tc>
      </w:tr>
      <w:tr w:rsidR="00CE45E2" w:rsidRPr="00CE45E2" w14:paraId="4134A0C6" w14:textId="77777777" w:rsidTr="006476FB">
        <w:trPr>
          <w:jc w:val="center"/>
        </w:trPr>
        <w:tc>
          <w:tcPr>
            <w:tcW w:w="4876" w:type="dxa"/>
            <w:tcBorders>
              <w:top w:val="nil"/>
              <w:left w:val="nil"/>
              <w:bottom w:val="nil"/>
              <w:right w:val="nil"/>
            </w:tcBorders>
          </w:tcPr>
          <w:p w14:paraId="24F1B599" w14:textId="77777777" w:rsidR="00CE45E2" w:rsidRPr="00CE45E2" w:rsidRDefault="00CE45E2" w:rsidP="006476FB">
            <w:pPr>
              <w:pStyle w:val="Normal6a"/>
            </w:pPr>
          </w:p>
        </w:tc>
        <w:tc>
          <w:tcPr>
            <w:tcW w:w="4876" w:type="dxa"/>
            <w:tcBorders>
              <w:top w:val="nil"/>
              <w:left w:val="nil"/>
              <w:bottom w:val="nil"/>
              <w:right w:val="nil"/>
            </w:tcBorders>
          </w:tcPr>
          <w:p w14:paraId="67D0680D" w14:textId="77777777" w:rsidR="00CE45E2" w:rsidRPr="00CE45E2" w:rsidRDefault="00CE45E2" w:rsidP="006476FB">
            <w:pPr>
              <w:pStyle w:val="Normal6a"/>
            </w:pPr>
            <w:r w:rsidRPr="00CE45E2">
              <w:rPr>
                <w:b/>
                <w:i/>
              </w:rPr>
              <w:t>Ponadto właściwy organ rodzimego lub przyjmującego państwa członkowskiego może przekazać sprawę EIOPA oraz zwrócić się o pomoc zgodnie z art. 19 rozporządzenia (UE) nr 1094/2010. W takim przypadku EIOPA może podjąć działania zgodnie z uprawnieniami przyznanymi mu na mocy tego artykułu.</w:t>
            </w:r>
          </w:p>
        </w:tc>
      </w:tr>
      <w:tr w:rsidR="00CE45E2" w:rsidRPr="00CE45E2" w14:paraId="7C8BB376" w14:textId="77777777" w:rsidTr="006476FB">
        <w:trPr>
          <w:jc w:val="center"/>
        </w:trPr>
        <w:tc>
          <w:tcPr>
            <w:tcW w:w="4876" w:type="dxa"/>
            <w:tcBorders>
              <w:top w:val="nil"/>
              <w:left w:val="nil"/>
              <w:bottom w:val="nil"/>
              <w:right w:val="nil"/>
            </w:tcBorders>
          </w:tcPr>
          <w:p w14:paraId="1B08B4E8" w14:textId="77777777" w:rsidR="00CE45E2" w:rsidRPr="00CE45E2" w:rsidRDefault="00CE45E2" w:rsidP="006476FB">
            <w:pPr>
              <w:pStyle w:val="Normal6a"/>
            </w:pPr>
          </w:p>
        </w:tc>
        <w:tc>
          <w:tcPr>
            <w:tcW w:w="4876" w:type="dxa"/>
            <w:tcBorders>
              <w:top w:val="nil"/>
              <w:left w:val="nil"/>
              <w:bottom w:val="nil"/>
              <w:right w:val="nil"/>
            </w:tcBorders>
          </w:tcPr>
          <w:p w14:paraId="3810EE1D" w14:textId="77777777" w:rsidR="00CE45E2" w:rsidRPr="00CE45E2" w:rsidRDefault="00CE45E2" w:rsidP="006476FB">
            <w:pPr>
              <w:pStyle w:val="Normal6a"/>
            </w:pPr>
            <w:r w:rsidRPr="00CE45E2">
              <w:rPr>
                <w:b/>
                <w:i/>
              </w:rPr>
              <w:t>12. Ust. 10 i 11 pozostają bez uszczerbku dla uprawnień przyjmujących państw członkowskich do wprowadzenia odpowiednich i niedyskryminacyjnych środków nadzwyczajnych mających na celu zapobieganie nieprawidłowościom lub karanie za nieprawidłowości popełnione na ich terytorium w sytuacjach, w których natychmiastowe działanie jest absolutnie niezbędne do ochrony praw uczestników i beneficjentów, oraz w przypadku gdy równoważne środki rodzimego państwa członkowskiego są niewystarczające lub ich brakuje.</w:t>
            </w:r>
          </w:p>
        </w:tc>
      </w:tr>
      <w:tr w:rsidR="00CE45E2" w:rsidRPr="00CE45E2" w14:paraId="0FB6A33B" w14:textId="77777777" w:rsidTr="006476FB">
        <w:trPr>
          <w:jc w:val="center"/>
        </w:trPr>
        <w:tc>
          <w:tcPr>
            <w:tcW w:w="4876" w:type="dxa"/>
            <w:tcBorders>
              <w:top w:val="nil"/>
              <w:left w:val="nil"/>
              <w:bottom w:val="nil"/>
              <w:right w:val="nil"/>
            </w:tcBorders>
          </w:tcPr>
          <w:p w14:paraId="1670A969" w14:textId="77777777" w:rsidR="00CE45E2" w:rsidRPr="00CE45E2" w:rsidRDefault="00CE45E2" w:rsidP="006476FB">
            <w:pPr>
              <w:pStyle w:val="Normal6a"/>
            </w:pPr>
          </w:p>
        </w:tc>
        <w:tc>
          <w:tcPr>
            <w:tcW w:w="4876" w:type="dxa"/>
            <w:tcBorders>
              <w:top w:val="nil"/>
              <w:left w:val="nil"/>
              <w:bottom w:val="nil"/>
              <w:right w:val="nil"/>
            </w:tcBorders>
          </w:tcPr>
          <w:p w14:paraId="7B1FD837" w14:textId="77777777" w:rsidR="00CE45E2" w:rsidRPr="00CE45E2" w:rsidRDefault="00CE45E2" w:rsidP="006476FB">
            <w:pPr>
              <w:pStyle w:val="Normal6a"/>
            </w:pPr>
            <w:r w:rsidRPr="00CE45E2">
              <w:rPr>
                <w:b/>
                <w:i/>
              </w:rPr>
              <w:t>Uprawnienia te obejmują możliwość uniemożliwienia IORP, w zakresie, w jakim jest to absolutnie niezbędne, prowadzenia działalności w przyjmującym państwie członkowskim na rzecz instytucji finansującej.</w:t>
            </w:r>
          </w:p>
        </w:tc>
      </w:tr>
      <w:tr w:rsidR="00CE45E2" w:rsidRPr="00CE45E2" w14:paraId="59F21326" w14:textId="77777777" w:rsidTr="006476FB">
        <w:trPr>
          <w:jc w:val="center"/>
        </w:trPr>
        <w:tc>
          <w:tcPr>
            <w:tcW w:w="4876" w:type="dxa"/>
            <w:tcBorders>
              <w:top w:val="nil"/>
              <w:left w:val="nil"/>
              <w:bottom w:val="nil"/>
              <w:right w:val="nil"/>
            </w:tcBorders>
          </w:tcPr>
          <w:p w14:paraId="6CA0BB9D" w14:textId="77777777" w:rsidR="00CE45E2" w:rsidRPr="00CE45E2" w:rsidRDefault="00CE45E2" w:rsidP="006476FB">
            <w:pPr>
              <w:pStyle w:val="Normal6a"/>
            </w:pPr>
          </w:p>
        </w:tc>
        <w:tc>
          <w:tcPr>
            <w:tcW w:w="4876" w:type="dxa"/>
            <w:tcBorders>
              <w:top w:val="nil"/>
              <w:left w:val="nil"/>
              <w:bottom w:val="nil"/>
              <w:right w:val="nil"/>
            </w:tcBorders>
          </w:tcPr>
          <w:p w14:paraId="6D4A642D" w14:textId="77777777" w:rsidR="00CE45E2" w:rsidRPr="00CE45E2" w:rsidRDefault="00CE45E2" w:rsidP="006476FB">
            <w:pPr>
              <w:pStyle w:val="Normal6a"/>
            </w:pPr>
            <w:r w:rsidRPr="00CE45E2">
              <w:rPr>
                <w:b/>
                <w:i/>
              </w:rPr>
              <w:t>13. Każdy środek przyjęty zgodnie z ust. 11–13, obejmujący ograniczenia dotyczące prowadzenia działalności IORP, musi zostać właściwie uzasadniony i niezwłocznie podany do wiadomości danej IORP.</w:t>
            </w:r>
          </w:p>
        </w:tc>
      </w:tr>
      <w:tr w:rsidR="00CE45E2" w:rsidRPr="00CE45E2" w14:paraId="2545ABDE" w14:textId="77777777" w:rsidTr="006476FB">
        <w:trPr>
          <w:jc w:val="center"/>
        </w:trPr>
        <w:tc>
          <w:tcPr>
            <w:tcW w:w="4876" w:type="dxa"/>
            <w:tcBorders>
              <w:top w:val="nil"/>
              <w:left w:val="nil"/>
              <w:bottom w:val="nil"/>
              <w:right w:val="nil"/>
            </w:tcBorders>
          </w:tcPr>
          <w:p w14:paraId="36D57BF0" w14:textId="77777777" w:rsidR="00CE45E2" w:rsidRPr="00CE45E2" w:rsidRDefault="00CE45E2" w:rsidP="006476FB">
            <w:pPr>
              <w:pStyle w:val="Normal6a"/>
            </w:pPr>
          </w:p>
        </w:tc>
        <w:tc>
          <w:tcPr>
            <w:tcW w:w="4876" w:type="dxa"/>
            <w:tcBorders>
              <w:top w:val="nil"/>
              <w:left w:val="nil"/>
              <w:bottom w:val="nil"/>
              <w:right w:val="nil"/>
            </w:tcBorders>
          </w:tcPr>
          <w:p w14:paraId="37006594" w14:textId="77777777" w:rsidR="00CE45E2" w:rsidRPr="00CE45E2" w:rsidRDefault="00CE45E2" w:rsidP="006476FB">
            <w:pPr>
              <w:pStyle w:val="Normal6a"/>
            </w:pPr>
            <w:r w:rsidRPr="00CE45E2">
              <w:rPr>
                <w:b/>
                <w:i/>
              </w:rPr>
              <w:t xml:space="preserve">14. W </w:t>
            </w:r>
            <w:proofErr w:type="gramStart"/>
            <w:r w:rsidRPr="00CE45E2">
              <w:rPr>
                <w:b/>
                <w:i/>
              </w:rPr>
              <w:t>przypadku</w:t>
            </w:r>
            <w:proofErr w:type="gramEnd"/>
            <w:r w:rsidRPr="00CE45E2">
              <w:rPr>
                <w:b/>
                <w:i/>
              </w:rPr>
              <w:t xml:space="preserve"> gdy zgodnie z prawem krajowym IORP są tworzone w formie, w której upoważnione podmioty są odpowiedzialne za ich obsługę i działają w ich imieniu, państwa członkowskie nie mogą uniemożliwiać takim upoważnionym podmiotom, posiadającym zezwolenie w innym państwie członkowskim, prowadzenia tej działalności na rzecz IORP posiadającej zezwolenie na ich terytorium.</w:t>
            </w:r>
          </w:p>
        </w:tc>
      </w:tr>
      <w:tr w:rsidR="00CE45E2" w:rsidRPr="00CE45E2" w14:paraId="43D6AC3B" w14:textId="77777777" w:rsidTr="006476FB">
        <w:trPr>
          <w:jc w:val="center"/>
        </w:trPr>
        <w:tc>
          <w:tcPr>
            <w:tcW w:w="4876" w:type="dxa"/>
            <w:tcBorders>
              <w:top w:val="nil"/>
              <w:left w:val="nil"/>
              <w:bottom w:val="nil"/>
              <w:right w:val="nil"/>
            </w:tcBorders>
          </w:tcPr>
          <w:p w14:paraId="7CDF39F6" w14:textId="77777777" w:rsidR="00CE45E2" w:rsidRPr="00CE45E2" w:rsidRDefault="00CE45E2" w:rsidP="006476FB">
            <w:pPr>
              <w:pStyle w:val="Normal6a"/>
            </w:pPr>
          </w:p>
        </w:tc>
        <w:tc>
          <w:tcPr>
            <w:tcW w:w="4876" w:type="dxa"/>
            <w:tcBorders>
              <w:top w:val="nil"/>
              <w:left w:val="nil"/>
              <w:bottom w:val="nil"/>
              <w:right w:val="nil"/>
            </w:tcBorders>
          </w:tcPr>
          <w:p w14:paraId="1ABF9C2A" w14:textId="77777777" w:rsidR="00CE45E2" w:rsidRPr="00CE45E2" w:rsidRDefault="00CE45E2" w:rsidP="006476FB">
            <w:pPr>
              <w:pStyle w:val="Normal6a"/>
            </w:pPr>
            <w:r w:rsidRPr="00CE45E2">
              <w:rPr>
                <w:b/>
                <w:i/>
              </w:rPr>
              <w:t>Pierwszy akapit ma zastosowanie wyłącznie w przypadku, gdy upoważniony podmiot jest instytucją, o której mowa w art. 2 ust. 2 lit. b), lub podmiotem innym niż IORP, upoważnionym na mocy niniejszej dyrektywy do prowadzenia działalności IORP i działania w ich imieniu.</w:t>
            </w:r>
          </w:p>
        </w:tc>
      </w:tr>
      <w:tr w:rsidR="00CE45E2" w:rsidRPr="00CE45E2" w14:paraId="29ABB554" w14:textId="77777777" w:rsidTr="006476FB">
        <w:trPr>
          <w:jc w:val="center"/>
        </w:trPr>
        <w:tc>
          <w:tcPr>
            <w:tcW w:w="4876" w:type="dxa"/>
            <w:tcBorders>
              <w:top w:val="nil"/>
              <w:left w:val="nil"/>
              <w:bottom w:val="nil"/>
              <w:right w:val="nil"/>
            </w:tcBorders>
          </w:tcPr>
          <w:p w14:paraId="1D9A3D62" w14:textId="77777777" w:rsidR="00CE45E2" w:rsidRPr="00CE45E2" w:rsidRDefault="00CE45E2" w:rsidP="006476FB">
            <w:pPr>
              <w:pStyle w:val="Normal6a"/>
            </w:pPr>
          </w:p>
        </w:tc>
        <w:tc>
          <w:tcPr>
            <w:tcW w:w="4876" w:type="dxa"/>
            <w:tcBorders>
              <w:top w:val="nil"/>
              <w:left w:val="nil"/>
              <w:bottom w:val="nil"/>
              <w:right w:val="nil"/>
            </w:tcBorders>
          </w:tcPr>
          <w:p w14:paraId="4131AC4C" w14:textId="77777777" w:rsidR="00CE45E2" w:rsidRPr="00CE45E2" w:rsidRDefault="00CE45E2" w:rsidP="006476FB">
            <w:pPr>
              <w:pStyle w:val="Normal6a"/>
            </w:pPr>
            <w:r w:rsidRPr="00CE45E2">
              <w:rPr>
                <w:b/>
                <w:i/>
              </w:rPr>
              <w:t>W takich przypadkach:</w:t>
            </w:r>
          </w:p>
        </w:tc>
      </w:tr>
      <w:tr w:rsidR="00CE45E2" w:rsidRPr="00CE45E2" w14:paraId="57CD77B1" w14:textId="77777777" w:rsidTr="006476FB">
        <w:trPr>
          <w:jc w:val="center"/>
        </w:trPr>
        <w:tc>
          <w:tcPr>
            <w:tcW w:w="4876" w:type="dxa"/>
            <w:tcBorders>
              <w:top w:val="nil"/>
              <w:left w:val="nil"/>
              <w:bottom w:val="nil"/>
              <w:right w:val="nil"/>
            </w:tcBorders>
          </w:tcPr>
          <w:p w14:paraId="3B582990" w14:textId="77777777" w:rsidR="00CE45E2" w:rsidRPr="00CE45E2" w:rsidRDefault="00CE45E2" w:rsidP="006476FB">
            <w:pPr>
              <w:pStyle w:val="Normal6a"/>
            </w:pPr>
          </w:p>
        </w:tc>
        <w:tc>
          <w:tcPr>
            <w:tcW w:w="4876" w:type="dxa"/>
            <w:tcBorders>
              <w:top w:val="nil"/>
              <w:left w:val="nil"/>
              <w:bottom w:val="nil"/>
              <w:right w:val="nil"/>
            </w:tcBorders>
          </w:tcPr>
          <w:p w14:paraId="403F4F2E" w14:textId="77777777" w:rsidR="00CE45E2" w:rsidRPr="00CE45E2" w:rsidRDefault="00CE45E2" w:rsidP="006476FB">
            <w:pPr>
              <w:pStyle w:val="Normal6a"/>
            </w:pPr>
            <w:r w:rsidRPr="00CE45E2">
              <w:rPr>
                <w:b/>
                <w:i/>
              </w:rPr>
              <w:t>a) właściwy organ państwa członkowskiego, w którym IORP uzyskała zezwolenie, jest odpowiedzialny za nadzór ostrożnościowy nad tą IORP oraz za nadzorowanie przestrzegania przepisów tego państwa członkowskiego dotyczących utworzenia, funkcjonowania i prowadzenia działalności przez tę IORP, w tym przepisów dotyczących zezwoleń, wymogów operacyjnych, wymogów ilościowych, warunków regulujących jej działalność oraz informacji, które należy przekazać potencjalnym członkom, członkom i beneficjentom. Upoważniony podmiot jest zobowiązany do przestrzegania wszystkich rozwiązań i decyzji organizacyjnych niezbędnych do zapewnienia zgodności działalności IORP z tymi przepisami, a także ponosi odpowiedzialność za ich przyjęcie i wdrożenie.</w:t>
            </w:r>
          </w:p>
        </w:tc>
      </w:tr>
      <w:tr w:rsidR="00CE45E2" w:rsidRPr="00CE45E2" w14:paraId="4F8F4BFB" w14:textId="77777777" w:rsidTr="006476FB">
        <w:trPr>
          <w:jc w:val="center"/>
        </w:trPr>
        <w:tc>
          <w:tcPr>
            <w:tcW w:w="4876" w:type="dxa"/>
            <w:tcBorders>
              <w:top w:val="nil"/>
              <w:left w:val="nil"/>
              <w:bottom w:val="nil"/>
              <w:right w:val="nil"/>
            </w:tcBorders>
          </w:tcPr>
          <w:p w14:paraId="0075B54B" w14:textId="77777777" w:rsidR="00CE45E2" w:rsidRPr="00CE45E2" w:rsidRDefault="00CE45E2" w:rsidP="006476FB">
            <w:pPr>
              <w:pStyle w:val="Normal6a"/>
            </w:pPr>
          </w:p>
        </w:tc>
        <w:tc>
          <w:tcPr>
            <w:tcW w:w="4876" w:type="dxa"/>
            <w:tcBorders>
              <w:top w:val="nil"/>
              <w:left w:val="nil"/>
              <w:bottom w:val="nil"/>
              <w:right w:val="nil"/>
            </w:tcBorders>
          </w:tcPr>
          <w:p w14:paraId="3EB8B89E" w14:textId="77777777" w:rsidR="00CE45E2" w:rsidRPr="00CE45E2" w:rsidRDefault="00CE45E2" w:rsidP="006476FB">
            <w:pPr>
              <w:pStyle w:val="Normal6a"/>
            </w:pPr>
            <w:r w:rsidRPr="00CE45E2">
              <w:rPr>
                <w:b/>
                <w:i/>
              </w:rPr>
              <w:t>b) właściwy organ państwa członkowskiego, w którym upoważniony podmiot uzyskał upoważnienie, odpowiada za nadzór nad tym podmiotem oraz za ocenę adekwatności jego rozwiązań i organizacji, tak aby był on w stanie wywiązywać się z obowiązków i przestrzegać przepisów dotyczących funkcjonowania IORP, którymi zarządza. Nadzór ten obejmuje przepisy dotyczące organizacji upoważnionych podmiotów, w tym ustalenia w zakresie delegowania uprawnień, wymogi organizacyjne, ustalenia operacyjne, wymogi dotyczące kompetencji i uczciwości, systemy zarządzania ryzykiem oraz kontrole wewnętrzne. Przepisy te nie mogą być bardziej rygorystyczne niż przepisy mające zastosowanie do upoważnionych podmiotów, które prowadzą IORP wyłącznie w swoim rodzimym państwie członkowskim.</w:t>
            </w:r>
          </w:p>
        </w:tc>
      </w:tr>
      <w:tr w:rsidR="00CE45E2" w:rsidRPr="00CE45E2" w14:paraId="5A2184F3" w14:textId="77777777" w:rsidTr="006476FB">
        <w:trPr>
          <w:jc w:val="center"/>
        </w:trPr>
        <w:tc>
          <w:tcPr>
            <w:tcW w:w="4876" w:type="dxa"/>
            <w:tcBorders>
              <w:top w:val="nil"/>
              <w:left w:val="nil"/>
              <w:bottom w:val="nil"/>
              <w:right w:val="nil"/>
            </w:tcBorders>
          </w:tcPr>
          <w:p w14:paraId="4762C588" w14:textId="77777777" w:rsidR="00CE45E2" w:rsidRPr="00CE45E2" w:rsidRDefault="00CE45E2" w:rsidP="006476FB">
            <w:pPr>
              <w:pStyle w:val="Normal6a"/>
            </w:pPr>
          </w:p>
        </w:tc>
        <w:tc>
          <w:tcPr>
            <w:tcW w:w="4876" w:type="dxa"/>
            <w:tcBorders>
              <w:top w:val="nil"/>
              <w:left w:val="nil"/>
              <w:bottom w:val="nil"/>
              <w:right w:val="nil"/>
            </w:tcBorders>
          </w:tcPr>
          <w:p w14:paraId="3340DB15" w14:textId="77777777" w:rsidR="00CE45E2" w:rsidRPr="00CE45E2" w:rsidRDefault="00CE45E2" w:rsidP="006476FB">
            <w:pPr>
              <w:pStyle w:val="Normal6a"/>
            </w:pPr>
            <w:r w:rsidRPr="00CE45E2">
              <w:rPr>
                <w:b/>
                <w:i/>
              </w:rPr>
              <w:t xml:space="preserve">Właściwy organ państwa członkowskiego, w którym IORP uzyskała zezwolenie, może zwrócić się bezpośrednio do upoważnionego podmiotu o udzielenie wszelkich informacji, udostępnienie rejestrów, dokumentów lub wyjaśnień niezbędnych do sprawowania nadzoru nad IORP. W przypadku gdy upoważniony podmiot nie przestrzega przepisów, o których mowa w poprzednich akapitach, właściwy organ nakazuje mu usunięcie naruszenia oraz informuje o tym właściwy organ rodzimego państwa członkowskiego upoważnionego podmiotu. Jeżeli upoważniony podmiot nie usunie naruszenia, właściwy organ rodzimego państwa członkowskiego tego podmiotu wdraża wszelkie odpowiednie środki w celu zapewnienia, by podmiot ten usunął </w:t>
            </w:r>
            <w:proofErr w:type="gramStart"/>
            <w:r w:rsidRPr="00CE45E2">
              <w:rPr>
                <w:b/>
                <w:i/>
              </w:rPr>
              <w:t>naruszenie,</w:t>
            </w:r>
            <w:proofErr w:type="gramEnd"/>
            <w:r w:rsidRPr="00CE45E2">
              <w:rPr>
                <w:b/>
                <w:i/>
              </w:rPr>
              <w:t xml:space="preserve"> oraz informuje o tych środkach właściwy organ państwa członkowskiego, w którym IORP posiada zezwolenie. Jeżeli pomimo tych środków lub z powodu ich niewystarczalności naruszenie nadal ma miejsce, właściwy organ państwa członkowskiego, w którym IORP posiada zezwolenie, może – po poinformowaniu właściwego organu rodzimego państwa członkowskiego upoważnionego podmiotu – wdrożyć niezbędne środki, w tym nałożyć sankcje oraz uniemożliwić upoważnionemu podmiotowi prowadzenie działalności IORP na swoim terytorium.</w:t>
            </w:r>
          </w:p>
        </w:tc>
      </w:tr>
      <w:tr w:rsidR="00CE45E2" w:rsidRPr="00CE45E2" w14:paraId="3A2EFA31" w14:textId="77777777" w:rsidTr="006476FB">
        <w:trPr>
          <w:jc w:val="center"/>
        </w:trPr>
        <w:tc>
          <w:tcPr>
            <w:tcW w:w="4876" w:type="dxa"/>
            <w:tcBorders>
              <w:top w:val="nil"/>
              <w:left w:val="nil"/>
              <w:bottom w:val="nil"/>
              <w:right w:val="nil"/>
            </w:tcBorders>
          </w:tcPr>
          <w:p w14:paraId="52F653B0" w14:textId="77777777" w:rsidR="00CE45E2" w:rsidRPr="00CE45E2" w:rsidRDefault="00CE45E2" w:rsidP="006476FB">
            <w:pPr>
              <w:pStyle w:val="Normal6a"/>
            </w:pPr>
          </w:p>
        </w:tc>
        <w:tc>
          <w:tcPr>
            <w:tcW w:w="4876" w:type="dxa"/>
            <w:tcBorders>
              <w:top w:val="nil"/>
              <w:left w:val="nil"/>
              <w:bottom w:val="nil"/>
              <w:right w:val="nil"/>
            </w:tcBorders>
          </w:tcPr>
          <w:p w14:paraId="4EF578FA" w14:textId="77777777" w:rsidR="00CE45E2" w:rsidRPr="00CE45E2" w:rsidRDefault="00CE45E2" w:rsidP="006476FB">
            <w:pPr>
              <w:pStyle w:val="Normal6a"/>
            </w:pPr>
            <w:r w:rsidRPr="00CE45E2">
              <w:rPr>
                <w:b/>
                <w:i/>
              </w:rPr>
              <w:t>Właściwe organy, o których mowa w lit. a) i b), ściśle współpracują, wymieniają się wszelkimi informacjami niezbędnymi do wykonywania swoich obowiązków wynikających z niniejszej dyrektywy oraz udzielają sobie wzajemnej pomocy w zakresie kontroli, dochodzeń i egzekwowania przepisów. W przypadku braku porozumienia co do procedury, treści lub braku działania któregokolwiek z właściwych organów na mocy niniejszego ustępu, każdy z tych organów może skierować sprawę do EIOPA, który może podjąć działania zgodnie z art. 19 rozporządzenia (UE) nr 1094/2010.</w:t>
            </w:r>
          </w:p>
        </w:tc>
      </w:tr>
      <w:tr w:rsidR="00CE45E2" w:rsidRPr="00CE45E2" w14:paraId="51E81E59" w14:textId="77777777" w:rsidTr="006476FB">
        <w:trPr>
          <w:jc w:val="center"/>
        </w:trPr>
        <w:tc>
          <w:tcPr>
            <w:tcW w:w="4876" w:type="dxa"/>
            <w:tcBorders>
              <w:top w:val="nil"/>
              <w:left w:val="nil"/>
              <w:bottom w:val="nil"/>
              <w:right w:val="nil"/>
            </w:tcBorders>
          </w:tcPr>
          <w:p w14:paraId="37410ECE" w14:textId="77777777" w:rsidR="00CE45E2" w:rsidRPr="00CE45E2" w:rsidRDefault="00CE45E2" w:rsidP="006476FB">
            <w:pPr>
              <w:pStyle w:val="Normal6a"/>
            </w:pPr>
          </w:p>
        </w:tc>
        <w:tc>
          <w:tcPr>
            <w:tcW w:w="4876" w:type="dxa"/>
            <w:tcBorders>
              <w:top w:val="nil"/>
              <w:left w:val="nil"/>
              <w:bottom w:val="nil"/>
              <w:right w:val="nil"/>
            </w:tcBorders>
          </w:tcPr>
          <w:p w14:paraId="55E1C8FB" w14:textId="77777777" w:rsidR="00CE45E2" w:rsidRPr="00CE45E2" w:rsidRDefault="00CE45E2" w:rsidP="006476FB">
            <w:pPr>
              <w:pStyle w:val="Normal6a"/>
            </w:pPr>
            <w:r w:rsidRPr="00CE45E2">
              <w:rPr>
                <w:b/>
                <w:i/>
              </w:rPr>
              <w:t>Niniejszy ustęp pozostaje bez uszczerbku dla prawa IORP posiadającej zezwolenie w jednym państwie członkowskim – w tym w przypadku, gdy jest ona prowadzona przez upoważniony podmiot mający siedzibę w tym państwie członkowskim – do prowadzenia transgranicznej działalności w zakresie pracowniczych programów emerytalnych w innym państwie członkowskim zgodnie z ust. 1–13. Nie należy tego interpretować jako wymogu uzyskania przez IORP zezwolenia w przyjmującym państwie członkowskim w celu prowadzenia tam działalności transgranicznej zgodnie z ust. 1–13.</w:t>
            </w:r>
          </w:p>
        </w:tc>
      </w:tr>
    </w:tbl>
    <w:p w14:paraId="50E11C0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6FC9D91"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435B4E5" w14:textId="77777777" w:rsidR="00CE45E2" w:rsidRPr="00CE45E2" w:rsidRDefault="00CE45E2" w:rsidP="00CE45E2">
      <w:pPr>
        <w:pStyle w:val="AmJustText"/>
      </w:pPr>
      <w:r w:rsidRPr="00CE45E2">
        <w:t>Zmiana brzmienia art. 11 w celu wyeliminowania niepewności prawnej i operacyjnej związanej z instytucjami emerytalnymi z wieloma instytucjami finansującymi oraz instytucjami emerytalnymi zarządzanymi przez upoważnione podmioty mające siedzibę w innym państwie członkowskim.</w:t>
      </w:r>
    </w:p>
    <w:p w14:paraId="1B697A47" w14:textId="77777777" w:rsidR="00CE45E2" w:rsidRPr="00CE45E2" w:rsidRDefault="00CE45E2" w:rsidP="00CE45E2">
      <w:r w:rsidRPr="00CE45E2">
        <w:rPr>
          <w:rStyle w:val="HideTWBExt"/>
        </w:rPr>
        <w:t>&lt;/Amend&gt;</w:t>
      </w:r>
    </w:p>
    <w:p w14:paraId="4B2959E6" w14:textId="0220EF2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248</w:t>
      </w:r>
      <w:r w:rsidRPr="00CE45E2">
        <w:rPr>
          <w:rStyle w:val="HideTWBExt"/>
          <w:b w:val="0"/>
        </w:rPr>
        <w:t>&lt;/NumAm&gt;</w:t>
      </w:r>
    </w:p>
    <w:p w14:paraId="0C6A9FBB"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17E6DDF" w14:textId="77777777" w:rsidR="00CE45E2" w:rsidRPr="00CE45E2" w:rsidRDefault="00CE45E2" w:rsidP="00CE45E2">
      <w:pPr>
        <w:pStyle w:val="NormalBold"/>
      </w:pPr>
      <w:r w:rsidRPr="00CE45E2">
        <w:rPr>
          <w:rStyle w:val="HideTWBExt"/>
          <w:b w:val="0"/>
        </w:rPr>
        <w:t>&lt;/RepeatBlock-By&gt;</w:t>
      </w:r>
    </w:p>
    <w:p w14:paraId="1A49F2E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1F88187" w14:textId="77777777" w:rsidR="00CE45E2" w:rsidRPr="00CE45E2" w:rsidRDefault="00CE45E2" w:rsidP="00CE45E2">
      <w:pPr>
        <w:pStyle w:val="NormalBold"/>
      </w:pPr>
      <w:r w:rsidRPr="00CE45E2">
        <w:rPr>
          <w:rStyle w:val="HideTWBExt"/>
          <w:b w:val="0"/>
        </w:rPr>
        <w:t>&lt;Article&gt;</w:t>
      </w:r>
      <w:r w:rsidRPr="00CE45E2">
        <w:t>Artykuł 1 – akapit 1 – punkt 13 – litera b</w:t>
      </w:r>
      <w:r w:rsidRPr="00CE45E2">
        <w:rPr>
          <w:rStyle w:val="HideTWBExt"/>
          <w:b w:val="0"/>
        </w:rPr>
        <w:t>&lt;/Article&gt;</w:t>
      </w:r>
    </w:p>
    <w:p w14:paraId="558DEA5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062E9D6" w14:textId="77777777" w:rsidR="00CE45E2" w:rsidRPr="00CE45E2" w:rsidRDefault="00CE45E2" w:rsidP="00CE45E2">
      <w:r w:rsidRPr="00CE45E2">
        <w:rPr>
          <w:rStyle w:val="HideTWBExt"/>
        </w:rPr>
        <w:t>&lt;Article2&gt;</w:t>
      </w:r>
      <w:r w:rsidRPr="00CE45E2">
        <w:t>Artykuł 11 – ustęp 4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F15E08A" w14:textId="77777777" w:rsidTr="006476FB">
        <w:trPr>
          <w:trHeight w:hRule="exact" w:val="240"/>
          <w:jc w:val="center"/>
        </w:trPr>
        <w:tc>
          <w:tcPr>
            <w:tcW w:w="9752" w:type="dxa"/>
            <w:gridSpan w:val="2"/>
            <w:tcBorders>
              <w:top w:val="nil"/>
              <w:left w:val="nil"/>
              <w:bottom w:val="nil"/>
              <w:right w:val="nil"/>
            </w:tcBorders>
          </w:tcPr>
          <w:p w14:paraId="2DB18A5D" w14:textId="77777777" w:rsidR="00CE45E2" w:rsidRPr="00CE45E2" w:rsidRDefault="00CE45E2" w:rsidP="006476FB"/>
        </w:tc>
      </w:tr>
      <w:tr w:rsidR="00CE45E2" w:rsidRPr="00CE45E2" w14:paraId="0E7177B8" w14:textId="77777777" w:rsidTr="006476FB">
        <w:trPr>
          <w:trHeight w:val="240"/>
          <w:jc w:val="center"/>
        </w:trPr>
        <w:tc>
          <w:tcPr>
            <w:tcW w:w="4876" w:type="dxa"/>
            <w:tcBorders>
              <w:top w:val="nil"/>
              <w:left w:val="nil"/>
              <w:bottom w:val="nil"/>
              <w:right w:val="nil"/>
            </w:tcBorders>
          </w:tcPr>
          <w:p w14:paraId="5553BDF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8AA75AF" w14:textId="77777777" w:rsidR="00CE45E2" w:rsidRPr="00CE45E2" w:rsidRDefault="00CE45E2" w:rsidP="006476FB">
            <w:pPr>
              <w:pStyle w:val="AmColumnHeading"/>
            </w:pPr>
            <w:r w:rsidRPr="00CE45E2">
              <w:t>Poprawka</w:t>
            </w:r>
          </w:p>
        </w:tc>
      </w:tr>
      <w:tr w:rsidR="00CE45E2" w:rsidRPr="00CE45E2" w14:paraId="3689F403" w14:textId="77777777" w:rsidTr="006476FB">
        <w:trPr>
          <w:jc w:val="center"/>
        </w:trPr>
        <w:tc>
          <w:tcPr>
            <w:tcW w:w="4876" w:type="dxa"/>
            <w:tcBorders>
              <w:top w:val="nil"/>
              <w:left w:val="nil"/>
              <w:bottom w:val="nil"/>
              <w:right w:val="nil"/>
            </w:tcBorders>
          </w:tcPr>
          <w:p w14:paraId="320A89B6" w14:textId="77777777" w:rsidR="00CE45E2" w:rsidRPr="00CE45E2" w:rsidRDefault="00CE45E2" w:rsidP="006476FB">
            <w:pPr>
              <w:pStyle w:val="Normal6a"/>
            </w:pPr>
            <w:r w:rsidRPr="00CE45E2">
              <w:t xml:space="preserve">Państwa członkowskie zapewniają, aby właściwy organ rodzimego państwa członkowskiego wydał uzasadnioną decyzję, o której mowa w akapicie pierwszym, w terminie </w:t>
            </w:r>
            <w:r w:rsidRPr="00CE45E2">
              <w:rPr>
                <w:b/>
                <w:bCs/>
                <w:i/>
                <w:iCs/>
              </w:rPr>
              <w:t>jednego miesiąca</w:t>
            </w:r>
            <w:r w:rsidRPr="00CE45E2">
              <w:t xml:space="preserve"> od otrzymania wszystkich informacji, o których mowa w ust. 3.”;</w:t>
            </w:r>
          </w:p>
        </w:tc>
        <w:tc>
          <w:tcPr>
            <w:tcW w:w="4876" w:type="dxa"/>
            <w:tcBorders>
              <w:top w:val="nil"/>
              <w:left w:val="nil"/>
              <w:bottom w:val="nil"/>
              <w:right w:val="nil"/>
            </w:tcBorders>
          </w:tcPr>
          <w:p w14:paraId="5951E9FA" w14:textId="77777777" w:rsidR="00CE45E2" w:rsidRPr="00CE45E2" w:rsidRDefault="00CE45E2" w:rsidP="006476FB">
            <w:pPr>
              <w:pStyle w:val="Normal6a"/>
            </w:pPr>
            <w:r w:rsidRPr="00CE45E2">
              <w:t>Państwa członkowskie zapewniają, aby właściwy organ rodzimego państwa członkowskiego wydał uzasadnioną decyzję, o której mowa w akapicie pierwszym, w terminie</w:t>
            </w:r>
            <w:r w:rsidRPr="00CE45E2">
              <w:rPr>
                <w:b/>
                <w:bCs/>
                <w:i/>
                <w:iCs/>
              </w:rPr>
              <w:t xml:space="preserve"> trzech miesięcy</w:t>
            </w:r>
            <w:r w:rsidRPr="00CE45E2">
              <w:t xml:space="preserve"> od otrzymania wszystkich informacji, o których mowa w ust. 3.”;</w:t>
            </w:r>
          </w:p>
        </w:tc>
      </w:tr>
    </w:tbl>
    <w:p w14:paraId="6562E8E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E8E19F9" w14:textId="77777777" w:rsidR="00CE45E2" w:rsidRPr="00CE45E2" w:rsidRDefault="00CE45E2" w:rsidP="00CE45E2">
      <w:r w:rsidRPr="00CE45E2">
        <w:rPr>
          <w:rStyle w:val="HideTWBExt"/>
        </w:rPr>
        <w:t>&lt;/Amend&gt;</w:t>
      </w:r>
    </w:p>
    <w:p w14:paraId="002A0656" w14:textId="14EBB31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249</w:t>
      </w:r>
      <w:r w:rsidRPr="00CE45E2">
        <w:rPr>
          <w:rStyle w:val="HideTWBExt"/>
          <w:b w:val="0"/>
        </w:rPr>
        <w:t>&lt;/NumAm&gt;</w:t>
      </w:r>
    </w:p>
    <w:p w14:paraId="6741C8B0"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61BCF1A9" w14:textId="77777777" w:rsidR="00CE45E2" w:rsidRPr="00CE45E2" w:rsidRDefault="00CE45E2" w:rsidP="00CE45E2">
      <w:pPr>
        <w:pStyle w:val="NormalBold"/>
      </w:pPr>
      <w:r w:rsidRPr="00CE45E2">
        <w:rPr>
          <w:rStyle w:val="HideTWBExt"/>
          <w:b w:val="0"/>
        </w:rPr>
        <w:t>&lt;/RepeatBlock-By&gt;</w:t>
      </w:r>
    </w:p>
    <w:p w14:paraId="288FD3F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0C2551C" w14:textId="77777777" w:rsidR="00CE45E2" w:rsidRPr="00CE45E2" w:rsidRDefault="00CE45E2" w:rsidP="00CE45E2">
      <w:pPr>
        <w:pStyle w:val="NormalBold"/>
      </w:pPr>
      <w:r w:rsidRPr="00CE45E2">
        <w:rPr>
          <w:rStyle w:val="HideTWBExt"/>
          <w:b w:val="0"/>
        </w:rPr>
        <w:t>&lt;Article&gt;</w:t>
      </w:r>
      <w:r w:rsidRPr="00CE45E2">
        <w:t>Artykuł 1 – akapit 1 – punkt 13 – litera b</w:t>
      </w:r>
      <w:r w:rsidRPr="00CE45E2">
        <w:rPr>
          <w:rStyle w:val="HideTWBExt"/>
          <w:b w:val="0"/>
        </w:rPr>
        <w:t>&lt;/Article&gt;</w:t>
      </w:r>
    </w:p>
    <w:p w14:paraId="2A47F27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52E3453" w14:textId="77777777" w:rsidR="00CE45E2" w:rsidRPr="00CE45E2" w:rsidRDefault="00CE45E2" w:rsidP="00CE45E2">
      <w:r w:rsidRPr="00CE45E2">
        <w:rPr>
          <w:rStyle w:val="HideTWBExt"/>
        </w:rPr>
        <w:t>&lt;Article2&gt;</w:t>
      </w:r>
      <w:r w:rsidRPr="00CE45E2">
        <w:t>Artykuł 11 – ustęp 4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8FB1376" w14:textId="77777777" w:rsidTr="006476FB">
        <w:trPr>
          <w:trHeight w:hRule="exact" w:val="240"/>
          <w:jc w:val="center"/>
        </w:trPr>
        <w:tc>
          <w:tcPr>
            <w:tcW w:w="9752" w:type="dxa"/>
            <w:gridSpan w:val="2"/>
            <w:tcBorders>
              <w:top w:val="nil"/>
              <w:left w:val="nil"/>
              <w:bottom w:val="nil"/>
              <w:right w:val="nil"/>
            </w:tcBorders>
          </w:tcPr>
          <w:p w14:paraId="789A0D3F" w14:textId="77777777" w:rsidR="00CE45E2" w:rsidRPr="00CE45E2" w:rsidRDefault="00CE45E2" w:rsidP="006476FB"/>
        </w:tc>
      </w:tr>
      <w:tr w:rsidR="00CE45E2" w:rsidRPr="00CE45E2" w14:paraId="4B2BD2B4" w14:textId="77777777" w:rsidTr="006476FB">
        <w:trPr>
          <w:trHeight w:val="240"/>
          <w:jc w:val="center"/>
        </w:trPr>
        <w:tc>
          <w:tcPr>
            <w:tcW w:w="4876" w:type="dxa"/>
            <w:tcBorders>
              <w:top w:val="nil"/>
              <w:left w:val="nil"/>
              <w:bottom w:val="nil"/>
              <w:right w:val="nil"/>
            </w:tcBorders>
          </w:tcPr>
          <w:p w14:paraId="63266D2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43688D2" w14:textId="77777777" w:rsidR="00CE45E2" w:rsidRPr="00CE45E2" w:rsidRDefault="00CE45E2" w:rsidP="006476FB">
            <w:pPr>
              <w:pStyle w:val="AmColumnHeading"/>
            </w:pPr>
            <w:r w:rsidRPr="00CE45E2">
              <w:t>Poprawka</w:t>
            </w:r>
          </w:p>
        </w:tc>
      </w:tr>
      <w:tr w:rsidR="00CE45E2" w:rsidRPr="00CE45E2" w14:paraId="266B68D4" w14:textId="77777777" w:rsidTr="006476FB">
        <w:trPr>
          <w:jc w:val="center"/>
        </w:trPr>
        <w:tc>
          <w:tcPr>
            <w:tcW w:w="4876" w:type="dxa"/>
            <w:tcBorders>
              <w:top w:val="nil"/>
              <w:left w:val="nil"/>
              <w:bottom w:val="nil"/>
              <w:right w:val="nil"/>
            </w:tcBorders>
          </w:tcPr>
          <w:p w14:paraId="6B3F2B3D" w14:textId="77777777" w:rsidR="00CE45E2" w:rsidRPr="00CE45E2" w:rsidRDefault="00CE45E2" w:rsidP="006476FB">
            <w:pPr>
              <w:pStyle w:val="Normal6a"/>
            </w:pPr>
            <w:r w:rsidRPr="00CE45E2">
              <w:t xml:space="preserve">Państwa członkowskie zapewniają, aby właściwy organ rodzimego państwa członkowskiego wydał uzasadnioną decyzję, o której mowa w akapicie pierwszym, w terminie </w:t>
            </w:r>
            <w:r w:rsidRPr="00CE45E2">
              <w:rPr>
                <w:b/>
                <w:bCs/>
                <w:i/>
                <w:iCs/>
              </w:rPr>
              <w:t>jednego miesiąca</w:t>
            </w:r>
            <w:r w:rsidRPr="00CE45E2">
              <w:t xml:space="preserve"> od otrzymania wszystkich informacji, o których mowa w ust. 3.”;</w:t>
            </w:r>
          </w:p>
        </w:tc>
        <w:tc>
          <w:tcPr>
            <w:tcW w:w="4876" w:type="dxa"/>
            <w:tcBorders>
              <w:top w:val="nil"/>
              <w:left w:val="nil"/>
              <w:bottom w:val="nil"/>
              <w:right w:val="nil"/>
            </w:tcBorders>
          </w:tcPr>
          <w:p w14:paraId="716AB9EB" w14:textId="77777777" w:rsidR="00CE45E2" w:rsidRPr="00CE45E2" w:rsidRDefault="00CE45E2" w:rsidP="006476FB">
            <w:pPr>
              <w:pStyle w:val="Normal6a"/>
            </w:pPr>
            <w:r w:rsidRPr="00CE45E2">
              <w:t>Państwa członkowskie zapewniają, aby właściwy organ rodzimego państwa członkowskiego wydał uzasadnioną decyzję, o której mowa w akapicie pierwszym, w terminie</w:t>
            </w:r>
            <w:r w:rsidRPr="00CE45E2">
              <w:rPr>
                <w:b/>
                <w:bCs/>
                <w:i/>
                <w:iCs/>
              </w:rPr>
              <w:t xml:space="preserve"> trzech miesięcy</w:t>
            </w:r>
            <w:r w:rsidRPr="00CE45E2">
              <w:t xml:space="preserve"> od otrzymania wszystkich informacji, o których mowa w ust. 3.”;</w:t>
            </w:r>
          </w:p>
        </w:tc>
      </w:tr>
    </w:tbl>
    <w:p w14:paraId="01A15B9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64484A2"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DA0F23A" w14:textId="77777777" w:rsidR="00CE45E2" w:rsidRPr="00CE45E2" w:rsidRDefault="00CE45E2" w:rsidP="00CE45E2">
      <w:pPr>
        <w:pStyle w:val="AmJustText"/>
      </w:pPr>
      <w:r w:rsidRPr="00CE45E2">
        <w:t>Właściwy organ krajowy potrzebuje trzech miesięcy na przeprowadzenie dokładnej oceny oraz ochronę interesów poszczególnych uczestników i beneficjentów w odnośnych krajach.</w:t>
      </w:r>
    </w:p>
    <w:p w14:paraId="127962F8" w14:textId="77777777" w:rsidR="00CE45E2" w:rsidRPr="00CE45E2" w:rsidRDefault="00CE45E2" w:rsidP="00CE45E2">
      <w:r w:rsidRPr="00CE45E2">
        <w:rPr>
          <w:rStyle w:val="HideTWBExt"/>
        </w:rPr>
        <w:t>&lt;/Amend&gt;</w:t>
      </w:r>
    </w:p>
    <w:p w14:paraId="3DAB6E95" w14:textId="6AC9042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250</w:t>
      </w:r>
      <w:r w:rsidRPr="00CE45E2">
        <w:rPr>
          <w:rStyle w:val="HideTWBExt"/>
          <w:b w:val="0"/>
        </w:rPr>
        <w:t>&lt;/NumAm&gt;</w:t>
      </w:r>
    </w:p>
    <w:p w14:paraId="74BE28D6"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3E318A5C" w14:textId="77777777" w:rsidR="00CE45E2" w:rsidRPr="00CE45E2" w:rsidRDefault="00CE45E2" w:rsidP="00CE45E2">
      <w:pPr>
        <w:pStyle w:val="NormalBold"/>
      </w:pPr>
      <w:r w:rsidRPr="00CE45E2">
        <w:rPr>
          <w:rStyle w:val="HideTWBExt"/>
          <w:b w:val="0"/>
        </w:rPr>
        <w:t>&lt;/RepeatBlock-By&gt;</w:t>
      </w:r>
    </w:p>
    <w:p w14:paraId="0D95C59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5C8EC7F" w14:textId="77777777" w:rsidR="00CE45E2" w:rsidRPr="00CE45E2" w:rsidRDefault="00CE45E2" w:rsidP="00CE45E2">
      <w:pPr>
        <w:pStyle w:val="NormalBold"/>
      </w:pPr>
      <w:r w:rsidRPr="00CE45E2">
        <w:rPr>
          <w:rStyle w:val="HideTWBExt"/>
          <w:b w:val="0"/>
        </w:rPr>
        <w:t>&lt;Article&gt;</w:t>
      </w:r>
      <w:r w:rsidRPr="00CE45E2">
        <w:t>Artykuł 1 – akapit 1 – punkt 13 – litera b</w:t>
      </w:r>
      <w:r w:rsidRPr="00CE45E2">
        <w:rPr>
          <w:rStyle w:val="HideTWBExt"/>
          <w:b w:val="0"/>
        </w:rPr>
        <w:t>&lt;/Article&gt;</w:t>
      </w:r>
    </w:p>
    <w:p w14:paraId="48258D0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3A0AEB8" w14:textId="77777777" w:rsidR="00CE45E2" w:rsidRPr="00CE45E2" w:rsidRDefault="00CE45E2" w:rsidP="00CE45E2">
      <w:r w:rsidRPr="00CE45E2">
        <w:rPr>
          <w:rStyle w:val="HideTWBExt"/>
        </w:rPr>
        <w:t>&lt;Article2&gt;</w:t>
      </w:r>
      <w:r w:rsidRPr="00CE45E2">
        <w:t>Artykuł 11 – ustęp 4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603D3A9" w14:textId="77777777" w:rsidTr="006476FB">
        <w:trPr>
          <w:trHeight w:hRule="exact" w:val="240"/>
          <w:jc w:val="center"/>
        </w:trPr>
        <w:tc>
          <w:tcPr>
            <w:tcW w:w="9752" w:type="dxa"/>
            <w:gridSpan w:val="2"/>
            <w:tcBorders>
              <w:top w:val="nil"/>
              <w:left w:val="nil"/>
              <w:bottom w:val="nil"/>
              <w:right w:val="nil"/>
            </w:tcBorders>
          </w:tcPr>
          <w:p w14:paraId="265BACE0" w14:textId="77777777" w:rsidR="00CE45E2" w:rsidRPr="00CE45E2" w:rsidRDefault="00CE45E2" w:rsidP="006476FB"/>
        </w:tc>
      </w:tr>
      <w:tr w:rsidR="00CE45E2" w:rsidRPr="00CE45E2" w14:paraId="6A6AF2C0" w14:textId="77777777" w:rsidTr="006476FB">
        <w:trPr>
          <w:trHeight w:val="240"/>
          <w:jc w:val="center"/>
        </w:trPr>
        <w:tc>
          <w:tcPr>
            <w:tcW w:w="4876" w:type="dxa"/>
            <w:tcBorders>
              <w:top w:val="nil"/>
              <w:left w:val="nil"/>
              <w:bottom w:val="nil"/>
              <w:right w:val="nil"/>
            </w:tcBorders>
          </w:tcPr>
          <w:p w14:paraId="7BDBBC6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7D7BC98" w14:textId="77777777" w:rsidR="00CE45E2" w:rsidRPr="00CE45E2" w:rsidRDefault="00CE45E2" w:rsidP="006476FB">
            <w:pPr>
              <w:pStyle w:val="AmColumnHeading"/>
            </w:pPr>
            <w:r w:rsidRPr="00CE45E2">
              <w:t>Poprawka</w:t>
            </w:r>
          </w:p>
        </w:tc>
      </w:tr>
      <w:tr w:rsidR="00CE45E2" w:rsidRPr="00CE45E2" w14:paraId="057C644F" w14:textId="77777777" w:rsidTr="006476FB">
        <w:trPr>
          <w:jc w:val="center"/>
        </w:trPr>
        <w:tc>
          <w:tcPr>
            <w:tcW w:w="4876" w:type="dxa"/>
            <w:tcBorders>
              <w:top w:val="nil"/>
              <w:left w:val="nil"/>
              <w:bottom w:val="nil"/>
              <w:right w:val="nil"/>
            </w:tcBorders>
          </w:tcPr>
          <w:p w14:paraId="23EFA04B" w14:textId="77777777" w:rsidR="00CE45E2" w:rsidRPr="00CE45E2" w:rsidRDefault="00CE45E2" w:rsidP="006476FB">
            <w:pPr>
              <w:pStyle w:val="Normal6a"/>
            </w:pPr>
            <w:r w:rsidRPr="00CE45E2">
              <w:t xml:space="preserve">Państwa członkowskie zapewniają, aby właściwy organ rodzimego państwa członkowskiego wydał uzasadnioną decyzję, o której mowa w akapicie pierwszym, w terminie </w:t>
            </w:r>
            <w:r w:rsidRPr="00CE45E2">
              <w:rPr>
                <w:b/>
                <w:bCs/>
                <w:i/>
                <w:iCs/>
              </w:rPr>
              <w:t>jednego miesiąca</w:t>
            </w:r>
            <w:r w:rsidRPr="00CE45E2">
              <w:t xml:space="preserve"> od otrzymania wszystkich informacji, o których mowa w ust. 3.”;</w:t>
            </w:r>
          </w:p>
        </w:tc>
        <w:tc>
          <w:tcPr>
            <w:tcW w:w="4876" w:type="dxa"/>
            <w:tcBorders>
              <w:top w:val="nil"/>
              <w:left w:val="nil"/>
              <w:bottom w:val="nil"/>
              <w:right w:val="nil"/>
            </w:tcBorders>
          </w:tcPr>
          <w:p w14:paraId="3AE53058" w14:textId="77777777" w:rsidR="00CE45E2" w:rsidRPr="00CE45E2" w:rsidRDefault="00CE45E2" w:rsidP="006476FB">
            <w:pPr>
              <w:pStyle w:val="Normal6a"/>
            </w:pPr>
            <w:r w:rsidRPr="00CE45E2">
              <w:t>Państwa członkowskie zapewniają, aby właściwy organ rodzimego państwa członkowskiego wydał uzasadnioną decyzję, o której mowa w akapicie pierwszym, w terminie</w:t>
            </w:r>
            <w:r w:rsidRPr="00CE45E2">
              <w:rPr>
                <w:b/>
                <w:bCs/>
                <w:i/>
                <w:iCs/>
              </w:rPr>
              <w:t xml:space="preserve"> trzech miesięcy</w:t>
            </w:r>
            <w:r w:rsidRPr="00CE45E2">
              <w:t xml:space="preserve"> od otrzymania wszystkich informacji, o których mowa w ust. 3.”;</w:t>
            </w:r>
          </w:p>
        </w:tc>
      </w:tr>
    </w:tbl>
    <w:p w14:paraId="1020D0F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5FE4CC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17D46A74" w14:textId="77777777" w:rsidR="00CE45E2" w:rsidRPr="00CE45E2" w:rsidRDefault="00CE45E2" w:rsidP="00CE45E2">
      <w:pPr>
        <w:pStyle w:val="AmJustText"/>
      </w:pPr>
      <w:r w:rsidRPr="00CE45E2">
        <w:t>Właściwy organ krajowy potrzebuje trzech miesięcy na przeprowadzenie dokładnej oceny oraz ochronę interesów poszczególnych uczestników i beneficjentów w odnośnych krajach.</w:t>
      </w:r>
    </w:p>
    <w:p w14:paraId="4B0496CB" w14:textId="77777777" w:rsidR="00CE45E2" w:rsidRPr="00CE45E2" w:rsidRDefault="00CE45E2" w:rsidP="00CE45E2">
      <w:r w:rsidRPr="00CE45E2">
        <w:rPr>
          <w:rStyle w:val="HideTWBExt"/>
        </w:rPr>
        <w:t>&lt;/Amend&gt;</w:t>
      </w:r>
    </w:p>
    <w:p w14:paraId="2FE894D5" w14:textId="0448460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251</w:t>
      </w:r>
      <w:r w:rsidRPr="00CE45E2">
        <w:rPr>
          <w:rStyle w:val="HideTWBExt"/>
          <w:b w:val="0"/>
        </w:rPr>
        <w:t>&lt;/NumAm&gt;</w:t>
      </w:r>
    </w:p>
    <w:p w14:paraId="08A2693A"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59AB923D" w14:textId="77777777" w:rsidR="00CE45E2" w:rsidRPr="00CE45E2" w:rsidRDefault="00CE45E2" w:rsidP="00CE45E2">
      <w:pPr>
        <w:pStyle w:val="NormalBold"/>
      </w:pPr>
      <w:r w:rsidRPr="00CE45E2">
        <w:rPr>
          <w:rStyle w:val="HideTWBExt"/>
          <w:b w:val="0"/>
        </w:rPr>
        <w:t>&lt;/RepeatBlock-By&gt;</w:t>
      </w:r>
    </w:p>
    <w:p w14:paraId="2616028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56BE31D" w14:textId="77777777" w:rsidR="00CE45E2" w:rsidRPr="00CE45E2" w:rsidRDefault="00CE45E2" w:rsidP="00CE45E2">
      <w:pPr>
        <w:pStyle w:val="NormalBold"/>
      </w:pPr>
      <w:r w:rsidRPr="00CE45E2">
        <w:rPr>
          <w:rStyle w:val="HideTWBExt"/>
          <w:b w:val="0"/>
        </w:rPr>
        <w:t>&lt;Article&gt;</w:t>
      </w:r>
      <w:r w:rsidRPr="00CE45E2">
        <w:t>Artykuł 1 – akapit 1 – punkt 13 – litera b a (nowa)</w:t>
      </w:r>
      <w:r w:rsidRPr="00CE45E2">
        <w:rPr>
          <w:rStyle w:val="HideTWBExt"/>
          <w:b w:val="0"/>
        </w:rPr>
        <w:t>&lt;/Article&gt;</w:t>
      </w:r>
    </w:p>
    <w:p w14:paraId="06F4A2D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21884CC" w14:textId="77777777" w:rsidR="00CE45E2" w:rsidRPr="00CE45E2" w:rsidRDefault="00CE45E2" w:rsidP="00CE45E2">
      <w:r w:rsidRPr="00CE45E2">
        <w:rPr>
          <w:rStyle w:val="HideTWBExt"/>
        </w:rPr>
        <w:t>&lt;Article2&gt;</w:t>
      </w:r>
      <w:r w:rsidRPr="00CE45E2">
        <w:t>Artykuł 11 – ustęp 5</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87848FD" w14:textId="77777777" w:rsidTr="006476FB">
        <w:trPr>
          <w:trHeight w:hRule="exact" w:val="240"/>
          <w:jc w:val="center"/>
        </w:trPr>
        <w:tc>
          <w:tcPr>
            <w:tcW w:w="9752" w:type="dxa"/>
            <w:gridSpan w:val="2"/>
            <w:tcBorders>
              <w:top w:val="nil"/>
              <w:left w:val="nil"/>
              <w:bottom w:val="nil"/>
              <w:right w:val="nil"/>
            </w:tcBorders>
          </w:tcPr>
          <w:p w14:paraId="31AB6CC3" w14:textId="77777777" w:rsidR="00CE45E2" w:rsidRPr="00CE45E2" w:rsidRDefault="00CE45E2" w:rsidP="006476FB"/>
        </w:tc>
      </w:tr>
      <w:tr w:rsidR="00CE45E2" w:rsidRPr="00CE45E2" w14:paraId="54C0E596" w14:textId="77777777" w:rsidTr="006476FB">
        <w:trPr>
          <w:trHeight w:val="240"/>
          <w:jc w:val="center"/>
        </w:trPr>
        <w:tc>
          <w:tcPr>
            <w:tcW w:w="4876" w:type="dxa"/>
            <w:tcBorders>
              <w:top w:val="nil"/>
              <w:left w:val="nil"/>
              <w:bottom w:val="nil"/>
              <w:right w:val="nil"/>
            </w:tcBorders>
          </w:tcPr>
          <w:p w14:paraId="5994C4B6"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3B4B59CD" w14:textId="77777777" w:rsidR="00CE45E2" w:rsidRPr="00CE45E2" w:rsidRDefault="00CE45E2" w:rsidP="006476FB">
            <w:pPr>
              <w:pStyle w:val="AmColumnHeading"/>
            </w:pPr>
            <w:r w:rsidRPr="00CE45E2">
              <w:t>Poprawka</w:t>
            </w:r>
          </w:p>
        </w:tc>
      </w:tr>
      <w:tr w:rsidR="00CE45E2" w:rsidRPr="00CE45E2" w14:paraId="4DBD0B80" w14:textId="77777777" w:rsidTr="006476FB">
        <w:trPr>
          <w:jc w:val="center"/>
        </w:trPr>
        <w:tc>
          <w:tcPr>
            <w:tcW w:w="4876" w:type="dxa"/>
            <w:tcBorders>
              <w:top w:val="nil"/>
              <w:left w:val="nil"/>
              <w:bottom w:val="nil"/>
              <w:right w:val="nil"/>
            </w:tcBorders>
          </w:tcPr>
          <w:p w14:paraId="07349CB6" w14:textId="77777777" w:rsidR="00CE45E2" w:rsidRPr="00CE45E2" w:rsidRDefault="00CE45E2" w:rsidP="006476FB">
            <w:pPr>
              <w:pStyle w:val="Normal6a"/>
            </w:pPr>
          </w:p>
        </w:tc>
        <w:tc>
          <w:tcPr>
            <w:tcW w:w="4876" w:type="dxa"/>
            <w:tcBorders>
              <w:top w:val="nil"/>
              <w:left w:val="nil"/>
              <w:bottom w:val="nil"/>
              <w:right w:val="nil"/>
            </w:tcBorders>
          </w:tcPr>
          <w:p w14:paraId="086CB734" w14:textId="77777777" w:rsidR="00CE45E2" w:rsidRPr="00CE45E2" w:rsidRDefault="00CE45E2" w:rsidP="006476FB">
            <w:pPr>
              <w:pStyle w:val="Normal6a"/>
            </w:pPr>
            <w:r w:rsidRPr="00CE45E2">
              <w:rPr>
                <w:b/>
                <w:i/>
              </w:rPr>
              <w:t>ba)</w:t>
            </w:r>
            <w:r w:rsidRPr="00CE45E2">
              <w:tab/>
            </w:r>
            <w:r w:rsidRPr="00CE45E2">
              <w:rPr>
                <w:b/>
                <w:i/>
              </w:rPr>
              <w:t>w ust. 5 wprowadza się następujące zmiany:</w:t>
            </w:r>
          </w:p>
        </w:tc>
      </w:tr>
      <w:tr w:rsidR="00CE45E2" w:rsidRPr="00CE45E2" w14:paraId="0C4D5B82" w14:textId="77777777" w:rsidTr="006476FB">
        <w:trPr>
          <w:jc w:val="center"/>
        </w:trPr>
        <w:tc>
          <w:tcPr>
            <w:tcW w:w="4876" w:type="dxa"/>
            <w:tcBorders>
              <w:top w:val="nil"/>
              <w:left w:val="nil"/>
              <w:bottom w:val="nil"/>
              <w:right w:val="nil"/>
            </w:tcBorders>
          </w:tcPr>
          <w:p w14:paraId="686EFD85" w14:textId="77777777" w:rsidR="00CE45E2" w:rsidRPr="00CE45E2" w:rsidRDefault="00CE45E2" w:rsidP="006476FB">
            <w:pPr>
              <w:pStyle w:val="Normal6a"/>
            </w:pPr>
            <w:r w:rsidRPr="00CE45E2">
              <w:t xml:space="preserve">5. Gdy właściwy organ rodzimego państwa członkowskiego nie przekaże informacji, o których mowa w ust. 3, właściwemu organowi przyjmującego państwa członkowskiego, przedstawia on zainteresowanej IORP uzasadnienie takiego postępowania w ciągu </w:t>
            </w:r>
            <w:r w:rsidRPr="00CE45E2">
              <w:rPr>
                <w:b/>
                <w:bCs/>
                <w:i/>
                <w:iCs/>
              </w:rPr>
              <w:t>trzech miesięcy</w:t>
            </w:r>
            <w:r w:rsidRPr="00CE45E2">
              <w:t xml:space="preserve"> od otrzymania wszystkich tych informacji. W przypadku nieprzekazania informacji przysługuje prawo do odwołania się do sądu w rodzimym państwie członkowskim.</w:t>
            </w:r>
          </w:p>
        </w:tc>
        <w:tc>
          <w:tcPr>
            <w:tcW w:w="4876" w:type="dxa"/>
            <w:tcBorders>
              <w:top w:val="nil"/>
              <w:left w:val="nil"/>
              <w:bottom w:val="nil"/>
              <w:right w:val="nil"/>
            </w:tcBorders>
          </w:tcPr>
          <w:p w14:paraId="0500D739" w14:textId="77777777" w:rsidR="00CE45E2" w:rsidRPr="00CE45E2" w:rsidRDefault="00CE45E2" w:rsidP="006476FB">
            <w:pPr>
              <w:pStyle w:val="Normal6a"/>
            </w:pPr>
            <w:r w:rsidRPr="00CE45E2">
              <w:rPr>
                <w:b/>
                <w:bCs/>
                <w:i/>
                <w:iCs/>
              </w:rPr>
              <w:t>„</w:t>
            </w:r>
            <w:r w:rsidRPr="00CE45E2">
              <w:t xml:space="preserve">5. Gdy właściwy organ rodzimego państwa członkowskiego nie przekaże informacji, o których mowa w ust. 3, właściwemu organowi przyjmującego państwa członkowskiego, przedstawia on zainteresowanej IORP uzasadnienie takiego postępowania w ciągu </w:t>
            </w:r>
            <w:r w:rsidRPr="00CE45E2">
              <w:rPr>
                <w:b/>
                <w:bCs/>
                <w:i/>
                <w:iCs/>
              </w:rPr>
              <w:t>jednego miesiąca</w:t>
            </w:r>
            <w:r w:rsidRPr="00CE45E2">
              <w:t xml:space="preserve"> od otrzymania wszystkich tych informacji. W przypadku nieprzekazania informacji przysługuje prawo do odwołania się do sądu w rodzimym państwie członkowskim.</w:t>
            </w:r>
            <w:r w:rsidRPr="00CE45E2">
              <w:rPr>
                <w:b/>
                <w:bCs/>
                <w:i/>
                <w:iCs/>
              </w:rPr>
              <w:t>”</w:t>
            </w:r>
          </w:p>
        </w:tc>
      </w:tr>
    </w:tbl>
    <w:p w14:paraId="0EBC4DB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8FF1862" w14:textId="77777777" w:rsidR="00CE45E2" w:rsidRPr="00CE45E2" w:rsidRDefault="00CE45E2" w:rsidP="00CE45E2">
      <w:pPr>
        <w:pStyle w:val="AmCrossRef"/>
      </w:pPr>
      <w:r w:rsidRPr="00CE45E2">
        <w:t>(32016L2341)</w:t>
      </w:r>
    </w:p>
    <w:p w14:paraId="1D5767CE" w14:textId="77777777" w:rsidR="00CE45E2" w:rsidRPr="00CE45E2" w:rsidRDefault="00CE45E2" w:rsidP="00CE45E2">
      <w:r w:rsidRPr="00CE45E2">
        <w:rPr>
          <w:rStyle w:val="HideTWBExt"/>
        </w:rPr>
        <w:t>&lt;/Amend&gt;</w:t>
      </w:r>
    </w:p>
    <w:p w14:paraId="2010FF0D" w14:textId="7A1C44A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252</w:t>
      </w:r>
      <w:r w:rsidRPr="00CE45E2">
        <w:rPr>
          <w:rStyle w:val="HideTWBExt"/>
          <w:b w:val="0"/>
        </w:rPr>
        <w:t>&lt;/NumAm&gt;</w:t>
      </w:r>
    </w:p>
    <w:p w14:paraId="47154D52"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17441417" w14:textId="77777777" w:rsidR="00CE45E2" w:rsidRPr="00CE45E2" w:rsidRDefault="00CE45E2" w:rsidP="00CE45E2">
      <w:pPr>
        <w:pStyle w:val="NormalBold"/>
      </w:pPr>
      <w:r w:rsidRPr="00CE45E2">
        <w:rPr>
          <w:rStyle w:val="HideTWBExt"/>
          <w:b w:val="0"/>
        </w:rPr>
        <w:t>&lt;/RepeatBlock-By&gt;</w:t>
      </w:r>
    </w:p>
    <w:p w14:paraId="29C36CE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935BCC0" w14:textId="77777777" w:rsidR="00CE45E2" w:rsidRPr="00CE45E2" w:rsidRDefault="00CE45E2" w:rsidP="00CE45E2">
      <w:pPr>
        <w:pStyle w:val="NormalBold"/>
      </w:pPr>
      <w:r w:rsidRPr="00CE45E2">
        <w:rPr>
          <w:rStyle w:val="HideTWBExt"/>
          <w:b w:val="0"/>
        </w:rPr>
        <w:t>&lt;Article&gt;</w:t>
      </w:r>
      <w:r w:rsidRPr="00CE45E2">
        <w:t>Artykuł 1 – akapit 1 – punkt 13 – litera c</w:t>
      </w:r>
      <w:r w:rsidRPr="00CE45E2">
        <w:rPr>
          <w:rStyle w:val="HideTWBExt"/>
          <w:b w:val="0"/>
        </w:rPr>
        <w:t>&lt;/Article&gt;</w:t>
      </w:r>
    </w:p>
    <w:p w14:paraId="2D96DBA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F748D14" w14:textId="77777777" w:rsidR="00CE45E2" w:rsidRPr="00CE45E2" w:rsidRDefault="00CE45E2" w:rsidP="00CE45E2">
      <w:r w:rsidRPr="00CE45E2">
        <w:rPr>
          <w:rStyle w:val="HideTWBExt"/>
        </w:rPr>
        <w:t>&lt;Article2&gt;</w:t>
      </w:r>
      <w:r w:rsidRPr="00CE45E2">
        <w:t>Artykuł 11 – ustęp 6</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524125D" w14:textId="77777777" w:rsidTr="006476FB">
        <w:trPr>
          <w:trHeight w:hRule="exact" w:val="240"/>
          <w:jc w:val="center"/>
        </w:trPr>
        <w:tc>
          <w:tcPr>
            <w:tcW w:w="9752" w:type="dxa"/>
            <w:gridSpan w:val="2"/>
            <w:tcBorders>
              <w:top w:val="nil"/>
              <w:left w:val="nil"/>
              <w:bottom w:val="nil"/>
              <w:right w:val="nil"/>
            </w:tcBorders>
          </w:tcPr>
          <w:p w14:paraId="0554E6BA" w14:textId="77777777" w:rsidR="00CE45E2" w:rsidRPr="00CE45E2" w:rsidRDefault="00CE45E2" w:rsidP="006476FB"/>
        </w:tc>
      </w:tr>
      <w:tr w:rsidR="00CE45E2" w:rsidRPr="00CE45E2" w14:paraId="1029D92C" w14:textId="77777777" w:rsidTr="006476FB">
        <w:trPr>
          <w:trHeight w:val="240"/>
          <w:jc w:val="center"/>
        </w:trPr>
        <w:tc>
          <w:tcPr>
            <w:tcW w:w="4876" w:type="dxa"/>
            <w:tcBorders>
              <w:top w:val="nil"/>
              <w:left w:val="nil"/>
              <w:bottom w:val="nil"/>
              <w:right w:val="nil"/>
            </w:tcBorders>
          </w:tcPr>
          <w:p w14:paraId="73E1346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1A348BA" w14:textId="77777777" w:rsidR="00CE45E2" w:rsidRPr="00CE45E2" w:rsidRDefault="00CE45E2" w:rsidP="006476FB">
            <w:pPr>
              <w:pStyle w:val="AmColumnHeading"/>
            </w:pPr>
            <w:r w:rsidRPr="00CE45E2">
              <w:t>Poprawka</w:t>
            </w:r>
          </w:p>
        </w:tc>
      </w:tr>
      <w:tr w:rsidR="00CE45E2" w:rsidRPr="00CE45E2" w14:paraId="29D93459" w14:textId="77777777" w:rsidTr="006476FB">
        <w:trPr>
          <w:jc w:val="center"/>
        </w:trPr>
        <w:tc>
          <w:tcPr>
            <w:tcW w:w="4876" w:type="dxa"/>
            <w:tcBorders>
              <w:top w:val="nil"/>
              <w:left w:val="nil"/>
              <w:bottom w:val="nil"/>
              <w:right w:val="nil"/>
            </w:tcBorders>
          </w:tcPr>
          <w:p w14:paraId="307D190B" w14:textId="77777777" w:rsidR="00CE45E2" w:rsidRPr="00CE45E2" w:rsidRDefault="00CE45E2" w:rsidP="006476FB">
            <w:pPr>
              <w:pStyle w:val="Normal6a"/>
            </w:pPr>
            <w:r w:rsidRPr="00CE45E2">
              <w:t>6.</w:t>
            </w:r>
            <w:r w:rsidRPr="00CE45E2">
              <w:tab/>
              <w:t>IORP prowadząca działalność transgraniczną podlega wprowadzonym przez przyjmujące państwo członkowskie wymogom dotyczącym przekazywania informacji, o których mowa w tytule IV, potencjalnym uczestnikom, uczestnikom i beneficjentom, których dotyczy ta działalność transgraniczna</w:t>
            </w:r>
            <w:r w:rsidRPr="00CE45E2">
              <w:rPr>
                <w:b/>
                <w:bCs/>
                <w:i/>
                <w:iCs/>
              </w:rPr>
              <w:t>, z wyjątkiem informacji o świadczeniu emerytalnym, o której mowa w art. 38 i która podlega zharmonizowanym przepisom unijnym zgodnie z ust. 6 tego artykułu</w:t>
            </w:r>
            <w:r w:rsidRPr="00CE45E2">
              <w:t>.</w:t>
            </w:r>
          </w:p>
        </w:tc>
        <w:tc>
          <w:tcPr>
            <w:tcW w:w="4876" w:type="dxa"/>
            <w:tcBorders>
              <w:top w:val="nil"/>
              <w:left w:val="nil"/>
              <w:bottom w:val="nil"/>
              <w:right w:val="nil"/>
            </w:tcBorders>
          </w:tcPr>
          <w:p w14:paraId="4A368D58" w14:textId="77777777" w:rsidR="00CE45E2" w:rsidRPr="00CE45E2" w:rsidRDefault="00CE45E2" w:rsidP="006476FB">
            <w:pPr>
              <w:pStyle w:val="Normal6a"/>
            </w:pPr>
            <w:r w:rsidRPr="00CE45E2">
              <w:t>6.</w:t>
            </w:r>
            <w:r w:rsidRPr="00CE45E2">
              <w:tab/>
              <w:t>IORP prowadząca działalność transgraniczną podlega wprowadzonym przez przyjmujące państwo członkowskie wymogom dotyczącym przekazywania informacji, o których mowa w tytule IV, potencjalnym uczestnikom, uczestnikom i beneficjentom, których dotyczy ta działalność transgraniczna.</w:t>
            </w:r>
          </w:p>
        </w:tc>
      </w:tr>
    </w:tbl>
    <w:p w14:paraId="0CBA09D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817FF81"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BB1CA83" w14:textId="77777777" w:rsidR="00CE45E2" w:rsidRPr="00CE45E2" w:rsidRDefault="00CE45E2" w:rsidP="00CE45E2">
      <w:pPr>
        <w:pStyle w:val="AmJustText"/>
      </w:pPr>
      <w:r w:rsidRPr="00CE45E2">
        <w:t>Celem poprawki jest zachowanie spójności z naszą poprawką do art. 38 ust. 6.</w:t>
      </w:r>
    </w:p>
    <w:p w14:paraId="5EB2C47A" w14:textId="77777777" w:rsidR="00CE45E2" w:rsidRPr="00CE45E2" w:rsidRDefault="00CE45E2" w:rsidP="00CE45E2">
      <w:r w:rsidRPr="00CE45E2">
        <w:rPr>
          <w:rStyle w:val="HideTWBExt"/>
        </w:rPr>
        <w:t>&lt;/Amend&gt;</w:t>
      </w:r>
    </w:p>
    <w:p w14:paraId="17F8D928" w14:textId="270E78F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253</w:t>
      </w:r>
      <w:r w:rsidRPr="00CE45E2">
        <w:rPr>
          <w:rStyle w:val="HideTWBExt"/>
          <w:b w:val="0"/>
        </w:rPr>
        <w:t>&lt;/NumAm&gt;</w:t>
      </w:r>
    </w:p>
    <w:p w14:paraId="40AFA26E"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CF73A11" w14:textId="77777777" w:rsidR="00CE45E2" w:rsidRPr="00CE45E2" w:rsidRDefault="00CE45E2" w:rsidP="00CE45E2">
      <w:pPr>
        <w:pStyle w:val="NormalBold"/>
      </w:pPr>
      <w:r w:rsidRPr="00CE45E2">
        <w:rPr>
          <w:rStyle w:val="HideTWBExt"/>
          <w:b w:val="0"/>
        </w:rPr>
        <w:t>&lt;/RepeatBlock-By&gt;</w:t>
      </w:r>
    </w:p>
    <w:p w14:paraId="237B6B6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0D518DA" w14:textId="77777777" w:rsidR="00CE45E2" w:rsidRPr="00CE45E2" w:rsidRDefault="00CE45E2" w:rsidP="00CE45E2">
      <w:pPr>
        <w:pStyle w:val="NormalBold"/>
      </w:pPr>
      <w:r w:rsidRPr="00CE45E2">
        <w:rPr>
          <w:rStyle w:val="HideTWBExt"/>
          <w:b w:val="0"/>
        </w:rPr>
        <w:t>&lt;Article&gt;</w:t>
      </w:r>
      <w:r w:rsidRPr="00CE45E2">
        <w:t>Artykuł 1 – akapit 1 – punkt 13 – litera c</w:t>
      </w:r>
      <w:r w:rsidRPr="00CE45E2">
        <w:rPr>
          <w:rStyle w:val="HideTWBExt"/>
          <w:b w:val="0"/>
        </w:rPr>
        <w:t>&lt;/Article&gt;</w:t>
      </w:r>
    </w:p>
    <w:p w14:paraId="1A273E6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E91119C" w14:textId="77777777" w:rsidR="00CE45E2" w:rsidRPr="00CE45E2" w:rsidRDefault="00CE45E2" w:rsidP="00CE45E2">
      <w:r w:rsidRPr="00CE45E2">
        <w:rPr>
          <w:rStyle w:val="HideTWBExt"/>
        </w:rPr>
        <w:t>&lt;Article2&gt;</w:t>
      </w:r>
      <w:r w:rsidRPr="00CE45E2">
        <w:t>Artykuł 11 – ustęp 6</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669187F" w14:textId="77777777" w:rsidTr="006476FB">
        <w:trPr>
          <w:trHeight w:hRule="exact" w:val="240"/>
          <w:jc w:val="center"/>
        </w:trPr>
        <w:tc>
          <w:tcPr>
            <w:tcW w:w="9752" w:type="dxa"/>
            <w:gridSpan w:val="2"/>
            <w:tcBorders>
              <w:top w:val="nil"/>
              <w:left w:val="nil"/>
              <w:bottom w:val="nil"/>
              <w:right w:val="nil"/>
            </w:tcBorders>
          </w:tcPr>
          <w:p w14:paraId="4E5D8FF9" w14:textId="77777777" w:rsidR="00CE45E2" w:rsidRPr="00CE45E2" w:rsidRDefault="00CE45E2" w:rsidP="006476FB"/>
        </w:tc>
      </w:tr>
      <w:tr w:rsidR="00CE45E2" w:rsidRPr="00CE45E2" w14:paraId="27B3E0DA" w14:textId="77777777" w:rsidTr="006476FB">
        <w:trPr>
          <w:trHeight w:val="240"/>
          <w:jc w:val="center"/>
        </w:trPr>
        <w:tc>
          <w:tcPr>
            <w:tcW w:w="4876" w:type="dxa"/>
            <w:tcBorders>
              <w:top w:val="nil"/>
              <w:left w:val="nil"/>
              <w:bottom w:val="nil"/>
              <w:right w:val="nil"/>
            </w:tcBorders>
          </w:tcPr>
          <w:p w14:paraId="38DDC68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F1730B2" w14:textId="77777777" w:rsidR="00CE45E2" w:rsidRPr="00CE45E2" w:rsidRDefault="00CE45E2" w:rsidP="006476FB">
            <w:pPr>
              <w:pStyle w:val="AmColumnHeading"/>
            </w:pPr>
            <w:r w:rsidRPr="00CE45E2">
              <w:t>Poprawka</w:t>
            </w:r>
          </w:p>
        </w:tc>
      </w:tr>
      <w:tr w:rsidR="00CE45E2" w:rsidRPr="00CE45E2" w14:paraId="34724985" w14:textId="77777777" w:rsidTr="006476FB">
        <w:trPr>
          <w:jc w:val="center"/>
        </w:trPr>
        <w:tc>
          <w:tcPr>
            <w:tcW w:w="4876" w:type="dxa"/>
            <w:tcBorders>
              <w:top w:val="nil"/>
              <w:left w:val="nil"/>
              <w:bottom w:val="nil"/>
              <w:right w:val="nil"/>
            </w:tcBorders>
          </w:tcPr>
          <w:p w14:paraId="3AC5C9E9" w14:textId="77777777" w:rsidR="00CE45E2" w:rsidRPr="00CE45E2" w:rsidRDefault="00CE45E2" w:rsidP="006476FB">
            <w:pPr>
              <w:pStyle w:val="Normal6a"/>
            </w:pPr>
            <w:r w:rsidRPr="00CE45E2">
              <w:t>6.</w:t>
            </w:r>
            <w:r w:rsidRPr="00CE45E2">
              <w:tab/>
              <w:t>IORP prowadząca działalność transgraniczną podlega wprowadzonym przez przyjmujące państwo członkowskie wymogom dotyczącym przekazywania informacji, o których mowa w tytule IV, potencjalnym uczestnikom, uczestnikom i beneficjentom, których dotyczy ta działalność transgraniczna</w:t>
            </w:r>
            <w:r w:rsidRPr="00CE45E2">
              <w:rPr>
                <w:b/>
                <w:bCs/>
                <w:i/>
                <w:iCs/>
              </w:rPr>
              <w:t>, z wyjątkiem informacji o świadczeniu emerytalnym, o której mowa w art. 38 i która podlega zharmonizowanym przepisom unijnym zgodnie z ust. 6 tego artykułu</w:t>
            </w:r>
            <w:r w:rsidRPr="00CE45E2">
              <w:t>.</w:t>
            </w:r>
          </w:p>
        </w:tc>
        <w:tc>
          <w:tcPr>
            <w:tcW w:w="4876" w:type="dxa"/>
            <w:tcBorders>
              <w:top w:val="nil"/>
              <w:left w:val="nil"/>
              <w:bottom w:val="nil"/>
              <w:right w:val="nil"/>
            </w:tcBorders>
          </w:tcPr>
          <w:p w14:paraId="50DFCAC2" w14:textId="77777777" w:rsidR="00CE45E2" w:rsidRPr="00CE45E2" w:rsidRDefault="00CE45E2" w:rsidP="006476FB">
            <w:pPr>
              <w:pStyle w:val="Normal6a"/>
            </w:pPr>
            <w:r w:rsidRPr="00CE45E2">
              <w:t>6.</w:t>
            </w:r>
            <w:r w:rsidRPr="00CE45E2">
              <w:tab/>
              <w:t>IORP prowadząca działalność transgraniczną podlega wprowadzonym przez przyjmujące państwo członkowskie wymogom dotyczącym przekazywania informacji, o których mowa w tytule IV, potencjalnym uczestnikom, uczestnikom i beneficjentom, których dotyczy ta działalność transgraniczna.</w:t>
            </w:r>
          </w:p>
        </w:tc>
      </w:tr>
    </w:tbl>
    <w:p w14:paraId="1F7B536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93A5E78" w14:textId="77777777" w:rsidR="00CE45E2" w:rsidRPr="00CE45E2" w:rsidRDefault="00CE45E2" w:rsidP="00CE45E2">
      <w:r w:rsidRPr="00CE45E2">
        <w:rPr>
          <w:rStyle w:val="HideTWBExt"/>
        </w:rPr>
        <w:t>&lt;/Amend&gt;</w:t>
      </w:r>
    </w:p>
    <w:p w14:paraId="4717C54B" w14:textId="5B5A46D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254</w:t>
      </w:r>
      <w:r w:rsidRPr="00CE45E2">
        <w:rPr>
          <w:rStyle w:val="HideTWBExt"/>
          <w:b w:val="0"/>
        </w:rPr>
        <w:t>&lt;/NumAm&gt;</w:t>
      </w:r>
    </w:p>
    <w:p w14:paraId="75F8AC81"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5FFEBE08" w14:textId="77777777" w:rsidR="00CE45E2" w:rsidRPr="00CE45E2" w:rsidRDefault="00CE45E2" w:rsidP="00CE45E2">
      <w:pPr>
        <w:pStyle w:val="NormalBold"/>
      </w:pPr>
      <w:r w:rsidRPr="00CE45E2">
        <w:rPr>
          <w:rStyle w:val="HideTWBExt"/>
          <w:b w:val="0"/>
        </w:rPr>
        <w:t>&lt;/RepeatBlock-By&gt;</w:t>
      </w:r>
    </w:p>
    <w:p w14:paraId="4ACD2BC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C150FDD" w14:textId="77777777" w:rsidR="00CE45E2" w:rsidRPr="00CE45E2" w:rsidRDefault="00CE45E2" w:rsidP="00CE45E2">
      <w:pPr>
        <w:pStyle w:val="NormalBold"/>
      </w:pPr>
      <w:r w:rsidRPr="00CE45E2">
        <w:rPr>
          <w:rStyle w:val="HideTWBExt"/>
          <w:b w:val="0"/>
        </w:rPr>
        <w:t>&lt;Article&gt;</w:t>
      </w:r>
      <w:r w:rsidRPr="00CE45E2">
        <w:t>Artykuł 1 – akapit 1 – punkt 13 – litera c</w:t>
      </w:r>
      <w:r w:rsidRPr="00CE45E2">
        <w:rPr>
          <w:rStyle w:val="HideTWBExt"/>
          <w:b w:val="0"/>
        </w:rPr>
        <w:t>&lt;/Article&gt;</w:t>
      </w:r>
    </w:p>
    <w:p w14:paraId="0F0E6F5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7D1750E" w14:textId="77777777" w:rsidR="00CE45E2" w:rsidRPr="00CE45E2" w:rsidRDefault="00CE45E2" w:rsidP="00CE45E2">
      <w:r w:rsidRPr="00CE45E2">
        <w:rPr>
          <w:rStyle w:val="HideTWBExt"/>
        </w:rPr>
        <w:t>&lt;Article2&gt;</w:t>
      </w:r>
      <w:r w:rsidRPr="00CE45E2">
        <w:t>Artykuł 11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937DE94" w14:textId="77777777" w:rsidTr="006476FB">
        <w:trPr>
          <w:trHeight w:hRule="exact" w:val="240"/>
          <w:jc w:val="center"/>
        </w:trPr>
        <w:tc>
          <w:tcPr>
            <w:tcW w:w="9752" w:type="dxa"/>
            <w:gridSpan w:val="2"/>
            <w:tcBorders>
              <w:top w:val="nil"/>
              <w:left w:val="nil"/>
              <w:bottom w:val="nil"/>
              <w:right w:val="nil"/>
            </w:tcBorders>
          </w:tcPr>
          <w:p w14:paraId="798472DF" w14:textId="77777777" w:rsidR="00CE45E2" w:rsidRPr="00CE45E2" w:rsidRDefault="00CE45E2" w:rsidP="006476FB"/>
        </w:tc>
      </w:tr>
      <w:tr w:rsidR="00CE45E2" w:rsidRPr="00CE45E2" w14:paraId="6F6F8705" w14:textId="77777777" w:rsidTr="006476FB">
        <w:trPr>
          <w:trHeight w:val="240"/>
          <w:jc w:val="center"/>
        </w:trPr>
        <w:tc>
          <w:tcPr>
            <w:tcW w:w="4876" w:type="dxa"/>
            <w:tcBorders>
              <w:top w:val="nil"/>
              <w:left w:val="nil"/>
              <w:bottom w:val="nil"/>
              <w:right w:val="nil"/>
            </w:tcBorders>
          </w:tcPr>
          <w:p w14:paraId="1F62C07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A7F4464" w14:textId="77777777" w:rsidR="00CE45E2" w:rsidRPr="00CE45E2" w:rsidRDefault="00CE45E2" w:rsidP="006476FB">
            <w:pPr>
              <w:pStyle w:val="AmColumnHeading"/>
            </w:pPr>
            <w:r w:rsidRPr="00CE45E2">
              <w:t>Poprawka</w:t>
            </w:r>
          </w:p>
        </w:tc>
      </w:tr>
      <w:tr w:rsidR="00CE45E2" w:rsidRPr="00CE45E2" w14:paraId="02385DEE" w14:textId="77777777" w:rsidTr="006476FB">
        <w:trPr>
          <w:jc w:val="center"/>
        </w:trPr>
        <w:tc>
          <w:tcPr>
            <w:tcW w:w="4876" w:type="dxa"/>
            <w:tcBorders>
              <w:top w:val="nil"/>
              <w:left w:val="nil"/>
              <w:bottom w:val="nil"/>
              <w:right w:val="nil"/>
            </w:tcBorders>
          </w:tcPr>
          <w:p w14:paraId="249BAABA"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jednego miesiąca</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c>
          <w:tcPr>
            <w:tcW w:w="4876" w:type="dxa"/>
            <w:tcBorders>
              <w:top w:val="nil"/>
              <w:left w:val="nil"/>
              <w:bottom w:val="nil"/>
              <w:right w:val="nil"/>
            </w:tcBorders>
          </w:tcPr>
          <w:p w14:paraId="02F1683B"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sześciu tygodni</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r>
    </w:tbl>
    <w:p w14:paraId="4778134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4898FBD"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C5C3A41" w14:textId="77777777" w:rsidR="00CE45E2" w:rsidRPr="00CE45E2" w:rsidRDefault="00CE45E2" w:rsidP="00CE45E2">
      <w:pPr>
        <w:pStyle w:val="AmJustText"/>
      </w:pPr>
      <w:r w:rsidRPr="00CE45E2">
        <w:t>Sześciotygodniowy termin przyznany właściwemu organowi krajowemu w państwie przyjmującym jest niezbędny do przeprowadzenia wstępnej oceny zgodności programu emerytalnego z obowiązującymi wymogami prawa socjalnego i prawa pracy.</w:t>
      </w:r>
    </w:p>
    <w:p w14:paraId="49337501" w14:textId="77777777" w:rsidR="00CE45E2" w:rsidRPr="00CE45E2" w:rsidRDefault="00CE45E2" w:rsidP="00CE45E2">
      <w:r w:rsidRPr="00CE45E2">
        <w:rPr>
          <w:rStyle w:val="HideTWBExt"/>
        </w:rPr>
        <w:t>&lt;/Amend&gt;</w:t>
      </w:r>
    </w:p>
    <w:p w14:paraId="6702E97C" w14:textId="4870CCE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255</w:t>
      </w:r>
      <w:r w:rsidRPr="00CE45E2">
        <w:rPr>
          <w:rStyle w:val="HideTWBExt"/>
          <w:b w:val="0"/>
        </w:rPr>
        <w:t>&lt;/NumAm&gt;</w:t>
      </w:r>
    </w:p>
    <w:p w14:paraId="75C41EE6"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FE24A1F" w14:textId="77777777" w:rsidR="00CE45E2" w:rsidRPr="00CE45E2" w:rsidRDefault="00CE45E2" w:rsidP="00CE45E2">
      <w:pPr>
        <w:pStyle w:val="NormalBold"/>
      </w:pPr>
      <w:r w:rsidRPr="00CE45E2">
        <w:rPr>
          <w:rStyle w:val="HideTWBExt"/>
          <w:b w:val="0"/>
        </w:rPr>
        <w:t>&lt;/RepeatBlock-By&gt;</w:t>
      </w:r>
    </w:p>
    <w:p w14:paraId="27428F1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F78E4C9" w14:textId="77777777" w:rsidR="00CE45E2" w:rsidRPr="00CE45E2" w:rsidRDefault="00CE45E2" w:rsidP="00CE45E2">
      <w:pPr>
        <w:pStyle w:val="NormalBold"/>
      </w:pPr>
      <w:r w:rsidRPr="00CE45E2">
        <w:rPr>
          <w:rStyle w:val="HideTWBExt"/>
          <w:b w:val="0"/>
        </w:rPr>
        <w:t>&lt;Article&gt;</w:t>
      </w:r>
      <w:r w:rsidRPr="00CE45E2">
        <w:t>Artykuł 1 – akapit 1 – punkt 13 – litera c</w:t>
      </w:r>
      <w:r w:rsidRPr="00CE45E2">
        <w:rPr>
          <w:rStyle w:val="HideTWBExt"/>
          <w:b w:val="0"/>
        </w:rPr>
        <w:t>&lt;/Article&gt;</w:t>
      </w:r>
    </w:p>
    <w:p w14:paraId="1BEDD50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E123780" w14:textId="77777777" w:rsidR="00CE45E2" w:rsidRPr="00CE45E2" w:rsidRDefault="00CE45E2" w:rsidP="00CE45E2">
      <w:r w:rsidRPr="00CE45E2">
        <w:rPr>
          <w:rStyle w:val="HideTWBExt"/>
        </w:rPr>
        <w:t>&lt;Article2&gt;</w:t>
      </w:r>
      <w:r w:rsidRPr="00CE45E2">
        <w:t>Artykuł 11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AB04200" w14:textId="77777777" w:rsidTr="006476FB">
        <w:trPr>
          <w:trHeight w:hRule="exact" w:val="240"/>
          <w:jc w:val="center"/>
        </w:trPr>
        <w:tc>
          <w:tcPr>
            <w:tcW w:w="9752" w:type="dxa"/>
            <w:gridSpan w:val="2"/>
            <w:tcBorders>
              <w:top w:val="nil"/>
              <w:left w:val="nil"/>
              <w:bottom w:val="nil"/>
              <w:right w:val="nil"/>
            </w:tcBorders>
          </w:tcPr>
          <w:p w14:paraId="6BE7E7B0" w14:textId="77777777" w:rsidR="00CE45E2" w:rsidRPr="00CE45E2" w:rsidRDefault="00CE45E2" w:rsidP="006476FB"/>
        </w:tc>
      </w:tr>
      <w:tr w:rsidR="00CE45E2" w:rsidRPr="00CE45E2" w14:paraId="30E70475" w14:textId="77777777" w:rsidTr="006476FB">
        <w:trPr>
          <w:trHeight w:val="240"/>
          <w:jc w:val="center"/>
        </w:trPr>
        <w:tc>
          <w:tcPr>
            <w:tcW w:w="4876" w:type="dxa"/>
            <w:tcBorders>
              <w:top w:val="nil"/>
              <w:left w:val="nil"/>
              <w:bottom w:val="nil"/>
              <w:right w:val="nil"/>
            </w:tcBorders>
          </w:tcPr>
          <w:p w14:paraId="16E0C59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8098959" w14:textId="77777777" w:rsidR="00CE45E2" w:rsidRPr="00CE45E2" w:rsidRDefault="00CE45E2" w:rsidP="006476FB">
            <w:pPr>
              <w:pStyle w:val="AmColumnHeading"/>
            </w:pPr>
            <w:r w:rsidRPr="00CE45E2">
              <w:t>Poprawka</w:t>
            </w:r>
          </w:p>
        </w:tc>
      </w:tr>
      <w:tr w:rsidR="00CE45E2" w:rsidRPr="00CE45E2" w14:paraId="7E4E4ED2" w14:textId="77777777" w:rsidTr="006476FB">
        <w:trPr>
          <w:jc w:val="center"/>
        </w:trPr>
        <w:tc>
          <w:tcPr>
            <w:tcW w:w="4876" w:type="dxa"/>
            <w:tcBorders>
              <w:top w:val="nil"/>
              <w:left w:val="nil"/>
              <w:bottom w:val="nil"/>
              <w:right w:val="nil"/>
            </w:tcBorders>
          </w:tcPr>
          <w:p w14:paraId="29A2D047"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jednego miesiąca</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c>
          <w:tcPr>
            <w:tcW w:w="4876" w:type="dxa"/>
            <w:tcBorders>
              <w:top w:val="nil"/>
              <w:left w:val="nil"/>
              <w:bottom w:val="nil"/>
              <w:right w:val="nil"/>
            </w:tcBorders>
          </w:tcPr>
          <w:p w14:paraId="661CEA1D"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sześciu tygodni</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r>
    </w:tbl>
    <w:p w14:paraId="1D32CAE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09E8FBA" w14:textId="77777777" w:rsidR="00CE45E2" w:rsidRPr="00CE45E2" w:rsidRDefault="00CE45E2" w:rsidP="00CE45E2">
      <w:r w:rsidRPr="00CE45E2">
        <w:rPr>
          <w:rStyle w:val="HideTWBExt"/>
        </w:rPr>
        <w:t>&lt;/Amend&gt;</w:t>
      </w:r>
    </w:p>
    <w:p w14:paraId="79078FFB" w14:textId="3828AFD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256</w:t>
      </w:r>
      <w:r w:rsidRPr="00CE45E2">
        <w:rPr>
          <w:rStyle w:val="HideTWBExt"/>
          <w:b w:val="0"/>
        </w:rPr>
        <w:t>&lt;/NumAm&gt;</w:t>
      </w:r>
    </w:p>
    <w:p w14:paraId="322B8932"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4B3B0420" w14:textId="77777777" w:rsidR="00CE45E2" w:rsidRPr="00CE45E2" w:rsidRDefault="00CE45E2" w:rsidP="00CE45E2">
      <w:pPr>
        <w:pStyle w:val="NormalBold"/>
      </w:pPr>
      <w:r w:rsidRPr="00CE45E2">
        <w:rPr>
          <w:rStyle w:val="HideTWBExt"/>
          <w:b w:val="0"/>
        </w:rPr>
        <w:t>&lt;/RepeatBlock-By&gt;</w:t>
      </w:r>
    </w:p>
    <w:p w14:paraId="321A2BF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115BBF6" w14:textId="77777777" w:rsidR="00CE45E2" w:rsidRPr="00CE45E2" w:rsidRDefault="00CE45E2" w:rsidP="00CE45E2">
      <w:pPr>
        <w:pStyle w:val="NormalBold"/>
      </w:pPr>
      <w:r w:rsidRPr="00CE45E2">
        <w:rPr>
          <w:rStyle w:val="HideTWBExt"/>
          <w:b w:val="0"/>
        </w:rPr>
        <w:t>&lt;Article&gt;</w:t>
      </w:r>
      <w:r w:rsidRPr="00CE45E2">
        <w:t>Artykuł 1 – akapit 1 – punkt 13 – litera c</w:t>
      </w:r>
      <w:r w:rsidRPr="00CE45E2">
        <w:rPr>
          <w:rStyle w:val="HideTWBExt"/>
          <w:b w:val="0"/>
        </w:rPr>
        <w:t>&lt;/Article&gt;</w:t>
      </w:r>
    </w:p>
    <w:p w14:paraId="29D8914E"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44B1501" w14:textId="77777777" w:rsidR="00CE45E2" w:rsidRPr="00CE45E2" w:rsidRDefault="00CE45E2" w:rsidP="00CE45E2">
      <w:r w:rsidRPr="00CE45E2">
        <w:rPr>
          <w:rStyle w:val="HideTWBExt"/>
        </w:rPr>
        <w:t>&lt;Article2&gt;</w:t>
      </w:r>
      <w:r w:rsidRPr="00CE45E2">
        <w:t>Artykuł 11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AC57A37" w14:textId="77777777" w:rsidTr="006476FB">
        <w:trPr>
          <w:trHeight w:hRule="exact" w:val="240"/>
          <w:jc w:val="center"/>
        </w:trPr>
        <w:tc>
          <w:tcPr>
            <w:tcW w:w="9752" w:type="dxa"/>
            <w:gridSpan w:val="2"/>
            <w:tcBorders>
              <w:top w:val="nil"/>
              <w:left w:val="nil"/>
              <w:bottom w:val="nil"/>
              <w:right w:val="nil"/>
            </w:tcBorders>
          </w:tcPr>
          <w:p w14:paraId="7F71C5FD" w14:textId="77777777" w:rsidR="00CE45E2" w:rsidRPr="00CE45E2" w:rsidRDefault="00CE45E2" w:rsidP="006476FB"/>
        </w:tc>
      </w:tr>
      <w:tr w:rsidR="00CE45E2" w:rsidRPr="00CE45E2" w14:paraId="2FD0F2A0" w14:textId="77777777" w:rsidTr="006476FB">
        <w:trPr>
          <w:trHeight w:val="240"/>
          <w:jc w:val="center"/>
        </w:trPr>
        <w:tc>
          <w:tcPr>
            <w:tcW w:w="4876" w:type="dxa"/>
            <w:tcBorders>
              <w:top w:val="nil"/>
              <w:left w:val="nil"/>
              <w:bottom w:val="nil"/>
              <w:right w:val="nil"/>
            </w:tcBorders>
          </w:tcPr>
          <w:p w14:paraId="14EE5AD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71F88D4" w14:textId="77777777" w:rsidR="00CE45E2" w:rsidRPr="00CE45E2" w:rsidRDefault="00CE45E2" w:rsidP="006476FB">
            <w:pPr>
              <w:pStyle w:val="AmColumnHeading"/>
            </w:pPr>
            <w:r w:rsidRPr="00CE45E2">
              <w:t>Poprawka</w:t>
            </w:r>
          </w:p>
        </w:tc>
      </w:tr>
      <w:tr w:rsidR="00CE45E2" w:rsidRPr="00CE45E2" w14:paraId="02A1DF36" w14:textId="77777777" w:rsidTr="006476FB">
        <w:trPr>
          <w:jc w:val="center"/>
        </w:trPr>
        <w:tc>
          <w:tcPr>
            <w:tcW w:w="4876" w:type="dxa"/>
            <w:tcBorders>
              <w:top w:val="nil"/>
              <w:left w:val="nil"/>
              <w:bottom w:val="nil"/>
              <w:right w:val="nil"/>
            </w:tcBorders>
          </w:tcPr>
          <w:p w14:paraId="7DF8B425"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jednego miesiąca</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c>
          <w:tcPr>
            <w:tcW w:w="4876" w:type="dxa"/>
            <w:tcBorders>
              <w:top w:val="nil"/>
              <w:left w:val="nil"/>
              <w:bottom w:val="nil"/>
              <w:right w:val="nil"/>
            </w:tcBorders>
          </w:tcPr>
          <w:p w14:paraId="4923EF58" w14:textId="77777777" w:rsidR="00CE45E2" w:rsidRPr="00CE45E2" w:rsidRDefault="00CE45E2" w:rsidP="006476FB">
            <w:pPr>
              <w:pStyle w:val="Normal6a"/>
            </w:pPr>
            <w:r w:rsidRPr="00CE45E2">
              <w:t>7.</w:t>
            </w:r>
            <w:r w:rsidRPr="00CE45E2">
              <w:tab/>
              <w:t xml:space="preserve">Zanim IORP rozpocznie prowadzenie działalności transgranicznej, właściwy organ przyjmującego państwa członkowskiego, w terminie </w:t>
            </w:r>
            <w:r w:rsidRPr="00CE45E2">
              <w:rPr>
                <w:b/>
                <w:bCs/>
                <w:i/>
                <w:iCs/>
              </w:rPr>
              <w:t>sześciu tygodni</w:t>
            </w:r>
            <w:r w:rsidRPr="00CE45E2">
              <w:t xml:space="preserve"> od otrzymania informacji, o których mowa w ust. 3, przygotowuje się do nadzoru nad odnośną działalnością transgraniczną. Przygotowanie to dotyczy wymogów prawa socjalnego i prawa pracy odnoszących się do pracowniczych programów emerytalnych, w </w:t>
            </w:r>
            <w:proofErr w:type="gramStart"/>
            <w:r w:rsidRPr="00CE45E2">
              <w:t>ramach</w:t>
            </w:r>
            <w:proofErr w:type="gramEnd"/>
            <w:r w:rsidRPr="00CE45E2">
              <w:t xml:space="preserve"> których musi być obsługiwany program emerytalny finansowany przez instytucję finansującą w przyjmującym państwie członkowskim, oraz wymogów przyjmującego państwa członkowskiego dotyczących przekazywania informacji określonych w tytule IV, które mają zastosowanie do działalności transgranicznej. Ponadto właściwy organ przyjmującego państwa członkowskiego informuje za pomocą środków, o których mowa w art. 59 ust. 3 i 4, właściwy organ rodzimego państwa członkowskiego o przepisach prawnych, o których mowa w art. 59 ust. 1, mających zastosowanie na jego terytorium. Właściwy organ rodzimego państwa członkowskiego niezwłocznie przekazuje te informacje IORP.”;</w:t>
            </w:r>
          </w:p>
        </w:tc>
      </w:tr>
    </w:tbl>
    <w:p w14:paraId="16FCBEB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92DFAE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3FF6122" w14:textId="77777777" w:rsidR="00CE45E2" w:rsidRPr="00CE45E2" w:rsidRDefault="00CE45E2" w:rsidP="00CE45E2">
      <w:pPr>
        <w:pStyle w:val="AmJustText"/>
      </w:pPr>
      <w:r w:rsidRPr="00CE45E2">
        <w:t xml:space="preserve">Sześciotygodniowy termin wymagany przez właściwy organ krajowy w państwie przyjmującym jest niezbędny do wcześniejszej </w:t>
      </w:r>
      <w:proofErr w:type="gramStart"/>
      <w:r w:rsidRPr="00CE45E2">
        <w:t>oceny,</w:t>
      </w:r>
      <w:proofErr w:type="gramEnd"/>
      <w:r w:rsidRPr="00CE45E2">
        <w:t xml:space="preserve"> czy program emerytalny jest zgodny z przepisami prawa socjalnego i prawa pracy.</w:t>
      </w:r>
    </w:p>
    <w:p w14:paraId="273E40E0" w14:textId="77777777" w:rsidR="00CE45E2" w:rsidRPr="00CE45E2" w:rsidRDefault="00CE45E2" w:rsidP="00CE45E2">
      <w:r w:rsidRPr="00CE45E2">
        <w:rPr>
          <w:rStyle w:val="HideTWBExt"/>
        </w:rPr>
        <w:t>&lt;/Amend&gt;</w:t>
      </w:r>
    </w:p>
    <w:p w14:paraId="01D4011E" w14:textId="7D74766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257</w:t>
      </w:r>
      <w:r w:rsidRPr="00CE45E2">
        <w:rPr>
          <w:rStyle w:val="HideTWBExt"/>
          <w:b w:val="0"/>
        </w:rPr>
        <w:t>&lt;/NumAm&gt;</w:t>
      </w:r>
    </w:p>
    <w:p w14:paraId="3D3B88C8"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2FFB32EE" w14:textId="77777777" w:rsidR="00CE45E2" w:rsidRPr="00CE45E2" w:rsidRDefault="00CE45E2" w:rsidP="00CE45E2">
      <w:pPr>
        <w:pStyle w:val="NormalBold"/>
      </w:pPr>
      <w:r w:rsidRPr="00CE45E2">
        <w:rPr>
          <w:rStyle w:val="HideTWBExt"/>
          <w:b w:val="0"/>
        </w:rPr>
        <w:t>&lt;/RepeatBlock-By&gt;</w:t>
      </w:r>
    </w:p>
    <w:p w14:paraId="52DDAFD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DB0EEEE" w14:textId="77777777" w:rsidR="00CE45E2" w:rsidRPr="00CE45E2" w:rsidRDefault="00CE45E2" w:rsidP="00CE45E2">
      <w:pPr>
        <w:pStyle w:val="NormalBold"/>
      </w:pPr>
      <w:r w:rsidRPr="00CE45E2">
        <w:rPr>
          <w:rStyle w:val="HideTWBExt"/>
          <w:b w:val="0"/>
        </w:rPr>
        <w:t>&lt;Article&gt;</w:t>
      </w:r>
      <w:r w:rsidRPr="00CE45E2">
        <w:t xml:space="preserve">Artykuł 1 – akapit 1 – punkt 13 – litera c </w:t>
      </w:r>
      <w:proofErr w:type="spellStart"/>
      <w:r w:rsidRPr="00CE45E2">
        <w:t>c</w:t>
      </w:r>
      <w:proofErr w:type="spellEnd"/>
      <w:r w:rsidRPr="00CE45E2">
        <w:t xml:space="preserve"> (nowa)</w:t>
      </w:r>
      <w:r w:rsidRPr="00CE45E2">
        <w:rPr>
          <w:rStyle w:val="HideTWBExt"/>
          <w:b w:val="0"/>
        </w:rPr>
        <w:t>&lt;/Article&gt;</w:t>
      </w:r>
    </w:p>
    <w:p w14:paraId="27CAF00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F675F5D" w14:textId="77777777" w:rsidR="00CE45E2" w:rsidRPr="00CE45E2" w:rsidRDefault="00CE45E2" w:rsidP="00CE45E2">
      <w:r w:rsidRPr="00CE45E2">
        <w:rPr>
          <w:rStyle w:val="HideTWBExt"/>
        </w:rPr>
        <w:t>&lt;Article2&gt;</w:t>
      </w:r>
      <w:r w:rsidRPr="00CE45E2">
        <w:t>Artykuł 11 – ustęp 8</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6505B53" w14:textId="77777777" w:rsidTr="006476FB">
        <w:trPr>
          <w:trHeight w:hRule="exact" w:val="240"/>
          <w:jc w:val="center"/>
        </w:trPr>
        <w:tc>
          <w:tcPr>
            <w:tcW w:w="9752" w:type="dxa"/>
            <w:gridSpan w:val="2"/>
            <w:tcBorders>
              <w:top w:val="nil"/>
              <w:left w:val="nil"/>
              <w:bottom w:val="nil"/>
              <w:right w:val="nil"/>
            </w:tcBorders>
          </w:tcPr>
          <w:p w14:paraId="2BC24150" w14:textId="77777777" w:rsidR="00CE45E2" w:rsidRPr="00CE45E2" w:rsidRDefault="00CE45E2" w:rsidP="006476FB"/>
        </w:tc>
      </w:tr>
      <w:tr w:rsidR="00CE45E2" w:rsidRPr="00CE45E2" w14:paraId="01EA349C" w14:textId="77777777" w:rsidTr="006476FB">
        <w:trPr>
          <w:trHeight w:val="240"/>
          <w:jc w:val="center"/>
        </w:trPr>
        <w:tc>
          <w:tcPr>
            <w:tcW w:w="4876" w:type="dxa"/>
            <w:tcBorders>
              <w:top w:val="nil"/>
              <w:left w:val="nil"/>
              <w:bottom w:val="nil"/>
              <w:right w:val="nil"/>
            </w:tcBorders>
          </w:tcPr>
          <w:p w14:paraId="63CC6102"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32B26C1C" w14:textId="77777777" w:rsidR="00CE45E2" w:rsidRPr="00CE45E2" w:rsidRDefault="00CE45E2" w:rsidP="006476FB">
            <w:pPr>
              <w:pStyle w:val="AmColumnHeading"/>
            </w:pPr>
            <w:r w:rsidRPr="00CE45E2">
              <w:t>Poprawka</w:t>
            </w:r>
          </w:p>
        </w:tc>
      </w:tr>
      <w:tr w:rsidR="00CE45E2" w:rsidRPr="00CE45E2" w14:paraId="1046EE26" w14:textId="77777777" w:rsidTr="006476FB">
        <w:trPr>
          <w:jc w:val="center"/>
        </w:trPr>
        <w:tc>
          <w:tcPr>
            <w:tcW w:w="4876" w:type="dxa"/>
            <w:tcBorders>
              <w:top w:val="nil"/>
              <w:left w:val="nil"/>
              <w:bottom w:val="nil"/>
              <w:right w:val="nil"/>
            </w:tcBorders>
          </w:tcPr>
          <w:p w14:paraId="10F0EE43" w14:textId="77777777" w:rsidR="00CE45E2" w:rsidRPr="00CE45E2" w:rsidRDefault="00CE45E2" w:rsidP="006476FB">
            <w:pPr>
              <w:pStyle w:val="Normal6a"/>
            </w:pPr>
          </w:p>
        </w:tc>
        <w:tc>
          <w:tcPr>
            <w:tcW w:w="4876" w:type="dxa"/>
            <w:tcBorders>
              <w:top w:val="nil"/>
              <w:left w:val="nil"/>
              <w:bottom w:val="nil"/>
              <w:right w:val="nil"/>
            </w:tcBorders>
          </w:tcPr>
          <w:p w14:paraId="05F12C8E" w14:textId="77777777" w:rsidR="00CE45E2" w:rsidRPr="00CE45E2" w:rsidRDefault="00CE45E2" w:rsidP="006476FB">
            <w:pPr>
              <w:pStyle w:val="Normal6a"/>
            </w:pPr>
            <w:r w:rsidRPr="00CE45E2">
              <w:rPr>
                <w:b/>
                <w:i/>
              </w:rPr>
              <w:t>cc)</w:t>
            </w:r>
            <w:r w:rsidRPr="00CE45E2">
              <w:tab/>
            </w:r>
            <w:r w:rsidRPr="00CE45E2">
              <w:rPr>
                <w:b/>
                <w:i/>
              </w:rPr>
              <w:t>ust. 8 otrzymuje brzmienie:</w:t>
            </w:r>
          </w:p>
        </w:tc>
      </w:tr>
      <w:tr w:rsidR="00CE45E2" w:rsidRPr="00CE45E2" w14:paraId="724B46C8" w14:textId="77777777" w:rsidTr="006476FB">
        <w:trPr>
          <w:jc w:val="center"/>
        </w:trPr>
        <w:tc>
          <w:tcPr>
            <w:tcW w:w="4876" w:type="dxa"/>
            <w:tcBorders>
              <w:top w:val="nil"/>
              <w:left w:val="nil"/>
              <w:bottom w:val="nil"/>
              <w:right w:val="nil"/>
            </w:tcBorders>
          </w:tcPr>
          <w:p w14:paraId="0C2AE1E1" w14:textId="77777777" w:rsidR="00CE45E2" w:rsidRPr="00CE45E2" w:rsidRDefault="00CE45E2" w:rsidP="006476FB">
            <w:pPr>
              <w:pStyle w:val="Normal6a"/>
            </w:pPr>
            <w:r w:rsidRPr="00CE45E2">
              <w:t>8. Po otrzymaniu informacji, o których mowa w ust. </w:t>
            </w:r>
            <w:r w:rsidRPr="00CE45E2">
              <w:rPr>
                <w:b/>
                <w:bCs/>
                <w:i/>
                <w:iCs/>
              </w:rPr>
              <w:t>7</w:t>
            </w:r>
            <w:r w:rsidRPr="00CE45E2">
              <w:t xml:space="preserve"> lub, jeśli nie wpłyną żadne informacje od właściwego organu rodzimego państwa członkowskiego, po upływie okresu przewidzianego w ust. </w:t>
            </w:r>
            <w:r w:rsidRPr="00CE45E2">
              <w:rPr>
                <w:b/>
                <w:bCs/>
                <w:i/>
                <w:iCs/>
              </w:rPr>
              <w:t>7</w:t>
            </w:r>
            <w:r w:rsidRPr="00CE45E2">
              <w:t>, IORP może rozpocząć prowadzenie działalności transgranicznej zgodnie z wymogami prawa socjalnego i prawa pracy przyjmującego państwa członkowskiego dotyczącymi pracowniczych programów emerytalnych oraz wymogami przyjmującego państwa członkowskiego dotyczącymi przekazywania informacji, o których mowa w ust.</w:t>
            </w:r>
            <w:r w:rsidRPr="00CE45E2">
              <w:rPr>
                <w:b/>
                <w:bCs/>
                <w:i/>
                <w:iCs/>
              </w:rPr>
              <w:t> 7</w:t>
            </w:r>
            <w:r w:rsidRPr="00CE45E2">
              <w:t>.</w:t>
            </w:r>
          </w:p>
        </w:tc>
        <w:tc>
          <w:tcPr>
            <w:tcW w:w="4876" w:type="dxa"/>
            <w:tcBorders>
              <w:top w:val="nil"/>
              <w:left w:val="nil"/>
              <w:bottom w:val="nil"/>
              <w:right w:val="nil"/>
            </w:tcBorders>
          </w:tcPr>
          <w:p w14:paraId="64281F72" w14:textId="77777777" w:rsidR="00CE45E2" w:rsidRPr="00CE45E2" w:rsidRDefault="00CE45E2" w:rsidP="006476FB">
            <w:pPr>
              <w:pStyle w:val="Normal6a"/>
            </w:pPr>
            <w:r w:rsidRPr="00CE45E2">
              <w:rPr>
                <w:b/>
                <w:bCs/>
                <w:i/>
                <w:iCs/>
              </w:rPr>
              <w:t>„</w:t>
            </w:r>
            <w:r w:rsidRPr="00CE45E2">
              <w:t>8. Po otrzymaniu informacji, o których mowa w ust. </w:t>
            </w:r>
            <w:r w:rsidRPr="00CE45E2">
              <w:rPr>
                <w:b/>
                <w:bCs/>
                <w:i/>
                <w:iCs/>
              </w:rPr>
              <w:t>4</w:t>
            </w:r>
            <w:r w:rsidRPr="00CE45E2">
              <w:t xml:space="preserve"> lub, jeśli nie wpłyną żadne informacje od właściwego organu rodzimego państwa członkowskiego, po upływie okresu przewidzianego w ust. </w:t>
            </w:r>
            <w:r w:rsidRPr="00CE45E2">
              <w:rPr>
                <w:b/>
                <w:bCs/>
                <w:i/>
                <w:iCs/>
              </w:rPr>
              <w:t>4</w:t>
            </w:r>
            <w:r w:rsidRPr="00CE45E2">
              <w:t>, IORP może rozpocząć prowadzenie działalności transgranicznej zgodnie z wymogami prawa socjalnego i prawa pracy przyjmującego państwa członkowskiego dotyczącymi pracowniczych programów emerytalnych oraz wymogami przyjmującego państwa członkowskiego dotyczącymi przekazywania informacji, o których mowa w ust.</w:t>
            </w:r>
            <w:r w:rsidRPr="00CE45E2">
              <w:rPr>
                <w:b/>
                <w:bCs/>
                <w:i/>
                <w:iCs/>
              </w:rPr>
              <w:t> 6</w:t>
            </w:r>
            <w:r w:rsidRPr="00CE45E2">
              <w:t>.</w:t>
            </w:r>
            <w:r w:rsidRPr="00CE45E2">
              <w:rPr>
                <w:b/>
                <w:bCs/>
                <w:i/>
                <w:iCs/>
              </w:rPr>
              <w:t>”</w:t>
            </w:r>
          </w:p>
        </w:tc>
      </w:tr>
    </w:tbl>
    <w:p w14:paraId="4CE755D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1D554F3" w14:textId="77777777" w:rsidR="00CE45E2" w:rsidRPr="00CE45E2" w:rsidRDefault="00CE45E2" w:rsidP="00CE45E2">
      <w:pPr>
        <w:pStyle w:val="AmCrossRef"/>
      </w:pPr>
      <w:r w:rsidRPr="00CE45E2">
        <w:t>(32016L2341)</w:t>
      </w:r>
    </w:p>
    <w:p w14:paraId="5028D66D" w14:textId="77777777" w:rsidR="00CE45E2" w:rsidRPr="00CE45E2" w:rsidRDefault="00CE45E2" w:rsidP="00CE45E2">
      <w:r w:rsidRPr="00CE45E2">
        <w:rPr>
          <w:rStyle w:val="HideTWBExt"/>
        </w:rPr>
        <w:t>&lt;/Amend&gt;</w:t>
      </w:r>
    </w:p>
    <w:p w14:paraId="3076E00F" w14:textId="47B4AA5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258</w:t>
      </w:r>
      <w:r w:rsidRPr="00CE45E2">
        <w:rPr>
          <w:rStyle w:val="HideTWBExt"/>
          <w:b w:val="0"/>
        </w:rPr>
        <w:t>&lt;/NumAm&gt;</w:t>
      </w:r>
    </w:p>
    <w:p w14:paraId="5B7E711F"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1CC68BA7"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07E853E6" w14:textId="77777777" w:rsidR="00CE45E2" w:rsidRPr="00CE45E2" w:rsidRDefault="00CE45E2" w:rsidP="00CE45E2">
      <w:pPr>
        <w:pStyle w:val="NormalBold"/>
      </w:pPr>
      <w:r w:rsidRPr="00CE45E2">
        <w:rPr>
          <w:rStyle w:val="HideTWBExt"/>
          <w:b w:val="0"/>
        </w:rPr>
        <w:t>&lt;/RepeatBlock-By&gt;</w:t>
      </w:r>
    </w:p>
    <w:p w14:paraId="76E743F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12666E5" w14:textId="77777777" w:rsidR="00CE45E2" w:rsidRPr="00CE45E2" w:rsidRDefault="00CE45E2" w:rsidP="00CE45E2">
      <w:pPr>
        <w:pStyle w:val="NormalBold"/>
      </w:pPr>
      <w:r w:rsidRPr="00CE45E2">
        <w:rPr>
          <w:rStyle w:val="HideTWBExt"/>
          <w:b w:val="0"/>
        </w:rPr>
        <w:t>&lt;Article&gt;</w:t>
      </w:r>
      <w:r w:rsidRPr="00CE45E2">
        <w:t>Artykuł 1 – akapit 1 – punkt 14</w:t>
      </w:r>
      <w:r w:rsidRPr="00CE45E2">
        <w:rPr>
          <w:rStyle w:val="HideTWBExt"/>
          <w:b w:val="0"/>
        </w:rPr>
        <w:t>&lt;/Article&gt;</w:t>
      </w:r>
    </w:p>
    <w:p w14:paraId="594619D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15AEF60" w14:textId="77777777" w:rsidR="00CE45E2" w:rsidRPr="00CE45E2" w:rsidRDefault="00CE45E2" w:rsidP="00CE45E2">
      <w:r w:rsidRPr="00CE45E2">
        <w:rPr>
          <w:rStyle w:val="HideTWBExt"/>
        </w:rPr>
        <w:t>&lt;Article2&gt;</w:t>
      </w:r>
      <w:r w:rsidRPr="00CE45E2">
        <w:t>Artykuł 11 a – ustęp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6B0447A" w14:textId="77777777" w:rsidTr="006476FB">
        <w:trPr>
          <w:trHeight w:hRule="exact" w:val="240"/>
          <w:jc w:val="center"/>
        </w:trPr>
        <w:tc>
          <w:tcPr>
            <w:tcW w:w="9752" w:type="dxa"/>
            <w:gridSpan w:val="2"/>
            <w:tcBorders>
              <w:top w:val="nil"/>
              <w:left w:val="nil"/>
              <w:bottom w:val="nil"/>
              <w:right w:val="nil"/>
            </w:tcBorders>
          </w:tcPr>
          <w:p w14:paraId="489E29A4" w14:textId="77777777" w:rsidR="00CE45E2" w:rsidRPr="00CE45E2" w:rsidRDefault="00CE45E2" w:rsidP="006476FB"/>
        </w:tc>
      </w:tr>
      <w:tr w:rsidR="00CE45E2" w:rsidRPr="00CE45E2" w14:paraId="74C129F9" w14:textId="77777777" w:rsidTr="006476FB">
        <w:trPr>
          <w:trHeight w:val="240"/>
          <w:jc w:val="center"/>
        </w:trPr>
        <w:tc>
          <w:tcPr>
            <w:tcW w:w="4876" w:type="dxa"/>
            <w:tcBorders>
              <w:top w:val="nil"/>
              <w:left w:val="nil"/>
              <w:bottom w:val="nil"/>
              <w:right w:val="nil"/>
            </w:tcBorders>
          </w:tcPr>
          <w:p w14:paraId="633FFC9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8CA5239" w14:textId="77777777" w:rsidR="00CE45E2" w:rsidRPr="00CE45E2" w:rsidRDefault="00CE45E2" w:rsidP="006476FB">
            <w:pPr>
              <w:pStyle w:val="AmColumnHeading"/>
            </w:pPr>
            <w:r w:rsidRPr="00CE45E2">
              <w:t>Poprawka</w:t>
            </w:r>
          </w:p>
        </w:tc>
      </w:tr>
      <w:tr w:rsidR="00CE45E2" w:rsidRPr="00CE45E2" w14:paraId="2E8847D6" w14:textId="77777777" w:rsidTr="006476FB">
        <w:trPr>
          <w:jc w:val="center"/>
        </w:trPr>
        <w:tc>
          <w:tcPr>
            <w:tcW w:w="4876" w:type="dxa"/>
            <w:tcBorders>
              <w:top w:val="nil"/>
              <w:left w:val="nil"/>
              <w:bottom w:val="nil"/>
              <w:right w:val="nil"/>
            </w:tcBorders>
          </w:tcPr>
          <w:p w14:paraId="31742A6C" w14:textId="77777777" w:rsidR="00CE45E2" w:rsidRPr="00CE45E2" w:rsidRDefault="00CE45E2" w:rsidP="006476FB">
            <w:pPr>
              <w:pStyle w:val="Normal6a"/>
            </w:pPr>
            <w:r w:rsidRPr="00CE45E2">
              <w:t>1.</w:t>
            </w:r>
            <w:r w:rsidRPr="00CE45E2">
              <w:tab/>
              <w:t xml:space="preserve">Państwa członkowskie zapewniają, aby w przypadku zmiany jakichkolwiek danych przekazanych na podstawie art. 11 ust. 3 </w:t>
            </w:r>
            <w:r w:rsidRPr="00CE45E2">
              <w:rPr>
                <w:b/>
                <w:bCs/>
                <w:i/>
                <w:iCs/>
              </w:rPr>
              <w:t>lit. b) lub c)</w:t>
            </w:r>
            <w:r w:rsidRPr="00CE45E2">
              <w:t xml:space="preserve"> IORP pisemnie powiadomiła o tej zmianie </w:t>
            </w:r>
            <w:r w:rsidRPr="00CE45E2">
              <w:rPr>
                <w:b/>
                <w:bCs/>
                <w:i/>
                <w:iCs/>
              </w:rPr>
              <w:t>właściwe organy</w:t>
            </w:r>
            <w:r w:rsidRPr="00CE45E2">
              <w:t xml:space="preserve"> rodzimego państwa członkowskiego</w:t>
            </w:r>
            <w:r w:rsidRPr="00CE45E2">
              <w:rPr>
                <w:b/>
                <w:bCs/>
                <w:i/>
                <w:iCs/>
              </w:rPr>
              <w:t xml:space="preserve"> i przyjmującego państwa członkowskiego</w:t>
            </w:r>
            <w:r w:rsidRPr="00CE45E2">
              <w:t xml:space="preserve"> co najmniej miesiąc przed dokonaniem zmiany, aby umożliwić właściwym organom rodzimego państwa członkowskiego i przyjmującego państwa członkowskiego wypełnienie ich odpowiednich obowiązków wynikających z art. 11.</w:t>
            </w:r>
          </w:p>
        </w:tc>
        <w:tc>
          <w:tcPr>
            <w:tcW w:w="4876" w:type="dxa"/>
            <w:tcBorders>
              <w:top w:val="nil"/>
              <w:left w:val="nil"/>
              <w:bottom w:val="nil"/>
              <w:right w:val="nil"/>
            </w:tcBorders>
          </w:tcPr>
          <w:p w14:paraId="508C398A" w14:textId="77777777" w:rsidR="00CE45E2" w:rsidRPr="00CE45E2" w:rsidRDefault="00CE45E2" w:rsidP="006476FB">
            <w:pPr>
              <w:pStyle w:val="Normal6a"/>
            </w:pPr>
            <w:r w:rsidRPr="00CE45E2">
              <w:t>1.</w:t>
            </w:r>
            <w:r w:rsidRPr="00CE45E2">
              <w:tab/>
              <w:t xml:space="preserve">Państwa członkowskie zapewniają, aby w przypadku zmiany jakichkolwiek danych przekazanych na podstawie art. 11 ust. 3 </w:t>
            </w:r>
            <w:r w:rsidRPr="00CE45E2">
              <w:rPr>
                <w:b/>
                <w:bCs/>
                <w:i/>
                <w:iCs/>
              </w:rPr>
              <w:t>lit. b) lub c)</w:t>
            </w:r>
            <w:r w:rsidRPr="00CE45E2">
              <w:t xml:space="preserve"> IORP pisemnie powiadomiła o tej zmianie </w:t>
            </w:r>
            <w:r w:rsidRPr="00CE45E2">
              <w:rPr>
                <w:b/>
                <w:bCs/>
                <w:i/>
                <w:iCs/>
              </w:rPr>
              <w:t>właściwy organ</w:t>
            </w:r>
            <w:r w:rsidRPr="00CE45E2">
              <w:t xml:space="preserve"> rodzimego państwa członkowskiego co najmniej miesiąc przed dokonaniem zmiany</w:t>
            </w:r>
            <w:r w:rsidRPr="00CE45E2">
              <w:rPr>
                <w:b/>
                <w:i/>
              </w:rPr>
              <w:t xml:space="preserve"> </w:t>
            </w:r>
            <w:r w:rsidRPr="00CE45E2">
              <w:rPr>
                <w:b/>
                <w:bCs/>
                <w:i/>
                <w:iCs/>
              </w:rPr>
              <w:t>Właściwy organ rodzimego państwa członkowskiego niezwłocznie informuje o tej zmianie właściwe organy przyjmujących państw członkowskich</w:t>
            </w:r>
            <w:r w:rsidRPr="00CE45E2">
              <w:t>, aby umożliwić właściwym organom rodzimego państwa członkowskiego i przyjmującego państwa członkowskiego wypełnienie ich odpowiednich obowiązków wynikających z art. 11.</w:t>
            </w:r>
          </w:p>
        </w:tc>
      </w:tr>
    </w:tbl>
    <w:p w14:paraId="3D38BB6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4793B86" w14:textId="77777777" w:rsidR="00CE45E2" w:rsidRPr="00CE45E2" w:rsidRDefault="00CE45E2" w:rsidP="00CE45E2">
      <w:r w:rsidRPr="00CE45E2">
        <w:rPr>
          <w:rStyle w:val="HideTWBExt"/>
        </w:rPr>
        <w:t>&lt;/Amend&gt;</w:t>
      </w:r>
    </w:p>
    <w:p w14:paraId="74B5C1EF" w14:textId="51A3C04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259</w:t>
      </w:r>
      <w:r w:rsidRPr="00CE45E2">
        <w:rPr>
          <w:rStyle w:val="HideTWBExt"/>
          <w:b w:val="0"/>
        </w:rPr>
        <w:t>&lt;/NumAm&gt;</w:t>
      </w:r>
    </w:p>
    <w:p w14:paraId="7BDDD333"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07FC4298"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73936675" w14:textId="77777777" w:rsidR="00CE45E2" w:rsidRPr="00CE45E2" w:rsidRDefault="00CE45E2" w:rsidP="00CE45E2">
      <w:pPr>
        <w:pStyle w:val="NormalBold"/>
      </w:pPr>
      <w:r w:rsidRPr="00CE45E2">
        <w:rPr>
          <w:rStyle w:val="HideTWBExt"/>
          <w:b w:val="0"/>
        </w:rPr>
        <w:t>&lt;/RepeatBlock-By&gt;</w:t>
      </w:r>
    </w:p>
    <w:p w14:paraId="78CE7AE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44DFF68" w14:textId="77777777" w:rsidR="00CE45E2" w:rsidRPr="00CE45E2" w:rsidRDefault="00CE45E2" w:rsidP="00CE45E2">
      <w:pPr>
        <w:pStyle w:val="NormalBold"/>
      </w:pPr>
      <w:r w:rsidRPr="00CE45E2">
        <w:rPr>
          <w:rStyle w:val="HideTWBExt"/>
          <w:b w:val="0"/>
        </w:rPr>
        <w:t>&lt;Article&gt;</w:t>
      </w:r>
      <w:r w:rsidRPr="00CE45E2">
        <w:t>Artykuł 1 – akapit 1 – punkt 14</w:t>
      </w:r>
      <w:r w:rsidRPr="00CE45E2">
        <w:rPr>
          <w:rStyle w:val="HideTWBExt"/>
          <w:b w:val="0"/>
        </w:rPr>
        <w:t>&lt;/Article&gt;</w:t>
      </w:r>
    </w:p>
    <w:p w14:paraId="5F4C0CA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38D39C9" w14:textId="77777777" w:rsidR="00CE45E2" w:rsidRPr="00CE45E2" w:rsidRDefault="00CE45E2" w:rsidP="00CE45E2">
      <w:r w:rsidRPr="00CE45E2">
        <w:rPr>
          <w:rStyle w:val="HideTWBExt"/>
        </w:rPr>
        <w:t>&lt;Article2&gt;</w:t>
      </w:r>
      <w:r w:rsidRPr="00CE45E2">
        <w:t>Artykuł 11 a – ustęp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669C07B" w14:textId="77777777" w:rsidTr="006476FB">
        <w:trPr>
          <w:trHeight w:hRule="exact" w:val="240"/>
          <w:jc w:val="center"/>
        </w:trPr>
        <w:tc>
          <w:tcPr>
            <w:tcW w:w="9752" w:type="dxa"/>
            <w:gridSpan w:val="2"/>
            <w:tcBorders>
              <w:top w:val="nil"/>
              <w:left w:val="nil"/>
              <w:bottom w:val="nil"/>
              <w:right w:val="nil"/>
            </w:tcBorders>
          </w:tcPr>
          <w:p w14:paraId="5BEE7776" w14:textId="77777777" w:rsidR="00CE45E2" w:rsidRPr="00CE45E2" w:rsidRDefault="00CE45E2" w:rsidP="006476FB"/>
        </w:tc>
      </w:tr>
      <w:tr w:rsidR="00CE45E2" w:rsidRPr="00CE45E2" w14:paraId="3380FD6B" w14:textId="77777777" w:rsidTr="006476FB">
        <w:trPr>
          <w:trHeight w:val="240"/>
          <w:jc w:val="center"/>
        </w:trPr>
        <w:tc>
          <w:tcPr>
            <w:tcW w:w="4876" w:type="dxa"/>
            <w:tcBorders>
              <w:top w:val="nil"/>
              <w:left w:val="nil"/>
              <w:bottom w:val="nil"/>
              <w:right w:val="nil"/>
            </w:tcBorders>
          </w:tcPr>
          <w:p w14:paraId="020A2DF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B930DB0" w14:textId="77777777" w:rsidR="00CE45E2" w:rsidRPr="00CE45E2" w:rsidRDefault="00CE45E2" w:rsidP="006476FB">
            <w:pPr>
              <w:pStyle w:val="AmColumnHeading"/>
            </w:pPr>
            <w:r w:rsidRPr="00CE45E2">
              <w:t>Poprawka</w:t>
            </w:r>
          </w:p>
        </w:tc>
      </w:tr>
      <w:tr w:rsidR="00CE45E2" w:rsidRPr="00CE45E2" w14:paraId="1627EADE" w14:textId="77777777" w:rsidTr="006476FB">
        <w:trPr>
          <w:jc w:val="center"/>
        </w:trPr>
        <w:tc>
          <w:tcPr>
            <w:tcW w:w="4876" w:type="dxa"/>
            <w:tcBorders>
              <w:top w:val="nil"/>
              <w:left w:val="nil"/>
              <w:bottom w:val="nil"/>
              <w:right w:val="nil"/>
            </w:tcBorders>
          </w:tcPr>
          <w:p w14:paraId="7686D29A" w14:textId="77777777" w:rsidR="00CE45E2" w:rsidRPr="00CE45E2" w:rsidRDefault="00CE45E2" w:rsidP="006476FB">
            <w:pPr>
              <w:pStyle w:val="Normal6a"/>
            </w:pPr>
            <w:r w:rsidRPr="00CE45E2">
              <w:t>2.</w:t>
            </w:r>
            <w:r w:rsidRPr="00CE45E2">
              <w:tab/>
              <w:t xml:space="preserve">Państwa członkowskie zapewniają, aby w </w:t>
            </w:r>
            <w:proofErr w:type="gramStart"/>
            <w:r w:rsidRPr="00CE45E2">
              <w:t>przypadku</w:t>
            </w:r>
            <w:proofErr w:type="gramEnd"/>
            <w:r w:rsidRPr="00CE45E2">
              <w:t xml:space="preserve"> gdy uczestnicy i beneficjenci w pełni ponoszą ryzyko inwestycyjne, </w:t>
            </w:r>
            <w:r w:rsidRPr="00CE45E2">
              <w:rPr>
                <w:b/>
                <w:bCs/>
                <w:i/>
                <w:iCs/>
              </w:rPr>
              <w:t>powiadamianie o</w:t>
            </w:r>
            <w:r w:rsidRPr="00CE45E2">
              <w:t xml:space="preserve"> jednej lub większej </w:t>
            </w:r>
            <w:r w:rsidRPr="00CE45E2">
              <w:rPr>
                <w:b/>
                <w:bCs/>
                <w:i/>
                <w:iCs/>
              </w:rPr>
              <w:t>liczbie</w:t>
            </w:r>
            <w:r w:rsidRPr="00CE45E2">
              <w:t xml:space="preserve"> dodatkowych instytucji finansujących w </w:t>
            </w:r>
            <w:r w:rsidRPr="00CE45E2">
              <w:rPr>
                <w:b/>
                <w:bCs/>
                <w:i/>
                <w:iCs/>
              </w:rPr>
              <w:t>ramach</w:t>
            </w:r>
            <w:r w:rsidRPr="00CE45E2">
              <w:t xml:space="preserve"> </w:t>
            </w:r>
            <w:r w:rsidRPr="00CE45E2">
              <w:rPr>
                <w:b/>
                <w:bCs/>
                <w:i/>
                <w:iCs/>
              </w:rPr>
              <w:t>uprzednio zgłoszonego</w:t>
            </w:r>
            <w:r w:rsidRPr="00CE45E2">
              <w:t xml:space="preserve"> programu emerytalnego lub </w:t>
            </w:r>
            <w:r w:rsidRPr="00CE45E2">
              <w:rPr>
                <w:b/>
                <w:bCs/>
                <w:i/>
                <w:iCs/>
              </w:rPr>
              <w:t>o</w:t>
            </w:r>
            <w:r w:rsidRPr="00CE45E2">
              <w:t xml:space="preserve"> nieistotnych </w:t>
            </w:r>
            <w:r w:rsidRPr="00CE45E2">
              <w:rPr>
                <w:b/>
                <w:bCs/>
                <w:i/>
                <w:iCs/>
              </w:rPr>
              <w:t>zmianach</w:t>
            </w:r>
            <w:r w:rsidRPr="00CE45E2">
              <w:t xml:space="preserve"> cech charakterystycznych </w:t>
            </w:r>
            <w:r w:rsidRPr="00CE45E2">
              <w:rPr>
                <w:b/>
                <w:bCs/>
                <w:i/>
                <w:iCs/>
              </w:rPr>
              <w:t>tego</w:t>
            </w:r>
            <w:r w:rsidRPr="00CE45E2">
              <w:t xml:space="preserve"> programu podlegało </w:t>
            </w:r>
            <w:r w:rsidRPr="00CE45E2">
              <w:rPr>
                <w:b/>
                <w:bCs/>
                <w:i/>
                <w:iCs/>
              </w:rPr>
              <w:t>uproszczonej procedurze</w:t>
            </w:r>
            <w:r w:rsidRPr="00CE45E2">
              <w:t xml:space="preserve"> powiadamiania.</w:t>
            </w:r>
            <w:r w:rsidRPr="00CE45E2">
              <w:rPr>
                <w:b/>
                <w:bCs/>
                <w:i/>
                <w:iCs/>
              </w:rPr>
              <w:t>”;</w:t>
            </w:r>
          </w:p>
        </w:tc>
        <w:tc>
          <w:tcPr>
            <w:tcW w:w="4876" w:type="dxa"/>
            <w:tcBorders>
              <w:top w:val="nil"/>
              <w:left w:val="nil"/>
              <w:bottom w:val="nil"/>
              <w:right w:val="nil"/>
            </w:tcBorders>
          </w:tcPr>
          <w:p w14:paraId="2D4A4AE4" w14:textId="77777777" w:rsidR="00CE45E2" w:rsidRPr="00CE45E2" w:rsidRDefault="00CE45E2" w:rsidP="006476FB">
            <w:pPr>
              <w:pStyle w:val="Normal6a"/>
            </w:pPr>
            <w:r w:rsidRPr="00CE45E2">
              <w:t>2.</w:t>
            </w:r>
            <w:r w:rsidRPr="00CE45E2">
              <w:tab/>
            </w:r>
            <w:r w:rsidRPr="00CE45E2">
              <w:rPr>
                <w:b/>
                <w:bCs/>
                <w:i/>
                <w:iCs/>
              </w:rPr>
              <w:t>Na zasadzie odstępstwa od ust. 1</w:t>
            </w:r>
            <w:r w:rsidRPr="00CE45E2">
              <w:t xml:space="preserve"> państwa członkowskie zapewniają, aby w </w:t>
            </w:r>
            <w:proofErr w:type="gramStart"/>
            <w:r w:rsidRPr="00CE45E2">
              <w:t>przypadku</w:t>
            </w:r>
            <w:proofErr w:type="gramEnd"/>
            <w:r w:rsidRPr="00CE45E2">
              <w:t xml:space="preserve"> gdy uczestnicy i beneficjenci w pełni ponoszą ryzyko inwestycyjne, </w:t>
            </w:r>
            <w:r w:rsidRPr="00CE45E2">
              <w:rPr>
                <w:b/>
                <w:bCs/>
                <w:i/>
                <w:iCs/>
              </w:rPr>
              <w:t>przyjęcie</w:t>
            </w:r>
            <w:r w:rsidRPr="00CE45E2">
              <w:t xml:space="preserve"> jednej lub większej </w:t>
            </w:r>
            <w:r w:rsidRPr="00CE45E2">
              <w:rPr>
                <w:b/>
                <w:bCs/>
                <w:i/>
                <w:iCs/>
              </w:rPr>
              <w:t>liczby</w:t>
            </w:r>
            <w:r w:rsidRPr="00CE45E2">
              <w:t xml:space="preserve"> dodatkowych instytucji finansujących w </w:t>
            </w:r>
            <w:r w:rsidRPr="00CE45E2">
              <w:rPr>
                <w:b/>
                <w:bCs/>
                <w:i/>
                <w:iCs/>
              </w:rPr>
              <w:t>odniesieniu do</w:t>
            </w:r>
            <w:r w:rsidRPr="00CE45E2">
              <w:t xml:space="preserve"> programu emerytalnego </w:t>
            </w:r>
            <w:r w:rsidRPr="00CE45E2">
              <w:rPr>
                <w:b/>
                <w:bCs/>
                <w:i/>
                <w:iCs/>
              </w:rPr>
              <w:t>już zgłoszonego zgodnie z art. 11 ust. 3</w:t>
            </w:r>
            <w:r w:rsidRPr="00CE45E2">
              <w:t xml:space="preserve"> lub nieistotnych </w:t>
            </w:r>
            <w:r w:rsidRPr="00CE45E2">
              <w:rPr>
                <w:b/>
                <w:bCs/>
                <w:i/>
                <w:iCs/>
              </w:rPr>
              <w:t>zmian</w:t>
            </w:r>
            <w:r w:rsidRPr="00CE45E2">
              <w:t xml:space="preserve"> cech charakterystycznych </w:t>
            </w:r>
            <w:r w:rsidRPr="00CE45E2">
              <w:rPr>
                <w:b/>
                <w:bCs/>
                <w:i/>
                <w:iCs/>
              </w:rPr>
              <w:t>takiego</w:t>
            </w:r>
            <w:r w:rsidRPr="00CE45E2">
              <w:t xml:space="preserve"> programu </w:t>
            </w:r>
            <w:r w:rsidRPr="00CE45E2">
              <w:rPr>
                <w:b/>
                <w:bCs/>
                <w:i/>
                <w:iCs/>
              </w:rPr>
              <w:t>nie</w:t>
            </w:r>
            <w:r w:rsidRPr="00CE45E2">
              <w:t xml:space="preserve"> podlegało </w:t>
            </w:r>
            <w:r w:rsidRPr="00CE45E2">
              <w:rPr>
                <w:b/>
                <w:bCs/>
                <w:i/>
                <w:iCs/>
              </w:rPr>
              <w:t>obowiązkowi uprzedniego</w:t>
            </w:r>
            <w:r w:rsidRPr="00CE45E2">
              <w:t xml:space="preserve"> powiadamiania</w:t>
            </w:r>
            <w:r w:rsidRPr="00CE45E2">
              <w:rPr>
                <w:b/>
                <w:bCs/>
                <w:i/>
                <w:iCs/>
              </w:rPr>
              <w:t>.</w:t>
            </w:r>
            <w:r w:rsidRPr="00CE45E2">
              <w:rPr>
                <w:b/>
                <w:i/>
              </w:rPr>
              <w:t xml:space="preserve"> </w:t>
            </w:r>
            <w:r w:rsidRPr="00CE45E2">
              <w:rPr>
                <w:b/>
                <w:bCs/>
                <w:i/>
                <w:iCs/>
              </w:rPr>
              <w:t>Wszelkie wymogi dotyczące powiadomienia o takim przyjęciu lub zmianie po jego wejściu w życie ograniczają się do tego, co jest niezbędne do sprawdzenia zgodności z przepisami, o których mowa w art. 11, i nie stanowią warunku wstępnego dla rozszerzenia przez IORP swojej działalności transgranicznej</w:t>
            </w:r>
            <w:r w:rsidRPr="00CE45E2">
              <w:t>.</w:t>
            </w:r>
          </w:p>
        </w:tc>
      </w:tr>
    </w:tbl>
    <w:p w14:paraId="1469F88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0711203"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CCCE04B" w14:textId="77777777" w:rsidR="00CE45E2" w:rsidRPr="00CE45E2" w:rsidRDefault="00CE45E2" w:rsidP="00CE45E2">
      <w:pPr>
        <w:pStyle w:val="AmJustText"/>
      </w:pPr>
      <w:r w:rsidRPr="00CE45E2">
        <w:t>Uproszczenie wynikające z przeformułowania art. 11: nowy ust. 2 wprowadza uproszczenie w odniesieniu do programów z wieloma instytucjami finansującymi.</w:t>
      </w:r>
    </w:p>
    <w:p w14:paraId="6AC589F7" w14:textId="77777777" w:rsidR="00CE45E2" w:rsidRPr="00CE45E2" w:rsidRDefault="00CE45E2" w:rsidP="00CE45E2">
      <w:r w:rsidRPr="00CE45E2">
        <w:rPr>
          <w:rStyle w:val="HideTWBExt"/>
        </w:rPr>
        <w:t>&lt;/Amend&gt;</w:t>
      </w:r>
    </w:p>
    <w:p w14:paraId="47B53BFB" w14:textId="4019EBE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260</w:t>
      </w:r>
      <w:r w:rsidRPr="00CE45E2">
        <w:rPr>
          <w:rStyle w:val="HideTWBExt"/>
          <w:b w:val="0"/>
        </w:rPr>
        <w:t>&lt;/NumAm&gt;</w:t>
      </w:r>
    </w:p>
    <w:p w14:paraId="0ECAEB59"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19B35CAC" w14:textId="77777777" w:rsidR="00CE45E2" w:rsidRPr="00CE45E2" w:rsidRDefault="00CE45E2" w:rsidP="00CE45E2">
      <w:pPr>
        <w:pStyle w:val="NormalBold"/>
      </w:pPr>
      <w:r w:rsidRPr="00CE45E2">
        <w:rPr>
          <w:rStyle w:val="HideTWBExt"/>
          <w:b w:val="0"/>
        </w:rPr>
        <w:t>&lt;/RepeatBlock-By&gt;</w:t>
      </w:r>
    </w:p>
    <w:p w14:paraId="10F6F3D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CF4A81C" w14:textId="77777777" w:rsidR="00CE45E2" w:rsidRPr="00CE45E2" w:rsidRDefault="00CE45E2" w:rsidP="00CE45E2">
      <w:pPr>
        <w:pStyle w:val="NormalBold"/>
      </w:pPr>
      <w:r w:rsidRPr="00CE45E2">
        <w:rPr>
          <w:rStyle w:val="HideTWBExt"/>
          <w:b w:val="0"/>
        </w:rPr>
        <w:t>&lt;Article&gt;</w:t>
      </w:r>
      <w:r w:rsidRPr="00CE45E2">
        <w:t>Artykuł 1 – akapit 1 – punkt 14 a (nowy)</w:t>
      </w:r>
      <w:r w:rsidRPr="00CE45E2">
        <w:rPr>
          <w:rStyle w:val="HideTWBExt"/>
          <w:b w:val="0"/>
        </w:rPr>
        <w:t>&lt;/Article&gt;</w:t>
      </w:r>
    </w:p>
    <w:p w14:paraId="00E23EC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28FDF12" w14:textId="77777777" w:rsidR="00CE45E2" w:rsidRPr="00CE45E2" w:rsidRDefault="00CE45E2" w:rsidP="00CE45E2">
      <w:r w:rsidRPr="00CE45E2">
        <w:rPr>
          <w:rStyle w:val="HideTWBExt"/>
        </w:rPr>
        <w:t>&lt;Article2&gt;</w:t>
      </w:r>
      <w:r w:rsidRPr="00CE45E2">
        <w:t>Artykuł 11 a – ustęp 1</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476BAB8" w14:textId="77777777" w:rsidTr="006476FB">
        <w:trPr>
          <w:trHeight w:hRule="exact" w:val="240"/>
          <w:jc w:val="center"/>
        </w:trPr>
        <w:tc>
          <w:tcPr>
            <w:tcW w:w="9752" w:type="dxa"/>
            <w:gridSpan w:val="2"/>
            <w:tcBorders>
              <w:top w:val="nil"/>
              <w:left w:val="nil"/>
              <w:bottom w:val="nil"/>
              <w:right w:val="nil"/>
            </w:tcBorders>
          </w:tcPr>
          <w:p w14:paraId="646D698A" w14:textId="77777777" w:rsidR="00CE45E2" w:rsidRPr="00CE45E2" w:rsidRDefault="00CE45E2" w:rsidP="006476FB"/>
        </w:tc>
      </w:tr>
      <w:tr w:rsidR="00CE45E2" w:rsidRPr="00CE45E2" w14:paraId="06C1DA30" w14:textId="77777777" w:rsidTr="006476FB">
        <w:trPr>
          <w:trHeight w:val="240"/>
          <w:jc w:val="center"/>
        </w:trPr>
        <w:tc>
          <w:tcPr>
            <w:tcW w:w="4876" w:type="dxa"/>
            <w:tcBorders>
              <w:top w:val="nil"/>
              <w:left w:val="nil"/>
              <w:bottom w:val="nil"/>
              <w:right w:val="nil"/>
            </w:tcBorders>
          </w:tcPr>
          <w:p w14:paraId="69E5FF6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7850FF4" w14:textId="77777777" w:rsidR="00CE45E2" w:rsidRPr="00CE45E2" w:rsidRDefault="00CE45E2" w:rsidP="006476FB">
            <w:pPr>
              <w:pStyle w:val="AmColumnHeading"/>
            </w:pPr>
            <w:r w:rsidRPr="00CE45E2">
              <w:t>Poprawka</w:t>
            </w:r>
          </w:p>
        </w:tc>
      </w:tr>
      <w:tr w:rsidR="00CE45E2" w:rsidRPr="00CE45E2" w14:paraId="2C41DE15" w14:textId="77777777" w:rsidTr="006476FB">
        <w:trPr>
          <w:jc w:val="center"/>
        </w:trPr>
        <w:tc>
          <w:tcPr>
            <w:tcW w:w="4876" w:type="dxa"/>
            <w:tcBorders>
              <w:top w:val="nil"/>
              <w:left w:val="nil"/>
              <w:bottom w:val="nil"/>
              <w:right w:val="nil"/>
            </w:tcBorders>
          </w:tcPr>
          <w:p w14:paraId="55DC0F0B" w14:textId="77777777" w:rsidR="00CE45E2" w:rsidRPr="00CE45E2" w:rsidRDefault="00CE45E2" w:rsidP="006476FB">
            <w:pPr>
              <w:pStyle w:val="Normal6a"/>
            </w:pPr>
            <w:r w:rsidRPr="00CE45E2">
              <w:t xml:space="preserve">1. Państwa członkowskie zapewniają, aby w przypadku zmiany jakichkolwiek danych przekazanych na podstawie art. 11 ust. 3 lit. b) lub c) IORP pisemnie powiadomiła o tej zmianie właściwe organy rodzimego państwa członkowskiego i przyjmującego państwa członkowskiego co najmniej miesiąc przed dokonaniem zmiany, aby umożliwić </w:t>
            </w:r>
            <w:r w:rsidRPr="00CE45E2">
              <w:rPr>
                <w:b/>
                <w:bCs/>
                <w:i/>
                <w:iCs/>
              </w:rPr>
              <w:t>właściwym</w:t>
            </w:r>
            <w:r w:rsidRPr="00CE45E2">
              <w:t xml:space="preserve"> organom </w:t>
            </w:r>
            <w:r w:rsidRPr="00CE45E2">
              <w:rPr>
                <w:b/>
                <w:bCs/>
                <w:i/>
                <w:iCs/>
              </w:rPr>
              <w:t>rodzimego państwa członkowskiego i przyjmującego państwa członkowskiego</w:t>
            </w:r>
            <w:r w:rsidRPr="00CE45E2">
              <w:t xml:space="preserve"> wypełnienie ich odpowiednich obowiązków wynikających z art. 11.</w:t>
            </w:r>
          </w:p>
        </w:tc>
        <w:tc>
          <w:tcPr>
            <w:tcW w:w="4876" w:type="dxa"/>
            <w:tcBorders>
              <w:top w:val="nil"/>
              <w:left w:val="nil"/>
              <w:bottom w:val="nil"/>
              <w:right w:val="nil"/>
            </w:tcBorders>
          </w:tcPr>
          <w:p w14:paraId="763A0E42" w14:textId="77777777" w:rsidR="00CE45E2" w:rsidRPr="00CE45E2" w:rsidRDefault="00CE45E2" w:rsidP="006476FB">
            <w:pPr>
              <w:pStyle w:val="Normal6a"/>
            </w:pPr>
            <w:r w:rsidRPr="00CE45E2">
              <w:t xml:space="preserve">1. Państwa członkowskie zapewniają, aby w przypadku zmiany jakichkolwiek danych przekazanych na podstawie art. 11 ust. 3 lit. b) lub c) IORP pisemnie powiadomiła o tej zmianie właściwe organy rodzimego państwa członkowskiego i przyjmującego państwa członkowskiego co najmniej miesiąc przed dokonaniem zmiany, aby umożliwić </w:t>
            </w:r>
            <w:r w:rsidRPr="00CE45E2">
              <w:rPr>
                <w:b/>
                <w:bCs/>
                <w:i/>
                <w:iCs/>
              </w:rPr>
              <w:t>tym</w:t>
            </w:r>
            <w:r w:rsidRPr="00CE45E2">
              <w:t xml:space="preserve"> organom wypełnienie ich odpowiednich obowiązków wynikających z art. 11.</w:t>
            </w:r>
            <w:r w:rsidRPr="00CE45E2">
              <w:rPr>
                <w:b/>
                <w:i/>
              </w:rPr>
              <w:t xml:space="preserve"> Właściwy organ rodzimego państwa członkowskiego niezwłocznie informuje o takiej zmianie właściwe organy przyjmującego państwa członkowskiego.</w:t>
            </w:r>
          </w:p>
        </w:tc>
      </w:tr>
    </w:tbl>
    <w:p w14:paraId="75F198E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082D3FE" w14:textId="77777777" w:rsidR="00CE45E2" w:rsidRPr="00CE45E2" w:rsidRDefault="00CE45E2" w:rsidP="00CE45E2">
      <w:pPr>
        <w:rPr>
          <w:rStyle w:val="HideTWBExt"/>
        </w:rPr>
      </w:pPr>
      <w:r w:rsidRPr="00CE45E2">
        <w:rPr>
          <w:rStyle w:val="HideTWBExt"/>
        </w:rPr>
        <w:t>&lt;/Amend&gt;</w:t>
      </w:r>
    </w:p>
    <w:p w14:paraId="4C09B7EC" w14:textId="2DB48EB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261</w:t>
      </w:r>
      <w:r w:rsidRPr="00CE45E2">
        <w:rPr>
          <w:rStyle w:val="HideTWBExt"/>
          <w:b w:val="0"/>
        </w:rPr>
        <w:t>&lt;/NumAm&gt;</w:t>
      </w:r>
    </w:p>
    <w:p w14:paraId="2BE1A503"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0A843A7C" w14:textId="77777777" w:rsidR="00CE45E2" w:rsidRPr="00CE45E2" w:rsidRDefault="00CE45E2" w:rsidP="00CE45E2">
      <w:pPr>
        <w:pStyle w:val="NormalBold"/>
      </w:pPr>
      <w:r w:rsidRPr="00CE45E2">
        <w:rPr>
          <w:rStyle w:val="HideTWBExt"/>
          <w:b w:val="0"/>
        </w:rPr>
        <w:t>&lt;/RepeatBlock-By&gt;</w:t>
      </w:r>
    </w:p>
    <w:p w14:paraId="0DC46B1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34CDBC5" w14:textId="77777777" w:rsidR="00CE45E2" w:rsidRPr="00CE45E2" w:rsidRDefault="00CE45E2" w:rsidP="00CE45E2">
      <w:pPr>
        <w:pStyle w:val="NormalBold"/>
      </w:pPr>
      <w:r w:rsidRPr="00CE45E2">
        <w:rPr>
          <w:rStyle w:val="HideTWBExt"/>
          <w:b w:val="0"/>
        </w:rPr>
        <w:t>&lt;Article&gt;</w:t>
      </w:r>
      <w:r w:rsidRPr="00CE45E2">
        <w:t>Artykuł 1 – akapit 1 – punkt 14 a (nowy)</w:t>
      </w:r>
      <w:r w:rsidRPr="00CE45E2">
        <w:rPr>
          <w:rStyle w:val="HideTWBExt"/>
          <w:b w:val="0"/>
        </w:rPr>
        <w:t>&lt;/Article&gt;</w:t>
      </w:r>
    </w:p>
    <w:p w14:paraId="7697F7E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F0EED07" w14:textId="77777777" w:rsidR="00CE45E2" w:rsidRPr="00CE45E2" w:rsidRDefault="00CE45E2" w:rsidP="00CE45E2">
      <w:r w:rsidRPr="00CE45E2">
        <w:rPr>
          <w:rStyle w:val="HideTWBExt"/>
        </w:rPr>
        <w:t>&lt;Article2&gt;</w:t>
      </w:r>
      <w:r w:rsidRPr="00CE45E2">
        <w:t>Artykuł 11 a – ustęp 2</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BFCCD41" w14:textId="77777777" w:rsidTr="006476FB">
        <w:trPr>
          <w:trHeight w:hRule="exact" w:val="240"/>
          <w:jc w:val="center"/>
        </w:trPr>
        <w:tc>
          <w:tcPr>
            <w:tcW w:w="9752" w:type="dxa"/>
            <w:gridSpan w:val="2"/>
            <w:tcBorders>
              <w:top w:val="nil"/>
              <w:left w:val="nil"/>
              <w:bottom w:val="nil"/>
              <w:right w:val="nil"/>
            </w:tcBorders>
          </w:tcPr>
          <w:p w14:paraId="3AA80CB8" w14:textId="77777777" w:rsidR="00CE45E2" w:rsidRPr="00CE45E2" w:rsidRDefault="00CE45E2" w:rsidP="006476FB"/>
        </w:tc>
      </w:tr>
      <w:tr w:rsidR="00CE45E2" w:rsidRPr="00CE45E2" w14:paraId="0451FB64" w14:textId="77777777" w:rsidTr="006476FB">
        <w:trPr>
          <w:trHeight w:val="240"/>
          <w:jc w:val="center"/>
        </w:trPr>
        <w:tc>
          <w:tcPr>
            <w:tcW w:w="4876" w:type="dxa"/>
            <w:tcBorders>
              <w:top w:val="nil"/>
              <w:left w:val="nil"/>
              <w:bottom w:val="nil"/>
              <w:right w:val="nil"/>
            </w:tcBorders>
          </w:tcPr>
          <w:p w14:paraId="0C5B0B5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BCF8C9C" w14:textId="77777777" w:rsidR="00CE45E2" w:rsidRPr="00CE45E2" w:rsidRDefault="00CE45E2" w:rsidP="006476FB">
            <w:pPr>
              <w:pStyle w:val="AmColumnHeading"/>
            </w:pPr>
            <w:r w:rsidRPr="00CE45E2">
              <w:t>Poprawka</w:t>
            </w:r>
          </w:p>
        </w:tc>
      </w:tr>
      <w:tr w:rsidR="00CE45E2" w:rsidRPr="00CE45E2" w14:paraId="156D9AC3" w14:textId="77777777" w:rsidTr="006476FB">
        <w:trPr>
          <w:jc w:val="center"/>
        </w:trPr>
        <w:tc>
          <w:tcPr>
            <w:tcW w:w="4876" w:type="dxa"/>
            <w:tcBorders>
              <w:top w:val="nil"/>
              <w:left w:val="nil"/>
              <w:bottom w:val="nil"/>
              <w:right w:val="nil"/>
            </w:tcBorders>
          </w:tcPr>
          <w:p w14:paraId="5825E014" w14:textId="77777777" w:rsidR="00CE45E2" w:rsidRPr="00CE45E2" w:rsidRDefault="00CE45E2" w:rsidP="006476FB">
            <w:pPr>
              <w:pStyle w:val="Normal6a"/>
            </w:pPr>
            <w:r w:rsidRPr="00CE45E2">
              <w:t xml:space="preserve">2. Państwa członkowskie zapewniają, aby w </w:t>
            </w:r>
            <w:proofErr w:type="gramStart"/>
            <w:r w:rsidRPr="00CE45E2">
              <w:t>przypadku</w:t>
            </w:r>
            <w:proofErr w:type="gramEnd"/>
            <w:r w:rsidRPr="00CE45E2">
              <w:t xml:space="preserve"> gdy uczestnicy i beneficjenci w pełni ponoszą ryzyko inwestycyjne, </w:t>
            </w:r>
            <w:r w:rsidRPr="00CE45E2">
              <w:rPr>
                <w:b/>
                <w:bCs/>
                <w:i/>
                <w:iCs/>
              </w:rPr>
              <w:t>powiadamianie o</w:t>
            </w:r>
            <w:r w:rsidRPr="00CE45E2">
              <w:t xml:space="preserve"> jednej lub większej </w:t>
            </w:r>
            <w:r w:rsidRPr="00CE45E2">
              <w:rPr>
                <w:b/>
                <w:bCs/>
                <w:i/>
                <w:iCs/>
              </w:rPr>
              <w:t>liczbie</w:t>
            </w:r>
            <w:r w:rsidRPr="00CE45E2">
              <w:t xml:space="preserve"> dodatkowych instytucji finansujących w </w:t>
            </w:r>
            <w:r w:rsidRPr="00CE45E2">
              <w:rPr>
                <w:b/>
                <w:bCs/>
                <w:i/>
                <w:iCs/>
              </w:rPr>
              <w:t>ramach uprzednio zgłoszonego</w:t>
            </w:r>
            <w:r w:rsidRPr="00CE45E2">
              <w:t xml:space="preserve"> programu emerytalnego lub </w:t>
            </w:r>
            <w:r w:rsidRPr="00CE45E2">
              <w:rPr>
                <w:b/>
                <w:bCs/>
                <w:i/>
                <w:iCs/>
              </w:rPr>
              <w:t>o</w:t>
            </w:r>
            <w:r w:rsidRPr="00CE45E2">
              <w:t xml:space="preserve"> nieistotnych </w:t>
            </w:r>
            <w:r w:rsidRPr="00CE45E2">
              <w:rPr>
                <w:b/>
                <w:bCs/>
                <w:i/>
                <w:iCs/>
              </w:rPr>
              <w:t>zmianach</w:t>
            </w:r>
            <w:r w:rsidRPr="00CE45E2">
              <w:t xml:space="preserve"> cech charakterystycznych </w:t>
            </w:r>
            <w:r w:rsidRPr="00CE45E2">
              <w:rPr>
                <w:b/>
                <w:bCs/>
                <w:i/>
                <w:iCs/>
              </w:rPr>
              <w:t>tego</w:t>
            </w:r>
            <w:r w:rsidRPr="00CE45E2">
              <w:t xml:space="preserve"> programu podlegało </w:t>
            </w:r>
            <w:r w:rsidRPr="00CE45E2">
              <w:rPr>
                <w:b/>
                <w:bCs/>
                <w:i/>
                <w:iCs/>
              </w:rPr>
              <w:t>uproszczonej procedurze</w:t>
            </w:r>
            <w:r w:rsidRPr="00CE45E2">
              <w:t xml:space="preserve"> powiadamiania.</w:t>
            </w:r>
            <w:r w:rsidRPr="00CE45E2">
              <w:rPr>
                <w:b/>
                <w:bCs/>
                <w:i/>
                <w:iCs/>
              </w:rPr>
              <w:t>”;</w:t>
            </w:r>
          </w:p>
        </w:tc>
        <w:tc>
          <w:tcPr>
            <w:tcW w:w="4876" w:type="dxa"/>
            <w:tcBorders>
              <w:top w:val="nil"/>
              <w:left w:val="nil"/>
              <w:bottom w:val="nil"/>
              <w:right w:val="nil"/>
            </w:tcBorders>
          </w:tcPr>
          <w:p w14:paraId="4012344F" w14:textId="77777777" w:rsidR="00CE45E2" w:rsidRPr="00CE45E2" w:rsidRDefault="00CE45E2" w:rsidP="006476FB">
            <w:pPr>
              <w:pStyle w:val="Normal6a"/>
            </w:pPr>
            <w:r w:rsidRPr="00CE45E2">
              <w:t xml:space="preserve">2. Państwa członkowskie zapewniają, aby w </w:t>
            </w:r>
            <w:proofErr w:type="gramStart"/>
            <w:r w:rsidRPr="00CE45E2">
              <w:t>przypadku</w:t>
            </w:r>
            <w:proofErr w:type="gramEnd"/>
            <w:r w:rsidRPr="00CE45E2">
              <w:t xml:space="preserve"> gdy uczestnicy i beneficjenci w pełni ponoszą ryzyko inwestycyjne, </w:t>
            </w:r>
            <w:r w:rsidRPr="00CE45E2">
              <w:rPr>
                <w:b/>
                <w:bCs/>
                <w:i/>
                <w:iCs/>
              </w:rPr>
              <w:t>przyjęcie</w:t>
            </w:r>
            <w:r w:rsidRPr="00CE45E2">
              <w:t xml:space="preserve"> jednej lub większej </w:t>
            </w:r>
            <w:r w:rsidRPr="00CE45E2">
              <w:rPr>
                <w:b/>
                <w:bCs/>
                <w:i/>
                <w:iCs/>
              </w:rPr>
              <w:t>liczby</w:t>
            </w:r>
            <w:r w:rsidRPr="00CE45E2">
              <w:t xml:space="preserve"> dodatkowych instytucji finansujących w </w:t>
            </w:r>
            <w:r w:rsidRPr="00CE45E2">
              <w:rPr>
                <w:b/>
                <w:bCs/>
                <w:i/>
                <w:iCs/>
              </w:rPr>
              <w:t xml:space="preserve">odniesieniu do </w:t>
            </w:r>
            <w:r w:rsidRPr="00CE45E2">
              <w:t>programu emerytalnego</w:t>
            </w:r>
            <w:r w:rsidRPr="00CE45E2">
              <w:rPr>
                <w:b/>
                <w:bCs/>
                <w:i/>
                <w:iCs/>
              </w:rPr>
              <w:t>, który został już zgłoszony zgodnie z art. 11 ust. 3,</w:t>
            </w:r>
            <w:r w:rsidRPr="00CE45E2">
              <w:t xml:space="preserve"> lub nieistotnych </w:t>
            </w:r>
            <w:r w:rsidRPr="00CE45E2">
              <w:rPr>
                <w:b/>
                <w:bCs/>
                <w:i/>
                <w:iCs/>
              </w:rPr>
              <w:t>zmian</w:t>
            </w:r>
            <w:r w:rsidRPr="00CE45E2">
              <w:t xml:space="preserve"> cech charakterystycznych </w:t>
            </w:r>
            <w:r w:rsidRPr="00CE45E2">
              <w:rPr>
                <w:b/>
                <w:bCs/>
                <w:i/>
                <w:iCs/>
              </w:rPr>
              <w:t>takiego</w:t>
            </w:r>
            <w:r w:rsidRPr="00CE45E2">
              <w:t xml:space="preserve"> programu </w:t>
            </w:r>
            <w:r w:rsidRPr="00CE45E2">
              <w:rPr>
                <w:b/>
                <w:bCs/>
                <w:i/>
                <w:iCs/>
              </w:rPr>
              <w:t>nie</w:t>
            </w:r>
            <w:r w:rsidRPr="00CE45E2">
              <w:t xml:space="preserve"> podlegało </w:t>
            </w:r>
            <w:r w:rsidRPr="00CE45E2">
              <w:rPr>
                <w:b/>
                <w:bCs/>
                <w:i/>
                <w:iCs/>
              </w:rPr>
              <w:t>obowiązkowi uprzedniego</w:t>
            </w:r>
            <w:r w:rsidRPr="00CE45E2">
              <w:t xml:space="preserve"> powiadamiania.</w:t>
            </w:r>
            <w:r w:rsidRPr="00CE45E2">
              <w:rPr>
                <w:b/>
                <w:i/>
              </w:rPr>
              <w:t xml:space="preserve"> </w:t>
            </w:r>
            <w:r w:rsidRPr="00CE45E2">
              <w:rPr>
                <w:b/>
                <w:bCs/>
                <w:i/>
                <w:iCs/>
              </w:rPr>
              <w:t>Wszelkie wymogi dotyczące powiadomienia właściwego organu w rodzimym państwie członkowskim o takim przyjęciu lub zmianie po jego wejściu w życie ograniczają się do tego, co jest niezbędne do sprawdzenia zgodności z przepisami, o których mowa w art. 11, i nie stanowią warunku wstępnego dla rozszerzenia przez IORP swojej działalności transgranicznej</w:t>
            </w:r>
            <w:r w:rsidRPr="00CE45E2">
              <w:rPr>
                <w:b/>
                <w:i/>
              </w:rPr>
              <w:t>.</w:t>
            </w:r>
          </w:p>
        </w:tc>
      </w:tr>
    </w:tbl>
    <w:p w14:paraId="28D6D913"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5526426" w14:textId="77777777" w:rsidR="00CE45E2" w:rsidRPr="00CE45E2" w:rsidRDefault="00CE45E2" w:rsidP="00CE45E2">
      <w:r w:rsidRPr="00CE45E2">
        <w:rPr>
          <w:rStyle w:val="HideTWBExt"/>
        </w:rPr>
        <w:t>&lt;/Amend&gt;</w:t>
      </w:r>
    </w:p>
    <w:p w14:paraId="3F1FD2C8" w14:textId="315FBD6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262</w:t>
      </w:r>
      <w:r w:rsidRPr="00CE45E2">
        <w:rPr>
          <w:rStyle w:val="HideTWBExt"/>
          <w:b w:val="0"/>
        </w:rPr>
        <w:t>&lt;/NumAm&gt;</w:t>
      </w:r>
    </w:p>
    <w:p w14:paraId="42E606B1" w14:textId="77777777" w:rsidR="00CE45E2" w:rsidRPr="00CE45E2" w:rsidRDefault="00CE45E2" w:rsidP="00CE45E2">
      <w:pPr>
        <w:pStyle w:val="NormalBold"/>
      </w:pPr>
      <w:r w:rsidRPr="00CE45E2">
        <w:rPr>
          <w:rStyle w:val="HideTWBExt"/>
          <w:b w:val="0"/>
        </w:rPr>
        <w:t>&lt;RepeatBlock-By&gt;&lt;Members&gt;</w:t>
      </w:r>
      <w:r w:rsidRPr="00CE45E2">
        <w:t xml:space="preserve">Damian </w:t>
      </w:r>
      <w:proofErr w:type="spellStart"/>
      <w:r w:rsidRPr="00CE45E2">
        <w:t>Boeselager</w:t>
      </w:r>
      <w:proofErr w:type="spellEnd"/>
      <w:r w:rsidRPr="00CE45E2">
        <w:rPr>
          <w:rStyle w:val="HideTWBExt"/>
          <w:b w:val="0"/>
        </w:rPr>
        <w:t>&lt;/Members&gt;</w:t>
      </w:r>
    </w:p>
    <w:p w14:paraId="0D9B8B72" w14:textId="77777777" w:rsidR="00CE45E2" w:rsidRPr="00CE45E2" w:rsidRDefault="00CE45E2" w:rsidP="00CE45E2">
      <w:pPr>
        <w:pStyle w:val="NormalBold"/>
      </w:pPr>
      <w:r w:rsidRPr="00CE45E2">
        <w:rPr>
          <w:rStyle w:val="HideTWBExt"/>
          <w:b w:val="0"/>
        </w:rPr>
        <w:t>&lt;/RepeatBlock-By&gt;</w:t>
      </w:r>
    </w:p>
    <w:p w14:paraId="2341516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BDCD714" w14:textId="77777777" w:rsidR="00CE45E2" w:rsidRPr="00CE45E2" w:rsidRDefault="00CE45E2" w:rsidP="00CE45E2">
      <w:pPr>
        <w:pStyle w:val="NormalBold"/>
      </w:pPr>
      <w:r w:rsidRPr="00CE45E2">
        <w:rPr>
          <w:rStyle w:val="HideTWBExt"/>
          <w:b w:val="0"/>
        </w:rPr>
        <w:t>&lt;Article&gt;</w:t>
      </w:r>
      <w:r w:rsidRPr="00CE45E2">
        <w:t>Artykuł 1 – akapit 1 – punkt 14 a (nowy)</w:t>
      </w:r>
      <w:r w:rsidRPr="00CE45E2">
        <w:rPr>
          <w:rStyle w:val="HideTWBExt"/>
          <w:b w:val="0"/>
        </w:rPr>
        <w:t>&lt;/Article&gt;</w:t>
      </w:r>
    </w:p>
    <w:p w14:paraId="0233DB0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A658CCF" w14:textId="77777777" w:rsidR="00CE45E2" w:rsidRPr="00CE45E2" w:rsidRDefault="00CE45E2" w:rsidP="00CE45E2">
      <w:r w:rsidRPr="00CE45E2">
        <w:rPr>
          <w:rStyle w:val="HideTWBExt"/>
        </w:rPr>
        <w:t>&lt;Article2&gt;</w:t>
      </w:r>
      <w:r w:rsidRPr="00CE45E2">
        <w:t>Artykuł 11 a – ustęp 2 a (nowy)</w:t>
      </w:r>
      <w:r w:rsidRPr="00CE45E2">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D4A3B35" w14:textId="77777777" w:rsidTr="006476FB">
        <w:trPr>
          <w:trHeight w:hRule="exact" w:val="240"/>
          <w:jc w:val="center"/>
        </w:trPr>
        <w:tc>
          <w:tcPr>
            <w:tcW w:w="9752" w:type="dxa"/>
            <w:gridSpan w:val="2"/>
            <w:tcBorders>
              <w:top w:val="nil"/>
              <w:left w:val="nil"/>
              <w:bottom w:val="nil"/>
              <w:right w:val="nil"/>
            </w:tcBorders>
          </w:tcPr>
          <w:p w14:paraId="44D793B4" w14:textId="77777777" w:rsidR="00CE45E2" w:rsidRPr="00CE45E2" w:rsidRDefault="00CE45E2" w:rsidP="006476FB"/>
        </w:tc>
      </w:tr>
      <w:tr w:rsidR="00CE45E2" w:rsidRPr="00CE45E2" w14:paraId="539F8963" w14:textId="77777777" w:rsidTr="006476FB">
        <w:trPr>
          <w:trHeight w:val="240"/>
          <w:jc w:val="center"/>
        </w:trPr>
        <w:tc>
          <w:tcPr>
            <w:tcW w:w="4876" w:type="dxa"/>
            <w:tcBorders>
              <w:top w:val="nil"/>
              <w:left w:val="nil"/>
              <w:bottom w:val="nil"/>
              <w:right w:val="nil"/>
            </w:tcBorders>
          </w:tcPr>
          <w:p w14:paraId="43CE196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4B234C7" w14:textId="77777777" w:rsidR="00CE45E2" w:rsidRPr="00CE45E2" w:rsidRDefault="00CE45E2" w:rsidP="006476FB">
            <w:pPr>
              <w:pStyle w:val="AmColumnHeading"/>
            </w:pPr>
            <w:r w:rsidRPr="00CE45E2">
              <w:t>Poprawka</w:t>
            </w:r>
          </w:p>
        </w:tc>
      </w:tr>
      <w:tr w:rsidR="00CE45E2" w:rsidRPr="00CE45E2" w14:paraId="5C176A04" w14:textId="77777777" w:rsidTr="006476FB">
        <w:trPr>
          <w:jc w:val="center"/>
        </w:trPr>
        <w:tc>
          <w:tcPr>
            <w:tcW w:w="4876" w:type="dxa"/>
            <w:tcBorders>
              <w:top w:val="nil"/>
              <w:left w:val="nil"/>
              <w:bottom w:val="nil"/>
              <w:right w:val="nil"/>
            </w:tcBorders>
          </w:tcPr>
          <w:p w14:paraId="2A6685AA" w14:textId="77777777" w:rsidR="00CE45E2" w:rsidRPr="00CE45E2" w:rsidRDefault="00CE45E2" w:rsidP="006476FB">
            <w:pPr>
              <w:pStyle w:val="Normal6a"/>
            </w:pPr>
          </w:p>
        </w:tc>
        <w:tc>
          <w:tcPr>
            <w:tcW w:w="4876" w:type="dxa"/>
            <w:tcBorders>
              <w:top w:val="nil"/>
              <w:left w:val="nil"/>
              <w:bottom w:val="nil"/>
              <w:right w:val="nil"/>
            </w:tcBorders>
          </w:tcPr>
          <w:p w14:paraId="3A229769" w14:textId="77777777" w:rsidR="00CE45E2" w:rsidRPr="00CE45E2" w:rsidRDefault="00CE45E2" w:rsidP="006476FB">
            <w:pPr>
              <w:pStyle w:val="Normal6a"/>
              <w:rPr>
                <w:b/>
                <w:i/>
              </w:rPr>
            </w:pPr>
            <w:r w:rsidRPr="00CE45E2">
              <w:rPr>
                <w:b/>
                <w:i/>
              </w:rPr>
              <w:t>2a. W przypadku gdy IORP, która już prowadzi działalność transgraniczną na podstawie zezwolenia udzielonego zgodnie z art. 11, zamierza prowadzić działalność transgraniczną w kolejnym przyjmującym państwie członkowskim, właściwy organ rodzimego państwa członkowskiego nie powtarza oceny struktury administracyjnej, sytuacji finansowej, dobrej reputacji, kwalifikacji zawodowych ani doświadczenia, o których mowa w art. 11 ust. 4, chyba że elementy te uległy istotnej zmianie od czasu ostatniej oceny.</w:t>
            </w:r>
          </w:p>
        </w:tc>
      </w:tr>
    </w:tbl>
    <w:p w14:paraId="094AF14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B15D6E7" w14:textId="77777777" w:rsidR="00CE45E2" w:rsidRPr="00CE45E2" w:rsidRDefault="00CE45E2" w:rsidP="00CE45E2">
      <w:r w:rsidRPr="00CE45E2">
        <w:rPr>
          <w:rStyle w:val="HideTWBExt"/>
        </w:rPr>
        <w:t>&lt;/Amend&gt;</w:t>
      </w:r>
    </w:p>
    <w:p w14:paraId="0483C764" w14:textId="38C635A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263</w:t>
      </w:r>
      <w:r w:rsidRPr="00CE45E2">
        <w:rPr>
          <w:rStyle w:val="HideTWBExt"/>
          <w:b w:val="0"/>
        </w:rPr>
        <w:t>&lt;/NumAm&gt;</w:t>
      </w:r>
    </w:p>
    <w:p w14:paraId="4E84EA9E"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5C299E71" w14:textId="77777777" w:rsidR="00CE45E2" w:rsidRPr="00CE45E2" w:rsidRDefault="00CE45E2" w:rsidP="00CE45E2">
      <w:pPr>
        <w:pStyle w:val="NormalBold"/>
      </w:pPr>
      <w:r w:rsidRPr="00CE45E2">
        <w:rPr>
          <w:rStyle w:val="HideTWBExt"/>
          <w:b w:val="0"/>
        </w:rPr>
        <w:t>&lt;/RepeatBlock-By&gt;</w:t>
      </w:r>
    </w:p>
    <w:p w14:paraId="43B0363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A1D65D3" w14:textId="77777777" w:rsidR="00CE45E2" w:rsidRPr="00CE45E2" w:rsidRDefault="00CE45E2" w:rsidP="00CE45E2">
      <w:pPr>
        <w:pStyle w:val="NormalBold"/>
      </w:pPr>
      <w:r w:rsidRPr="00CE45E2">
        <w:rPr>
          <w:rStyle w:val="HideTWBExt"/>
          <w:b w:val="0"/>
        </w:rPr>
        <w:t>&lt;Article&gt;</w:t>
      </w:r>
      <w:r w:rsidRPr="00CE45E2">
        <w:t>Artykuł 1 – akapit 1 – punkt 15 – litera b</w:t>
      </w:r>
      <w:r w:rsidRPr="00CE45E2">
        <w:rPr>
          <w:rStyle w:val="HideTWBExt"/>
          <w:b w:val="0"/>
        </w:rPr>
        <w:t>&lt;/Article&gt;</w:t>
      </w:r>
    </w:p>
    <w:p w14:paraId="34D83B2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662F9EC" w14:textId="77777777" w:rsidR="00CE45E2" w:rsidRPr="00CE45E2" w:rsidRDefault="00CE45E2" w:rsidP="00CE45E2">
      <w:r w:rsidRPr="00CE45E2">
        <w:rPr>
          <w:rStyle w:val="HideTWBExt"/>
        </w:rPr>
        <w:t>&lt;Article2&gt;</w:t>
      </w:r>
      <w:r w:rsidRPr="00CE45E2">
        <w:t>Artykuł 12 – ustęp 3 – akapit 1 – litera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4046AE9" w14:textId="77777777" w:rsidTr="006476FB">
        <w:trPr>
          <w:trHeight w:hRule="exact" w:val="240"/>
          <w:jc w:val="center"/>
        </w:trPr>
        <w:tc>
          <w:tcPr>
            <w:tcW w:w="9752" w:type="dxa"/>
            <w:gridSpan w:val="2"/>
            <w:tcBorders>
              <w:top w:val="nil"/>
              <w:left w:val="nil"/>
              <w:bottom w:val="nil"/>
              <w:right w:val="nil"/>
            </w:tcBorders>
          </w:tcPr>
          <w:p w14:paraId="7E1AC4FF" w14:textId="77777777" w:rsidR="00CE45E2" w:rsidRPr="00CE45E2" w:rsidRDefault="00CE45E2" w:rsidP="006476FB"/>
        </w:tc>
      </w:tr>
      <w:tr w:rsidR="00CE45E2" w:rsidRPr="00CE45E2" w14:paraId="643C9A00" w14:textId="77777777" w:rsidTr="006476FB">
        <w:trPr>
          <w:trHeight w:val="240"/>
          <w:jc w:val="center"/>
        </w:trPr>
        <w:tc>
          <w:tcPr>
            <w:tcW w:w="4876" w:type="dxa"/>
            <w:tcBorders>
              <w:top w:val="nil"/>
              <w:left w:val="nil"/>
              <w:bottom w:val="nil"/>
              <w:right w:val="nil"/>
            </w:tcBorders>
          </w:tcPr>
          <w:p w14:paraId="18866BA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7DC9492" w14:textId="77777777" w:rsidR="00CE45E2" w:rsidRPr="00CE45E2" w:rsidRDefault="00CE45E2" w:rsidP="006476FB">
            <w:pPr>
              <w:pStyle w:val="AmColumnHeading"/>
            </w:pPr>
            <w:r w:rsidRPr="00CE45E2">
              <w:t>Poprawka</w:t>
            </w:r>
          </w:p>
        </w:tc>
      </w:tr>
      <w:tr w:rsidR="00CE45E2" w:rsidRPr="00CE45E2" w14:paraId="461E5149" w14:textId="77777777" w:rsidTr="006476FB">
        <w:trPr>
          <w:jc w:val="center"/>
        </w:trPr>
        <w:tc>
          <w:tcPr>
            <w:tcW w:w="4876" w:type="dxa"/>
            <w:tcBorders>
              <w:top w:val="nil"/>
              <w:left w:val="nil"/>
              <w:bottom w:val="nil"/>
              <w:right w:val="nil"/>
            </w:tcBorders>
          </w:tcPr>
          <w:p w14:paraId="03ECE0AC" w14:textId="77777777" w:rsidR="00CE45E2" w:rsidRPr="00CE45E2" w:rsidRDefault="00CE45E2" w:rsidP="006476FB">
            <w:pPr>
              <w:pStyle w:val="Normal6a"/>
            </w:pPr>
            <w:r w:rsidRPr="00CE45E2">
              <w:t>a)</w:t>
            </w:r>
            <w:r w:rsidRPr="00CE45E2">
              <w:tab/>
            </w:r>
            <w:r w:rsidRPr="00CE45E2">
              <w:rPr>
                <w:b/>
                <w:bCs/>
                <w:i/>
                <w:iCs/>
              </w:rPr>
              <w:t>zwykłą</w:t>
            </w:r>
            <w:r w:rsidRPr="00CE45E2">
              <w:t xml:space="preserve"> większość uczestników i beneficjentów, których ono dotyczy, </w:t>
            </w:r>
            <w:proofErr w:type="gramStart"/>
            <w:r w:rsidRPr="00CE45E2">
              <w:t>lub,</w:t>
            </w:r>
            <w:proofErr w:type="gramEnd"/>
            <w:r w:rsidRPr="00CE45E2">
              <w:t xml:space="preserve"> w stosownych przypadkach, </w:t>
            </w:r>
            <w:r w:rsidRPr="00CE45E2">
              <w:rPr>
                <w:b/>
                <w:bCs/>
                <w:i/>
                <w:iCs/>
              </w:rPr>
              <w:t>zwykłą</w:t>
            </w:r>
            <w:r w:rsidRPr="00CE45E2">
              <w:t xml:space="preserve"> większość ich przedstawicieli; oraz</w:t>
            </w:r>
          </w:p>
        </w:tc>
        <w:tc>
          <w:tcPr>
            <w:tcW w:w="4876" w:type="dxa"/>
            <w:tcBorders>
              <w:top w:val="nil"/>
              <w:left w:val="nil"/>
              <w:bottom w:val="nil"/>
              <w:right w:val="nil"/>
            </w:tcBorders>
          </w:tcPr>
          <w:p w14:paraId="3173E4D3" w14:textId="77777777" w:rsidR="00CE45E2" w:rsidRPr="00CE45E2" w:rsidRDefault="00CE45E2" w:rsidP="006476FB">
            <w:pPr>
              <w:pStyle w:val="Normal6a"/>
            </w:pPr>
            <w:r w:rsidRPr="00CE45E2">
              <w:t>a)</w:t>
            </w:r>
            <w:r w:rsidRPr="00CE45E2">
              <w:tab/>
              <w:t xml:space="preserve">większość </w:t>
            </w:r>
            <w:r w:rsidRPr="00CE45E2">
              <w:rPr>
                <w:b/>
                <w:bCs/>
                <w:i/>
                <w:iCs/>
              </w:rPr>
              <w:t>co najmniej dwóch trzecich</w:t>
            </w:r>
            <w:r w:rsidRPr="00CE45E2">
              <w:t xml:space="preserve"> uczestników i beneficjentów, których ono dotyczy, lub, w stosownych przypadkach, większość </w:t>
            </w:r>
            <w:r w:rsidRPr="00CE45E2">
              <w:rPr>
                <w:b/>
                <w:bCs/>
                <w:i/>
                <w:iCs/>
              </w:rPr>
              <w:t>co najmniej dwóch trzecich</w:t>
            </w:r>
            <w:r w:rsidRPr="00CE45E2">
              <w:t xml:space="preserve"> ich przedstawicieli; oraz</w:t>
            </w:r>
          </w:p>
        </w:tc>
      </w:tr>
    </w:tbl>
    <w:p w14:paraId="1421472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BB41ACE" w14:textId="77777777" w:rsidR="00CE45E2" w:rsidRPr="00CE45E2" w:rsidRDefault="00CE45E2" w:rsidP="00CE45E2">
      <w:r w:rsidRPr="00CE45E2">
        <w:rPr>
          <w:rStyle w:val="HideTWBExt"/>
        </w:rPr>
        <w:t>&lt;/Amend&gt;</w:t>
      </w:r>
    </w:p>
    <w:p w14:paraId="7D1A427D" w14:textId="1CE31A9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264</w:t>
      </w:r>
      <w:r w:rsidRPr="00CE45E2">
        <w:rPr>
          <w:rStyle w:val="HideTWBExt"/>
          <w:b w:val="0"/>
        </w:rPr>
        <w:t>&lt;/NumAm&gt;</w:t>
      </w:r>
    </w:p>
    <w:p w14:paraId="7375BBC1"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6B0CF2E" w14:textId="77777777" w:rsidR="00CE45E2" w:rsidRPr="00CE45E2" w:rsidRDefault="00CE45E2" w:rsidP="00CE45E2">
      <w:pPr>
        <w:pStyle w:val="NormalBold"/>
      </w:pPr>
      <w:r w:rsidRPr="00CE45E2">
        <w:rPr>
          <w:rStyle w:val="HideTWBExt"/>
          <w:b w:val="0"/>
        </w:rPr>
        <w:t>&lt;/RepeatBlock-By&gt;</w:t>
      </w:r>
    </w:p>
    <w:p w14:paraId="4808D92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67E6A0F" w14:textId="77777777" w:rsidR="00CE45E2" w:rsidRPr="00CE45E2" w:rsidRDefault="00CE45E2" w:rsidP="00CE45E2">
      <w:pPr>
        <w:pStyle w:val="NormalBold"/>
      </w:pPr>
      <w:r w:rsidRPr="00CE45E2">
        <w:rPr>
          <w:rStyle w:val="HideTWBExt"/>
          <w:b w:val="0"/>
        </w:rPr>
        <w:t>&lt;Article&gt;</w:t>
      </w:r>
      <w:r w:rsidRPr="00CE45E2">
        <w:t>Artykuł 1 – akapit 1 – punkt 15 – litera b</w:t>
      </w:r>
      <w:r w:rsidRPr="00CE45E2">
        <w:rPr>
          <w:rStyle w:val="HideTWBExt"/>
          <w:b w:val="0"/>
        </w:rPr>
        <w:t>&lt;/Article&gt;</w:t>
      </w:r>
    </w:p>
    <w:p w14:paraId="0AB7753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B18F941" w14:textId="77777777" w:rsidR="00CE45E2" w:rsidRPr="00CE45E2" w:rsidRDefault="00CE45E2" w:rsidP="00CE45E2">
      <w:r w:rsidRPr="00CE45E2">
        <w:rPr>
          <w:rStyle w:val="HideTWBExt"/>
        </w:rPr>
        <w:t>&lt;Article2&gt;</w:t>
      </w:r>
      <w:r w:rsidRPr="00CE45E2">
        <w:t>Artykuł 12 – ustęp 3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7A3ED0A" w14:textId="77777777" w:rsidTr="006476FB">
        <w:trPr>
          <w:trHeight w:hRule="exact" w:val="240"/>
          <w:jc w:val="center"/>
        </w:trPr>
        <w:tc>
          <w:tcPr>
            <w:tcW w:w="9752" w:type="dxa"/>
            <w:gridSpan w:val="2"/>
            <w:tcBorders>
              <w:top w:val="nil"/>
              <w:left w:val="nil"/>
              <w:bottom w:val="nil"/>
              <w:right w:val="nil"/>
            </w:tcBorders>
          </w:tcPr>
          <w:p w14:paraId="481EFB85" w14:textId="77777777" w:rsidR="00CE45E2" w:rsidRPr="00CE45E2" w:rsidRDefault="00CE45E2" w:rsidP="006476FB"/>
        </w:tc>
      </w:tr>
      <w:tr w:rsidR="00CE45E2" w:rsidRPr="00CE45E2" w14:paraId="4E320402" w14:textId="77777777" w:rsidTr="006476FB">
        <w:trPr>
          <w:trHeight w:val="240"/>
          <w:jc w:val="center"/>
        </w:trPr>
        <w:tc>
          <w:tcPr>
            <w:tcW w:w="4876" w:type="dxa"/>
            <w:tcBorders>
              <w:top w:val="nil"/>
              <w:left w:val="nil"/>
              <w:bottom w:val="nil"/>
              <w:right w:val="nil"/>
            </w:tcBorders>
          </w:tcPr>
          <w:p w14:paraId="16C97CA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AC04C0A" w14:textId="77777777" w:rsidR="00CE45E2" w:rsidRPr="00CE45E2" w:rsidRDefault="00CE45E2" w:rsidP="006476FB">
            <w:pPr>
              <w:pStyle w:val="AmColumnHeading"/>
            </w:pPr>
            <w:r w:rsidRPr="00CE45E2">
              <w:t>Poprawka</w:t>
            </w:r>
          </w:p>
        </w:tc>
      </w:tr>
      <w:tr w:rsidR="00CE45E2" w:rsidRPr="00CE45E2" w14:paraId="637D5660" w14:textId="77777777" w:rsidTr="006476FB">
        <w:trPr>
          <w:jc w:val="center"/>
        </w:trPr>
        <w:tc>
          <w:tcPr>
            <w:tcW w:w="4876" w:type="dxa"/>
            <w:tcBorders>
              <w:top w:val="nil"/>
              <w:left w:val="nil"/>
              <w:bottom w:val="nil"/>
              <w:right w:val="nil"/>
            </w:tcBorders>
          </w:tcPr>
          <w:p w14:paraId="6FD09B89" w14:textId="77777777" w:rsidR="00CE45E2" w:rsidRPr="00CE45E2" w:rsidRDefault="00CE45E2" w:rsidP="006476FB">
            <w:pPr>
              <w:pStyle w:val="Normal6a"/>
            </w:pPr>
            <w:r w:rsidRPr="00CE45E2">
              <w:t xml:space="preserve">Do celów akapitu pierwszego lit. a) </w:t>
            </w:r>
            <w:r w:rsidRPr="00CE45E2">
              <w:rPr>
                <w:b/>
                <w:bCs/>
                <w:i/>
                <w:iCs/>
              </w:rPr>
              <w:t>zwykłą</w:t>
            </w:r>
            <w:r w:rsidRPr="00CE45E2">
              <w:t xml:space="preserve"> większość oblicza się na podstawie otrzymanych odpowiedzi.</w:t>
            </w:r>
          </w:p>
        </w:tc>
        <w:tc>
          <w:tcPr>
            <w:tcW w:w="4876" w:type="dxa"/>
            <w:tcBorders>
              <w:top w:val="nil"/>
              <w:left w:val="nil"/>
              <w:bottom w:val="nil"/>
              <w:right w:val="nil"/>
            </w:tcBorders>
          </w:tcPr>
          <w:p w14:paraId="30EBDCAB" w14:textId="77777777" w:rsidR="00CE45E2" w:rsidRPr="00CE45E2" w:rsidRDefault="00CE45E2" w:rsidP="006476FB">
            <w:pPr>
              <w:pStyle w:val="Normal6a"/>
            </w:pPr>
            <w:r w:rsidRPr="00CE45E2">
              <w:t>Do celów akapitu pierwszego lit. a) większość oblicza się na podstawie otrzymanych odpowiedzi.</w:t>
            </w:r>
          </w:p>
        </w:tc>
      </w:tr>
    </w:tbl>
    <w:p w14:paraId="5A677AF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EE42FC4" w14:textId="77777777" w:rsidR="00CE45E2" w:rsidRPr="00CE45E2" w:rsidRDefault="00CE45E2" w:rsidP="00CE45E2">
      <w:r w:rsidRPr="00CE45E2">
        <w:rPr>
          <w:rStyle w:val="HideTWBExt"/>
        </w:rPr>
        <w:t>&lt;/Amend&gt;</w:t>
      </w:r>
    </w:p>
    <w:p w14:paraId="781BE149" w14:textId="7874A82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265</w:t>
      </w:r>
      <w:r w:rsidRPr="00CE45E2">
        <w:rPr>
          <w:rStyle w:val="HideTWBExt"/>
          <w:b w:val="0"/>
        </w:rPr>
        <w:t>&lt;/NumAm&gt;</w:t>
      </w:r>
    </w:p>
    <w:p w14:paraId="609E9299"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3E6AD2C5"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2324AB95" w14:textId="77777777" w:rsidR="00CE45E2" w:rsidRPr="00CE45E2" w:rsidRDefault="00CE45E2" w:rsidP="00CE45E2">
      <w:pPr>
        <w:pStyle w:val="NormalBold"/>
      </w:pPr>
      <w:r w:rsidRPr="00CE45E2">
        <w:rPr>
          <w:rStyle w:val="HideTWBExt"/>
          <w:b w:val="0"/>
        </w:rPr>
        <w:t>&lt;/RepeatBlock-By&gt;</w:t>
      </w:r>
    </w:p>
    <w:p w14:paraId="50D728B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941565B" w14:textId="77777777" w:rsidR="00CE45E2" w:rsidRPr="00CE45E2" w:rsidRDefault="00CE45E2" w:rsidP="00CE45E2">
      <w:pPr>
        <w:pStyle w:val="NormalBold"/>
      </w:pPr>
      <w:r w:rsidRPr="00CE45E2">
        <w:rPr>
          <w:rStyle w:val="HideTWBExt"/>
          <w:b w:val="0"/>
        </w:rPr>
        <w:t>&lt;Article&gt;</w:t>
      </w:r>
      <w:r w:rsidRPr="00CE45E2">
        <w:t>Artykuł 1 – akapit 1 – punkt 15 – litera b</w:t>
      </w:r>
      <w:r w:rsidRPr="00CE45E2">
        <w:rPr>
          <w:rStyle w:val="HideTWBExt"/>
          <w:b w:val="0"/>
        </w:rPr>
        <w:t>&lt;/Article&gt;</w:t>
      </w:r>
    </w:p>
    <w:p w14:paraId="0A9AE08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2A3DA4D" w14:textId="77777777" w:rsidR="00CE45E2" w:rsidRPr="00CE45E2" w:rsidRDefault="00CE45E2" w:rsidP="00CE45E2">
      <w:r w:rsidRPr="00CE45E2">
        <w:rPr>
          <w:rStyle w:val="HideTWBExt"/>
        </w:rPr>
        <w:t>&lt;Article2&gt;</w:t>
      </w:r>
      <w:r w:rsidRPr="00CE45E2">
        <w:t>Artykuł 12 – ustęp 3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86DD7F5" w14:textId="77777777" w:rsidTr="006476FB">
        <w:trPr>
          <w:trHeight w:hRule="exact" w:val="240"/>
          <w:jc w:val="center"/>
        </w:trPr>
        <w:tc>
          <w:tcPr>
            <w:tcW w:w="9752" w:type="dxa"/>
            <w:gridSpan w:val="2"/>
            <w:tcBorders>
              <w:top w:val="nil"/>
              <w:left w:val="nil"/>
              <w:bottom w:val="nil"/>
              <w:right w:val="nil"/>
            </w:tcBorders>
          </w:tcPr>
          <w:p w14:paraId="12FABE93" w14:textId="77777777" w:rsidR="00CE45E2" w:rsidRPr="00CE45E2" w:rsidRDefault="00CE45E2" w:rsidP="006476FB"/>
        </w:tc>
      </w:tr>
      <w:tr w:rsidR="00CE45E2" w:rsidRPr="00CE45E2" w14:paraId="2C454673" w14:textId="77777777" w:rsidTr="006476FB">
        <w:trPr>
          <w:trHeight w:val="240"/>
          <w:jc w:val="center"/>
        </w:trPr>
        <w:tc>
          <w:tcPr>
            <w:tcW w:w="4876" w:type="dxa"/>
            <w:tcBorders>
              <w:top w:val="nil"/>
              <w:left w:val="nil"/>
              <w:bottom w:val="nil"/>
              <w:right w:val="nil"/>
            </w:tcBorders>
          </w:tcPr>
          <w:p w14:paraId="6902A19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4FD80DC" w14:textId="77777777" w:rsidR="00CE45E2" w:rsidRPr="00CE45E2" w:rsidRDefault="00CE45E2" w:rsidP="006476FB">
            <w:pPr>
              <w:pStyle w:val="AmColumnHeading"/>
            </w:pPr>
            <w:r w:rsidRPr="00CE45E2">
              <w:t>Poprawka</w:t>
            </w:r>
          </w:p>
        </w:tc>
      </w:tr>
      <w:tr w:rsidR="00CE45E2" w:rsidRPr="00CE45E2" w14:paraId="711DDDF0" w14:textId="77777777" w:rsidTr="006476FB">
        <w:trPr>
          <w:jc w:val="center"/>
        </w:trPr>
        <w:tc>
          <w:tcPr>
            <w:tcW w:w="4876" w:type="dxa"/>
            <w:tcBorders>
              <w:top w:val="nil"/>
              <w:left w:val="nil"/>
              <w:bottom w:val="nil"/>
              <w:right w:val="nil"/>
            </w:tcBorders>
          </w:tcPr>
          <w:p w14:paraId="78AC6B09" w14:textId="77777777" w:rsidR="00CE45E2" w:rsidRPr="00CE45E2" w:rsidRDefault="00CE45E2" w:rsidP="006476FB">
            <w:pPr>
              <w:pStyle w:val="Normal6a"/>
            </w:pPr>
            <w:r w:rsidRPr="00CE45E2">
              <w:t>Państwa członkowskie mogą postanowić, że aby przeniesienie mogło zostać zatwierdzone, musi zostać osiągnięty próg uczestnictwa wynoszący do 25 % uczestników i beneficjentów programu.</w:t>
            </w:r>
          </w:p>
        </w:tc>
        <w:tc>
          <w:tcPr>
            <w:tcW w:w="4876" w:type="dxa"/>
            <w:tcBorders>
              <w:top w:val="nil"/>
              <w:left w:val="nil"/>
              <w:bottom w:val="nil"/>
              <w:right w:val="nil"/>
            </w:tcBorders>
          </w:tcPr>
          <w:p w14:paraId="0993407E" w14:textId="77777777" w:rsidR="00CE45E2" w:rsidRPr="00CE45E2" w:rsidRDefault="00CE45E2" w:rsidP="006476FB">
            <w:pPr>
              <w:pStyle w:val="Normal6a"/>
            </w:pPr>
            <w:r w:rsidRPr="00CE45E2">
              <w:t xml:space="preserve">Państwa członkowskie mogą postanowić, że aby przeniesienie mogło zostać zatwierdzone, musi zostać osiągnięty próg uczestnictwa wynoszący do 25 % uczestników i beneficjentów programu. </w:t>
            </w:r>
            <w:r w:rsidRPr="00CE45E2">
              <w:rPr>
                <w:b/>
                <w:i/>
              </w:rPr>
              <w:t>Państwa członkowskie mogą zezwolić, aby wymóg zatwierdzenia zwykłą większością głosów zainteresowanych uczestników i beneficjentów lub, w stosownych przypadkach, ich przedstawicieli, nie miał zastosowania, jeżeli decyzja o zatwierdzeniu przeniesienia jest podejmowana zgodnie z procedurami określonymi w regulaminie programu emerytalnego lub w dowolnym mającym zastosowanie układzie zbiorowym wymagającym wyższego poziomu zatwierdzenia niż zwykła większość, wraz z proporcjonalnymi zabezpieczeniami niezbędnymi do zapewnienia odpowiedniego zaangażowania i ochrony uczestników. W takich przypadkach próg uczestnictwa, o którym mowa w akapicie trzecim, nie ma zastosowania.</w:t>
            </w:r>
          </w:p>
        </w:tc>
      </w:tr>
    </w:tbl>
    <w:p w14:paraId="21D83AE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F593796" w14:textId="77777777" w:rsidR="00CE45E2" w:rsidRPr="00CE45E2" w:rsidRDefault="00CE45E2" w:rsidP="00CE45E2">
      <w:r w:rsidRPr="00CE45E2">
        <w:rPr>
          <w:rStyle w:val="HideTWBExt"/>
        </w:rPr>
        <w:t>&lt;/Amend&gt;</w:t>
      </w:r>
    </w:p>
    <w:p w14:paraId="1F7670F4" w14:textId="6268658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266</w:t>
      </w:r>
      <w:r w:rsidRPr="00CE45E2">
        <w:rPr>
          <w:rStyle w:val="HideTWBExt"/>
          <w:b w:val="0"/>
        </w:rPr>
        <w:t>&lt;/NumAm&gt;</w:t>
      </w:r>
    </w:p>
    <w:p w14:paraId="1DD80ABF"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4210D85" w14:textId="77777777" w:rsidR="00CE45E2" w:rsidRPr="00CE45E2" w:rsidRDefault="00CE45E2" w:rsidP="00CE45E2">
      <w:pPr>
        <w:pStyle w:val="NormalBold"/>
      </w:pPr>
      <w:r w:rsidRPr="00CE45E2">
        <w:rPr>
          <w:rStyle w:val="HideTWBExt"/>
          <w:b w:val="0"/>
        </w:rPr>
        <w:t>&lt;/RepeatBlock-By&gt;</w:t>
      </w:r>
    </w:p>
    <w:p w14:paraId="0310496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2DD0D6C" w14:textId="77777777" w:rsidR="00CE45E2" w:rsidRPr="00CE45E2" w:rsidRDefault="00CE45E2" w:rsidP="00CE45E2">
      <w:pPr>
        <w:pStyle w:val="NormalBold"/>
      </w:pPr>
      <w:r w:rsidRPr="00CE45E2">
        <w:rPr>
          <w:rStyle w:val="HideTWBExt"/>
          <w:b w:val="0"/>
        </w:rPr>
        <w:t>&lt;Article&gt;</w:t>
      </w:r>
      <w:r w:rsidRPr="00CE45E2">
        <w:t>Artykuł 1 – akapit 1 – punkt 15 – litera b</w:t>
      </w:r>
      <w:r w:rsidRPr="00CE45E2">
        <w:rPr>
          <w:rStyle w:val="HideTWBExt"/>
          <w:b w:val="0"/>
        </w:rPr>
        <w:t>&lt;/Article&gt;</w:t>
      </w:r>
    </w:p>
    <w:p w14:paraId="1558BEA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8960188" w14:textId="77777777" w:rsidR="00CE45E2" w:rsidRPr="00CE45E2" w:rsidRDefault="00CE45E2" w:rsidP="00CE45E2">
      <w:r w:rsidRPr="00CE45E2">
        <w:rPr>
          <w:rStyle w:val="HideTWBExt"/>
        </w:rPr>
        <w:t>&lt;Article2&gt;</w:t>
      </w:r>
      <w:r w:rsidRPr="00CE45E2">
        <w:t>Artykuł 12 – ustęp 3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8EB7115" w14:textId="77777777" w:rsidTr="006476FB">
        <w:trPr>
          <w:trHeight w:hRule="exact" w:val="240"/>
          <w:jc w:val="center"/>
        </w:trPr>
        <w:tc>
          <w:tcPr>
            <w:tcW w:w="9752" w:type="dxa"/>
            <w:gridSpan w:val="2"/>
            <w:tcBorders>
              <w:top w:val="nil"/>
              <w:left w:val="nil"/>
              <w:bottom w:val="nil"/>
              <w:right w:val="nil"/>
            </w:tcBorders>
          </w:tcPr>
          <w:p w14:paraId="7DC5661D" w14:textId="77777777" w:rsidR="00CE45E2" w:rsidRPr="00CE45E2" w:rsidRDefault="00CE45E2" w:rsidP="006476FB"/>
        </w:tc>
      </w:tr>
      <w:tr w:rsidR="00CE45E2" w:rsidRPr="00CE45E2" w14:paraId="7A3A8B29" w14:textId="77777777" w:rsidTr="006476FB">
        <w:trPr>
          <w:trHeight w:val="240"/>
          <w:jc w:val="center"/>
        </w:trPr>
        <w:tc>
          <w:tcPr>
            <w:tcW w:w="4876" w:type="dxa"/>
            <w:tcBorders>
              <w:top w:val="nil"/>
              <w:left w:val="nil"/>
              <w:bottom w:val="nil"/>
              <w:right w:val="nil"/>
            </w:tcBorders>
          </w:tcPr>
          <w:p w14:paraId="1B5DE09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B7CB50C" w14:textId="77777777" w:rsidR="00CE45E2" w:rsidRPr="00CE45E2" w:rsidRDefault="00CE45E2" w:rsidP="006476FB">
            <w:pPr>
              <w:pStyle w:val="AmColumnHeading"/>
            </w:pPr>
            <w:r w:rsidRPr="00CE45E2">
              <w:t>Poprawka</w:t>
            </w:r>
          </w:p>
        </w:tc>
      </w:tr>
      <w:tr w:rsidR="00CE45E2" w:rsidRPr="00CE45E2" w14:paraId="6A59C2AF" w14:textId="77777777" w:rsidTr="006476FB">
        <w:trPr>
          <w:jc w:val="center"/>
        </w:trPr>
        <w:tc>
          <w:tcPr>
            <w:tcW w:w="4876" w:type="dxa"/>
            <w:tcBorders>
              <w:top w:val="nil"/>
              <w:left w:val="nil"/>
              <w:bottom w:val="nil"/>
              <w:right w:val="nil"/>
            </w:tcBorders>
          </w:tcPr>
          <w:p w14:paraId="32F9A333" w14:textId="77777777" w:rsidR="00CE45E2" w:rsidRPr="00CE45E2" w:rsidRDefault="00CE45E2" w:rsidP="006476FB">
            <w:pPr>
              <w:pStyle w:val="Normal6a"/>
            </w:pPr>
            <w:r w:rsidRPr="00CE45E2">
              <w:t xml:space="preserve">Państwa członkowskie mogą postanowić, że aby przeniesienie mogło zostać zatwierdzone, musi zostać osiągnięty próg uczestnictwa wynoszący do </w:t>
            </w:r>
            <w:r w:rsidRPr="00CE45E2">
              <w:rPr>
                <w:b/>
                <w:bCs/>
                <w:i/>
                <w:iCs/>
              </w:rPr>
              <w:t>25 %</w:t>
            </w:r>
            <w:r w:rsidRPr="00CE45E2">
              <w:t xml:space="preserve"> uczestników i beneficjentów programu.</w:t>
            </w:r>
          </w:p>
        </w:tc>
        <w:tc>
          <w:tcPr>
            <w:tcW w:w="4876" w:type="dxa"/>
            <w:tcBorders>
              <w:top w:val="nil"/>
              <w:left w:val="nil"/>
              <w:bottom w:val="nil"/>
              <w:right w:val="nil"/>
            </w:tcBorders>
          </w:tcPr>
          <w:p w14:paraId="2DF6A662" w14:textId="77777777" w:rsidR="00CE45E2" w:rsidRPr="00CE45E2" w:rsidRDefault="00CE45E2" w:rsidP="006476FB">
            <w:pPr>
              <w:pStyle w:val="Normal6a"/>
            </w:pPr>
            <w:r w:rsidRPr="00CE45E2">
              <w:t xml:space="preserve">Państwa członkowskie mogą postanowić, że aby przeniesienie mogło zostać zatwierdzone, musi zostać osiągnięty próg uczestnictwa wynoszący do </w:t>
            </w:r>
            <w:r w:rsidRPr="00CE45E2">
              <w:rPr>
                <w:b/>
                <w:bCs/>
                <w:i/>
                <w:iCs/>
              </w:rPr>
              <w:t>40 %</w:t>
            </w:r>
            <w:r w:rsidRPr="00CE45E2">
              <w:t xml:space="preserve"> uczestników i beneficjentów programu.</w:t>
            </w:r>
          </w:p>
        </w:tc>
      </w:tr>
    </w:tbl>
    <w:p w14:paraId="108E9F8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A8B8DE2" w14:textId="77777777" w:rsidR="00CE45E2" w:rsidRPr="00CE45E2" w:rsidRDefault="00CE45E2" w:rsidP="00CE45E2">
      <w:r w:rsidRPr="00CE45E2">
        <w:rPr>
          <w:rStyle w:val="HideTWBExt"/>
        </w:rPr>
        <w:t>&lt;/Amend&gt;</w:t>
      </w:r>
    </w:p>
    <w:p w14:paraId="5833A3D0" w14:textId="1567AA9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267</w:t>
      </w:r>
      <w:r w:rsidRPr="00CE45E2">
        <w:rPr>
          <w:rStyle w:val="HideTWBExt"/>
          <w:b w:val="0"/>
        </w:rPr>
        <w:t>&lt;/NumAm&gt;</w:t>
      </w:r>
    </w:p>
    <w:p w14:paraId="50203A9A"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7F751031" w14:textId="77777777" w:rsidR="00CE45E2" w:rsidRPr="00CE45E2" w:rsidRDefault="00CE45E2" w:rsidP="00CE45E2">
      <w:pPr>
        <w:pStyle w:val="NormalBold"/>
      </w:pPr>
      <w:r w:rsidRPr="00CE45E2">
        <w:rPr>
          <w:rStyle w:val="HideTWBExt"/>
          <w:b w:val="0"/>
        </w:rPr>
        <w:t>&lt;/RepeatBlock-By&gt;</w:t>
      </w:r>
    </w:p>
    <w:p w14:paraId="48FB175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3BC5CD2" w14:textId="77777777" w:rsidR="00CE45E2" w:rsidRPr="00CE45E2" w:rsidRDefault="00CE45E2" w:rsidP="00CE45E2">
      <w:pPr>
        <w:pStyle w:val="NormalBold"/>
      </w:pPr>
      <w:r w:rsidRPr="00CE45E2">
        <w:rPr>
          <w:rStyle w:val="HideTWBExt"/>
          <w:b w:val="0"/>
        </w:rPr>
        <w:t>&lt;Article&gt;</w:t>
      </w:r>
      <w:r w:rsidRPr="00CE45E2">
        <w:t>Artykuł 1 – akapit 1 – punkt 15 – litera b</w:t>
      </w:r>
      <w:r w:rsidRPr="00CE45E2">
        <w:rPr>
          <w:rStyle w:val="HideTWBExt"/>
          <w:b w:val="0"/>
        </w:rPr>
        <w:t>&lt;/Article&gt;</w:t>
      </w:r>
    </w:p>
    <w:p w14:paraId="4C41BEC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141A880" w14:textId="77777777" w:rsidR="00CE45E2" w:rsidRPr="00CE45E2" w:rsidRDefault="00CE45E2" w:rsidP="00CE45E2">
      <w:r w:rsidRPr="00CE45E2">
        <w:rPr>
          <w:rStyle w:val="HideTWBExt"/>
        </w:rPr>
        <w:t>&lt;Article2&gt;</w:t>
      </w:r>
      <w:r w:rsidRPr="00CE45E2">
        <w:t>Artykuł 12 – ustęp 3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EE18C13" w14:textId="77777777" w:rsidTr="006476FB">
        <w:trPr>
          <w:trHeight w:hRule="exact" w:val="240"/>
          <w:jc w:val="center"/>
        </w:trPr>
        <w:tc>
          <w:tcPr>
            <w:tcW w:w="9752" w:type="dxa"/>
            <w:gridSpan w:val="2"/>
            <w:tcBorders>
              <w:top w:val="nil"/>
              <w:left w:val="nil"/>
              <w:bottom w:val="nil"/>
              <w:right w:val="nil"/>
            </w:tcBorders>
          </w:tcPr>
          <w:p w14:paraId="1EE9EACD" w14:textId="77777777" w:rsidR="00CE45E2" w:rsidRPr="00CE45E2" w:rsidRDefault="00CE45E2" w:rsidP="006476FB"/>
        </w:tc>
      </w:tr>
      <w:tr w:rsidR="00CE45E2" w:rsidRPr="00CE45E2" w14:paraId="6F992AEE" w14:textId="77777777" w:rsidTr="006476FB">
        <w:trPr>
          <w:trHeight w:val="240"/>
          <w:jc w:val="center"/>
        </w:trPr>
        <w:tc>
          <w:tcPr>
            <w:tcW w:w="4876" w:type="dxa"/>
            <w:tcBorders>
              <w:top w:val="nil"/>
              <w:left w:val="nil"/>
              <w:bottom w:val="nil"/>
              <w:right w:val="nil"/>
            </w:tcBorders>
          </w:tcPr>
          <w:p w14:paraId="7DC760F5"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DF8FB6" w14:textId="77777777" w:rsidR="00CE45E2" w:rsidRPr="00CE45E2" w:rsidRDefault="00CE45E2" w:rsidP="006476FB">
            <w:pPr>
              <w:pStyle w:val="AmColumnHeading"/>
            </w:pPr>
            <w:r w:rsidRPr="00CE45E2">
              <w:t>Poprawka</w:t>
            </w:r>
          </w:p>
        </w:tc>
      </w:tr>
      <w:tr w:rsidR="00CE45E2" w:rsidRPr="00CE45E2" w14:paraId="56530303" w14:textId="77777777" w:rsidTr="006476FB">
        <w:trPr>
          <w:jc w:val="center"/>
        </w:trPr>
        <w:tc>
          <w:tcPr>
            <w:tcW w:w="4876" w:type="dxa"/>
            <w:tcBorders>
              <w:top w:val="nil"/>
              <w:left w:val="nil"/>
              <w:bottom w:val="nil"/>
              <w:right w:val="nil"/>
            </w:tcBorders>
          </w:tcPr>
          <w:p w14:paraId="6210E94A" w14:textId="77777777" w:rsidR="00CE45E2" w:rsidRPr="00CE45E2" w:rsidRDefault="00CE45E2" w:rsidP="006476FB">
            <w:pPr>
              <w:pStyle w:val="Normal6a"/>
            </w:pPr>
            <w:r w:rsidRPr="00CE45E2">
              <w:t>Państwa członkowskie</w:t>
            </w:r>
            <w:r w:rsidRPr="00CE45E2">
              <w:rPr>
                <w:b/>
                <w:bCs/>
                <w:i/>
                <w:iCs/>
              </w:rPr>
              <w:t xml:space="preserve"> mogą postanowić</w:t>
            </w:r>
            <w:r w:rsidRPr="00CE45E2">
              <w:t xml:space="preserve">, że aby przeniesienie mogło zostać zatwierdzone, musi zostać osiągnięty próg uczestnictwa wynoszący </w:t>
            </w:r>
            <w:r w:rsidRPr="00CE45E2">
              <w:rPr>
                <w:b/>
                <w:bCs/>
                <w:i/>
                <w:iCs/>
              </w:rPr>
              <w:t>do 25 %</w:t>
            </w:r>
            <w:r w:rsidRPr="00CE45E2">
              <w:t xml:space="preserve"> uczestników i beneficjentów programu.</w:t>
            </w:r>
            <w:r w:rsidRPr="00CE45E2">
              <w:rPr>
                <w:b/>
                <w:bCs/>
                <w:i/>
                <w:iCs/>
              </w:rPr>
              <w:t>”;</w:t>
            </w:r>
          </w:p>
        </w:tc>
        <w:tc>
          <w:tcPr>
            <w:tcW w:w="4876" w:type="dxa"/>
            <w:tcBorders>
              <w:top w:val="nil"/>
              <w:left w:val="nil"/>
              <w:bottom w:val="nil"/>
              <w:right w:val="nil"/>
            </w:tcBorders>
          </w:tcPr>
          <w:p w14:paraId="3DD2AD66" w14:textId="77777777" w:rsidR="00CE45E2" w:rsidRPr="00CE45E2" w:rsidRDefault="00CE45E2" w:rsidP="006476FB">
            <w:pPr>
              <w:pStyle w:val="Normal6a"/>
            </w:pPr>
            <w:r w:rsidRPr="00CE45E2">
              <w:t xml:space="preserve">Państwa członkowskie </w:t>
            </w:r>
            <w:r w:rsidRPr="00CE45E2">
              <w:rPr>
                <w:b/>
                <w:bCs/>
                <w:i/>
                <w:iCs/>
              </w:rPr>
              <w:t>gwarantują</w:t>
            </w:r>
            <w:r w:rsidRPr="00CE45E2">
              <w:t xml:space="preserve">, że aby przeniesienie mogło zostać zatwierdzone, musi zostać osiągnięty próg uczestnictwa wynoszący </w:t>
            </w:r>
            <w:r w:rsidRPr="00CE45E2">
              <w:rPr>
                <w:b/>
                <w:bCs/>
                <w:i/>
                <w:iCs/>
              </w:rPr>
              <w:t>co najmniej 50 %</w:t>
            </w:r>
            <w:r w:rsidRPr="00CE45E2">
              <w:t xml:space="preserve"> uczestników i beneficjentów programu.</w:t>
            </w:r>
          </w:p>
        </w:tc>
      </w:tr>
    </w:tbl>
    <w:p w14:paraId="49A7659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5F0B04A" w14:textId="77777777" w:rsidR="00CE45E2" w:rsidRPr="00CE45E2" w:rsidRDefault="00CE45E2" w:rsidP="00CE45E2">
      <w:r w:rsidRPr="00CE45E2">
        <w:rPr>
          <w:rStyle w:val="HideTWBExt"/>
        </w:rPr>
        <w:t>&lt;/Amend&gt;</w:t>
      </w:r>
    </w:p>
    <w:p w14:paraId="14BCE8FA" w14:textId="622DEDF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268</w:t>
      </w:r>
      <w:r w:rsidRPr="00CE45E2">
        <w:rPr>
          <w:rStyle w:val="HideTWBExt"/>
          <w:b w:val="0"/>
        </w:rPr>
        <w:t>&lt;/NumAm&gt;</w:t>
      </w:r>
    </w:p>
    <w:p w14:paraId="2E4285C7"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4912FDA8"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7899F21D" w14:textId="77777777" w:rsidR="00CE45E2" w:rsidRPr="00CE45E2" w:rsidRDefault="00CE45E2" w:rsidP="00CE45E2">
      <w:pPr>
        <w:pStyle w:val="NormalBold"/>
      </w:pPr>
      <w:r w:rsidRPr="00CE45E2">
        <w:rPr>
          <w:rStyle w:val="HideTWBExt"/>
          <w:b w:val="0"/>
        </w:rPr>
        <w:t>&lt;/RepeatBlock-By&gt;</w:t>
      </w:r>
    </w:p>
    <w:p w14:paraId="44EA4BC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B6AEEAE" w14:textId="77777777" w:rsidR="00CE45E2" w:rsidRPr="00CE45E2" w:rsidRDefault="00CE45E2" w:rsidP="00CE45E2">
      <w:pPr>
        <w:pStyle w:val="NormalBold"/>
      </w:pPr>
      <w:r w:rsidRPr="00CE45E2">
        <w:rPr>
          <w:rStyle w:val="HideTWBExt"/>
          <w:b w:val="0"/>
        </w:rPr>
        <w:t>&lt;Article&gt;</w:t>
      </w:r>
      <w:r w:rsidRPr="00CE45E2">
        <w:t>Artykuł 1 – akapit 1 – punkt 15 – litera c</w:t>
      </w:r>
      <w:r w:rsidRPr="00CE45E2">
        <w:rPr>
          <w:rStyle w:val="HideTWBExt"/>
          <w:b w:val="0"/>
        </w:rPr>
        <w:t>&lt;/Article&gt;</w:t>
      </w:r>
    </w:p>
    <w:p w14:paraId="0053890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FBD19FA" w14:textId="77777777" w:rsidR="00CE45E2" w:rsidRPr="00CE45E2" w:rsidRDefault="00CE45E2" w:rsidP="00CE45E2">
      <w:r w:rsidRPr="00CE45E2">
        <w:rPr>
          <w:rStyle w:val="HideTWBExt"/>
        </w:rPr>
        <w:t>&lt;Article2&gt;</w:t>
      </w:r>
      <w:r w:rsidRPr="00CE45E2">
        <w:t>Artykuł 12 – ustęp 11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1970BD4" w14:textId="77777777" w:rsidTr="006476FB">
        <w:trPr>
          <w:trHeight w:hRule="exact" w:val="240"/>
          <w:jc w:val="center"/>
        </w:trPr>
        <w:tc>
          <w:tcPr>
            <w:tcW w:w="9752" w:type="dxa"/>
            <w:gridSpan w:val="2"/>
            <w:tcBorders>
              <w:top w:val="nil"/>
              <w:left w:val="nil"/>
              <w:bottom w:val="nil"/>
              <w:right w:val="nil"/>
            </w:tcBorders>
          </w:tcPr>
          <w:p w14:paraId="349A6164" w14:textId="77777777" w:rsidR="00CE45E2" w:rsidRPr="00CE45E2" w:rsidRDefault="00CE45E2" w:rsidP="006476FB"/>
        </w:tc>
      </w:tr>
      <w:tr w:rsidR="00CE45E2" w:rsidRPr="00CE45E2" w14:paraId="12547F92" w14:textId="77777777" w:rsidTr="006476FB">
        <w:trPr>
          <w:trHeight w:val="240"/>
          <w:jc w:val="center"/>
        </w:trPr>
        <w:tc>
          <w:tcPr>
            <w:tcW w:w="4876" w:type="dxa"/>
            <w:tcBorders>
              <w:top w:val="nil"/>
              <w:left w:val="nil"/>
              <w:bottom w:val="nil"/>
              <w:right w:val="nil"/>
            </w:tcBorders>
          </w:tcPr>
          <w:p w14:paraId="3AAD76F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BB9CF5A" w14:textId="77777777" w:rsidR="00CE45E2" w:rsidRPr="00CE45E2" w:rsidRDefault="00CE45E2" w:rsidP="006476FB">
            <w:pPr>
              <w:pStyle w:val="AmColumnHeading"/>
            </w:pPr>
            <w:r w:rsidRPr="00CE45E2">
              <w:t>Poprawka</w:t>
            </w:r>
          </w:p>
        </w:tc>
      </w:tr>
      <w:tr w:rsidR="00CE45E2" w:rsidRPr="00CE45E2" w14:paraId="4E8C484F" w14:textId="77777777" w:rsidTr="006476FB">
        <w:trPr>
          <w:jc w:val="center"/>
        </w:trPr>
        <w:tc>
          <w:tcPr>
            <w:tcW w:w="4876" w:type="dxa"/>
            <w:tcBorders>
              <w:top w:val="nil"/>
              <w:left w:val="nil"/>
              <w:bottom w:val="nil"/>
              <w:right w:val="nil"/>
            </w:tcBorders>
          </w:tcPr>
          <w:p w14:paraId="4EAECFA4" w14:textId="77777777" w:rsidR="00CE45E2" w:rsidRPr="00CE45E2" w:rsidRDefault="00CE45E2" w:rsidP="006476FB">
            <w:pPr>
              <w:pStyle w:val="Normal6a"/>
            </w:pPr>
            <w:r w:rsidRPr="00CE45E2">
              <w:rPr>
                <w:b/>
                <w:i/>
              </w:rPr>
              <w:t>c)</w:t>
            </w:r>
            <w:r w:rsidRPr="00CE45E2">
              <w:tab/>
            </w:r>
            <w:r w:rsidRPr="00CE45E2">
              <w:rPr>
                <w:b/>
                <w:i/>
              </w:rPr>
              <w:t>ust. 11 akapit drugi otrzymuje brzmienie:</w:t>
            </w:r>
          </w:p>
        </w:tc>
        <w:tc>
          <w:tcPr>
            <w:tcW w:w="4876" w:type="dxa"/>
            <w:tcBorders>
              <w:top w:val="nil"/>
              <w:left w:val="nil"/>
              <w:bottom w:val="nil"/>
              <w:right w:val="nil"/>
            </w:tcBorders>
          </w:tcPr>
          <w:p w14:paraId="2360AAFC" w14:textId="77777777" w:rsidR="00CE45E2" w:rsidRPr="00CE45E2" w:rsidRDefault="00CE45E2" w:rsidP="006476FB">
            <w:pPr>
              <w:pStyle w:val="Normal6a"/>
            </w:pPr>
            <w:r w:rsidRPr="00CE45E2">
              <w:rPr>
                <w:b/>
                <w:i/>
              </w:rPr>
              <w:t>skreśla się</w:t>
            </w:r>
          </w:p>
        </w:tc>
      </w:tr>
      <w:tr w:rsidR="00CE45E2" w:rsidRPr="00CE45E2" w14:paraId="5438F228" w14:textId="77777777" w:rsidTr="006476FB">
        <w:trPr>
          <w:jc w:val="center"/>
        </w:trPr>
        <w:tc>
          <w:tcPr>
            <w:tcW w:w="4876" w:type="dxa"/>
            <w:tcBorders>
              <w:top w:val="nil"/>
              <w:left w:val="nil"/>
              <w:bottom w:val="nil"/>
              <w:right w:val="nil"/>
            </w:tcBorders>
          </w:tcPr>
          <w:p w14:paraId="76BED277" w14:textId="77777777" w:rsidR="00CE45E2" w:rsidRPr="00CE45E2" w:rsidRDefault="00CE45E2" w:rsidP="006476FB">
            <w:pPr>
              <w:pStyle w:val="Normal6a"/>
            </w:pPr>
            <w:r w:rsidRPr="00CE45E2">
              <w:rPr>
                <w:b/>
                <w:i/>
              </w:rPr>
              <w:t>„W przypadku gdy przeniesienie skutkuje działalnością transgraniczną, właściwy organ rodzimego państwa członkowskiego IORP przenoszącej informuje również właściwy organ rodzimego państwa członkowskiego IORP przyjmującej o wymogach prawa socjalnego i prawa pracy dotyczących pracowniczych programów emerytalnych, zgodnie z którymi należy obsługiwać program emerytalny, i o wymogach przyjmującego państwa członkowskiego dotyczących przekazywania informacji określonych w tytule IV, które mają zastosowanie do działalności transgranicznej. Informacje te przekazuje się w ciągu następnych czterech tygodni.”;</w:t>
            </w:r>
          </w:p>
        </w:tc>
        <w:tc>
          <w:tcPr>
            <w:tcW w:w="4876" w:type="dxa"/>
            <w:tcBorders>
              <w:top w:val="nil"/>
              <w:left w:val="nil"/>
              <w:bottom w:val="nil"/>
              <w:right w:val="nil"/>
            </w:tcBorders>
          </w:tcPr>
          <w:p w14:paraId="119D2249" w14:textId="77777777" w:rsidR="00CE45E2" w:rsidRPr="00CE45E2" w:rsidRDefault="00CE45E2" w:rsidP="006476FB">
            <w:pPr>
              <w:pStyle w:val="Normal6a"/>
            </w:pPr>
          </w:p>
        </w:tc>
      </w:tr>
    </w:tbl>
    <w:p w14:paraId="27AEC5BE"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6E4E25C" w14:textId="77777777" w:rsidR="00CE45E2" w:rsidRPr="00CE45E2" w:rsidRDefault="00CE45E2" w:rsidP="00CE45E2">
      <w:r w:rsidRPr="00CE45E2">
        <w:rPr>
          <w:rStyle w:val="HideTWBExt"/>
        </w:rPr>
        <w:t>&lt;/Amend&gt;</w:t>
      </w:r>
    </w:p>
    <w:p w14:paraId="760210CA" w14:textId="408FA10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269</w:t>
      </w:r>
      <w:r w:rsidRPr="00CE45E2">
        <w:rPr>
          <w:rStyle w:val="HideTWBExt"/>
          <w:b w:val="0"/>
        </w:rPr>
        <w:t>&lt;/NumAm&gt;</w:t>
      </w:r>
    </w:p>
    <w:p w14:paraId="484B142A"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035166B4" w14:textId="77777777" w:rsidR="00CE45E2" w:rsidRPr="00CE45E2" w:rsidRDefault="00CE45E2" w:rsidP="00CE45E2">
      <w:pPr>
        <w:pStyle w:val="NormalBold"/>
      </w:pPr>
      <w:r w:rsidRPr="00CE45E2">
        <w:rPr>
          <w:rStyle w:val="HideTWBExt"/>
          <w:b w:val="0"/>
        </w:rPr>
        <w:t>&lt;/RepeatBlock-By&gt;</w:t>
      </w:r>
    </w:p>
    <w:p w14:paraId="64DDB9E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9314A01" w14:textId="77777777" w:rsidR="00CE45E2" w:rsidRPr="00CE45E2" w:rsidRDefault="00CE45E2" w:rsidP="00CE45E2">
      <w:pPr>
        <w:pStyle w:val="NormalBold"/>
      </w:pPr>
      <w:r w:rsidRPr="00CE45E2">
        <w:rPr>
          <w:rStyle w:val="HideTWBExt"/>
          <w:b w:val="0"/>
        </w:rPr>
        <w:t>&lt;Article&gt;</w:t>
      </w:r>
      <w:r w:rsidRPr="00CE45E2">
        <w:t>Artykuł 1 – akapit 1 – punkt 15 – litera c a (nowa)</w:t>
      </w:r>
      <w:r w:rsidRPr="00CE45E2">
        <w:rPr>
          <w:rStyle w:val="HideTWBExt"/>
          <w:b w:val="0"/>
        </w:rPr>
        <w:t>&lt;/Article&gt;</w:t>
      </w:r>
    </w:p>
    <w:p w14:paraId="62F0E19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E0BB799" w14:textId="77777777" w:rsidR="00CE45E2" w:rsidRPr="00CE45E2" w:rsidRDefault="00CE45E2" w:rsidP="00CE45E2">
      <w:r w:rsidRPr="00CE45E2">
        <w:rPr>
          <w:rStyle w:val="HideTWBExt"/>
        </w:rPr>
        <w:t>&lt;Article2&gt;</w:t>
      </w:r>
      <w:r w:rsidRPr="00CE45E2">
        <w:t>Artykuł 12 – ustęp 13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C13C4FF" w14:textId="77777777" w:rsidTr="006476FB">
        <w:trPr>
          <w:trHeight w:hRule="exact" w:val="240"/>
          <w:jc w:val="center"/>
        </w:trPr>
        <w:tc>
          <w:tcPr>
            <w:tcW w:w="9752" w:type="dxa"/>
            <w:gridSpan w:val="2"/>
            <w:tcBorders>
              <w:top w:val="nil"/>
              <w:left w:val="nil"/>
              <w:bottom w:val="nil"/>
              <w:right w:val="nil"/>
            </w:tcBorders>
          </w:tcPr>
          <w:p w14:paraId="328F3C94" w14:textId="77777777" w:rsidR="00CE45E2" w:rsidRPr="00CE45E2" w:rsidRDefault="00CE45E2" w:rsidP="006476FB"/>
        </w:tc>
      </w:tr>
      <w:tr w:rsidR="00CE45E2" w:rsidRPr="00CE45E2" w14:paraId="29815E17" w14:textId="77777777" w:rsidTr="006476FB">
        <w:trPr>
          <w:trHeight w:val="240"/>
          <w:jc w:val="center"/>
        </w:trPr>
        <w:tc>
          <w:tcPr>
            <w:tcW w:w="4876" w:type="dxa"/>
            <w:tcBorders>
              <w:top w:val="nil"/>
              <w:left w:val="nil"/>
              <w:bottom w:val="nil"/>
              <w:right w:val="nil"/>
            </w:tcBorders>
          </w:tcPr>
          <w:p w14:paraId="5D792C33"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0CA177E6" w14:textId="77777777" w:rsidR="00CE45E2" w:rsidRPr="00CE45E2" w:rsidRDefault="00CE45E2" w:rsidP="006476FB">
            <w:pPr>
              <w:pStyle w:val="AmColumnHeading"/>
            </w:pPr>
            <w:r w:rsidRPr="00CE45E2">
              <w:t>Poprawka</w:t>
            </w:r>
          </w:p>
        </w:tc>
      </w:tr>
      <w:tr w:rsidR="00CE45E2" w:rsidRPr="00CE45E2" w14:paraId="58694443" w14:textId="77777777" w:rsidTr="006476FB">
        <w:trPr>
          <w:jc w:val="center"/>
        </w:trPr>
        <w:tc>
          <w:tcPr>
            <w:tcW w:w="4876" w:type="dxa"/>
            <w:tcBorders>
              <w:top w:val="nil"/>
              <w:left w:val="nil"/>
              <w:bottom w:val="nil"/>
              <w:right w:val="nil"/>
            </w:tcBorders>
          </w:tcPr>
          <w:p w14:paraId="63036049" w14:textId="77777777" w:rsidR="00CE45E2" w:rsidRPr="00CE45E2" w:rsidRDefault="00CE45E2" w:rsidP="006476FB">
            <w:pPr>
              <w:pStyle w:val="Normal6a"/>
            </w:pPr>
          </w:p>
        </w:tc>
        <w:tc>
          <w:tcPr>
            <w:tcW w:w="4876" w:type="dxa"/>
            <w:tcBorders>
              <w:top w:val="nil"/>
              <w:left w:val="nil"/>
              <w:bottom w:val="nil"/>
              <w:right w:val="nil"/>
            </w:tcBorders>
          </w:tcPr>
          <w:p w14:paraId="1391B8BF" w14:textId="77777777" w:rsidR="00CE45E2" w:rsidRPr="00CE45E2" w:rsidRDefault="00CE45E2" w:rsidP="006476FB">
            <w:pPr>
              <w:pStyle w:val="Normal6a"/>
            </w:pPr>
            <w:r w:rsidRPr="00CE45E2">
              <w:rPr>
                <w:b/>
                <w:i/>
              </w:rPr>
              <w:t>ca)</w:t>
            </w:r>
            <w:r w:rsidRPr="00CE45E2">
              <w:tab/>
            </w:r>
            <w:r w:rsidRPr="00CE45E2">
              <w:rPr>
                <w:b/>
                <w:i/>
              </w:rPr>
              <w:t>w ust. 13 wprowadza się następujące zmiany:</w:t>
            </w:r>
          </w:p>
        </w:tc>
      </w:tr>
      <w:tr w:rsidR="00CE45E2" w:rsidRPr="00CE45E2" w14:paraId="47ECEEA7" w14:textId="77777777" w:rsidTr="006476FB">
        <w:trPr>
          <w:jc w:val="center"/>
        </w:trPr>
        <w:tc>
          <w:tcPr>
            <w:tcW w:w="4876" w:type="dxa"/>
            <w:tcBorders>
              <w:top w:val="nil"/>
              <w:left w:val="nil"/>
              <w:bottom w:val="nil"/>
              <w:right w:val="nil"/>
            </w:tcBorders>
          </w:tcPr>
          <w:p w14:paraId="596CA61D" w14:textId="77777777" w:rsidR="00CE45E2" w:rsidRPr="00CE45E2" w:rsidRDefault="00CE45E2" w:rsidP="006476FB">
            <w:pPr>
              <w:pStyle w:val="Normal6a"/>
            </w:pPr>
            <w:r w:rsidRPr="00CE45E2">
              <w:t>13. W przypadku wystąpienia różnicy zdań co do procedury lub</w:t>
            </w:r>
            <w:r w:rsidRPr="00CE45E2">
              <w:rPr>
                <w:b/>
                <w:bCs/>
                <w:i/>
                <w:iCs/>
              </w:rPr>
              <w:t xml:space="preserve"> istoty działania lub</w:t>
            </w:r>
            <w:r w:rsidRPr="00CE45E2">
              <w:t xml:space="preserve"> braku działania właściwego organu rodzimego państwa członkowskiego IORP przenoszącej lub przyjmującej, </w:t>
            </w:r>
            <w:r w:rsidRPr="00CE45E2">
              <w:rPr>
                <w:b/>
                <w:bCs/>
                <w:i/>
                <w:iCs/>
              </w:rPr>
              <w:t>w tym</w:t>
            </w:r>
            <w:r w:rsidRPr="00CE45E2">
              <w:t xml:space="preserve"> decyzji o udzieleniu zezwolenia lub odmowie udzielenia zezwolenia na przeniesienie transgraniczne, EIOPA może </w:t>
            </w:r>
            <w:r w:rsidRPr="00CE45E2">
              <w:rPr>
                <w:b/>
                <w:bCs/>
                <w:i/>
                <w:iCs/>
              </w:rPr>
              <w:t>przeprowadzić niewiążącą mediację</w:t>
            </w:r>
            <w:r w:rsidRPr="00CE45E2">
              <w:t xml:space="preserve"> zgodnie z art. </w:t>
            </w:r>
            <w:r w:rsidRPr="00CE45E2">
              <w:rPr>
                <w:b/>
                <w:bCs/>
                <w:i/>
                <w:iCs/>
              </w:rPr>
              <w:t>31 akapit drugi lit. c)</w:t>
            </w:r>
            <w:r w:rsidRPr="00CE45E2">
              <w:t xml:space="preserve"> rozporządzenia (UE) nr 1094/2010 </w:t>
            </w:r>
            <w:r w:rsidRPr="00CE45E2">
              <w:rPr>
                <w:b/>
                <w:bCs/>
                <w:i/>
                <w:iCs/>
              </w:rPr>
              <w:t>na wniosek właściwych organów lub z własnej inicjatywy</w:t>
            </w:r>
            <w:r w:rsidRPr="00CE45E2">
              <w:t>.</w:t>
            </w:r>
          </w:p>
        </w:tc>
        <w:tc>
          <w:tcPr>
            <w:tcW w:w="4876" w:type="dxa"/>
            <w:tcBorders>
              <w:top w:val="nil"/>
              <w:left w:val="nil"/>
              <w:bottom w:val="nil"/>
              <w:right w:val="nil"/>
            </w:tcBorders>
          </w:tcPr>
          <w:p w14:paraId="382D9654" w14:textId="77777777" w:rsidR="00CE45E2" w:rsidRPr="00CE45E2" w:rsidRDefault="00CE45E2" w:rsidP="006476FB">
            <w:pPr>
              <w:pStyle w:val="Normal6a"/>
            </w:pPr>
            <w:r w:rsidRPr="00CE45E2">
              <w:rPr>
                <w:b/>
                <w:bCs/>
                <w:i/>
                <w:iCs/>
              </w:rPr>
              <w:t>„</w:t>
            </w:r>
            <w:r w:rsidRPr="00CE45E2">
              <w:t xml:space="preserve">13. W przypadku wystąpienia różnicy zdań co do procedury lub braku działania właściwego organu rodzimego państwa członkowskiego IORP przenoszącej lub przyjmującej, </w:t>
            </w:r>
            <w:r w:rsidRPr="00CE45E2">
              <w:rPr>
                <w:b/>
                <w:bCs/>
                <w:i/>
                <w:iCs/>
              </w:rPr>
              <w:t>lub co do</w:t>
            </w:r>
            <w:r w:rsidRPr="00CE45E2">
              <w:t xml:space="preserve"> decyzji o udzieleniu zezwolenia lub odmowie udzielenia zezwolenia na przeniesienie transgraniczne </w:t>
            </w:r>
            <w:r w:rsidRPr="00CE45E2">
              <w:rPr>
                <w:b/>
                <w:bCs/>
                <w:i/>
                <w:iCs/>
              </w:rPr>
              <w:t>ze względów ostrożnościowych</w:t>
            </w:r>
            <w:r w:rsidRPr="00CE45E2">
              <w:t xml:space="preserve">, EIOPA może </w:t>
            </w:r>
            <w:r w:rsidRPr="00CE45E2">
              <w:rPr>
                <w:b/>
                <w:bCs/>
                <w:i/>
                <w:iCs/>
              </w:rPr>
              <w:t>pomóc właściwym organom w osiągnięciu porozumienia</w:t>
            </w:r>
            <w:r w:rsidRPr="00CE45E2">
              <w:t xml:space="preserve"> zgodnie z art. </w:t>
            </w:r>
            <w:r w:rsidRPr="00CE45E2">
              <w:rPr>
                <w:b/>
                <w:bCs/>
                <w:i/>
                <w:iCs/>
              </w:rPr>
              <w:t>19</w:t>
            </w:r>
            <w:r w:rsidRPr="00CE45E2">
              <w:t xml:space="preserve"> rozporządzenia (UE) nr 1094/2010</w:t>
            </w:r>
            <w:r w:rsidRPr="00CE45E2">
              <w:rPr>
                <w:b/>
                <w:bCs/>
                <w:i/>
                <w:iCs/>
              </w:rPr>
              <w:t>.</w:t>
            </w:r>
            <w:r w:rsidRPr="00CE45E2">
              <w:rPr>
                <w:b/>
                <w:i/>
              </w:rPr>
              <w:t xml:space="preserve"> </w:t>
            </w:r>
            <w:r w:rsidRPr="00CE45E2">
              <w:rPr>
                <w:b/>
                <w:bCs/>
                <w:i/>
                <w:iCs/>
              </w:rPr>
              <w:t>Ta wiążąca mediacja pozostaje bez uszczerbku dla stosowania krajowego prawa socjalnego i prawa pracy.”</w:t>
            </w:r>
          </w:p>
        </w:tc>
      </w:tr>
    </w:tbl>
    <w:p w14:paraId="678C6A3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0D388E4" w14:textId="77777777" w:rsidR="00CE45E2" w:rsidRPr="00CE45E2" w:rsidRDefault="00CE45E2" w:rsidP="00CE45E2">
      <w:pPr>
        <w:pStyle w:val="AmCrossRef"/>
      </w:pPr>
      <w:r w:rsidRPr="00CE45E2">
        <w:t>(32016L2341)</w:t>
      </w:r>
    </w:p>
    <w:p w14:paraId="1E373C31" w14:textId="77777777" w:rsidR="00CE45E2" w:rsidRPr="00CE45E2" w:rsidRDefault="00CE45E2" w:rsidP="00CE45E2">
      <w:r w:rsidRPr="00CE45E2">
        <w:rPr>
          <w:rStyle w:val="HideTWBExt"/>
        </w:rPr>
        <w:t>&lt;/Amend&gt;</w:t>
      </w:r>
    </w:p>
    <w:p w14:paraId="3CA42D3E" w14:textId="5CA02DB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270</w:t>
      </w:r>
      <w:r w:rsidRPr="00CE45E2">
        <w:rPr>
          <w:rStyle w:val="HideTWBExt"/>
          <w:b w:val="0"/>
        </w:rPr>
        <w:t>&lt;/NumAm&gt;</w:t>
      </w:r>
    </w:p>
    <w:p w14:paraId="016864F1"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1CF5149F" w14:textId="77777777" w:rsidR="00CE45E2" w:rsidRPr="00CE45E2" w:rsidRDefault="00CE45E2" w:rsidP="00CE45E2">
      <w:pPr>
        <w:pStyle w:val="NormalBold"/>
      </w:pPr>
      <w:r w:rsidRPr="00CE45E2">
        <w:rPr>
          <w:rStyle w:val="HideTWBExt"/>
          <w:b w:val="0"/>
        </w:rPr>
        <w:t>&lt;/RepeatBlock-By&gt;</w:t>
      </w:r>
    </w:p>
    <w:p w14:paraId="0124CB8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BA13FD0"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741A0C7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65DA653" w14:textId="77777777" w:rsidR="00CE45E2" w:rsidRPr="00CE45E2" w:rsidRDefault="00CE45E2" w:rsidP="00CE45E2">
      <w:r w:rsidRPr="00CE45E2">
        <w:rPr>
          <w:rStyle w:val="HideTWBExt"/>
        </w:rPr>
        <w:t>&lt;Article2&gt;</w:t>
      </w:r>
      <w:r w:rsidRPr="00CE45E2">
        <w:t>Artykuł 12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687555" w14:textId="77777777" w:rsidTr="006476FB">
        <w:trPr>
          <w:trHeight w:hRule="exact" w:val="240"/>
          <w:jc w:val="center"/>
        </w:trPr>
        <w:tc>
          <w:tcPr>
            <w:tcW w:w="9752" w:type="dxa"/>
            <w:gridSpan w:val="2"/>
            <w:tcBorders>
              <w:top w:val="nil"/>
              <w:left w:val="nil"/>
              <w:bottom w:val="nil"/>
              <w:right w:val="nil"/>
            </w:tcBorders>
          </w:tcPr>
          <w:p w14:paraId="71C27752" w14:textId="77777777" w:rsidR="00CE45E2" w:rsidRPr="00CE45E2" w:rsidRDefault="00CE45E2" w:rsidP="006476FB"/>
        </w:tc>
      </w:tr>
      <w:tr w:rsidR="00CE45E2" w:rsidRPr="00CE45E2" w14:paraId="2CB79DF7" w14:textId="77777777" w:rsidTr="006476FB">
        <w:trPr>
          <w:trHeight w:val="240"/>
          <w:jc w:val="center"/>
        </w:trPr>
        <w:tc>
          <w:tcPr>
            <w:tcW w:w="4876" w:type="dxa"/>
            <w:tcBorders>
              <w:top w:val="nil"/>
              <w:left w:val="nil"/>
              <w:bottom w:val="nil"/>
              <w:right w:val="nil"/>
            </w:tcBorders>
          </w:tcPr>
          <w:p w14:paraId="5E6A111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61FCAE6" w14:textId="77777777" w:rsidR="00CE45E2" w:rsidRPr="00CE45E2" w:rsidRDefault="00CE45E2" w:rsidP="006476FB">
            <w:pPr>
              <w:pStyle w:val="AmColumnHeading"/>
            </w:pPr>
            <w:r w:rsidRPr="00CE45E2">
              <w:t>Poprawka</w:t>
            </w:r>
          </w:p>
        </w:tc>
      </w:tr>
      <w:tr w:rsidR="00CE45E2" w:rsidRPr="00CE45E2" w14:paraId="22E80A95" w14:textId="77777777" w:rsidTr="006476FB">
        <w:trPr>
          <w:jc w:val="center"/>
        </w:trPr>
        <w:tc>
          <w:tcPr>
            <w:tcW w:w="4876" w:type="dxa"/>
            <w:tcBorders>
              <w:top w:val="nil"/>
              <w:left w:val="nil"/>
              <w:bottom w:val="nil"/>
              <w:right w:val="nil"/>
            </w:tcBorders>
          </w:tcPr>
          <w:p w14:paraId="1B33E05A" w14:textId="77777777" w:rsidR="00CE45E2" w:rsidRPr="00CE45E2" w:rsidRDefault="00CE45E2" w:rsidP="006476FB">
            <w:pPr>
              <w:pStyle w:val="Normal6a"/>
            </w:pPr>
            <w:r w:rsidRPr="00CE45E2">
              <w:rPr>
                <w:b/>
                <w:i/>
              </w:rPr>
              <w:t>16)</w:t>
            </w:r>
            <w:r w:rsidRPr="00CE45E2">
              <w:tab/>
            </w:r>
            <w:r w:rsidRPr="00CE45E2">
              <w:rPr>
                <w:b/>
                <w:i/>
              </w:rPr>
              <w:t>dodaje się art. 12a w brzmieniu:</w:t>
            </w:r>
          </w:p>
        </w:tc>
        <w:tc>
          <w:tcPr>
            <w:tcW w:w="4876" w:type="dxa"/>
            <w:tcBorders>
              <w:top w:val="nil"/>
              <w:left w:val="nil"/>
              <w:bottom w:val="nil"/>
              <w:right w:val="nil"/>
            </w:tcBorders>
          </w:tcPr>
          <w:p w14:paraId="3032AB72" w14:textId="77777777" w:rsidR="00CE45E2" w:rsidRPr="00CE45E2" w:rsidRDefault="00CE45E2" w:rsidP="006476FB">
            <w:pPr>
              <w:pStyle w:val="Normal6a"/>
            </w:pPr>
            <w:r w:rsidRPr="00CE45E2">
              <w:rPr>
                <w:b/>
                <w:i/>
              </w:rPr>
              <w:t>skreśla się</w:t>
            </w:r>
          </w:p>
        </w:tc>
      </w:tr>
      <w:tr w:rsidR="00CE45E2" w:rsidRPr="00CE45E2" w14:paraId="79CFF0EE" w14:textId="77777777" w:rsidTr="006476FB">
        <w:trPr>
          <w:jc w:val="center"/>
        </w:trPr>
        <w:tc>
          <w:tcPr>
            <w:tcW w:w="4876" w:type="dxa"/>
            <w:tcBorders>
              <w:top w:val="nil"/>
              <w:left w:val="nil"/>
              <w:bottom w:val="nil"/>
              <w:right w:val="nil"/>
            </w:tcBorders>
          </w:tcPr>
          <w:p w14:paraId="3AEACB9F" w14:textId="77777777" w:rsidR="00CE45E2" w:rsidRPr="00CE45E2" w:rsidRDefault="00CE45E2" w:rsidP="006476FB">
            <w:pPr>
              <w:pStyle w:val="Normal6a"/>
            </w:pPr>
            <w:r w:rsidRPr="00CE45E2">
              <w:rPr>
                <w:b/>
                <w:i/>
              </w:rPr>
              <w:t>„Artykuł 12a</w:t>
            </w:r>
          </w:p>
        </w:tc>
        <w:tc>
          <w:tcPr>
            <w:tcW w:w="4876" w:type="dxa"/>
            <w:tcBorders>
              <w:top w:val="nil"/>
              <w:left w:val="nil"/>
              <w:bottom w:val="nil"/>
              <w:right w:val="nil"/>
            </w:tcBorders>
          </w:tcPr>
          <w:p w14:paraId="5C927644" w14:textId="77777777" w:rsidR="00CE45E2" w:rsidRPr="00CE45E2" w:rsidRDefault="00CE45E2" w:rsidP="006476FB">
            <w:pPr>
              <w:pStyle w:val="Normal6a"/>
            </w:pPr>
          </w:p>
        </w:tc>
      </w:tr>
      <w:tr w:rsidR="00CE45E2" w:rsidRPr="00CE45E2" w14:paraId="44E334C4" w14:textId="77777777" w:rsidTr="006476FB">
        <w:trPr>
          <w:jc w:val="center"/>
        </w:trPr>
        <w:tc>
          <w:tcPr>
            <w:tcW w:w="4876" w:type="dxa"/>
            <w:tcBorders>
              <w:top w:val="nil"/>
              <w:left w:val="nil"/>
              <w:bottom w:val="nil"/>
              <w:right w:val="nil"/>
            </w:tcBorders>
          </w:tcPr>
          <w:p w14:paraId="395ADFAF" w14:textId="77777777" w:rsidR="00CE45E2" w:rsidRPr="00CE45E2" w:rsidRDefault="00CE45E2" w:rsidP="006476FB">
            <w:pPr>
              <w:pStyle w:val="Normal6a"/>
            </w:pPr>
            <w:r w:rsidRPr="00CE45E2">
              <w:rPr>
                <w:b/>
                <w:i/>
              </w:rPr>
              <w:t>Przeniesienia krajowe</w:t>
            </w:r>
          </w:p>
        </w:tc>
        <w:tc>
          <w:tcPr>
            <w:tcW w:w="4876" w:type="dxa"/>
            <w:tcBorders>
              <w:top w:val="nil"/>
              <w:left w:val="nil"/>
              <w:bottom w:val="nil"/>
              <w:right w:val="nil"/>
            </w:tcBorders>
          </w:tcPr>
          <w:p w14:paraId="6E4414EA" w14:textId="77777777" w:rsidR="00CE45E2" w:rsidRPr="00CE45E2" w:rsidRDefault="00CE45E2" w:rsidP="006476FB">
            <w:pPr>
              <w:pStyle w:val="Normal6a"/>
            </w:pPr>
          </w:p>
        </w:tc>
      </w:tr>
      <w:tr w:rsidR="00CE45E2" w:rsidRPr="00CE45E2" w14:paraId="552B41A3" w14:textId="77777777" w:rsidTr="006476FB">
        <w:trPr>
          <w:jc w:val="center"/>
        </w:trPr>
        <w:tc>
          <w:tcPr>
            <w:tcW w:w="4876" w:type="dxa"/>
            <w:tcBorders>
              <w:top w:val="nil"/>
              <w:left w:val="nil"/>
              <w:bottom w:val="nil"/>
              <w:right w:val="nil"/>
            </w:tcBorders>
          </w:tcPr>
          <w:p w14:paraId="5B6C2270" w14:textId="77777777" w:rsidR="00CE45E2" w:rsidRPr="00CE45E2" w:rsidRDefault="00CE45E2" w:rsidP="006476FB">
            <w:pPr>
              <w:pStyle w:val="Normal6a"/>
            </w:pPr>
            <w:r w:rsidRPr="00CE45E2">
              <w:rPr>
                <w:b/>
                <w:i/>
              </w:rPr>
              <w:t>Państwa członkowskie zapewniają, aby przeniesienia między IORP, które wykonują działalność na podstawie zezwolenia w tym samym państwie członkowskim, całości lub części zobowiązań programu emerytalnego, rezerw techniczno-ubezpieczeniowych oraz innych zobowiązań i praw, a także związanych z nimi aktywów lub ich ekwiwalentów pieniężnych, podlegały prostym i przejrzystym procedurom zapewniającym ochronę uczestników i beneficjentów oraz stałe należyte zarządzanie danymi programami emerytalnymi.</w:t>
            </w:r>
          </w:p>
        </w:tc>
        <w:tc>
          <w:tcPr>
            <w:tcW w:w="4876" w:type="dxa"/>
            <w:tcBorders>
              <w:top w:val="nil"/>
              <w:left w:val="nil"/>
              <w:bottom w:val="nil"/>
              <w:right w:val="nil"/>
            </w:tcBorders>
          </w:tcPr>
          <w:p w14:paraId="5E71F75B" w14:textId="77777777" w:rsidR="00CE45E2" w:rsidRPr="00CE45E2" w:rsidRDefault="00CE45E2" w:rsidP="006476FB">
            <w:pPr>
              <w:pStyle w:val="Normal6a"/>
            </w:pPr>
          </w:p>
        </w:tc>
      </w:tr>
      <w:tr w:rsidR="00CE45E2" w:rsidRPr="00CE45E2" w14:paraId="4B03BD87" w14:textId="77777777" w:rsidTr="006476FB">
        <w:trPr>
          <w:jc w:val="center"/>
        </w:trPr>
        <w:tc>
          <w:tcPr>
            <w:tcW w:w="4876" w:type="dxa"/>
            <w:tcBorders>
              <w:top w:val="nil"/>
              <w:left w:val="nil"/>
              <w:bottom w:val="nil"/>
              <w:right w:val="nil"/>
            </w:tcBorders>
          </w:tcPr>
          <w:p w14:paraId="7781F369" w14:textId="77777777" w:rsidR="00CE45E2" w:rsidRPr="00CE45E2" w:rsidRDefault="00CE45E2" w:rsidP="006476FB">
            <w:pPr>
              <w:pStyle w:val="Normal6a"/>
            </w:pPr>
            <w:r w:rsidRPr="00CE45E2">
              <w:rPr>
                <w:b/>
                <w:i/>
              </w:rPr>
              <w:t>Takie przeniesienia wymagają uprzedniego zatwierdzenia przez właściwy organ, który weryfikuje co najmniej wszystkie następujące elementy:</w:t>
            </w:r>
          </w:p>
        </w:tc>
        <w:tc>
          <w:tcPr>
            <w:tcW w:w="4876" w:type="dxa"/>
            <w:tcBorders>
              <w:top w:val="nil"/>
              <w:left w:val="nil"/>
              <w:bottom w:val="nil"/>
              <w:right w:val="nil"/>
            </w:tcBorders>
          </w:tcPr>
          <w:p w14:paraId="4F64043F" w14:textId="77777777" w:rsidR="00CE45E2" w:rsidRPr="00CE45E2" w:rsidRDefault="00CE45E2" w:rsidP="006476FB">
            <w:pPr>
              <w:pStyle w:val="Normal6a"/>
            </w:pPr>
          </w:p>
        </w:tc>
      </w:tr>
      <w:tr w:rsidR="00CE45E2" w:rsidRPr="00CE45E2" w14:paraId="70CA41FC" w14:textId="77777777" w:rsidTr="006476FB">
        <w:trPr>
          <w:jc w:val="center"/>
        </w:trPr>
        <w:tc>
          <w:tcPr>
            <w:tcW w:w="4876" w:type="dxa"/>
            <w:tcBorders>
              <w:top w:val="nil"/>
              <w:left w:val="nil"/>
              <w:bottom w:val="nil"/>
              <w:right w:val="nil"/>
            </w:tcBorders>
          </w:tcPr>
          <w:p w14:paraId="698AB94F" w14:textId="77777777" w:rsidR="00CE45E2" w:rsidRPr="00CE45E2" w:rsidRDefault="00CE45E2" w:rsidP="006476FB">
            <w:pPr>
              <w:pStyle w:val="Normal6a"/>
            </w:pPr>
            <w:r w:rsidRPr="00CE45E2">
              <w:rPr>
                <w:b/>
                <w:i/>
              </w:rPr>
              <w:t>a) czy przedłożone informacje są kompletne i dokładne;</w:t>
            </w:r>
          </w:p>
        </w:tc>
        <w:tc>
          <w:tcPr>
            <w:tcW w:w="4876" w:type="dxa"/>
            <w:tcBorders>
              <w:top w:val="nil"/>
              <w:left w:val="nil"/>
              <w:bottom w:val="nil"/>
              <w:right w:val="nil"/>
            </w:tcBorders>
          </w:tcPr>
          <w:p w14:paraId="09F400AA" w14:textId="77777777" w:rsidR="00CE45E2" w:rsidRPr="00CE45E2" w:rsidRDefault="00CE45E2" w:rsidP="006476FB">
            <w:pPr>
              <w:pStyle w:val="Normal6a"/>
            </w:pPr>
          </w:p>
        </w:tc>
      </w:tr>
      <w:tr w:rsidR="00CE45E2" w:rsidRPr="00CE45E2" w14:paraId="2780A5D0" w14:textId="77777777" w:rsidTr="006476FB">
        <w:trPr>
          <w:jc w:val="center"/>
        </w:trPr>
        <w:tc>
          <w:tcPr>
            <w:tcW w:w="4876" w:type="dxa"/>
            <w:tcBorders>
              <w:top w:val="nil"/>
              <w:left w:val="nil"/>
              <w:bottom w:val="nil"/>
              <w:right w:val="nil"/>
            </w:tcBorders>
          </w:tcPr>
          <w:p w14:paraId="1A5264A6" w14:textId="77777777" w:rsidR="00CE45E2" w:rsidRPr="00CE45E2" w:rsidRDefault="00CE45E2" w:rsidP="006476FB">
            <w:pPr>
              <w:pStyle w:val="Normal6a"/>
            </w:pPr>
            <w:r w:rsidRPr="00CE45E2">
              <w:rPr>
                <w:b/>
                <w:i/>
              </w:rPr>
              <w:t>b) czy struktura administracyjna, sytuacja finansowa oraz nieposzlakowana opinia lub kwalifikacje zawodowe i doświadczenie osób, które faktycznie zarządzają danymi IORP, są zgodne z proponowanym przeniesieniem;</w:t>
            </w:r>
          </w:p>
        </w:tc>
        <w:tc>
          <w:tcPr>
            <w:tcW w:w="4876" w:type="dxa"/>
            <w:tcBorders>
              <w:top w:val="nil"/>
              <w:left w:val="nil"/>
              <w:bottom w:val="nil"/>
              <w:right w:val="nil"/>
            </w:tcBorders>
          </w:tcPr>
          <w:p w14:paraId="65EBF0C5" w14:textId="77777777" w:rsidR="00CE45E2" w:rsidRPr="00CE45E2" w:rsidRDefault="00CE45E2" w:rsidP="006476FB">
            <w:pPr>
              <w:pStyle w:val="Normal6a"/>
            </w:pPr>
          </w:p>
        </w:tc>
      </w:tr>
      <w:tr w:rsidR="00CE45E2" w:rsidRPr="00CE45E2" w14:paraId="7892F541" w14:textId="77777777" w:rsidTr="006476FB">
        <w:trPr>
          <w:jc w:val="center"/>
        </w:trPr>
        <w:tc>
          <w:tcPr>
            <w:tcW w:w="4876" w:type="dxa"/>
            <w:tcBorders>
              <w:top w:val="nil"/>
              <w:left w:val="nil"/>
              <w:bottom w:val="nil"/>
              <w:right w:val="nil"/>
            </w:tcBorders>
          </w:tcPr>
          <w:p w14:paraId="0D65D3CA" w14:textId="77777777" w:rsidR="00CE45E2" w:rsidRPr="00CE45E2" w:rsidRDefault="00CE45E2" w:rsidP="006476FB">
            <w:pPr>
              <w:pStyle w:val="Normal6a"/>
            </w:pPr>
            <w:r w:rsidRPr="00CE45E2">
              <w:rPr>
                <w:b/>
                <w:i/>
              </w:rPr>
              <w:t>c) czy długoterminowe interesy uczestników i beneficjentów są odpowiednio chronione;</w:t>
            </w:r>
          </w:p>
        </w:tc>
        <w:tc>
          <w:tcPr>
            <w:tcW w:w="4876" w:type="dxa"/>
            <w:tcBorders>
              <w:top w:val="nil"/>
              <w:left w:val="nil"/>
              <w:bottom w:val="nil"/>
              <w:right w:val="nil"/>
            </w:tcBorders>
          </w:tcPr>
          <w:p w14:paraId="167A9AD7" w14:textId="77777777" w:rsidR="00CE45E2" w:rsidRPr="00CE45E2" w:rsidRDefault="00CE45E2" w:rsidP="006476FB">
            <w:pPr>
              <w:pStyle w:val="Normal6a"/>
            </w:pPr>
          </w:p>
        </w:tc>
      </w:tr>
      <w:tr w:rsidR="00CE45E2" w:rsidRPr="00CE45E2" w14:paraId="1E2FB754" w14:textId="77777777" w:rsidTr="006476FB">
        <w:trPr>
          <w:jc w:val="center"/>
        </w:trPr>
        <w:tc>
          <w:tcPr>
            <w:tcW w:w="4876" w:type="dxa"/>
            <w:tcBorders>
              <w:top w:val="nil"/>
              <w:left w:val="nil"/>
              <w:bottom w:val="nil"/>
              <w:right w:val="nil"/>
            </w:tcBorders>
          </w:tcPr>
          <w:p w14:paraId="38D7C5EF" w14:textId="77777777" w:rsidR="00CE45E2" w:rsidRPr="00CE45E2" w:rsidRDefault="00CE45E2" w:rsidP="006476FB">
            <w:pPr>
              <w:pStyle w:val="Normal6a"/>
            </w:pPr>
            <w:r w:rsidRPr="00CE45E2">
              <w:rPr>
                <w:b/>
                <w:i/>
              </w:rPr>
              <w:t>d) czy aktywa, które mają zostać przeniesione, są wystarczające i odpowiednie do pokrycia powiązanych zobowiązań, rezerw techniczno-ubezpieczeniowych oraz innych zobowiązań i praw.</w:t>
            </w:r>
          </w:p>
        </w:tc>
        <w:tc>
          <w:tcPr>
            <w:tcW w:w="4876" w:type="dxa"/>
            <w:tcBorders>
              <w:top w:val="nil"/>
              <w:left w:val="nil"/>
              <w:bottom w:val="nil"/>
              <w:right w:val="nil"/>
            </w:tcBorders>
          </w:tcPr>
          <w:p w14:paraId="48D13D76" w14:textId="77777777" w:rsidR="00CE45E2" w:rsidRPr="00CE45E2" w:rsidRDefault="00CE45E2" w:rsidP="006476FB">
            <w:pPr>
              <w:pStyle w:val="Normal6a"/>
            </w:pPr>
          </w:p>
        </w:tc>
      </w:tr>
      <w:tr w:rsidR="00CE45E2" w:rsidRPr="00CE45E2" w14:paraId="1B7B9B58" w14:textId="77777777" w:rsidTr="006476FB">
        <w:trPr>
          <w:jc w:val="center"/>
        </w:trPr>
        <w:tc>
          <w:tcPr>
            <w:tcW w:w="4876" w:type="dxa"/>
            <w:tcBorders>
              <w:top w:val="nil"/>
              <w:left w:val="nil"/>
              <w:bottom w:val="nil"/>
              <w:right w:val="nil"/>
            </w:tcBorders>
          </w:tcPr>
          <w:p w14:paraId="2798D4BA" w14:textId="77777777" w:rsidR="00CE45E2" w:rsidRPr="00CE45E2" w:rsidRDefault="00CE45E2" w:rsidP="006476FB">
            <w:pPr>
              <w:pStyle w:val="Normal6a"/>
            </w:pPr>
            <w:r w:rsidRPr="00CE45E2">
              <w:rPr>
                <w:b/>
                <w:i/>
              </w:rPr>
              <w:t>W przypadku gdy państwo członkowskie uzależnia przeniesienia krajowe od uprzedniej zgody uczestników i beneficjentów, których one dotyczą, procedura zgody nie może być bardziej rygorystyczna niż procedura określona w art. 12 ust. 3.”;</w:t>
            </w:r>
          </w:p>
        </w:tc>
        <w:tc>
          <w:tcPr>
            <w:tcW w:w="4876" w:type="dxa"/>
            <w:tcBorders>
              <w:top w:val="nil"/>
              <w:left w:val="nil"/>
              <w:bottom w:val="nil"/>
              <w:right w:val="nil"/>
            </w:tcBorders>
          </w:tcPr>
          <w:p w14:paraId="2D25BACA" w14:textId="77777777" w:rsidR="00CE45E2" w:rsidRPr="00CE45E2" w:rsidRDefault="00CE45E2" w:rsidP="006476FB">
            <w:pPr>
              <w:pStyle w:val="Normal6a"/>
            </w:pPr>
          </w:p>
        </w:tc>
      </w:tr>
    </w:tbl>
    <w:p w14:paraId="70034F2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49FFFF8E" w14:textId="77777777" w:rsidR="00CE45E2" w:rsidRPr="00CE45E2" w:rsidRDefault="00CE45E2" w:rsidP="00CE45E2">
      <w:r w:rsidRPr="00CE45E2">
        <w:rPr>
          <w:rStyle w:val="HideTWBExt"/>
        </w:rPr>
        <w:t>&lt;/Amend&gt;</w:t>
      </w:r>
    </w:p>
    <w:p w14:paraId="6BBE1A9C" w14:textId="1051CF3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271</w:t>
      </w:r>
      <w:r w:rsidRPr="00CE45E2">
        <w:rPr>
          <w:rStyle w:val="HideTWBExt"/>
          <w:b w:val="0"/>
        </w:rPr>
        <w:t>&lt;/NumAm&gt;</w:t>
      </w:r>
    </w:p>
    <w:p w14:paraId="770FC29D"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32A9E943" w14:textId="77777777" w:rsidR="00CE45E2" w:rsidRPr="00CE45E2" w:rsidRDefault="00CE45E2" w:rsidP="00CE45E2">
      <w:pPr>
        <w:pStyle w:val="NormalBold"/>
      </w:pPr>
      <w:r w:rsidRPr="00CE45E2">
        <w:rPr>
          <w:rStyle w:val="HideTWBExt"/>
          <w:b w:val="0"/>
        </w:rPr>
        <w:t>&lt;/RepeatBlock-By&gt;</w:t>
      </w:r>
    </w:p>
    <w:p w14:paraId="3B667C4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5BB11A0"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54A012C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BFDF6A0" w14:textId="77777777" w:rsidR="00CE45E2" w:rsidRPr="00CE45E2" w:rsidRDefault="00CE45E2" w:rsidP="00CE45E2">
      <w:r w:rsidRPr="00CE45E2">
        <w:rPr>
          <w:rStyle w:val="HideTWBExt"/>
        </w:rPr>
        <w:t>&lt;Article2&gt;</w:t>
      </w:r>
      <w:r w:rsidRPr="00CE45E2">
        <w:t>Artykuł 12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E95C8AE" w14:textId="77777777" w:rsidTr="006476FB">
        <w:trPr>
          <w:trHeight w:hRule="exact" w:val="240"/>
          <w:jc w:val="center"/>
        </w:trPr>
        <w:tc>
          <w:tcPr>
            <w:tcW w:w="9752" w:type="dxa"/>
            <w:gridSpan w:val="2"/>
            <w:tcBorders>
              <w:top w:val="nil"/>
              <w:left w:val="nil"/>
              <w:bottom w:val="nil"/>
              <w:right w:val="nil"/>
            </w:tcBorders>
          </w:tcPr>
          <w:p w14:paraId="78EB1BC8" w14:textId="77777777" w:rsidR="00CE45E2" w:rsidRPr="00CE45E2" w:rsidRDefault="00CE45E2" w:rsidP="006476FB"/>
        </w:tc>
      </w:tr>
      <w:tr w:rsidR="00CE45E2" w:rsidRPr="00CE45E2" w14:paraId="0E6928C9" w14:textId="77777777" w:rsidTr="006476FB">
        <w:trPr>
          <w:trHeight w:val="240"/>
          <w:jc w:val="center"/>
        </w:trPr>
        <w:tc>
          <w:tcPr>
            <w:tcW w:w="4876" w:type="dxa"/>
            <w:tcBorders>
              <w:top w:val="nil"/>
              <w:left w:val="nil"/>
              <w:bottom w:val="nil"/>
              <w:right w:val="nil"/>
            </w:tcBorders>
          </w:tcPr>
          <w:p w14:paraId="0340B35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2C3138" w14:textId="77777777" w:rsidR="00CE45E2" w:rsidRPr="00CE45E2" w:rsidRDefault="00CE45E2" w:rsidP="006476FB">
            <w:pPr>
              <w:pStyle w:val="AmColumnHeading"/>
            </w:pPr>
            <w:r w:rsidRPr="00CE45E2">
              <w:t>Poprawka</w:t>
            </w:r>
          </w:p>
        </w:tc>
      </w:tr>
      <w:tr w:rsidR="00CE45E2" w:rsidRPr="00CE45E2" w14:paraId="6FE4E81E" w14:textId="77777777" w:rsidTr="006476FB">
        <w:trPr>
          <w:jc w:val="center"/>
        </w:trPr>
        <w:tc>
          <w:tcPr>
            <w:tcW w:w="4876" w:type="dxa"/>
            <w:tcBorders>
              <w:top w:val="nil"/>
              <w:left w:val="nil"/>
              <w:bottom w:val="nil"/>
              <w:right w:val="nil"/>
            </w:tcBorders>
          </w:tcPr>
          <w:p w14:paraId="734E5FAA" w14:textId="77777777" w:rsidR="00CE45E2" w:rsidRPr="00CE45E2" w:rsidRDefault="00CE45E2" w:rsidP="006476FB">
            <w:pPr>
              <w:pStyle w:val="Normal6a"/>
            </w:pPr>
            <w:r w:rsidRPr="00CE45E2">
              <w:rPr>
                <w:b/>
                <w:i/>
              </w:rPr>
              <w:t>16)</w:t>
            </w:r>
            <w:r w:rsidRPr="00CE45E2">
              <w:tab/>
            </w:r>
            <w:r w:rsidRPr="00CE45E2">
              <w:rPr>
                <w:b/>
                <w:i/>
              </w:rPr>
              <w:t>dodaje się art. 12a w brzmieniu:</w:t>
            </w:r>
          </w:p>
        </w:tc>
        <w:tc>
          <w:tcPr>
            <w:tcW w:w="4876" w:type="dxa"/>
            <w:tcBorders>
              <w:top w:val="nil"/>
              <w:left w:val="nil"/>
              <w:bottom w:val="nil"/>
              <w:right w:val="nil"/>
            </w:tcBorders>
          </w:tcPr>
          <w:p w14:paraId="20B8E2E3" w14:textId="77777777" w:rsidR="00CE45E2" w:rsidRPr="00CE45E2" w:rsidRDefault="00CE45E2" w:rsidP="006476FB">
            <w:pPr>
              <w:pStyle w:val="Normal6a"/>
            </w:pPr>
            <w:r w:rsidRPr="00CE45E2">
              <w:rPr>
                <w:b/>
                <w:i/>
              </w:rPr>
              <w:t>skreśla się</w:t>
            </w:r>
          </w:p>
        </w:tc>
      </w:tr>
      <w:tr w:rsidR="00CE45E2" w:rsidRPr="00CE45E2" w14:paraId="6F8F1911" w14:textId="77777777" w:rsidTr="006476FB">
        <w:trPr>
          <w:jc w:val="center"/>
        </w:trPr>
        <w:tc>
          <w:tcPr>
            <w:tcW w:w="4876" w:type="dxa"/>
            <w:tcBorders>
              <w:top w:val="nil"/>
              <w:left w:val="nil"/>
              <w:bottom w:val="nil"/>
              <w:right w:val="nil"/>
            </w:tcBorders>
          </w:tcPr>
          <w:p w14:paraId="3BA9B5F1" w14:textId="77777777" w:rsidR="00CE45E2" w:rsidRPr="00CE45E2" w:rsidRDefault="00CE45E2" w:rsidP="006476FB">
            <w:pPr>
              <w:pStyle w:val="Normal6a"/>
            </w:pPr>
            <w:r w:rsidRPr="00CE45E2">
              <w:rPr>
                <w:b/>
                <w:i/>
              </w:rPr>
              <w:t>„Artykuł 12a</w:t>
            </w:r>
          </w:p>
        </w:tc>
        <w:tc>
          <w:tcPr>
            <w:tcW w:w="4876" w:type="dxa"/>
            <w:tcBorders>
              <w:top w:val="nil"/>
              <w:left w:val="nil"/>
              <w:bottom w:val="nil"/>
              <w:right w:val="nil"/>
            </w:tcBorders>
          </w:tcPr>
          <w:p w14:paraId="78B5BFE1" w14:textId="77777777" w:rsidR="00CE45E2" w:rsidRPr="00CE45E2" w:rsidRDefault="00CE45E2" w:rsidP="006476FB">
            <w:pPr>
              <w:pStyle w:val="Normal6a"/>
            </w:pPr>
          </w:p>
        </w:tc>
      </w:tr>
      <w:tr w:rsidR="00CE45E2" w:rsidRPr="00CE45E2" w14:paraId="5BC3E8E3" w14:textId="77777777" w:rsidTr="006476FB">
        <w:trPr>
          <w:jc w:val="center"/>
        </w:trPr>
        <w:tc>
          <w:tcPr>
            <w:tcW w:w="4876" w:type="dxa"/>
            <w:tcBorders>
              <w:top w:val="nil"/>
              <w:left w:val="nil"/>
              <w:bottom w:val="nil"/>
              <w:right w:val="nil"/>
            </w:tcBorders>
          </w:tcPr>
          <w:p w14:paraId="5FC1849B" w14:textId="77777777" w:rsidR="00CE45E2" w:rsidRPr="00CE45E2" w:rsidRDefault="00CE45E2" w:rsidP="006476FB">
            <w:pPr>
              <w:pStyle w:val="Normal6a"/>
            </w:pPr>
            <w:r w:rsidRPr="00CE45E2">
              <w:rPr>
                <w:b/>
                <w:i/>
              </w:rPr>
              <w:t>Przeniesienia krajowe</w:t>
            </w:r>
          </w:p>
        </w:tc>
        <w:tc>
          <w:tcPr>
            <w:tcW w:w="4876" w:type="dxa"/>
            <w:tcBorders>
              <w:top w:val="nil"/>
              <w:left w:val="nil"/>
              <w:bottom w:val="nil"/>
              <w:right w:val="nil"/>
            </w:tcBorders>
          </w:tcPr>
          <w:p w14:paraId="1E0909A6" w14:textId="77777777" w:rsidR="00CE45E2" w:rsidRPr="00CE45E2" w:rsidRDefault="00CE45E2" w:rsidP="006476FB">
            <w:pPr>
              <w:pStyle w:val="Normal6a"/>
            </w:pPr>
          </w:p>
        </w:tc>
      </w:tr>
      <w:tr w:rsidR="00CE45E2" w:rsidRPr="00CE45E2" w14:paraId="744C1319" w14:textId="77777777" w:rsidTr="006476FB">
        <w:trPr>
          <w:jc w:val="center"/>
        </w:trPr>
        <w:tc>
          <w:tcPr>
            <w:tcW w:w="4876" w:type="dxa"/>
            <w:tcBorders>
              <w:top w:val="nil"/>
              <w:left w:val="nil"/>
              <w:bottom w:val="nil"/>
              <w:right w:val="nil"/>
            </w:tcBorders>
          </w:tcPr>
          <w:p w14:paraId="05CA4687" w14:textId="77777777" w:rsidR="00CE45E2" w:rsidRPr="00CE45E2" w:rsidRDefault="00CE45E2" w:rsidP="006476FB">
            <w:pPr>
              <w:pStyle w:val="Normal6a"/>
            </w:pPr>
            <w:r w:rsidRPr="00CE45E2">
              <w:rPr>
                <w:b/>
                <w:i/>
              </w:rPr>
              <w:t>Państwa członkowskie zapewniają, aby przeniesienia między IORP, które wykonują działalność na podstawie zezwolenia w tym samym państwie członkowskim, całości lub części zobowiązań programu emerytalnego, rezerw techniczno-ubezpieczeniowych oraz innych zobowiązań i praw, a także związanych z nimi aktywów lub ich ekwiwalentów pieniężnych, podlegały prostym i przejrzystym procedurom zapewniającym ochronę uczestników i beneficjentów oraz stałe należyte zarządzanie danymi programami emerytalnymi.</w:t>
            </w:r>
          </w:p>
        </w:tc>
        <w:tc>
          <w:tcPr>
            <w:tcW w:w="4876" w:type="dxa"/>
            <w:tcBorders>
              <w:top w:val="nil"/>
              <w:left w:val="nil"/>
              <w:bottom w:val="nil"/>
              <w:right w:val="nil"/>
            </w:tcBorders>
          </w:tcPr>
          <w:p w14:paraId="3C005866" w14:textId="77777777" w:rsidR="00CE45E2" w:rsidRPr="00CE45E2" w:rsidRDefault="00CE45E2" w:rsidP="006476FB">
            <w:pPr>
              <w:pStyle w:val="Normal6a"/>
            </w:pPr>
          </w:p>
        </w:tc>
      </w:tr>
      <w:tr w:rsidR="00CE45E2" w:rsidRPr="00CE45E2" w14:paraId="2070D4BB" w14:textId="77777777" w:rsidTr="006476FB">
        <w:trPr>
          <w:jc w:val="center"/>
        </w:trPr>
        <w:tc>
          <w:tcPr>
            <w:tcW w:w="4876" w:type="dxa"/>
            <w:tcBorders>
              <w:top w:val="nil"/>
              <w:left w:val="nil"/>
              <w:bottom w:val="nil"/>
              <w:right w:val="nil"/>
            </w:tcBorders>
          </w:tcPr>
          <w:p w14:paraId="2585A251" w14:textId="77777777" w:rsidR="00CE45E2" w:rsidRPr="00CE45E2" w:rsidRDefault="00CE45E2" w:rsidP="006476FB">
            <w:pPr>
              <w:pStyle w:val="Normal6a"/>
            </w:pPr>
            <w:r w:rsidRPr="00CE45E2">
              <w:rPr>
                <w:b/>
                <w:i/>
              </w:rPr>
              <w:t>Takie przeniesienia wymagają uprzedniego zatwierdzenia przez właściwy organ, który weryfikuje co najmniej wszystkie następujące elementy:</w:t>
            </w:r>
          </w:p>
        </w:tc>
        <w:tc>
          <w:tcPr>
            <w:tcW w:w="4876" w:type="dxa"/>
            <w:tcBorders>
              <w:top w:val="nil"/>
              <w:left w:val="nil"/>
              <w:bottom w:val="nil"/>
              <w:right w:val="nil"/>
            </w:tcBorders>
          </w:tcPr>
          <w:p w14:paraId="12B0B733" w14:textId="77777777" w:rsidR="00CE45E2" w:rsidRPr="00CE45E2" w:rsidRDefault="00CE45E2" w:rsidP="006476FB">
            <w:pPr>
              <w:pStyle w:val="Normal6a"/>
            </w:pPr>
          </w:p>
        </w:tc>
      </w:tr>
      <w:tr w:rsidR="00CE45E2" w:rsidRPr="00CE45E2" w14:paraId="5EE85748" w14:textId="77777777" w:rsidTr="006476FB">
        <w:trPr>
          <w:jc w:val="center"/>
        </w:trPr>
        <w:tc>
          <w:tcPr>
            <w:tcW w:w="4876" w:type="dxa"/>
            <w:tcBorders>
              <w:top w:val="nil"/>
              <w:left w:val="nil"/>
              <w:bottom w:val="nil"/>
              <w:right w:val="nil"/>
            </w:tcBorders>
          </w:tcPr>
          <w:p w14:paraId="239DBC10" w14:textId="77777777" w:rsidR="00CE45E2" w:rsidRPr="00CE45E2" w:rsidRDefault="00CE45E2" w:rsidP="006476FB">
            <w:pPr>
              <w:pStyle w:val="Normal6a"/>
            </w:pPr>
            <w:r w:rsidRPr="00CE45E2">
              <w:rPr>
                <w:b/>
                <w:i/>
              </w:rPr>
              <w:t>a) czy przedłożone informacje są kompletne i dokładne;</w:t>
            </w:r>
          </w:p>
        </w:tc>
        <w:tc>
          <w:tcPr>
            <w:tcW w:w="4876" w:type="dxa"/>
            <w:tcBorders>
              <w:top w:val="nil"/>
              <w:left w:val="nil"/>
              <w:bottom w:val="nil"/>
              <w:right w:val="nil"/>
            </w:tcBorders>
          </w:tcPr>
          <w:p w14:paraId="75447924" w14:textId="77777777" w:rsidR="00CE45E2" w:rsidRPr="00CE45E2" w:rsidRDefault="00CE45E2" w:rsidP="006476FB">
            <w:pPr>
              <w:pStyle w:val="Normal6a"/>
            </w:pPr>
          </w:p>
        </w:tc>
      </w:tr>
      <w:tr w:rsidR="00CE45E2" w:rsidRPr="00CE45E2" w14:paraId="6AF120C9" w14:textId="77777777" w:rsidTr="006476FB">
        <w:trPr>
          <w:jc w:val="center"/>
        </w:trPr>
        <w:tc>
          <w:tcPr>
            <w:tcW w:w="4876" w:type="dxa"/>
            <w:tcBorders>
              <w:top w:val="nil"/>
              <w:left w:val="nil"/>
              <w:bottom w:val="nil"/>
              <w:right w:val="nil"/>
            </w:tcBorders>
          </w:tcPr>
          <w:p w14:paraId="12695314" w14:textId="77777777" w:rsidR="00CE45E2" w:rsidRPr="00CE45E2" w:rsidRDefault="00CE45E2" w:rsidP="006476FB">
            <w:pPr>
              <w:pStyle w:val="Normal6a"/>
            </w:pPr>
            <w:r w:rsidRPr="00CE45E2">
              <w:rPr>
                <w:b/>
                <w:bCs/>
                <w:i/>
                <w:iCs/>
              </w:rPr>
              <w:t>b)</w:t>
            </w:r>
            <w:r w:rsidRPr="00CE45E2">
              <w:rPr>
                <w:b/>
                <w:i/>
              </w:rPr>
              <w:t xml:space="preserve"> czy struktura administracyjna, sytuacja finansowa oraz nieposzlakowana opinia lub kwalifikacje zawodowe i doświadczenie osób, które faktycznie zarządzają danymi IORP, są zgodne z proponowanym przeniesieniem;</w:t>
            </w:r>
          </w:p>
        </w:tc>
        <w:tc>
          <w:tcPr>
            <w:tcW w:w="4876" w:type="dxa"/>
            <w:tcBorders>
              <w:top w:val="nil"/>
              <w:left w:val="nil"/>
              <w:bottom w:val="nil"/>
              <w:right w:val="nil"/>
            </w:tcBorders>
          </w:tcPr>
          <w:p w14:paraId="6DA4EBA6" w14:textId="77777777" w:rsidR="00CE45E2" w:rsidRPr="00CE45E2" w:rsidRDefault="00CE45E2" w:rsidP="006476FB">
            <w:pPr>
              <w:pStyle w:val="Normal6a"/>
            </w:pPr>
          </w:p>
        </w:tc>
      </w:tr>
      <w:tr w:rsidR="00CE45E2" w:rsidRPr="00CE45E2" w14:paraId="7CB7DFC3" w14:textId="77777777" w:rsidTr="006476FB">
        <w:trPr>
          <w:jc w:val="center"/>
        </w:trPr>
        <w:tc>
          <w:tcPr>
            <w:tcW w:w="4876" w:type="dxa"/>
            <w:tcBorders>
              <w:top w:val="nil"/>
              <w:left w:val="nil"/>
              <w:bottom w:val="nil"/>
              <w:right w:val="nil"/>
            </w:tcBorders>
          </w:tcPr>
          <w:p w14:paraId="3F83A4FF" w14:textId="77777777" w:rsidR="00CE45E2" w:rsidRPr="00CE45E2" w:rsidRDefault="00CE45E2" w:rsidP="006476FB">
            <w:pPr>
              <w:pStyle w:val="Normal6a"/>
            </w:pPr>
            <w:r w:rsidRPr="00CE45E2">
              <w:rPr>
                <w:b/>
                <w:i/>
              </w:rPr>
              <w:t>c) czy długoterminowe interesy uczestników i beneficjentów są odpowiednio chronione;</w:t>
            </w:r>
          </w:p>
        </w:tc>
        <w:tc>
          <w:tcPr>
            <w:tcW w:w="4876" w:type="dxa"/>
            <w:tcBorders>
              <w:top w:val="nil"/>
              <w:left w:val="nil"/>
              <w:bottom w:val="nil"/>
              <w:right w:val="nil"/>
            </w:tcBorders>
          </w:tcPr>
          <w:p w14:paraId="385DACB8" w14:textId="77777777" w:rsidR="00CE45E2" w:rsidRPr="00CE45E2" w:rsidRDefault="00CE45E2" w:rsidP="006476FB">
            <w:pPr>
              <w:pStyle w:val="Normal6a"/>
            </w:pPr>
          </w:p>
        </w:tc>
      </w:tr>
      <w:tr w:rsidR="00CE45E2" w:rsidRPr="00CE45E2" w14:paraId="675416C2" w14:textId="77777777" w:rsidTr="006476FB">
        <w:trPr>
          <w:jc w:val="center"/>
        </w:trPr>
        <w:tc>
          <w:tcPr>
            <w:tcW w:w="4876" w:type="dxa"/>
            <w:tcBorders>
              <w:top w:val="nil"/>
              <w:left w:val="nil"/>
              <w:bottom w:val="nil"/>
              <w:right w:val="nil"/>
            </w:tcBorders>
          </w:tcPr>
          <w:p w14:paraId="351042A3" w14:textId="77777777" w:rsidR="00CE45E2" w:rsidRPr="00CE45E2" w:rsidRDefault="00CE45E2" w:rsidP="006476FB">
            <w:pPr>
              <w:pStyle w:val="Normal6a"/>
            </w:pPr>
            <w:r w:rsidRPr="00CE45E2">
              <w:rPr>
                <w:b/>
                <w:i/>
              </w:rPr>
              <w:t>d) czy aktywa, które mają zostać przeniesione, są wystarczające i odpowiednie do pokrycia powiązanych zobowiązań, rezerw techniczno-ubezpieczeniowych oraz innych zobowiązań i praw.</w:t>
            </w:r>
          </w:p>
        </w:tc>
        <w:tc>
          <w:tcPr>
            <w:tcW w:w="4876" w:type="dxa"/>
            <w:tcBorders>
              <w:top w:val="nil"/>
              <w:left w:val="nil"/>
              <w:bottom w:val="nil"/>
              <w:right w:val="nil"/>
            </w:tcBorders>
          </w:tcPr>
          <w:p w14:paraId="4BD9385D" w14:textId="77777777" w:rsidR="00CE45E2" w:rsidRPr="00CE45E2" w:rsidRDefault="00CE45E2" w:rsidP="006476FB">
            <w:pPr>
              <w:pStyle w:val="Normal6a"/>
            </w:pPr>
          </w:p>
        </w:tc>
      </w:tr>
      <w:tr w:rsidR="00CE45E2" w:rsidRPr="00CE45E2" w14:paraId="6DBD7652" w14:textId="77777777" w:rsidTr="006476FB">
        <w:trPr>
          <w:jc w:val="center"/>
        </w:trPr>
        <w:tc>
          <w:tcPr>
            <w:tcW w:w="4876" w:type="dxa"/>
            <w:tcBorders>
              <w:top w:val="nil"/>
              <w:left w:val="nil"/>
              <w:bottom w:val="nil"/>
              <w:right w:val="nil"/>
            </w:tcBorders>
          </w:tcPr>
          <w:p w14:paraId="1FF9FB8D" w14:textId="77777777" w:rsidR="00CE45E2" w:rsidRPr="00CE45E2" w:rsidRDefault="00CE45E2" w:rsidP="006476FB">
            <w:pPr>
              <w:pStyle w:val="Normal6a"/>
            </w:pPr>
            <w:r w:rsidRPr="00CE45E2">
              <w:rPr>
                <w:b/>
                <w:i/>
              </w:rPr>
              <w:t>W przypadku gdy państwo członkowskie uzależnia przeniesienia krajowe od uprzedniej zgody uczestników i beneficjentów, których one dotyczą, procedura zgody nie może być bardziej rygorystyczna niż procedura określona w art. 12 ust. 3.”;</w:t>
            </w:r>
          </w:p>
        </w:tc>
        <w:tc>
          <w:tcPr>
            <w:tcW w:w="4876" w:type="dxa"/>
            <w:tcBorders>
              <w:top w:val="nil"/>
              <w:left w:val="nil"/>
              <w:bottom w:val="nil"/>
              <w:right w:val="nil"/>
            </w:tcBorders>
          </w:tcPr>
          <w:p w14:paraId="5434195A" w14:textId="77777777" w:rsidR="00CE45E2" w:rsidRPr="00CE45E2" w:rsidRDefault="00CE45E2" w:rsidP="006476FB">
            <w:pPr>
              <w:pStyle w:val="Normal6a"/>
            </w:pPr>
          </w:p>
        </w:tc>
      </w:tr>
    </w:tbl>
    <w:p w14:paraId="187125D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7C4B0D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FC13A37" w14:textId="77777777" w:rsidR="00CE45E2" w:rsidRPr="00CE45E2" w:rsidRDefault="00CE45E2" w:rsidP="00CE45E2">
      <w:pPr>
        <w:pStyle w:val="AmJustText"/>
      </w:pPr>
      <w:r w:rsidRPr="00CE45E2">
        <w:t>Przeniesienia krajowe między IORP w obrębie tego samego państwa członkowskiego odbywają się w całości w ramach jednolitych krajowych ram prawnych i nie mają wymiaru transgranicznego wymagającego normatywnych przepisów unijnych.</w:t>
      </w:r>
    </w:p>
    <w:p w14:paraId="12E33177" w14:textId="77777777" w:rsidR="00CE45E2" w:rsidRPr="00CE45E2" w:rsidRDefault="00CE45E2" w:rsidP="00CE45E2">
      <w:r w:rsidRPr="00CE45E2">
        <w:rPr>
          <w:rStyle w:val="HideTWBExt"/>
        </w:rPr>
        <w:t>&lt;/Amend&gt;</w:t>
      </w:r>
    </w:p>
    <w:p w14:paraId="72F9F8A1" w14:textId="4848EAF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272</w:t>
      </w:r>
      <w:r w:rsidRPr="00CE45E2">
        <w:rPr>
          <w:rStyle w:val="HideTWBExt"/>
          <w:b w:val="0"/>
        </w:rPr>
        <w:t>&lt;/NumAm&gt;</w:t>
      </w:r>
    </w:p>
    <w:p w14:paraId="7AC43FF5"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55D6836D" w14:textId="77777777" w:rsidR="00CE45E2" w:rsidRPr="00CE45E2" w:rsidRDefault="00CE45E2" w:rsidP="00CE45E2">
      <w:pPr>
        <w:pStyle w:val="NormalBold"/>
      </w:pPr>
      <w:r w:rsidRPr="00CE45E2">
        <w:rPr>
          <w:rStyle w:val="HideTWBExt"/>
          <w:b w:val="0"/>
        </w:rPr>
        <w:t>&lt;/RepeatBlock-By&gt;</w:t>
      </w:r>
    </w:p>
    <w:p w14:paraId="217CDC5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E1CE298"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452DD2E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A001700" w14:textId="77777777" w:rsidR="00CE45E2" w:rsidRPr="00CE45E2" w:rsidRDefault="00CE45E2" w:rsidP="00CE45E2">
      <w:r w:rsidRPr="00CE45E2">
        <w:rPr>
          <w:rStyle w:val="HideTWBExt"/>
        </w:rPr>
        <w:t>&lt;Article2&gt;</w:t>
      </w:r>
      <w:r w:rsidRPr="00CE45E2">
        <w:t>Artykuł 12 a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45E3B5F" w14:textId="77777777" w:rsidTr="006476FB">
        <w:trPr>
          <w:trHeight w:hRule="exact" w:val="240"/>
          <w:jc w:val="center"/>
        </w:trPr>
        <w:tc>
          <w:tcPr>
            <w:tcW w:w="9752" w:type="dxa"/>
            <w:gridSpan w:val="2"/>
            <w:tcBorders>
              <w:top w:val="nil"/>
              <w:left w:val="nil"/>
              <w:bottom w:val="nil"/>
              <w:right w:val="nil"/>
            </w:tcBorders>
          </w:tcPr>
          <w:p w14:paraId="407F07E2" w14:textId="77777777" w:rsidR="00CE45E2" w:rsidRPr="00CE45E2" w:rsidRDefault="00CE45E2" w:rsidP="006476FB"/>
        </w:tc>
      </w:tr>
      <w:tr w:rsidR="00CE45E2" w:rsidRPr="00CE45E2" w14:paraId="1BD82DD5" w14:textId="77777777" w:rsidTr="006476FB">
        <w:trPr>
          <w:trHeight w:val="240"/>
          <w:jc w:val="center"/>
        </w:trPr>
        <w:tc>
          <w:tcPr>
            <w:tcW w:w="4876" w:type="dxa"/>
            <w:tcBorders>
              <w:top w:val="nil"/>
              <w:left w:val="nil"/>
              <w:bottom w:val="nil"/>
              <w:right w:val="nil"/>
            </w:tcBorders>
          </w:tcPr>
          <w:p w14:paraId="0E18964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04A4223" w14:textId="77777777" w:rsidR="00CE45E2" w:rsidRPr="00CE45E2" w:rsidRDefault="00CE45E2" w:rsidP="006476FB">
            <w:pPr>
              <w:pStyle w:val="AmColumnHeading"/>
            </w:pPr>
            <w:r w:rsidRPr="00CE45E2">
              <w:t>Poprawka</w:t>
            </w:r>
          </w:p>
        </w:tc>
      </w:tr>
      <w:tr w:rsidR="00CE45E2" w:rsidRPr="00CE45E2" w14:paraId="5370922E" w14:textId="77777777" w:rsidTr="006476FB">
        <w:trPr>
          <w:jc w:val="center"/>
        </w:trPr>
        <w:tc>
          <w:tcPr>
            <w:tcW w:w="4876" w:type="dxa"/>
            <w:tcBorders>
              <w:top w:val="nil"/>
              <w:left w:val="nil"/>
              <w:bottom w:val="nil"/>
              <w:right w:val="nil"/>
            </w:tcBorders>
          </w:tcPr>
          <w:p w14:paraId="4F62F42F" w14:textId="77777777" w:rsidR="00CE45E2" w:rsidRPr="00CE45E2" w:rsidRDefault="00CE45E2" w:rsidP="006476FB">
            <w:pPr>
              <w:pStyle w:val="Normal6a"/>
            </w:pPr>
            <w:r w:rsidRPr="00CE45E2">
              <w:t>Państwa członkowskie zapewniają, aby przeniesienia między IORP, które wykonują działalność na podstawie zezwolenia w tym samym państwie członkowskim, całości lub części zobowiązań programu emerytalnego, rezerw techniczno-ubezpieczeniowych oraz innych zobowiązań i praw, a także związanych z nimi aktywów lub ich ekwiwalentów pieniężnych, podlegały prostym i przejrzystym procedurom zapewniającym ochronę uczestników i beneficjentów oraz stałe należyte zarządzanie danymi programami emerytalnymi.</w:t>
            </w:r>
          </w:p>
        </w:tc>
        <w:tc>
          <w:tcPr>
            <w:tcW w:w="4876" w:type="dxa"/>
            <w:tcBorders>
              <w:top w:val="nil"/>
              <w:left w:val="nil"/>
              <w:bottom w:val="nil"/>
              <w:right w:val="nil"/>
            </w:tcBorders>
          </w:tcPr>
          <w:p w14:paraId="223E8492" w14:textId="77777777" w:rsidR="00CE45E2" w:rsidRPr="00CE45E2" w:rsidRDefault="00CE45E2" w:rsidP="006476FB">
            <w:pPr>
              <w:pStyle w:val="Normal6a"/>
            </w:pPr>
            <w:r w:rsidRPr="00CE45E2">
              <w:t xml:space="preserve">Państwa członkowskie zapewniają, aby przeniesienia </w:t>
            </w:r>
            <w:r w:rsidRPr="00CE45E2">
              <w:rPr>
                <w:b/>
                <w:bCs/>
                <w:i/>
                <w:iCs/>
              </w:rPr>
              <w:t>zbiorowe</w:t>
            </w:r>
            <w:r w:rsidRPr="00CE45E2">
              <w:t xml:space="preserve"> między IORP, które wykonują działalność na podstawie zezwolenia w tym samym państwie członkowskim, całości lub części zobowiązań programu emerytalnego, rezerw techniczno-ubezpieczeniowych oraz innych zobowiązań i praw, a także związanych z nimi aktywów lub ich ekwiwalentów pieniężnych, podlegały prostym i przejrzystym procedurom zapewniającym ochronę uczestników i beneficjentów oraz stałe należyte zarządzanie danymi programami emerytalnymi.</w:t>
            </w:r>
          </w:p>
        </w:tc>
      </w:tr>
    </w:tbl>
    <w:p w14:paraId="20A4D0F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DF08C68"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0477056" w14:textId="77777777" w:rsidR="00CE45E2" w:rsidRPr="00CE45E2" w:rsidRDefault="00CE45E2" w:rsidP="00CE45E2">
      <w:pPr>
        <w:pStyle w:val="AmJustText"/>
      </w:pPr>
      <w:r w:rsidRPr="00CE45E2">
        <w:t>W niniejszej poprawce wyjaśniono, że art. 12a ma zastosowanie wyłącznie do krajowych przeniesień zbiorowych między IORP. Pojedyncze przeniesienia inicjowane przez uczestników lub beneficjentów powinny nadal podlegać prawu krajowemu, ponieważ wymóg uzyskania uprzedniej zgody organu nadzorczego w przypadku takich przeniesień byłby nieproporcjonalny i stanowiłby obciążenie administracyjne.</w:t>
      </w:r>
    </w:p>
    <w:p w14:paraId="0FAD6524" w14:textId="77777777" w:rsidR="00CE45E2" w:rsidRPr="00CE45E2" w:rsidRDefault="00CE45E2" w:rsidP="00CE45E2">
      <w:pPr>
        <w:rPr>
          <w:rStyle w:val="HideTWBExt"/>
        </w:rPr>
      </w:pPr>
      <w:r w:rsidRPr="00CE45E2">
        <w:rPr>
          <w:rStyle w:val="HideTWBExt"/>
        </w:rPr>
        <w:t>&lt;/Amend&gt;</w:t>
      </w:r>
    </w:p>
    <w:p w14:paraId="28B497C1" w14:textId="797DCE2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273</w:t>
      </w:r>
      <w:r w:rsidRPr="00CE45E2">
        <w:rPr>
          <w:rStyle w:val="HideTWBExt"/>
          <w:b w:val="0"/>
        </w:rPr>
        <w:t>&lt;/NumAm&gt;</w:t>
      </w:r>
    </w:p>
    <w:p w14:paraId="332E9CC2"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1E40898F" w14:textId="77777777" w:rsidR="00CE45E2" w:rsidRPr="00CE45E2" w:rsidRDefault="00CE45E2" w:rsidP="00CE45E2">
      <w:pPr>
        <w:pStyle w:val="NormalBold"/>
      </w:pPr>
      <w:r w:rsidRPr="00CE45E2">
        <w:rPr>
          <w:rStyle w:val="HideTWBExt"/>
          <w:b w:val="0"/>
        </w:rPr>
        <w:t>&lt;/RepeatBlock-By&gt;</w:t>
      </w:r>
    </w:p>
    <w:p w14:paraId="2CE9E69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43F7503"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3178C53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1338424" w14:textId="77777777" w:rsidR="00CE45E2" w:rsidRPr="00CE45E2" w:rsidRDefault="00CE45E2" w:rsidP="00CE45E2">
      <w:r w:rsidRPr="00CE45E2">
        <w:rPr>
          <w:rStyle w:val="HideTWBExt"/>
        </w:rPr>
        <w:t>&lt;Article2&gt;</w:t>
      </w:r>
      <w:r w:rsidRPr="00CE45E2">
        <w:t>Artykuł 12 a – akapit 1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300D9BB" w14:textId="77777777" w:rsidTr="006476FB">
        <w:trPr>
          <w:trHeight w:hRule="exact" w:val="240"/>
          <w:jc w:val="center"/>
        </w:trPr>
        <w:tc>
          <w:tcPr>
            <w:tcW w:w="9752" w:type="dxa"/>
            <w:gridSpan w:val="2"/>
            <w:tcBorders>
              <w:top w:val="nil"/>
              <w:left w:val="nil"/>
              <w:bottom w:val="nil"/>
              <w:right w:val="nil"/>
            </w:tcBorders>
          </w:tcPr>
          <w:p w14:paraId="3060F76D" w14:textId="77777777" w:rsidR="00CE45E2" w:rsidRPr="00CE45E2" w:rsidRDefault="00CE45E2" w:rsidP="006476FB"/>
        </w:tc>
      </w:tr>
      <w:tr w:rsidR="00CE45E2" w:rsidRPr="00CE45E2" w14:paraId="2667F0CA" w14:textId="77777777" w:rsidTr="006476FB">
        <w:trPr>
          <w:trHeight w:val="240"/>
          <w:jc w:val="center"/>
        </w:trPr>
        <w:tc>
          <w:tcPr>
            <w:tcW w:w="4876" w:type="dxa"/>
            <w:tcBorders>
              <w:top w:val="nil"/>
              <w:left w:val="nil"/>
              <w:bottom w:val="nil"/>
              <w:right w:val="nil"/>
            </w:tcBorders>
          </w:tcPr>
          <w:p w14:paraId="22ADA4B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A944D57" w14:textId="77777777" w:rsidR="00CE45E2" w:rsidRPr="00CE45E2" w:rsidRDefault="00CE45E2" w:rsidP="006476FB">
            <w:pPr>
              <w:pStyle w:val="AmColumnHeading"/>
            </w:pPr>
            <w:r w:rsidRPr="00CE45E2">
              <w:t>Poprawka</w:t>
            </w:r>
          </w:p>
        </w:tc>
      </w:tr>
      <w:tr w:rsidR="00CE45E2" w:rsidRPr="00CE45E2" w14:paraId="293C47B7" w14:textId="77777777" w:rsidTr="006476FB">
        <w:trPr>
          <w:jc w:val="center"/>
        </w:trPr>
        <w:tc>
          <w:tcPr>
            <w:tcW w:w="4876" w:type="dxa"/>
            <w:tcBorders>
              <w:top w:val="nil"/>
              <w:left w:val="nil"/>
              <w:bottom w:val="nil"/>
              <w:right w:val="nil"/>
            </w:tcBorders>
          </w:tcPr>
          <w:p w14:paraId="7C8D4015" w14:textId="77777777" w:rsidR="00CE45E2" w:rsidRPr="00CE45E2" w:rsidRDefault="00CE45E2" w:rsidP="006476FB">
            <w:pPr>
              <w:pStyle w:val="Normal6a"/>
            </w:pPr>
          </w:p>
        </w:tc>
        <w:tc>
          <w:tcPr>
            <w:tcW w:w="4876" w:type="dxa"/>
            <w:tcBorders>
              <w:top w:val="nil"/>
              <w:left w:val="nil"/>
              <w:bottom w:val="nil"/>
              <w:right w:val="nil"/>
            </w:tcBorders>
          </w:tcPr>
          <w:p w14:paraId="51E06980" w14:textId="77777777" w:rsidR="00CE45E2" w:rsidRPr="00CE45E2" w:rsidRDefault="00CE45E2" w:rsidP="006476FB">
            <w:pPr>
              <w:pStyle w:val="Normal6a"/>
            </w:pPr>
            <w:r w:rsidRPr="00CE45E2">
              <w:rPr>
                <w:b/>
                <w:i/>
              </w:rPr>
              <w:t>W celu uniknięcia wątpliwości niniejszy artykuł nie ma zastosowania do indywidualnych przeniesień nabytych uprawnień emerytalnych lub kapitału emerytalnego dokonywanych na wniosek poszczególnych uczestników lub beneficjentów na mocy prawa krajowego.</w:t>
            </w:r>
          </w:p>
        </w:tc>
      </w:tr>
    </w:tbl>
    <w:p w14:paraId="089806C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B47FAB2"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3695DAD" w14:textId="77777777" w:rsidR="00CE45E2" w:rsidRPr="00CE45E2" w:rsidRDefault="00CE45E2" w:rsidP="00CE45E2">
      <w:pPr>
        <w:pStyle w:val="AmJustText"/>
      </w:pPr>
      <w:r w:rsidRPr="00CE45E2">
        <w:t>W niniejszej poprawce wyjaśniono, że art. 12a ma zastosowanie wyłącznie do krajowych przeniesień zbiorowych między IORP. Pojedyncze przeniesienia inicjowane przez członków lub beneficjentów powinny nadal podlegać prawu krajowemu, ponieważ wymóg uzyskania uprzedniej zgody organu nadzorczego w przypadku takich przeniesień byłby nieproporcjonalny i stanowiłby obciążenie administracyjne.</w:t>
      </w:r>
    </w:p>
    <w:p w14:paraId="1C3B759D" w14:textId="77777777" w:rsidR="00CE45E2" w:rsidRPr="00CE45E2" w:rsidRDefault="00CE45E2" w:rsidP="00CE45E2">
      <w:r w:rsidRPr="00CE45E2">
        <w:rPr>
          <w:rStyle w:val="HideTWBExt"/>
        </w:rPr>
        <w:t>&lt;/Amend&gt;</w:t>
      </w:r>
    </w:p>
    <w:p w14:paraId="142A7B12" w14:textId="249DD3F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274</w:t>
      </w:r>
      <w:r w:rsidRPr="00CE45E2">
        <w:rPr>
          <w:rStyle w:val="HideTWBExt"/>
          <w:b w:val="0"/>
        </w:rPr>
        <w:t>&lt;/NumAm&gt;</w:t>
      </w:r>
    </w:p>
    <w:p w14:paraId="3CC01876"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3077462D" w14:textId="77777777" w:rsidR="00CE45E2" w:rsidRPr="00CE45E2" w:rsidRDefault="00CE45E2" w:rsidP="00CE45E2">
      <w:pPr>
        <w:pStyle w:val="NormalBold"/>
      </w:pPr>
      <w:r w:rsidRPr="00CE45E2">
        <w:rPr>
          <w:rStyle w:val="HideTWBExt"/>
          <w:b w:val="0"/>
        </w:rPr>
        <w:t>&lt;/RepeatBlock-By&gt;</w:t>
      </w:r>
    </w:p>
    <w:p w14:paraId="6ACC07F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05B2E02"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3500C61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9BC1F24" w14:textId="77777777" w:rsidR="00CE45E2" w:rsidRPr="00CE45E2" w:rsidRDefault="00CE45E2" w:rsidP="00CE45E2">
      <w:r w:rsidRPr="00CE45E2">
        <w:rPr>
          <w:rStyle w:val="HideTWBExt"/>
        </w:rPr>
        <w:t>&lt;Article2&gt;</w:t>
      </w:r>
      <w:r w:rsidRPr="00CE45E2">
        <w:t>Artykuł 12 a – akapit 1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597D5AD" w14:textId="77777777" w:rsidTr="006476FB">
        <w:trPr>
          <w:trHeight w:hRule="exact" w:val="240"/>
          <w:jc w:val="center"/>
        </w:trPr>
        <w:tc>
          <w:tcPr>
            <w:tcW w:w="9752" w:type="dxa"/>
            <w:gridSpan w:val="2"/>
            <w:tcBorders>
              <w:top w:val="nil"/>
              <w:left w:val="nil"/>
              <w:bottom w:val="nil"/>
              <w:right w:val="nil"/>
            </w:tcBorders>
          </w:tcPr>
          <w:p w14:paraId="4103B086" w14:textId="77777777" w:rsidR="00CE45E2" w:rsidRPr="00CE45E2" w:rsidRDefault="00CE45E2" w:rsidP="006476FB"/>
        </w:tc>
      </w:tr>
      <w:tr w:rsidR="00CE45E2" w:rsidRPr="00CE45E2" w14:paraId="766E8458" w14:textId="77777777" w:rsidTr="006476FB">
        <w:trPr>
          <w:trHeight w:val="240"/>
          <w:jc w:val="center"/>
        </w:trPr>
        <w:tc>
          <w:tcPr>
            <w:tcW w:w="4876" w:type="dxa"/>
            <w:tcBorders>
              <w:top w:val="nil"/>
              <w:left w:val="nil"/>
              <w:bottom w:val="nil"/>
              <w:right w:val="nil"/>
            </w:tcBorders>
          </w:tcPr>
          <w:p w14:paraId="6CED353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320A533" w14:textId="77777777" w:rsidR="00CE45E2" w:rsidRPr="00CE45E2" w:rsidRDefault="00CE45E2" w:rsidP="006476FB">
            <w:pPr>
              <w:pStyle w:val="AmColumnHeading"/>
            </w:pPr>
            <w:r w:rsidRPr="00CE45E2">
              <w:t>Poprawka</w:t>
            </w:r>
          </w:p>
        </w:tc>
      </w:tr>
      <w:tr w:rsidR="00CE45E2" w:rsidRPr="00CE45E2" w14:paraId="3B4E50F4" w14:textId="77777777" w:rsidTr="006476FB">
        <w:trPr>
          <w:jc w:val="center"/>
        </w:trPr>
        <w:tc>
          <w:tcPr>
            <w:tcW w:w="4876" w:type="dxa"/>
            <w:tcBorders>
              <w:top w:val="nil"/>
              <w:left w:val="nil"/>
              <w:bottom w:val="nil"/>
              <w:right w:val="nil"/>
            </w:tcBorders>
          </w:tcPr>
          <w:p w14:paraId="08D8169D" w14:textId="77777777" w:rsidR="00CE45E2" w:rsidRPr="00CE45E2" w:rsidRDefault="00CE45E2" w:rsidP="006476FB">
            <w:pPr>
              <w:pStyle w:val="Normal6a"/>
            </w:pPr>
          </w:p>
        </w:tc>
        <w:tc>
          <w:tcPr>
            <w:tcW w:w="4876" w:type="dxa"/>
            <w:tcBorders>
              <w:top w:val="nil"/>
              <w:left w:val="nil"/>
              <w:bottom w:val="nil"/>
              <w:right w:val="nil"/>
            </w:tcBorders>
          </w:tcPr>
          <w:p w14:paraId="64E83536" w14:textId="77777777" w:rsidR="00CE45E2" w:rsidRPr="00CE45E2" w:rsidRDefault="00CE45E2" w:rsidP="006476FB">
            <w:pPr>
              <w:pStyle w:val="Normal6a"/>
            </w:pPr>
            <w:r w:rsidRPr="00CE45E2">
              <w:rPr>
                <w:b/>
                <w:i/>
              </w:rPr>
              <w:t xml:space="preserve">Państwa członkowskie dopilnowują, aby właściwe organy dysponowały odpowiednimi uprawnieniami nadzorczymi w odniesieniu do takich przeniesień. Państwa członkowskie zapewniają, aby IORP przenosząca udostępniła uczestnikom i beneficjentom, których to dotyczy, </w:t>
            </w:r>
            <w:proofErr w:type="gramStart"/>
            <w:r w:rsidRPr="00CE45E2">
              <w:rPr>
                <w:b/>
                <w:i/>
              </w:rPr>
              <w:t>oraz,</w:t>
            </w:r>
            <w:proofErr w:type="gramEnd"/>
            <w:r w:rsidRPr="00CE45E2">
              <w:rPr>
                <w:b/>
                <w:i/>
              </w:rPr>
              <w:t xml:space="preserve"> w stosownych przypadkach, ich przedstawicielom informacje o warunkach przeniesienia w odpowiednim czasie.</w:t>
            </w:r>
          </w:p>
        </w:tc>
      </w:tr>
    </w:tbl>
    <w:p w14:paraId="46846F8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1B7E53C" w14:textId="77777777" w:rsidR="00CE45E2" w:rsidRPr="00CE45E2" w:rsidRDefault="00CE45E2" w:rsidP="00CE45E2">
      <w:r w:rsidRPr="00CE45E2">
        <w:rPr>
          <w:rStyle w:val="HideTWBExt"/>
        </w:rPr>
        <w:t>&lt;/Amend&gt;</w:t>
      </w:r>
    </w:p>
    <w:p w14:paraId="63F35E51" w14:textId="6C5C17E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275</w:t>
      </w:r>
      <w:r w:rsidRPr="00CE45E2">
        <w:rPr>
          <w:rStyle w:val="HideTWBExt"/>
          <w:b w:val="0"/>
        </w:rPr>
        <w:t>&lt;/NumAm&gt;</w:t>
      </w:r>
    </w:p>
    <w:p w14:paraId="0A763E51"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75416AAF"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69A6C3CB" w14:textId="77777777" w:rsidR="00CE45E2" w:rsidRPr="00CE45E2" w:rsidRDefault="00CE45E2" w:rsidP="00CE45E2">
      <w:pPr>
        <w:pStyle w:val="NormalBold"/>
      </w:pPr>
      <w:r w:rsidRPr="00CE45E2">
        <w:rPr>
          <w:rStyle w:val="HideTWBExt"/>
          <w:b w:val="0"/>
        </w:rPr>
        <w:t>&lt;/RepeatBlock-By&gt;</w:t>
      </w:r>
    </w:p>
    <w:p w14:paraId="3DB2254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64CE929" w14:textId="77777777" w:rsidR="00CE45E2" w:rsidRPr="00CE45E2" w:rsidRDefault="00CE45E2" w:rsidP="00CE45E2">
      <w:pPr>
        <w:pStyle w:val="NormalBold"/>
      </w:pPr>
      <w:r w:rsidRPr="00CE45E2">
        <w:rPr>
          <w:rStyle w:val="HideTWBExt"/>
          <w:b w:val="0"/>
        </w:rPr>
        <w:t>&lt;Article&gt;</w:t>
      </w:r>
      <w:r w:rsidRPr="00CE45E2">
        <w:t>Artykuł 1 – akapit 1 – punkt 16</w:t>
      </w:r>
      <w:r w:rsidRPr="00CE45E2">
        <w:rPr>
          <w:rStyle w:val="HideTWBExt"/>
          <w:b w:val="0"/>
        </w:rPr>
        <w:t>&lt;/Article&gt;</w:t>
      </w:r>
    </w:p>
    <w:p w14:paraId="7F99B7F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7335220" w14:textId="77777777" w:rsidR="00CE45E2" w:rsidRPr="00CE45E2" w:rsidRDefault="00CE45E2" w:rsidP="00CE45E2">
      <w:r w:rsidRPr="00CE45E2">
        <w:rPr>
          <w:rStyle w:val="HideTWBExt"/>
        </w:rPr>
        <w:t>&lt;Article2&gt;</w:t>
      </w:r>
      <w:r w:rsidRPr="00CE45E2">
        <w:t>Artykuł 12 a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8D22EC9" w14:textId="77777777" w:rsidTr="006476FB">
        <w:trPr>
          <w:trHeight w:hRule="exact" w:val="240"/>
          <w:jc w:val="center"/>
        </w:trPr>
        <w:tc>
          <w:tcPr>
            <w:tcW w:w="9752" w:type="dxa"/>
            <w:gridSpan w:val="2"/>
            <w:tcBorders>
              <w:top w:val="nil"/>
              <w:left w:val="nil"/>
              <w:bottom w:val="nil"/>
              <w:right w:val="nil"/>
            </w:tcBorders>
          </w:tcPr>
          <w:p w14:paraId="16E275E9" w14:textId="77777777" w:rsidR="00CE45E2" w:rsidRPr="00CE45E2" w:rsidRDefault="00CE45E2" w:rsidP="006476FB"/>
        </w:tc>
      </w:tr>
      <w:tr w:rsidR="00CE45E2" w:rsidRPr="00CE45E2" w14:paraId="76728995" w14:textId="77777777" w:rsidTr="006476FB">
        <w:trPr>
          <w:trHeight w:val="240"/>
          <w:jc w:val="center"/>
        </w:trPr>
        <w:tc>
          <w:tcPr>
            <w:tcW w:w="4876" w:type="dxa"/>
            <w:tcBorders>
              <w:top w:val="nil"/>
              <w:left w:val="nil"/>
              <w:bottom w:val="nil"/>
              <w:right w:val="nil"/>
            </w:tcBorders>
          </w:tcPr>
          <w:p w14:paraId="02597EE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E66525D" w14:textId="77777777" w:rsidR="00CE45E2" w:rsidRPr="00CE45E2" w:rsidRDefault="00CE45E2" w:rsidP="006476FB">
            <w:pPr>
              <w:pStyle w:val="AmColumnHeading"/>
            </w:pPr>
            <w:r w:rsidRPr="00CE45E2">
              <w:t>Poprawka</w:t>
            </w:r>
          </w:p>
        </w:tc>
      </w:tr>
      <w:tr w:rsidR="00CE45E2" w:rsidRPr="00CE45E2" w14:paraId="5B20FEDB" w14:textId="77777777" w:rsidTr="006476FB">
        <w:trPr>
          <w:jc w:val="center"/>
        </w:trPr>
        <w:tc>
          <w:tcPr>
            <w:tcW w:w="4876" w:type="dxa"/>
            <w:tcBorders>
              <w:top w:val="nil"/>
              <w:left w:val="nil"/>
              <w:bottom w:val="nil"/>
              <w:right w:val="nil"/>
            </w:tcBorders>
          </w:tcPr>
          <w:p w14:paraId="23151B22" w14:textId="77777777" w:rsidR="00CE45E2" w:rsidRPr="00CE45E2" w:rsidRDefault="00CE45E2" w:rsidP="006476FB">
            <w:pPr>
              <w:pStyle w:val="Normal6a"/>
            </w:pPr>
            <w:r w:rsidRPr="00CE45E2">
              <w:rPr>
                <w:b/>
                <w:i/>
              </w:rPr>
              <w:t>Takie przeniesienia wymagają uprzedniego zatwierdzenia przez właściwy organ, który weryfikuje co najmniej wszystkie następujące elementy:</w:t>
            </w:r>
          </w:p>
        </w:tc>
        <w:tc>
          <w:tcPr>
            <w:tcW w:w="4876" w:type="dxa"/>
            <w:tcBorders>
              <w:top w:val="nil"/>
              <w:left w:val="nil"/>
              <w:bottom w:val="nil"/>
              <w:right w:val="nil"/>
            </w:tcBorders>
          </w:tcPr>
          <w:p w14:paraId="7BBEA085" w14:textId="77777777" w:rsidR="00CE45E2" w:rsidRPr="00CE45E2" w:rsidRDefault="00CE45E2" w:rsidP="006476FB">
            <w:pPr>
              <w:pStyle w:val="Normal6a"/>
            </w:pPr>
            <w:r w:rsidRPr="00CE45E2">
              <w:rPr>
                <w:b/>
                <w:i/>
              </w:rPr>
              <w:t>skreśla się</w:t>
            </w:r>
          </w:p>
        </w:tc>
      </w:tr>
      <w:tr w:rsidR="00CE45E2" w:rsidRPr="00CE45E2" w14:paraId="5008C59A" w14:textId="77777777" w:rsidTr="006476FB">
        <w:trPr>
          <w:jc w:val="center"/>
        </w:trPr>
        <w:tc>
          <w:tcPr>
            <w:tcW w:w="4876" w:type="dxa"/>
            <w:tcBorders>
              <w:top w:val="nil"/>
              <w:left w:val="nil"/>
              <w:bottom w:val="nil"/>
              <w:right w:val="nil"/>
            </w:tcBorders>
          </w:tcPr>
          <w:p w14:paraId="1BDE112B" w14:textId="77777777" w:rsidR="00CE45E2" w:rsidRPr="00CE45E2" w:rsidRDefault="00CE45E2" w:rsidP="006476FB">
            <w:pPr>
              <w:pStyle w:val="Normal6a"/>
            </w:pPr>
            <w:r w:rsidRPr="00CE45E2">
              <w:rPr>
                <w:b/>
                <w:i/>
              </w:rPr>
              <w:t>a) czy przedłożone informacje są kompletne i dokładne;</w:t>
            </w:r>
          </w:p>
        </w:tc>
        <w:tc>
          <w:tcPr>
            <w:tcW w:w="4876" w:type="dxa"/>
            <w:tcBorders>
              <w:top w:val="nil"/>
              <w:left w:val="nil"/>
              <w:bottom w:val="nil"/>
              <w:right w:val="nil"/>
            </w:tcBorders>
          </w:tcPr>
          <w:p w14:paraId="314570E5" w14:textId="77777777" w:rsidR="00CE45E2" w:rsidRPr="00CE45E2" w:rsidRDefault="00CE45E2" w:rsidP="006476FB">
            <w:pPr>
              <w:pStyle w:val="Normal6a"/>
            </w:pPr>
          </w:p>
        </w:tc>
      </w:tr>
      <w:tr w:rsidR="00CE45E2" w:rsidRPr="00CE45E2" w14:paraId="09CE28D8" w14:textId="77777777" w:rsidTr="006476FB">
        <w:trPr>
          <w:jc w:val="center"/>
        </w:trPr>
        <w:tc>
          <w:tcPr>
            <w:tcW w:w="4876" w:type="dxa"/>
            <w:tcBorders>
              <w:top w:val="nil"/>
              <w:left w:val="nil"/>
              <w:bottom w:val="nil"/>
              <w:right w:val="nil"/>
            </w:tcBorders>
          </w:tcPr>
          <w:p w14:paraId="7B917890" w14:textId="77777777" w:rsidR="00CE45E2" w:rsidRPr="00CE45E2" w:rsidRDefault="00CE45E2" w:rsidP="006476FB">
            <w:pPr>
              <w:pStyle w:val="Normal6a"/>
            </w:pPr>
            <w:r w:rsidRPr="00CE45E2">
              <w:rPr>
                <w:b/>
                <w:bCs/>
                <w:i/>
                <w:iCs/>
              </w:rPr>
              <w:t>b)</w:t>
            </w:r>
            <w:r w:rsidRPr="00CE45E2">
              <w:rPr>
                <w:b/>
                <w:i/>
              </w:rPr>
              <w:t xml:space="preserve"> czy struktura administracyjna, sytuacja finansowa oraz nieposzlakowana opinia lub kwalifikacje zawodowe i doświadczenie osób, które faktycznie zarządzają danymi IORP, są zgodne z proponowanym przeniesieniem;</w:t>
            </w:r>
          </w:p>
        </w:tc>
        <w:tc>
          <w:tcPr>
            <w:tcW w:w="4876" w:type="dxa"/>
            <w:tcBorders>
              <w:top w:val="nil"/>
              <w:left w:val="nil"/>
              <w:bottom w:val="nil"/>
              <w:right w:val="nil"/>
            </w:tcBorders>
          </w:tcPr>
          <w:p w14:paraId="16CB216E" w14:textId="77777777" w:rsidR="00CE45E2" w:rsidRPr="00CE45E2" w:rsidRDefault="00CE45E2" w:rsidP="006476FB">
            <w:pPr>
              <w:pStyle w:val="Normal6a"/>
            </w:pPr>
          </w:p>
        </w:tc>
      </w:tr>
      <w:tr w:rsidR="00CE45E2" w:rsidRPr="00CE45E2" w14:paraId="5BEC900E" w14:textId="77777777" w:rsidTr="006476FB">
        <w:trPr>
          <w:jc w:val="center"/>
        </w:trPr>
        <w:tc>
          <w:tcPr>
            <w:tcW w:w="4876" w:type="dxa"/>
            <w:tcBorders>
              <w:top w:val="nil"/>
              <w:left w:val="nil"/>
              <w:bottom w:val="nil"/>
              <w:right w:val="nil"/>
            </w:tcBorders>
          </w:tcPr>
          <w:p w14:paraId="45019C91" w14:textId="77777777" w:rsidR="00CE45E2" w:rsidRPr="00CE45E2" w:rsidRDefault="00CE45E2" w:rsidP="006476FB">
            <w:pPr>
              <w:pStyle w:val="Normal6a"/>
            </w:pPr>
            <w:r w:rsidRPr="00CE45E2">
              <w:rPr>
                <w:b/>
                <w:i/>
              </w:rPr>
              <w:t>c) czy długoterminowe interesy uczestników i beneficjentów są odpowiednio chronione;</w:t>
            </w:r>
          </w:p>
        </w:tc>
        <w:tc>
          <w:tcPr>
            <w:tcW w:w="4876" w:type="dxa"/>
            <w:tcBorders>
              <w:top w:val="nil"/>
              <w:left w:val="nil"/>
              <w:bottom w:val="nil"/>
              <w:right w:val="nil"/>
            </w:tcBorders>
          </w:tcPr>
          <w:p w14:paraId="69E0460F" w14:textId="77777777" w:rsidR="00CE45E2" w:rsidRPr="00CE45E2" w:rsidRDefault="00CE45E2" w:rsidP="006476FB">
            <w:pPr>
              <w:pStyle w:val="Normal6a"/>
            </w:pPr>
          </w:p>
        </w:tc>
      </w:tr>
      <w:tr w:rsidR="00CE45E2" w:rsidRPr="00CE45E2" w14:paraId="675C57C4" w14:textId="77777777" w:rsidTr="006476FB">
        <w:trPr>
          <w:jc w:val="center"/>
        </w:trPr>
        <w:tc>
          <w:tcPr>
            <w:tcW w:w="4876" w:type="dxa"/>
            <w:tcBorders>
              <w:top w:val="nil"/>
              <w:left w:val="nil"/>
              <w:bottom w:val="nil"/>
              <w:right w:val="nil"/>
            </w:tcBorders>
          </w:tcPr>
          <w:p w14:paraId="1D5F446D" w14:textId="77777777" w:rsidR="00CE45E2" w:rsidRPr="00CE45E2" w:rsidRDefault="00CE45E2" w:rsidP="006476FB">
            <w:pPr>
              <w:pStyle w:val="Normal6a"/>
            </w:pPr>
            <w:r w:rsidRPr="00CE45E2">
              <w:rPr>
                <w:b/>
                <w:i/>
              </w:rPr>
              <w:t>d) czy aktywa, które mają zostać przeniesione, są wystarczające i odpowiednie do pokrycia powiązanych zobowiązań, rezerw techniczno-ubezpieczeniowych oraz innych zobowiązań i praw.</w:t>
            </w:r>
          </w:p>
        </w:tc>
        <w:tc>
          <w:tcPr>
            <w:tcW w:w="4876" w:type="dxa"/>
            <w:tcBorders>
              <w:top w:val="nil"/>
              <w:left w:val="nil"/>
              <w:bottom w:val="nil"/>
              <w:right w:val="nil"/>
            </w:tcBorders>
          </w:tcPr>
          <w:p w14:paraId="6AD0CD2E" w14:textId="77777777" w:rsidR="00CE45E2" w:rsidRPr="00CE45E2" w:rsidRDefault="00CE45E2" w:rsidP="006476FB">
            <w:pPr>
              <w:pStyle w:val="Normal6a"/>
            </w:pPr>
          </w:p>
        </w:tc>
      </w:tr>
    </w:tbl>
    <w:p w14:paraId="5C9FF65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FBB006F" w14:textId="77777777" w:rsidR="00CE45E2" w:rsidRPr="00CE45E2" w:rsidRDefault="00CE45E2" w:rsidP="00CE45E2">
      <w:r w:rsidRPr="00CE45E2">
        <w:rPr>
          <w:rStyle w:val="HideTWBExt"/>
        </w:rPr>
        <w:t>&lt;/Amend&gt;</w:t>
      </w:r>
    </w:p>
    <w:p w14:paraId="616641FE" w14:textId="3811F91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276</w:t>
      </w:r>
      <w:r w:rsidRPr="00CE45E2">
        <w:rPr>
          <w:rStyle w:val="HideTWBExt"/>
          <w:b w:val="0"/>
        </w:rPr>
        <w:t>&lt;/NumAm&gt;</w:t>
      </w:r>
    </w:p>
    <w:p w14:paraId="2AFE95F3"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03CB5B9B" w14:textId="77777777" w:rsidR="00CE45E2" w:rsidRPr="00CE45E2" w:rsidRDefault="00CE45E2" w:rsidP="00CE45E2">
      <w:pPr>
        <w:pStyle w:val="NormalBold"/>
      </w:pPr>
      <w:r w:rsidRPr="00CE45E2">
        <w:rPr>
          <w:rStyle w:val="HideTWBExt"/>
          <w:b w:val="0"/>
        </w:rPr>
        <w:t>&lt;/RepeatBlock-By&gt;</w:t>
      </w:r>
    </w:p>
    <w:p w14:paraId="2B85F1F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CA18F50" w14:textId="77777777" w:rsidR="00CE45E2" w:rsidRPr="00CE45E2" w:rsidRDefault="00CE45E2" w:rsidP="00CE45E2">
      <w:pPr>
        <w:pStyle w:val="NormalBold"/>
      </w:pPr>
      <w:r w:rsidRPr="00CE45E2">
        <w:rPr>
          <w:rStyle w:val="HideTWBExt"/>
          <w:b w:val="0"/>
        </w:rPr>
        <w:t>&lt;Article&gt;</w:t>
      </w:r>
      <w:r w:rsidRPr="00CE45E2">
        <w:t>Artykuł 1 – akapit 1 – punkt 17</w:t>
      </w:r>
      <w:r w:rsidRPr="00CE45E2">
        <w:rPr>
          <w:rStyle w:val="HideTWBExt"/>
          <w:b w:val="0"/>
        </w:rPr>
        <w:t>&lt;/Article&gt;</w:t>
      </w:r>
    </w:p>
    <w:p w14:paraId="6D03DB6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8061654" w14:textId="77777777" w:rsidR="00CE45E2" w:rsidRPr="00CE45E2" w:rsidRDefault="00CE45E2" w:rsidP="00CE45E2">
      <w:r w:rsidRPr="00CE45E2">
        <w:rPr>
          <w:rStyle w:val="HideTWBExt"/>
        </w:rPr>
        <w:t>&lt;Article2&gt;</w:t>
      </w:r>
      <w:r w:rsidRPr="00CE45E2">
        <w:t>Artykuł 13 – ustęp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E22F490" w14:textId="77777777" w:rsidTr="006476FB">
        <w:trPr>
          <w:trHeight w:hRule="exact" w:val="240"/>
          <w:jc w:val="center"/>
        </w:trPr>
        <w:tc>
          <w:tcPr>
            <w:tcW w:w="9752" w:type="dxa"/>
            <w:gridSpan w:val="2"/>
            <w:tcBorders>
              <w:top w:val="nil"/>
              <w:left w:val="nil"/>
              <w:bottom w:val="nil"/>
              <w:right w:val="nil"/>
            </w:tcBorders>
          </w:tcPr>
          <w:p w14:paraId="2C9368A9" w14:textId="77777777" w:rsidR="00CE45E2" w:rsidRPr="00CE45E2" w:rsidRDefault="00CE45E2" w:rsidP="006476FB"/>
        </w:tc>
      </w:tr>
      <w:tr w:rsidR="00CE45E2" w:rsidRPr="00CE45E2" w14:paraId="5F3813F2" w14:textId="77777777" w:rsidTr="006476FB">
        <w:trPr>
          <w:trHeight w:val="240"/>
          <w:jc w:val="center"/>
        </w:trPr>
        <w:tc>
          <w:tcPr>
            <w:tcW w:w="4876" w:type="dxa"/>
            <w:tcBorders>
              <w:top w:val="nil"/>
              <w:left w:val="nil"/>
              <w:bottom w:val="nil"/>
              <w:right w:val="nil"/>
            </w:tcBorders>
          </w:tcPr>
          <w:p w14:paraId="0E0CF1A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19EABF8" w14:textId="77777777" w:rsidR="00CE45E2" w:rsidRPr="00CE45E2" w:rsidRDefault="00CE45E2" w:rsidP="006476FB">
            <w:pPr>
              <w:pStyle w:val="AmColumnHeading"/>
            </w:pPr>
            <w:r w:rsidRPr="00CE45E2">
              <w:t>Poprawka</w:t>
            </w:r>
          </w:p>
        </w:tc>
      </w:tr>
      <w:tr w:rsidR="00CE45E2" w:rsidRPr="00CE45E2" w14:paraId="78EEF9B6" w14:textId="77777777" w:rsidTr="006476FB">
        <w:trPr>
          <w:jc w:val="center"/>
        </w:trPr>
        <w:tc>
          <w:tcPr>
            <w:tcW w:w="4876" w:type="dxa"/>
            <w:tcBorders>
              <w:top w:val="nil"/>
              <w:left w:val="nil"/>
              <w:bottom w:val="nil"/>
              <w:right w:val="nil"/>
            </w:tcBorders>
          </w:tcPr>
          <w:p w14:paraId="0562165D" w14:textId="77777777" w:rsidR="00CE45E2" w:rsidRPr="00CE45E2" w:rsidRDefault="00CE45E2" w:rsidP="006476FB">
            <w:pPr>
              <w:pStyle w:val="Normal6a"/>
            </w:pPr>
            <w:r w:rsidRPr="00CE45E2">
              <w:t>2.</w:t>
            </w:r>
            <w:r w:rsidRPr="00CE45E2">
              <w:tab/>
              <w:t>Rodzime państwo członkowskie zapewnia, aby IORP obsługujące programy emerytalne,</w:t>
            </w:r>
            <w:r w:rsidRPr="00CE45E2">
              <w:rPr>
                <w:b/>
                <w:bCs/>
                <w:i/>
                <w:iCs/>
              </w:rPr>
              <w:t xml:space="preserve"> które zapewniają pokrycie</w:t>
            </w:r>
            <w:r w:rsidRPr="00CE45E2">
              <w:t xml:space="preserve"> biometrycznych rodzajów ryzyka lub </w:t>
            </w:r>
            <w:r w:rsidRPr="00CE45E2">
              <w:rPr>
                <w:b/>
                <w:bCs/>
                <w:i/>
                <w:iCs/>
              </w:rPr>
              <w:t>gwarantują</w:t>
            </w:r>
            <w:r w:rsidRPr="00CE45E2">
              <w:t xml:space="preserve"> wyniki inwestycyjne albo dany poziom świadczeń, utworzyły wystarczające rezerwy techniczno-ubezpieczeniowe w odniesieniu do pełnego zakresu takich programów.”;</w:t>
            </w:r>
          </w:p>
        </w:tc>
        <w:tc>
          <w:tcPr>
            <w:tcW w:w="4876" w:type="dxa"/>
            <w:tcBorders>
              <w:top w:val="nil"/>
              <w:left w:val="nil"/>
              <w:bottom w:val="nil"/>
              <w:right w:val="nil"/>
            </w:tcBorders>
          </w:tcPr>
          <w:p w14:paraId="1F00B365" w14:textId="77777777" w:rsidR="00CE45E2" w:rsidRPr="00CE45E2" w:rsidRDefault="00CE45E2" w:rsidP="006476FB">
            <w:pPr>
              <w:pStyle w:val="Normal6a"/>
            </w:pPr>
            <w:r w:rsidRPr="00CE45E2">
              <w:t>2.</w:t>
            </w:r>
            <w:r w:rsidRPr="00CE45E2">
              <w:tab/>
              <w:t xml:space="preserve">Rodzime państwo członkowskie zapewnia, aby IORP obsługujące </w:t>
            </w:r>
            <w:r w:rsidRPr="00CE45E2">
              <w:rPr>
                <w:b/>
                <w:bCs/>
                <w:i/>
                <w:iCs/>
              </w:rPr>
              <w:t>pracownicze</w:t>
            </w:r>
            <w:r w:rsidRPr="00CE45E2">
              <w:t xml:space="preserve"> programy emerytalne,</w:t>
            </w:r>
            <w:r w:rsidRPr="00CE45E2">
              <w:rPr>
                <w:b/>
                <w:bCs/>
                <w:i/>
                <w:iCs/>
              </w:rPr>
              <w:t xml:space="preserve"> w </w:t>
            </w:r>
            <w:proofErr w:type="gramStart"/>
            <w:r w:rsidRPr="00CE45E2">
              <w:rPr>
                <w:b/>
                <w:bCs/>
                <w:i/>
                <w:iCs/>
              </w:rPr>
              <w:t>przypadku</w:t>
            </w:r>
            <w:proofErr w:type="gramEnd"/>
            <w:r w:rsidRPr="00CE45E2">
              <w:rPr>
                <w:b/>
                <w:bCs/>
                <w:i/>
                <w:iCs/>
              </w:rPr>
              <w:t xml:space="preserve"> gdy to sama IORP, a nie instytucja finansująca ani żadna inna strona, przejmuje zobowiązanie do pokrycia</w:t>
            </w:r>
            <w:r w:rsidRPr="00CE45E2">
              <w:t xml:space="preserve"> biometrycznych rodzajów ryzyka lub </w:t>
            </w:r>
            <w:r w:rsidRPr="00CE45E2">
              <w:rPr>
                <w:b/>
                <w:bCs/>
                <w:i/>
                <w:iCs/>
              </w:rPr>
              <w:t>gwarantuje</w:t>
            </w:r>
            <w:r w:rsidRPr="00CE45E2">
              <w:t xml:space="preserve"> wyniki inwestycyjne albo dany poziom świadczeń, utworzyły wystarczające rezerwy techniczno-ubezpieczeniowe w odniesieniu do pełnego zakresu takich programów.”;</w:t>
            </w:r>
          </w:p>
        </w:tc>
      </w:tr>
    </w:tbl>
    <w:p w14:paraId="02EEBB0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B898B0E" w14:textId="77777777" w:rsidR="00CE45E2" w:rsidRPr="00CE45E2" w:rsidRDefault="00CE45E2" w:rsidP="00CE45E2">
      <w:r w:rsidRPr="00CE45E2">
        <w:rPr>
          <w:rStyle w:val="HideTWBExt"/>
        </w:rPr>
        <w:t>&lt;/Amend&gt;</w:t>
      </w:r>
    </w:p>
    <w:p w14:paraId="7449E96E" w14:textId="7D78D1B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277</w:t>
      </w:r>
      <w:r w:rsidRPr="00CE45E2">
        <w:rPr>
          <w:rStyle w:val="HideTWBExt"/>
          <w:b w:val="0"/>
        </w:rPr>
        <w:t>&lt;/NumAm&gt;</w:t>
      </w:r>
    </w:p>
    <w:p w14:paraId="528D25F5"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0BF611BB" w14:textId="77777777" w:rsidR="00CE45E2" w:rsidRPr="00CE45E2" w:rsidRDefault="00CE45E2" w:rsidP="00CE45E2">
      <w:pPr>
        <w:pStyle w:val="NormalBold"/>
      </w:pPr>
      <w:r w:rsidRPr="00CE45E2">
        <w:rPr>
          <w:rStyle w:val="HideTWBExt"/>
          <w:b w:val="0"/>
        </w:rPr>
        <w:t>&lt;/RepeatBlock-By&gt;</w:t>
      </w:r>
    </w:p>
    <w:p w14:paraId="7A12F1B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3D0284A" w14:textId="77777777" w:rsidR="00CE45E2" w:rsidRPr="00CE45E2" w:rsidRDefault="00CE45E2" w:rsidP="00CE45E2">
      <w:pPr>
        <w:pStyle w:val="NormalBold"/>
      </w:pPr>
      <w:r w:rsidRPr="00CE45E2">
        <w:rPr>
          <w:rStyle w:val="HideTWBExt"/>
          <w:b w:val="0"/>
        </w:rPr>
        <w:t>&lt;Article&gt;</w:t>
      </w:r>
      <w:r w:rsidRPr="00CE45E2">
        <w:t>Artykuł 1 – akapit 1 – punkt 17</w:t>
      </w:r>
      <w:r w:rsidRPr="00CE45E2">
        <w:rPr>
          <w:rStyle w:val="HideTWBExt"/>
          <w:b w:val="0"/>
        </w:rPr>
        <w:t>&lt;/Article&gt;</w:t>
      </w:r>
    </w:p>
    <w:p w14:paraId="23A66FE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31EF224" w14:textId="77777777" w:rsidR="00CE45E2" w:rsidRPr="00CE45E2" w:rsidRDefault="00CE45E2" w:rsidP="00CE45E2">
      <w:r w:rsidRPr="00CE45E2">
        <w:rPr>
          <w:rStyle w:val="HideTWBExt"/>
        </w:rPr>
        <w:t>&lt;Article2&gt;</w:t>
      </w:r>
      <w:r w:rsidRPr="00CE45E2">
        <w:t>Artykuł 13 – ustęp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E0C274A" w14:textId="77777777" w:rsidTr="006476FB">
        <w:trPr>
          <w:trHeight w:hRule="exact" w:val="240"/>
          <w:jc w:val="center"/>
        </w:trPr>
        <w:tc>
          <w:tcPr>
            <w:tcW w:w="9752" w:type="dxa"/>
            <w:gridSpan w:val="2"/>
            <w:tcBorders>
              <w:top w:val="nil"/>
              <w:left w:val="nil"/>
              <w:bottom w:val="nil"/>
              <w:right w:val="nil"/>
            </w:tcBorders>
          </w:tcPr>
          <w:p w14:paraId="153C1C08" w14:textId="77777777" w:rsidR="00CE45E2" w:rsidRPr="00CE45E2" w:rsidRDefault="00CE45E2" w:rsidP="006476FB"/>
        </w:tc>
      </w:tr>
      <w:tr w:rsidR="00CE45E2" w:rsidRPr="00CE45E2" w14:paraId="51B79016" w14:textId="77777777" w:rsidTr="006476FB">
        <w:trPr>
          <w:trHeight w:val="240"/>
          <w:jc w:val="center"/>
        </w:trPr>
        <w:tc>
          <w:tcPr>
            <w:tcW w:w="4876" w:type="dxa"/>
            <w:tcBorders>
              <w:top w:val="nil"/>
              <w:left w:val="nil"/>
              <w:bottom w:val="nil"/>
              <w:right w:val="nil"/>
            </w:tcBorders>
          </w:tcPr>
          <w:p w14:paraId="734C073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6BCBD50" w14:textId="77777777" w:rsidR="00CE45E2" w:rsidRPr="00CE45E2" w:rsidRDefault="00CE45E2" w:rsidP="006476FB">
            <w:pPr>
              <w:pStyle w:val="AmColumnHeading"/>
            </w:pPr>
            <w:r w:rsidRPr="00CE45E2">
              <w:t>Poprawka</w:t>
            </w:r>
          </w:p>
        </w:tc>
      </w:tr>
      <w:tr w:rsidR="00CE45E2" w:rsidRPr="00CE45E2" w14:paraId="5277DEE9" w14:textId="77777777" w:rsidTr="006476FB">
        <w:trPr>
          <w:jc w:val="center"/>
        </w:trPr>
        <w:tc>
          <w:tcPr>
            <w:tcW w:w="4876" w:type="dxa"/>
            <w:tcBorders>
              <w:top w:val="nil"/>
              <w:left w:val="nil"/>
              <w:bottom w:val="nil"/>
              <w:right w:val="nil"/>
            </w:tcBorders>
          </w:tcPr>
          <w:p w14:paraId="0A1F76A9" w14:textId="77777777" w:rsidR="00CE45E2" w:rsidRPr="00CE45E2" w:rsidRDefault="00CE45E2" w:rsidP="006476FB">
            <w:pPr>
              <w:pStyle w:val="Normal6a"/>
            </w:pPr>
            <w:r w:rsidRPr="00CE45E2">
              <w:t>2.</w:t>
            </w:r>
            <w:r w:rsidRPr="00CE45E2">
              <w:tab/>
              <w:t xml:space="preserve">Rodzime państwo członkowskie zapewnia, aby IORP obsługujące programy emerytalne, </w:t>
            </w:r>
            <w:r w:rsidRPr="00CE45E2">
              <w:rPr>
                <w:b/>
                <w:bCs/>
                <w:i/>
                <w:iCs/>
              </w:rPr>
              <w:t>które zapewniają pokrycie</w:t>
            </w:r>
            <w:r w:rsidRPr="00CE45E2">
              <w:t xml:space="preserve"> </w:t>
            </w:r>
            <w:r w:rsidRPr="00CE45E2">
              <w:rPr>
                <w:b/>
                <w:bCs/>
                <w:i/>
                <w:iCs/>
              </w:rPr>
              <w:t>biometrycznych rodzajów</w:t>
            </w:r>
            <w:r w:rsidRPr="00CE45E2">
              <w:t xml:space="preserve"> ryzyka lub </w:t>
            </w:r>
            <w:r w:rsidRPr="00CE45E2">
              <w:rPr>
                <w:b/>
                <w:bCs/>
                <w:i/>
                <w:iCs/>
              </w:rPr>
              <w:t>gwarantują</w:t>
            </w:r>
            <w:r w:rsidRPr="00CE45E2">
              <w:t xml:space="preserve"> wyniki inwestycyjne albo dany poziom świadczeń, utworzyły wystarczające rezerwy techniczno-ubezpieczeniowe w odniesieniu do pełnego zakresu takich programów.”;</w:t>
            </w:r>
          </w:p>
        </w:tc>
        <w:tc>
          <w:tcPr>
            <w:tcW w:w="4876" w:type="dxa"/>
            <w:tcBorders>
              <w:top w:val="nil"/>
              <w:left w:val="nil"/>
              <w:bottom w:val="nil"/>
              <w:right w:val="nil"/>
            </w:tcBorders>
          </w:tcPr>
          <w:p w14:paraId="7417DCA0" w14:textId="77777777" w:rsidR="00CE45E2" w:rsidRPr="00CE45E2" w:rsidRDefault="00CE45E2" w:rsidP="006476FB">
            <w:pPr>
              <w:pStyle w:val="Normal6a"/>
            </w:pPr>
            <w:r w:rsidRPr="00CE45E2">
              <w:t>2.</w:t>
            </w:r>
            <w:r w:rsidRPr="00CE45E2">
              <w:tab/>
              <w:t>Rodzime państwo członkowskie zapewnia, aby IORP obsługujące programy emerytalne,</w:t>
            </w:r>
            <w:r w:rsidRPr="00CE45E2">
              <w:rPr>
                <w:b/>
                <w:bCs/>
              </w:rPr>
              <w:t xml:space="preserve"> </w:t>
            </w:r>
            <w:r w:rsidRPr="00CE45E2">
              <w:rPr>
                <w:b/>
                <w:bCs/>
                <w:i/>
                <w:iCs/>
              </w:rPr>
              <w:t xml:space="preserve">w </w:t>
            </w:r>
            <w:proofErr w:type="gramStart"/>
            <w:r w:rsidRPr="00CE45E2">
              <w:rPr>
                <w:b/>
                <w:bCs/>
                <w:i/>
                <w:iCs/>
              </w:rPr>
              <w:t>przypadku</w:t>
            </w:r>
            <w:proofErr w:type="gramEnd"/>
            <w:r w:rsidRPr="00CE45E2">
              <w:rPr>
                <w:b/>
                <w:bCs/>
                <w:i/>
                <w:iCs/>
              </w:rPr>
              <w:t xml:space="preserve"> gdy to sama IORP, a nie instytucja finansująca ani żadna inna strona, przejmuje zobowiązanie do pokrycia</w:t>
            </w:r>
            <w:r w:rsidRPr="00CE45E2">
              <w:t xml:space="preserve"> ryzyka </w:t>
            </w:r>
            <w:r w:rsidRPr="00CE45E2">
              <w:rPr>
                <w:b/>
                <w:bCs/>
                <w:i/>
                <w:iCs/>
              </w:rPr>
              <w:t>biometrycznego</w:t>
            </w:r>
            <w:r w:rsidRPr="00CE45E2">
              <w:t xml:space="preserve"> lub </w:t>
            </w:r>
            <w:r w:rsidRPr="00CE45E2">
              <w:rPr>
                <w:b/>
                <w:bCs/>
                <w:i/>
                <w:iCs/>
              </w:rPr>
              <w:t>gwarantuje</w:t>
            </w:r>
            <w:r w:rsidRPr="00CE45E2">
              <w:t xml:space="preserve"> wyniki inwestycyjne albo dany poziom świadczeń, utworzyły wystarczające rezerwy techniczno-ubezpieczeniowe w odniesieniu do pełnego zakresu takich programów.”;</w:t>
            </w:r>
          </w:p>
        </w:tc>
      </w:tr>
    </w:tbl>
    <w:p w14:paraId="5BAF62F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7575A6" w14:textId="77777777" w:rsidR="00CE45E2" w:rsidRPr="00CE45E2" w:rsidRDefault="00CE45E2" w:rsidP="00CE45E2">
      <w:r w:rsidRPr="00CE45E2">
        <w:rPr>
          <w:rStyle w:val="HideTWBExt"/>
        </w:rPr>
        <w:t>&lt;/Amend&gt;</w:t>
      </w:r>
    </w:p>
    <w:p w14:paraId="68CB319E" w14:textId="047066F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278</w:t>
      </w:r>
      <w:r w:rsidRPr="00CE45E2">
        <w:rPr>
          <w:rStyle w:val="HideTWBExt"/>
          <w:b w:val="0"/>
        </w:rPr>
        <w:t>&lt;/NumAm&gt;</w:t>
      </w:r>
    </w:p>
    <w:p w14:paraId="563B702F"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414BA998" w14:textId="77777777" w:rsidR="00CE45E2" w:rsidRPr="00CE45E2" w:rsidRDefault="00CE45E2" w:rsidP="00CE45E2">
      <w:pPr>
        <w:pStyle w:val="NormalBold"/>
      </w:pPr>
      <w:r w:rsidRPr="00CE45E2">
        <w:rPr>
          <w:rStyle w:val="HideTWBExt"/>
          <w:b w:val="0"/>
        </w:rPr>
        <w:t>&lt;/RepeatBlock-By&gt;</w:t>
      </w:r>
    </w:p>
    <w:p w14:paraId="0EB602F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79D646C" w14:textId="77777777" w:rsidR="00CE45E2" w:rsidRPr="00CE45E2" w:rsidRDefault="00CE45E2" w:rsidP="00CE45E2">
      <w:pPr>
        <w:pStyle w:val="NormalBold"/>
      </w:pPr>
      <w:r w:rsidRPr="00CE45E2">
        <w:rPr>
          <w:rStyle w:val="HideTWBExt"/>
          <w:b w:val="0"/>
        </w:rPr>
        <w:t>&lt;Article&gt;</w:t>
      </w:r>
      <w:r w:rsidRPr="00CE45E2">
        <w:t>Artykuł 1 – akapit 1 – punkt 18 – litera a – podpunkt ii</w:t>
      </w:r>
      <w:r w:rsidRPr="00CE45E2">
        <w:rPr>
          <w:rStyle w:val="HideTWBExt"/>
          <w:b w:val="0"/>
        </w:rPr>
        <w:t>&lt;/Article&gt;</w:t>
      </w:r>
    </w:p>
    <w:p w14:paraId="6C226C2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F9B3993" w14:textId="77777777" w:rsidR="00CE45E2" w:rsidRPr="00CE45E2" w:rsidRDefault="00CE45E2" w:rsidP="00CE45E2">
      <w:r w:rsidRPr="00CE45E2">
        <w:rPr>
          <w:rStyle w:val="HideTWBExt"/>
        </w:rPr>
        <w:t>&lt;Article2&gt;</w:t>
      </w:r>
      <w:r w:rsidRPr="00CE45E2">
        <w:t>Artykuł 14 – ustęp 2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D26BDAB" w14:textId="77777777" w:rsidTr="006476FB">
        <w:trPr>
          <w:trHeight w:hRule="exact" w:val="240"/>
          <w:jc w:val="center"/>
        </w:trPr>
        <w:tc>
          <w:tcPr>
            <w:tcW w:w="9752" w:type="dxa"/>
            <w:gridSpan w:val="2"/>
            <w:tcBorders>
              <w:top w:val="nil"/>
              <w:left w:val="nil"/>
              <w:bottom w:val="nil"/>
              <w:right w:val="nil"/>
            </w:tcBorders>
          </w:tcPr>
          <w:p w14:paraId="00FCCBE5" w14:textId="77777777" w:rsidR="00CE45E2" w:rsidRPr="00CE45E2" w:rsidRDefault="00CE45E2" w:rsidP="006476FB"/>
        </w:tc>
      </w:tr>
      <w:tr w:rsidR="00CE45E2" w:rsidRPr="00CE45E2" w14:paraId="549F41CD" w14:textId="77777777" w:rsidTr="006476FB">
        <w:trPr>
          <w:trHeight w:val="240"/>
          <w:jc w:val="center"/>
        </w:trPr>
        <w:tc>
          <w:tcPr>
            <w:tcW w:w="4876" w:type="dxa"/>
            <w:tcBorders>
              <w:top w:val="nil"/>
              <w:left w:val="nil"/>
              <w:bottom w:val="nil"/>
              <w:right w:val="nil"/>
            </w:tcBorders>
          </w:tcPr>
          <w:p w14:paraId="5247532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54D616D" w14:textId="77777777" w:rsidR="00CE45E2" w:rsidRPr="00CE45E2" w:rsidRDefault="00CE45E2" w:rsidP="006476FB">
            <w:pPr>
              <w:pStyle w:val="AmColumnHeading"/>
            </w:pPr>
            <w:r w:rsidRPr="00CE45E2">
              <w:t>Poprawka</w:t>
            </w:r>
          </w:p>
        </w:tc>
      </w:tr>
      <w:tr w:rsidR="00CE45E2" w:rsidRPr="00CE45E2" w14:paraId="55B3966A" w14:textId="77777777" w:rsidTr="006476FB">
        <w:trPr>
          <w:jc w:val="center"/>
        </w:trPr>
        <w:tc>
          <w:tcPr>
            <w:tcW w:w="4876" w:type="dxa"/>
            <w:tcBorders>
              <w:top w:val="nil"/>
              <w:left w:val="nil"/>
              <w:bottom w:val="nil"/>
              <w:right w:val="nil"/>
            </w:tcBorders>
          </w:tcPr>
          <w:p w14:paraId="7CAC3FF1" w14:textId="77777777" w:rsidR="00CE45E2" w:rsidRPr="00CE45E2" w:rsidRDefault="00CE45E2" w:rsidP="006476FB">
            <w:pPr>
              <w:pStyle w:val="Normal6a"/>
            </w:pPr>
            <w:r w:rsidRPr="00CE45E2">
              <w:rPr>
                <w:b/>
                <w:bCs/>
                <w:i/>
                <w:iCs/>
              </w:rPr>
              <w:t>Ograniczony czas, o którym mowa w formule wprowadzającej akapitu pierwszego, określa się w prawie krajowym i w żadnym przypadku nie przekracza on</w:t>
            </w:r>
            <w:r w:rsidRPr="00CE45E2">
              <w:t xml:space="preserve"> dziesięciu lat.”;</w:t>
            </w:r>
          </w:p>
        </w:tc>
        <w:tc>
          <w:tcPr>
            <w:tcW w:w="4876" w:type="dxa"/>
            <w:tcBorders>
              <w:top w:val="nil"/>
              <w:left w:val="nil"/>
              <w:bottom w:val="nil"/>
              <w:right w:val="nil"/>
            </w:tcBorders>
          </w:tcPr>
          <w:p w14:paraId="771E0505" w14:textId="77777777" w:rsidR="00CE45E2" w:rsidRPr="00CE45E2" w:rsidRDefault="00CE45E2" w:rsidP="006476FB">
            <w:pPr>
              <w:pStyle w:val="Normal6a"/>
            </w:pPr>
            <w:r w:rsidRPr="00CE45E2">
              <w:rPr>
                <w:b/>
                <w:bCs/>
                <w:i/>
                <w:iCs/>
              </w:rPr>
              <w:t>Niedobór środków należy zniwelować w ciągu maksymalnie</w:t>
            </w:r>
            <w:r w:rsidRPr="00CE45E2">
              <w:t xml:space="preserve"> dziesięciu lat. </w:t>
            </w:r>
            <w:r w:rsidRPr="00CE45E2">
              <w:rPr>
                <w:b/>
                <w:i/>
              </w:rPr>
              <w:t xml:space="preserve">Dostawcy usług są zobowiązani do przedstawiania corocznych sprawozdań i planów naprawczych nadzorowanych przez właściwy organ, wraz z mechanizmami wczesnego ostrzegania i automatyczną rekompensatą dla zainteresowanych uczestników. </w:t>
            </w:r>
            <w:r w:rsidRPr="00CE45E2">
              <w:rPr>
                <w:b/>
                <w:bCs/>
                <w:i/>
                <w:iCs/>
              </w:rPr>
              <w:t xml:space="preserve">Właściwe organy powinny ocenić optymalną liczbę lat, rozróżniając czynniki tymczasowe od </w:t>
            </w:r>
            <w:proofErr w:type="gramStart"/>
            <w:r w:rsidRPr="00CE45E2">
              <w:rPr>
                <w:b/>
                <w:bCs/>
                <w:i/>
                <w:iCs/>
              </w:rPr>
              <w:t>strukturalnych,</w:t>
            </w:r>
            <w:proofErr w:type="gramEnd"/>
            <w:r w:rsidRPr="00CE45E2">
              <w:rPr>
                <w:b/>
                <w:bCs/>
                <w:i/>
                <w:iCs/>
              </w:rPr>
              <w:t xml:space="preserve"> oraz odpowiednio ocenić plan naprawczy.</w:t>
            </w:r>
            <w:r w:rsidRPr="00CE45E2">
              <w:t>”;</w:t>
            </w:r>
          </w:p>
        </w:tc>
      </w:tr>
    </w:tbl>
    <w:p w14:paraId="659E354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16DC2CD" w14:textId="77777777" w:rsidR="00CE45E2" w:rsidRPr="00CE45E2" w:rsidRDefault="00CE45E2" w:rsidP="00CE45E2">
      <w:r w:rsidRPr="00CE45E2">
        <w:rPr>
          <w:rStyle w:val="HideTWBExt"/>
        </w:rPr>
        <w:t>&lt;/Amend&gt;</w:t>
      </w:r>
    </w:p>
    <w:p w14:paraId="2C6D4A97" w14:textId="0A78B5E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279</w:t>
      </w:r>
      <w:r w:rsidRPr="00CE45E2">
        <w:rPr>
          <w:rStyle w:val="HideTWBExt"/>
          <w:b w:val="0"/>
        </w:rPr>
        <w:t>&lt;/NumAm&gt;</w:t>
      </w:r>
    </w:p>
    <w:p w14:paraId="77D35E6A"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02DA075E" w14:textId="77777777" w:rsidR="00CE45E2" w:rsidRPr="00CE45E2" w:rsidRDefault="00CE45E2" w:rsidP="00CE45E2">
      <w:pPr>
        <w:pStyle w:val="NormalBold"/>
      </w:pPr>
      <w:r w:rsidRPr="00CE45E2">
        <w:rPr>
          <w:rStyle w:val="HideTWBExt"/>
          <w:b w:val="0"/>
        </w:rPr>
        <w:t>&lt;/RepeatBlock-By&gt;</w:t>
      </w:r>
    </w:p>
    <w:p w14:paraId="0159423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84D2F9D" w14:textId="77777777" w:rsidR="00CE45E2" w:rsidRPr="00CE45E2" w:rsidRDefault="00CE45E2" w:rsidP="00CE45E2">
      <w:pPr>
        <w:pStyle w:val="NormalBold"/>
      </w:pPr>
      <w:r w:rsidRPr="00CE45E2">
        <w:rPr>
          <w:rStyle w:val="HideTWBExt"/>
          <w:b w:val="0"/>
        </w:rPr>
        <w:t>&lt;Article&gt;</w:t>
      </w:r>
      <w:r w:rsidRPr="00CE45E2">
        <w:t>Artykuł 1 – akapit 1 – punkt 18 – litera a – podpunkt ii</w:t>
      </w:r>
      <w:r w:rsidRPr="00CE45E2">
        <w:rPr>
          <w:rStyle w:val="HideTWBExt"/>
          <w:b w:val="0"/>
        </w:rPr>
        <w:t>&lt;/Article&gt;</w:t>
      </w:r>
    </w:p>
    <w:p w14:paraId="2428746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F060FAC" w14:textId="77777777" w:rsidR="00CE45E2" w:rsidRPr="00CE45E2" w:rsidRDefault="00CE45E2" w:rsidP="00CE45E2">
      <w:r w:rsidRPr="00CE45E2">
        <w:rPr>
          <w:rStyle w:val="HideTWBExt"/>
        </w:rPr>
        <w:t>&lt;Article2&gt;</w:t>
      </w:r>
      <w:r w:rsidRPr="00CE45E2">
        <w:t>Artykuł 14 – ustęp 2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93D6E41" w14:textId="77777777" w:rsidTr="006476FB">
        <w:trPr>
          <w:trHeight w:hRule="exact" w:val="240"/>
          <w:jc w:val="center"/>
        </w:trPr>
        <w:tc>
          <w:tcPr>
            <w:tcW w:w="9752" w:type="dxa"/>
            <w:gridSpan w:val="2"/>
            <w:tcBorders>
              <w:top w:val="nil"/>
              <w:left w:val="nil"/>
              <w:bottom w:val="nil"/>
              <w:right w:val="nil"/>
            </w:tcBorders>
          </w:tcPr>
          <w:p w14:paraId="6694102D" w14:textId="77777777" w:rsidR="00CE45E2" w:rsidRPr="00CE45E2" w:rsidRDefault="00CE45E2" w:rsidP="006476FB"/>
        </w:tc>
      </w:tr>
      <w:tr w:rsidR="00CE45E2" w:rsidRPr="00CE45E2" w14:paraId="387B24F6" w14:textId="77777777" w:rsidTr="006476FB">
        <w:trPr>
          <w:trHeight w:val="240"/>
          <w:jc w:val="center"/>
        </w:trPr>
        <w:tc>
          <w:tcPr>
            <w:tcW w:w="4876" w:type="dxa"/>
            <w:tcBorders>
              <w:top w:val="nil"/>
              <w:left w:val="nil"/>
              <w:bottom w:val="nil"/>
              <w:right w:val="nil"/>
            </w:tcBorders>
          </w:tcPr>
          <w:p w14:paraId="24BBA0A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D0E4BB4" w14:textId="77777777" w:rsidR="00CE45E2" w:rsidRPr="00CE45E2" w:rsidRDefault="00CE45E2" w:rsidP="006476FB">
            <w:pPr>
              <w:pStyle w:val="AmColumnHeading"/>
            </w:pPr>
            <w:r w:rsidRPr="00CE45E2">
              <w:t>Poprawka</w:t>
            </w:r>
          </w:p>
        </w:tc>
      </w:tr>
      <w:tr w:rsidR="00CE45E2" w:rsidRPr="00CE45E2" w14:paraId="19FA0172" w14:textId="77777777" w:rsidTr="006476FB">
        <w:trPr>
          <w:jc w:val="center"/>
        </w:trPr>
        <w:tc>
          <w:tcPr>
            <w:tcW w:w="4876" w:type="dxa"/>
            <w:tcBorders>
              <w:top w:val="nil"/>
              <w:left w:val="nil"/>
              <w:bottom w:val="nil"/>
              <w:right w:val="nil"/>
            </w:tcBorders>
          </w:tcPr>
          <w:p w14:paraId="6745D2C6"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dziesięciu</w:t>
            </w:r>
            <w:r w:rsidRPr="00CE45E2">
              <w:t xml:space="preserve"> lat.”;</w:t>
            </w:r>
          </w:p>
        </w:tc>
        <w:tc>
          <w:tcPr>
            <w:tcW w:w="4876" w:type="dxa"/>
            <w:tcBorders>
              <w:top w:val="nil"/>
              <w:left w:val="nil"/>
              <w:bottom w:val="nil"/>
              <w:right w:val="nil"/>
            </w:tcBorders>
          </w:tcPr>
          <w:p w14:paraId="7CB3D4DC"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dwóch</w:t>
            </w:r>
            <w:r w:rsidRPr="00CE45E2">
              <w:t xml:space="preserve"> lat.”;</w:t>
            </w:r>
          </w:p>
        </w:tc>
      </w:tr>
    </w:tbl>
    <w:p w14:paraId="2716404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BAC3FFB"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A1F3A67" w14:textId="77777777" w:rsidR="00CE45E2" w:rsidRPr="00CE45E2" w:rsidRDefault="00CE45E2" w:rsidP="00CE45E2">
      <w:pPr>
        <w:pStyle w:val="AmJustText"/>
      </w:pPr>
      <w:r w:rsidRPr="00CE45E2">
        <w:t>Uważamy, że okres dziesięciu lat, w którym rezerwy techniczno-ubezpieczeniowe mogą pozostawać niedostatecznie pokryte, jest nadmiernie długi i nie leży w interesie uczestników i beneficjentów. Naszym zdaniem bardziej odpowiedni byłby okres od jednego roku do dwóch lat.</w:t>
      </w:r>
    </w:p>
    <w:p w14:paraId="5B10606D" w14:textId="77777777" w:rsidR="00CE45E2" w:rsidRPr="00CE45E2" w:rsidRDefault="00CE45E2" w:rsidP="00CE45E2">
      <w:r w:rsidRPr="00CE45E2">
        <w:rPr>
          <w:rStyle w:val="HideTWBExt"/>
        </w:rPr>
        <w:t>&lt;/Amend&gt;</w:t>
      </w:r>
    </w:p>
    <w:p w14:paraId="12D9492F" w14:textId="78C9E03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280</w:t>
      </w:r>
      <w:r w:rsidRPr="00CE45E2">
        <w:rPr>
          <w:rStyle w:val="HideTWBExt"/>
          <w:b w:val="0"/>
        </w:rPr>
        <w:t>&lt;/NumAm&gt;</w:t>
      </w:r>
    </w:p>
    <w:p w14:paraId="34D9490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ED32075" w14:textId="77777777" w:rsidR="00CE45E2" w:rsidRPr="00CE45E2" w:rsidRDefault="00CE45E2" w:rsidP="00CE45E2">
      <w:pPr>
        <w:pStyle w:val="NormalBold"/>
      </w:pPr>
      <w:r w:rsidRPr="00CE45E2">
        <w:rPr>
          <w:rStyle w:val="HideTWBExt"/>
          <w:b w:val="0"/>
        </w:rPr>
        <w:t>&lt;/RepeatBlock-By&gt;</w:t>
      </w:r>
    </w:p>
    <w:p w14:paraId="5490E19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52B9428" w14:textId="77777777" w:rsidR="00CE45E2" w:rsidRPr="00CE45E2" w:rsidRDefault="00CE45E2" w:rsidP="00CE45E2">
      <w:pPr>
        <w:pStyle w:val="NormalBold"/>
      </w:pPr>
      <w:r w:rsidRPr="00CE45E2">
        <w:rPr>
          <w:rStyle w:val="HideTWBExt"/>
          <w:b w:val="0"/>
        </w:rPr>
        <w:t>&lt;Article&gt;</w:t>
      </w:r>
      <w:r w:rsidRPr="00CE45E2">
        <w:t>Artykuł 1 – akapit 1 – punkt 18 – litera a – podpunkt ii</w:t>
      </w:r>
      <w:r w:rsidRPr="00CE45E2">
        <w:rPr>
          <w:rStyle w:val="HideTWBExt"/>
          <w:b w:val="0"/>
        </w:rPr>
        <w:t>&lt;/Article&gt;</w:t>
      </w:r>
    </w:p>
    <w:p w14:paraId="03DF99C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41A1EB6" w14:textId="77777777" w:rsidR="00CE45E2" w:rsidRPr="00CE45E2" w:rsidRDefault="00CE45E2" w:rsidP="00CE45E2">
      <w:r w:rsidRPr="00CE45E2">
        <w:rPr>
          <w:rStyle w:val="HideTWBExt"/>
        </w:rPr>
        <w:t>&lt;Article2&gt;</w:t>
      </w:r>
      <w:r w:rsidRPr="00CE45E2">
        <w:t>Artykuł 14 – ustęp 2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E938A5B" w14:textId="77777777" w:rsidTr="006476FB">
        <w:trPr>
          <w:trHeight w:hRule="exact" w:val="240"/>
          <w:jc w:val="center"/>
        </w:trPr>
        <w:tc>
          <w:tcPr>
            <w:tcW w:w="9752" w:type="dxa"/>
            <w:gridSpan w:val="2"/>
            <w:tcBorders>
              <w:top w:val="nil"/>
              <w:left w:val="nil"/>
              <w:bottom w:val="nil"/>
              <w:right w:val="nil"/>
            </w:tcBorders>
          </w:tcPr>
          <w:p w14:paraId="6918FC4A" w14:textId="77777777" w:rsidR="00CE45E2" w:rsidRPr="00CE45E2" w:rsidRDefault="00CE45E2" w:rsidP="006476FB"/>
        </w:tc>
      </w:tr>
      <w:tr w:rsidR="00CE45E2" w:rsidRPr="00CE45E2" w14:paraId="593B3831" w14:textId="77777777" w:rsidTr="006476FB">
        <w:trPr>
          <w:trHeight w:val="240"/>
          <w:jc w:val="center"/>
        </w:trPr>
        <w:tc>
          <w:tcPr>
            <w:tcW w:w="4876" w:type="dxa"/>
            <w:tcBorders>
              <w:top w:val="nil"/>
              <w:left w:val="nil"/>
              <w:bottom w:val="nil"/>
              <w:right w:val="nil"/>
            </w:tcBorders>
          </w:tcPr>
          <w:p w14:paraId="7D2FBF5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BCC573B" w14:textId="77777777" w:rsidR="00CE45E2" w:rsidRPr="00CE45E2" w:rsidRDefault="00CE45E2" w:rsidP="006476FB">
            <w:pPr>
              <w:pStyle w:val="AmColumnHeading"/>
            </w:pPr>
            <w:r w:rsidRPr="00CE45E2">
              <w:t>Poprawka</w:t>
            </w:r>
          </w:p>
        </w:tc>
      </w:tr>
      <w:tr w:rsidR="00CE45E2" w:rsidRPr="00CE45E2" w14:paraId="19BA72A1" w14:textId="77777777" w:rsidTr="006476FB">
        <w:trPr>
          <w:jc w:val="center"/>
        </w:trPr>
        <w:tc>
          <w:tcPr>
            <w:tcW w:w="4876" w:type="dxa"/>
            <w:tcBorders>
              <w:top w:val="nil"/>
              <w:left w:val="nil"/>
              <w:bottom w:val="nil"/>
              <w:right w:val="nil"/>
            </w:tcBorders>
          </w:tcPr>
          <w:p w14:paraId="4FE78DC3"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dziesięciu</w:t>
            </w:r>
            <w:r w:rsidRPr="00CE45E2">
              <w:t xml:space="preserve"> lat.”;</w:t>
            </w:r>
          </w:p>
        </w:tc>
        <w:tc>
          <w:tcPr>
            <w:tcW w:w="4876" w:type="dxa"/>
            <w:tcBorders>
              <w:top w:val="nil"/>
              <w:left w:val="nil"/>
              <w:bottom w:val="nil"/>
              <w:right w:val="nil"/>
            </w:tcBorders>
          </w:tcPr>
          <w:p w14:paraId="01364324"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dwóch</w:t>
            </w:r>
            <w:r w:rsidRPr="00CE45E2">
              <w:t xml:space="preserve"> lat.”;</w:t>
            </w:r>
          </w:p>
        </w:tc>
      </w:tr>
    </w:tbl>
    <w:p w14:paraId="20CC46F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7CAFA62" w14:textId="77777777" w:rsidR="00CE45E2" w:rsidRPr="00CE45E2" w:rsidRDefault="00CE45E2" w:rsidP="00CE45E2">
      <w:r w:rsidRPr="00CE45E2">
        <w:rPr>
          <w:rStyle w:val="HideTWBExt"/>
        </w:rPr>
        <w:t>&lt;/Amend&gt;</w:t>
      </w:r>
    </w:p>
    <w:p w14:paraId="096A456B" w14:textId="36121E2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281</w:t>
      </w:r>
      <w:r w:rsidRPr="00CE45E2">
        <w:rPr>
          <w:rStyle w:val="HideTWBExt"/>
          <w:b w:val="0"/>
        </w:rPr>
        <w:t>&lt;/NumAm&gt;</w:t>
      </w:r>
    </w:p>
    <w:p w14:paraId="4CF5BEF6"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0AABB9D7" w14:textId="77777777" w:rsidR="00CE45E2" w:rsidRPr="00CE45E2" w:rsidRDefault="00CE45E2" w:rsidP="00CE45E2">
      <w:pPr>
        <w:pStyle w:val="NormalBold"/>
      </w:pPr>
      <w:r w:rsidRPr="00CE45E2">
        <w:rPr>
          <w:rStyle w:val="HideTWBExt"/>
          <w:b w:val="0"/>
        </w:rPr>
        <w:t>&lt;/RepeatBlock-By&gt;</w:t>
      </w:r>
    </w:p>
    <w:p w14:paraId="790511B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2869F68" w14:textId="77777777" w:rsidR="00CE45E2" w:rsidRPr="00CE45E2" w:rsidRDefault="00CE45E2" w:rsidP="00CE45E2">
      <w:pPr>
        <w:pStyle w:val="NormalBold"/>
      </w:pPr>
      <w:r w:rsidRPr="00CE45E2">
        <w:rPr>
          <w:rStyle w:val="HideTWBExt"/>
          <w:b w:val="0"/>
        </w:rPr>
        <w:t>&lt;Article&gt;</w:t>
      </w:r>
      <w:r w:rsidRPr="00CE45E2">
        <w:t>Artykuł 1 – akapit 1 – punkt 18 – litera a – podpunkt ii</w:t>
      </w:r>
      <w:r w:rsidRPr="00CE45E2">
        <w:rPr>
          <w:rStyle w:val="HideTWBExt"/>
          <w:b w:val="0"/>
        </w:rPr>
        <w:t>&lt;/Article&gt;</w:t>
      </w:r>
    </w:p>
    <w:p w14:paraId="119E3C8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E843E5C" w14:textId="77777777" w:rsidR="00CE45E2" w:rsidRPr="00CE45E2" w:rsidRDefault="00CE45E2" w:rsidP="00CE45E2">
      <w:r w:rsidRPr="00CE45E2">
        <w:rPr>
          <w:rStyle w:val="HideTWBExt"/>
        </w:rPr>
        <w:t>&lt;Article2&gt;</w:t>
      </w:r>
      <w:r w:rsidRPr="00CE45E2">
        <w:t>Artykuł 14 – ustęp 2 – akapit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636CB8C" w14:textId="77777777" w:rsidTr="006476FB">
        <w:trPr>
          <w:trHeight w:hRule="exact" w:val="240"/>
          <w:jc w:val="center"/>
        </w:trPr>
        <w:tc>
          <w:tcPr>
            <w:tcW w:w="9752" w:type="dxa"/>
            <w:gridSpan w:val="2"/>
            <w:tcBorders>
              <w:top w:val="nil"/>
              <w:left w:val="nil"/>
              <w:bottom w:val="nil"/>
              <w:right w:val="nil"/>
            </w:tcBorders>
          </w:tcPr>
          <w:p w14:paraId="32594848" w14:textId="77777777" w:rsidR="00CE45E2" w:rsidRPr="00CE45E2" w:rsidRDefault="00CE45E2" w:rsidP="006476FB"/>
        </w:tc>
      </w:tr>
      <w:tr w:rsidR="00CE45E2" w:rsidRPr="00CE45E2" w14:paraId="68018E5D" w14:textId="77777777" w:rsidTr="006476FB">
        <w:trPr>
          <w:trHeight w:val="240"/>
          <w:jc w:val="center"/>
        </w:trPr>
        <w:tc>
          <w:tcPr>
            <w:tcW w:w="4876" w:type="dxa"/>
            <w:tcBorders>
              <w:top w:val="nil"/>
              <w:left w:val="nil"/>
              <w:bottom w:val="nil"/>
              <w:right w:val="nil"/>
            </w:tcBorders>
          </w:tcPr>
          <w:p w14:paraId="1F2B881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107FBE" w14:textId="77777777" w:rsidR="00CE45E2" w:rsidRPr="00CE45E2" w:rsidRDefault="00CE45E2" w:rsidP="006476FB">
            <w:pPr>
              <w:pStyle w:val="AmColumnHeading"/>
            </w:pPr>
            <w:r w:rsidRPr="00CE45E2">
              <w:t>Poprawka</w:t>
            </w:r>
          </w:p>
        </w:tc>
      </w:tr>
      <w:tr w:rsidR="00CE45E2" w:rsidRPr="00CE45E2" w14:paraId="39EAA339" w14:textId="77777777" w:rsidTr="006476FB">
        <w:trPr>
          <w:jc w:val="center"/>
        </w:trPr>
        <w:tc>
          <w:tcPr>
            <w:tcW w:w="4876" w:type="dxa"/>
            <w:tcBorders>
              <w:top w:val="nil"/>
              <w:left w:val="nil"/>
              <w:bottom w:val="nil"/>
              <w:right w:val="nil"/>
            </w:tcBorders>
          </w:tcPr>
          <w:p w14:paraId="1EBF66AB"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dziesięciu lat</w:t>
            </w:r>
            <w:r w:rsidRPr="00CE45E2">
              <w:t>.”;</w:t>
            </w:r>
          </w:p>
        </w:tc>
        <w:tc>
          <w:tcPr>
            <w:tcW w:w="4876" w:type="dxa"/>
            <w:tcBorders>
              <w:top w:val="nil"/>
              <w:left w:val="nil"/>
              <w:bottom w:val="nil"/>
              <w:right w:val="nil"/>
            </w:tcBorders>
          </w:tcPr>
          <w:p w14:paraId="2FD282A4" w14:textId="77777777" w:rsidR="00CE45E2" w:rsidRPr="00CE45E2" w:rsidRDefault="00CE45E2" w:rsidP="006476FB">
            <w:pPr>
              <w:pStyle w:val="Normal6a"/>
            </w:pPr>
            <w:r w:rsidRPr="00CE45E2">
              <w:t xml:space="preserve">„Ograniczony czas, o którym mowa w formule wprowadzającej akapitu pierwszego, określa się w prawie krajowym i w żadnym przypadku nie przekracza on </w:t>
            </w:r>
            <w:r w:rsidRPr="00CE45E2">
              <w:rPr>
                <w:b/>
                <w:bCs/>
                <w:i/>
                <w:iCs/>
              </w:rPr>
              <w:t>1 roku</w:t>
            </w:r>
            <w:r w:rsidRPr="00CE45E2">
              <w:t>.”;</w:t>
            </w:r>
          </w:p>
        </w:tc>
      </w:tr>
    </w:tbl>
    <w:p w14:paraId="79848CC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D19D502"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130D8D6A" w14:textId="77777777" w:rsidR="00CE45E2" w:rsidRPr="00CE45E2" w:rsidRDefault="00CE45E2" w:rsidP="00CE45E2">
      <w:pPr>
        <w:pStyle w:val="AmJustText"/>
      </w:pPr>
      <w:r w:rsidRPr="00CE45E2">
        <w:t>Okres 10 lat przy niewystarczającym pokryciu rezerw techniczno-ubezpieczeniowych jest zbyt długi i nie leży w interesie uczestników i emerytów. Im krótszy okres, tym lepiej.</w:t>
      </w:r>
    </w:p>
    <w:p w14:paraId="09F6CD57" w14:textId="77777777" w:rsidR="00CE45E2" w:rsidRPr="00CE45E2" w:rsidRDefault="00CE45E2" w:rsidP="00CE45E2">
      <w:r w:rsidRPr="00CE45E2">
        <w:rPr>
          <w:rStyle w:val="HideTWBExt"/>
        </w:rPr>
        <w:t>&lt;/Amend&gt;</w:t>
      </w:r>
    </w:p>
    <w:p w14:paraId="7C3E33A6" w14:textId="76EF6B5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282</w:t>
      </w:r>
      <w:r w:rsidRPr="00CE45E2">
        <w:rPr>
          <w:rStyle w:val="HideTWBExt"/>
          <w:b w:val="0"/>
        </w:rPr>
        <w:t>&lt;/NumAm&gt;</w:t>
      </w:r>
    </w:p>
    <w:p w14:paraId="795070A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1DFE6833" w14:textId="77777777" w:rsidR="00CE45E2" w:rsidRPr="00CE45E2" w:rsidRDefault="00CE45E2" w:rsidP="00CE45E2">
      <w:pPr>
        <w:pStyle w:val="NormalBold"/>
      </w:pPr>
      <w:r w:rsidRPr="00CE45E2">
        <w:rPr>
          <w:rStyle w:val="HideTWBExt"/>
          <w:b w:val="0"/>
        </w:rPr>
        <w:t>&lt;/RepeatBlock-By&gt;</w:t>
      </w:r>
    </w:p>
    <w:p w14:paraId="43F0228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E6A53A3" w14:textId="77777777" w:rsidR="00CE45E2" w:rsidRPr="00CE45E2" w:rsidRDefault="00CE45E2" w:rsidP="00CE45E2">
      <w:pPr>
        <w:pStyle w:val="NormalBold"/>
      </w:pPr>
      <w:r w:rsidRPr="00CE45E2">
        <w:rPr>
          <w:rStyle w:val="HideTWBExt"/>
          <w:b w:val="0"/>
        </w:rPr>
        <w:t>&lt;Article&gt;</w:t>
      </w:r>
      <w:r w:rsidRPr="00CE45E2">
        <w:t>Artykuł 1 – akapit 1 – punkt 18 – litera b</w:t>
      </w:r>
      <w:r w:rsidRPr="00CE45E2">
        <w:rPr>
          <w:rStyle w:val="HideTWBExt"/>
          <w:b w:val="0"/>
        </w:rPr>
        <w:t>&lt;/Article&gt;</w:t>
      </w:r>
    </w:p>
    <w:p w14:paraId="00177AF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FD44A97" w14:textId="77777777" w:rsidR="00CE45E2" w:rsidRPr="00CE45E2" w:rsidRDefault="00CE45E2" w:rsidP="00CE45E2">
      <w:r w:rsidRPr="00CE45E2">
        <w:rPr>
          <w:rStyle w:val="HideTWBExt"/>
        </w:rPr>
        <w:t>&lt;Article2&gt;</w:t>
      </w:r>
      <w:r w:rsidRPr="00CE45E2">
        <w:t>Artykuł 14 – ustęp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7B3AC47" w14:textId="77777777" w:rsidTr="006476FB">
        <w:trPr>
          <w:trHeight w:hRule="exact" w:val="240"/>
          <w:jc w:val="center"/>
        </w:trPr>
        <w:tc>
          <w:tcPr>
            <w:tcW w:w="9752" w:type="dxa"/>
            <w:gridSpan w:val="2"/>
            <w:tcBorders>
              <w:top w:val="nil"/>
              <w:left w:val="nil"/>
              <w:bottom w:val="nil"/>
              <w:right w:val="nil"/>
            </w:tcBorders>
          </w:tcPr>
          <w:p w14:paraId="2E3E50EF" w14:textId="77777777" w:rsidR="00CE45E2" w:rsidRPr="00CE45E2" w:rsidRDefault="00CE45E2" w:rsidP="006476FB"/>
        </w:tc>
      </w:tr>
      <w:tr w:rsidR="00CE45E2" w:rsidRPr="00CE45E2" w14:paraId="5F6689FD" w14:textId="77777777" w:rsidTr="006476FB">
        <w:trPr>
          <w:trHeight w:val="240"/>
          <w:jc w:val="center"/>
        </w:trPr>
        <w:tc>
          <w:tcPr>
            <w:tcW w:w="4876" w:type="dxa"/>
            <w:tcBorders>
              <w:top w:val="nil"/>
              <w:left w:val="nil"/>
              <w:bottom w:val="nil"/>
              <w:right w:val="nil"/>
            </w:tcBorders>
          </w:tcPr>
          <w:p w14:paraId="32E4F643"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4C83359" w14:textId="77777777" w:rsidR="00CE45E2" w:rsidRPr="00CE45E2" w:rsidRDefault="00CE45E2" w:rsidP="006476FB">
            <w:pPr>
              <w:pStyle w:val="AmColumnHeading"/>
            </w:pPr>
            <w:r w:rsidRPr="00CE45E2">
              <w:t>Poprawka</w:t>
            </w:r>
          </w:p>
        </w:tc>
      </w:tr>
      <w:tr w:rsidR="00CE45E2" w:rsidRPr="00CE45E2" w14:paraId="36CC4558" w14:textId="77777777" w:rsidTr="006476FB">
        <w:trPr>
          <w:jc w:val="center"/>
        </w:trPr>
        <w:tc>
          <w:tcPr>
            <w:tcW w:w="4876" w:type="dxa"/>
            <w:tcBorders>
              <w:top w:val="nil"/>
              <w:left w:val="nil"/>
              <w:bottom w:val="nil"/>
              <w:right w:val="nil"/>
            </w:tcBorders>
          </w:tcPr>
          <w:p w14:paraId="7BC892A3" w14:textId="77777777" w:rsidR="00CE45E2" w:rsidRPr="00CE45E2" w:rsidRDefault="00CE45E2" w:rsidP="006476FB">
            <w:pPr>
              <w:pStyle w:val="Normal6a"/>
            </w:pPr>
            <w:r w:rsidRPr="00CE45E2">
              <w:rPr>
                <w:b/>
                <w:bCs/>
                <w:i/>
                <w:iCs/>
              </w:rPr>
              <w:t>b)</w:t>
            </w:r>
            <w:r w:rsidRPr="00CE45E2">
              <w:tab/>
            </w:r>
            <w:r w:rsidRPr="00CE45E2">
              <w:rPr>
                <w:b/>
                <w:i/>
              </w:rPr>
              <w:t>skreśla się ust. 3;</w:t>
            </w:r>
          </w:p>
        </w:tc>
        <w:tc>
          <w:tcPr>
            <w:tcW w:w="4876" w:type="dxa"/>
            <w:tcBorders>
              <w:top w:val="nil"/>
              <w:left w:val="nil"/>
              <w:bottom w:val="nil"/>
              <w:right w:val="nil"/>
            </w:tcBorders>
          </w:tcPr>
          <w:p w14:paraId="58AE6E5A" w14:textId="77777777" w:rsidR="00CE45E2" w:rsidRPr="00CE45E2" w:rsidRDefault="00CE45E2" w:rsidP="006476FB">
            <w:pPr>
              <w:pStyle w:val="Normal6a"/>
            </w:pPr>
            <w:r w:rsidRPr="00CE45E2">
              <w:rPr>
                <w:b/>
                <w:i/>
              </w:rPr>
              <w:t>skreśla się</w:t>
            </w:r>
          </w:p>
        </w:tc>
      </w:tr>
    </w:tbl>
    <w:p w14:paraId="558D01D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D8D13F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842AECF" w14:textId="77777777" w:rsidR="00CE45E2" w:rsidRPr="00CE45E2" w:rsidRDefault="00CE45E2" w:rsidP="00CE45E2">
      <w:pPr>
        <w:pStyle w:val="AmJustText"/>
      </w:pPr>
      <w:r w:rsidRPr="00CE45E2">
        <w:t>Ust. 3 zapewniał dodatkową ochronę członkom i beneficjentom w przypadku działalności transgranicznej. Ten stan rzeczy należy utrzymać.</w:t>
      </w:r>
    </w:p>
    <w:p w14:paraId="4139261F" w14:textId="77777777" w:rsidR="00CE45E2" w:rsidRPr="00CE45E2" w:rsidRDefault="00CE45E2" w:rsidP="00CE45E2">
      <w:r w:rsidRPr="00CE45E2">
        <w:rPr>
          <w:rStyle w:val="HideTWBExt"/>
        </w:rPr>
        <w:t>&lt;/Amend&gt;</w:t>
      </w:r>
    </w:p>
    <w:p w14:paraId="60A9F23B" w14:textId="21F7EB5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283</w:t>
      </w:r>
      <w:r w:rsidRPr="00CE45E2">
        <w:rPr>
          <w:rStyle w:val="HideTWBExt"/>
          <w:b w:val="0"/>
        </w:rPr>
        <w:t>&lt;/NumAm&gt;</w:t>
      </w:r>
    </w:p>
    <w:p w14:paraId="72BE9D38"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15A25ABE" w14:textId="77777777" w:rsidR="00CE45E2" w:rsidRPr="00CE45E2" w:rsidRDefault="00CE45E2" w:rsidP="00CE45E2">
      <w:pPr>
        <w:pStyle w:val="NormalBold"/>
      </w:pPr>
      <w:r w:rsidRPr="00CE45E2">
        <w:rPr>
          <w:rStyle w:val="HideTWBExt"/>
          <w:b w:val="0"/>
        </w:rPr>
        <w:t>&lt;/RepeatBlock-By&gt;</w:t>
      </w:r>
    </w:p>
    <w:p w14:paraId="107FE5F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5A7193E" w14:textId="77777777" w:rsidR="00CE45E2" w:rsidRPr="00CE45E2" w:rsidRDefault="00CE45E2" w:rsidP="00CE45E2">
      <w:pPr>
        <w:pStyle w:val="NormalBold"/>
      </w:pPr>
      <w:r w:rsidRPr="00CE45E2">
        <w:rPr>
          <w:rStyle w:val="HideTWBExt"/>
          <w:b w:val="0"/>
        </w:rPr>
        <w:t>&lt;Article&gt;</w:t>
      </w:r>
      <w:r w:rsidRPr="00CE45E2">
        <w:t>Artykuł 1 – akapit 1 – punkt 18 – litera b</w:t>
      </w:r>
      <w:r w:rsidRPr="00CE45E2">
        <w:rPr>
          <w:rStyle w:val="HideTWBExt"/>
          <w:b w:val="0"/>
        </w:rPr>
        <w:t>&lt;/Article&gt;</w:t>
      </w:r>
    </w:p>
    <w:p w14:paraId="46801C7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BCFE861" w14:textId="77777777" w:rsidR="00CE45E2" w:rsidRPr="00CE45E2" w:rsidRDefault="00CE45E2" w:rsidP="00CE45E2">
      <w:r w:rsidRPr="00CE45E2">
        <w:rPr>
          <w:rStyle w:val="HideTWBExt"/>
        </w:rPr>
        <w:t>&lt;Article2&gt;</w:t>
      </w:r>
      <w:r w:rsidRPr="00CE45E2">
        <w:t>Artykuł 14 – ustęp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E151427" w14:textId="77777777" w:rsidTr="006476FB">
        <w:trPr>
          <w:trHeight w:hRule="exact" w:val="240"/>
          <w:jc w:val="center"/>
        </w:trPr>
        <w:tc>
          <w:tcPr>
            <w:tcW w:w="9752" w:type="dxa"/>
            <w:gridSpan w:val="2"/>
            <w:tcBorders>
              <w:top w:val="nil"/>
              <w:left w:val="nil"/>
              <w:bottom w:val="nil"/>
              <w:right w:val="nil"/>
            </w:tcBorders>
          </w:tcPr>
          <w:p w14:paraId="32129619" w14:textId="77777777" w:rsidR="00CE45E2" w:rsidRPr="00CE45E2" w:rsidRDefault="00CE45E2" w:rsidP="006476FB"/>
        </w:tc>
      </w:tr>
      <w:tr w:rsidR="00CE45E2" w:rsidRPr="00CE45E2" w14:paraId="10FB76B6" w14:textId="77777777" w:rsidTr="006476FB">
        <w:trPr>
          <w:trHeight w:val="240"/>
          <w:jc w:val="center"/>
        </w:trPr>
        <w:tc>
          <w:tcPr>
            <w:tcW w:w="4876" w:type="dxa"/>
            <w:tcBorders>
              <w:top w:val="nil"/>
              <w:left w:val="nil"/>
              <w:bottom w:val="nil"/>
              <w:right w:val="nil"/>
            </w:tcBorders>
          </w:tcPr>
          <w:p w14:paraId="59B2D23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C367A37" w14:textId="77777777" w:rsidR="00CE45E2" w:rsidRPr="00CE45E2" w:rsidRDefault="00CE45E2" w:rsidP="006476FB">
            <w:pPr>
              <w:pStyle w:val="AmColumnHeading"/>
            </w:pPr>
            <w:r w:rsidRPr="00CE45E2">
              <w:t>Poprawka</w:t>
            </w:r>
          </w:p>
        </w:tc>
      </w:tr>
      <w:tr w:rsidR="00CE45E2" w:rsidRPr="00CE45E2" w14:paraId="5D1E3F93" w14:textId="77777777" w:rsidTr="006476FB">
        <w:trPr>
          <w:jc w:val="center"/>
        </w:trPr>
        <w:tc>
          <w:tcPr>
            <w:tcW w:w="4876" w:type="dxa"/>
            <w:tcBorders>
              <w:top w:val="nil"/>
              <w:left w:val="nil"/>
              <w:bottom w:val="nil"/>
              <w:right w:val="nil"/>
            </w:tcBorders>
          </w:tcPr>
          <w:p w14:paraId="1A05D8B8" w14:textId="77777777" w:rsidR="00CE45E2" w:rsidRPr="00CE45E2" w:rsidRDefault="00CE45E2" w:rsidP="006476FB">
            <w:pPr>
              <w:pStyle w:val="Normal6a"/>
            </w:pPr>
            <w:r w:rsidRPr="00CE45E2">
              <w:rPr>
                <w:b/>
                <w:bCs/>
                <w:i/>
                <w:iCs/>
              </w:rPr>
              <w:t>b)</w:t>
            </w:r>
            <w:r w:rsidRPr="00CE45E2">
              <w:tab/>
            </w:r>
            <w:r w:rsidRPr="00CE45E2">
              <w:rPr>
                <w:b/>
                <w:bCs/>
                <w:i/>
                <w:iCs/>
              </w:rPr>
              <w:t>skreśla się</w:t>
            </w:r>
            <w:r w:rsidRPr="00CE45E2">
              <w:t xml:space="preserve"> ust. 3;</w:t>
            </w:r>
          </w:p>
        </w:tc>
        <w:tc>
          <w:tcPr>
            <w:tcW w:w="4876" w:type="dxa"/>
            <w:tcBorders>
              <w:top w:val="nil"/>
              <w:left w:val="nil"/>
              <w:bottom w:val="nil"/>
              <w:right w:val="nil"/>
            </w:tcBorders>
          </w:tcPr>
          <w:p w14:paraId="6D57D1F3" w14:textId="77777777" w:rsidR="00CE45E2" w:rsidRPr="00CE45E2" w:rsidRDefault="00CE45E2" w:rsidP="006476FB">
            <w:pPr>
              <w:pStyle w:val="Normal6a"/>
            </w:pPr>
            <w:r w:rsidRPr="00CE45E2">
              <w:rPr>
                <w:b/>
                <w:bCs/>
                <w:i/>
                <w:iCs/>
              </w:rPr>
              <w:t>b)</w:t>
            </w:r>
            <w:r w:rsidRPr="00CE45E2">
              <w:tab/>
              <w:t>ust. 3</w:t>
            </w:r>
            <w:r w:rsidRPr="00CE45E2">
              <w:rPr>
                <w:b/>
                <w:bCs/>
                <w:i/>
                <w:iCs/>
              </w:rPr>
              <w:t xml:space="preserve"> otrzymuje brzmienie:</w:t>
            </w:r>
          </w:p>
        </w:tc>
      </w:tr>
      <w:tr w:rsidR="00CE45E2" w:rsidRPr="00CE45E2" w14:paraId="1E661879" w14:textId="77777777" w:rsidTr="006476FB">
        <w:trPr>
          <w:jc w:val="center"/>
        </w:trPr>
        <w:tc>
          <w:tcPr>
            <w:tcW w:w="4876" w:type="dxa"/>
            <w:tcBorders>
              <w:top w:val="nil"/>
              <w:left w:val="nil"/>
              <w:bottom w:val="nil"/>
              <w:right w:val="nil"/>
            </w:tcBorders>
          </w:tcPr>
          <w:p w14:paraId="6C79E49C" w14:textId="77777777" w:rsidR="00CE45E2" w:rsidRPr="00CE45E2" w:rsidRDefault="00CE45E2" w:rsidP="006476FB">
            <w:pPr>
              <w:pStyle w:val="Normal6a"/>
            </w:pPr>
          </w:p>
        </w:tc>
        <w:tc>
          <w:tcPr>
            <w:tcW w:w="4876" w:type="dxa"/>
            <w:tcBorders>
              <w:top w:val="nil"/>
              <w:left w:val="nil"/>
              <w:bottom w:val="nil"/>
              <w:right w:val="nil"/>
            </w:tcBorders>
          </w:tcPr>
          <w:p w14:paraId="1B441854" w14:textId="77777777" w:rsidR="00CE45E2" w:rsidRPr="00CE45E2" w:rsidRDefault="00CE45E2" w:rsidP="006476FB">
            <w:pPr>
              <w:pStyle w:val="Normal6a"/>
            </w:pPr>
            <w:r w:rsidRPr="00CE45E2">
              <w:rPr>
                <w:b/>
                <w:i/>
              </w:rPr>
              <w:t xml:space="preserve">„W przypadku działalności transgranicznej rezerwy techniczno-ubezpieczeniowe są zawsze całkowicie finansowane w odniesieniu do pełnego zakresu obsługiwanych programów emerytalnych. W przypadku gdy IORP prowadząca działalność transgraniczną znajduje się w sytuacji, w której jej aktywa są niewystarczające do pokrycia rezerw techniczno-ubezpieczeniowych, właściwe organy rodzimego państwa członkowskiego niezwłocznie interweniują i wymagają od IORP natychmiastowego opracowania odpowiednich środków i bezzwłocznego ich zastosowania w taki sposób, by uczestnicy i beneficjenci byli odpowiednio chronieni. </w:t>
            </w:r>
            <w:r w:rsidRPr="00CE45E2">
              <w:rPr>
                <w:b/>
                <w:bCs/>
                <w:i/>
                <w:iCs/>
              </w:rPr>
              <w:t>W przypadku gdy IORP złoży powiadomienie z wnioskiem o zezwolenie na prowadzenie działalności transgranicznej, właściwe organy rodzimego państwa członkowskiego nie udzielają tego zezwolenia, jeżeli w danym momencie IORP nie dysponuje aktywami wystarczającymi do pokrycia rezerw techniczno-ubezpieczeniowych.”;</w:t>
            </w:r>
          </w:p>
        </w:tc>
      </w:tr>
    </w:tbl>
    <w:p w14:paraId="4DC5982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06ABA81"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981B265" w14:textId="77777777" w:rsidR="00CE45E2" w:rsidRPr="00CE45E2" w:rsidRDefault="00CE45E2" w:rsidP="00CE45E2">
      <w:pPr>
        <w:pStyle w:val="AmJustText"/>
      </w:pPr>
      <w:r w:rsidRPr="00CE45E2">
        <w:t>Sprzeciwiamy się skreśleniu ust. 3, ponieważ mogłoby to skutkować ograniczeniem ochrony uczestników i beneficjentów w przypadku braku dodatkowych zabezpieczeń.</w:t>
      </w:r>
    </w:p>
    <w:p w14:paraId="4FA583C3" w14:textId="77777777" w:rsidR="00CE45E2" w:rsidRPr="00CE45E2" w:rsidRDefault="00CE45E2" w:rsidP="00CE45E2">
      <w:r w:rsidRPr="00CE45E2">
        <w:rPr>
          <w:rStyle w:val="HideTWBExt"/>
        </w:rPr>
        <w:t>&lt;/Amend&gt;</w:t>
      </w:r>
    </w:p>
    <w:p w14:paraId="5BC37130" w14:textId="5D8497A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284</w:t>
      </w:r>
      <w:r w:rsidRPr="00CE45E2">
        <w:rPr>
          <w:rStyle w:val="HideTWBExt"/>
          <w:b w:val="0"/>
        </w:rPr>
        <w:t>&lt;/NumAm&gt;</w:t>
      </w:r>
    </w:p>
    <w:p w14:paraId="73DA1A12"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11272A5D" w14:textId="77777777" w:rsidR="00CE45E2" w:rsidRPr="00CE45E2" w:rsidRDefault="00CE45E2" w:rsidP="00CE45E2">
      <w:pPr>
        <w:pStyle w:val="NormalBold"/>
      </w:pPr>
      <w:r w:rsidRPr="00CE45E2">
        <w:rPr>
          <w:rStyle w:val="HideTWBExt"/>
          <w:b w:val="0"/>
        </w:rPr>
        <w:t>&lt;/RepeatBlock-By&gt;</w:t>
      </w:r>
    </w:p>
    <w:p w14:paraId="2690F526"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2197199" w14:textId="77777777" w:rsidR="00CE45E2" w:rsidRPr="00CE45E2" w:rsidRDefault="00CE45E2" w:rsidP="00CE45E2">
      <w:pPr>
        <w:pStyle w:val="NormalBold"/>
      </w:pPr>
      <w:r w:rsidRPr="00CE45E2">
        <w:rPr>
          <w:rStyle w:val="HideTWBExt"/>
          <w:b w:val="0"/>
        </w:rPr>
        <w:t>&lt;Article&gt;</w:t>
      </w:r>
      <w:r w:rsidRPr="00CE45E2">
        <w:t>Artykuł 1 – akapit 1 – punkt 18 – litera b</w:t>
      </w:r>
      <w:r w:rsidRPr="00CE45E2">
        <w:rPr>
          <w:rStyle w:val="HideTWBExt"/>
          <w:b w:val="0"/>
        </w:rPr>
        <w:t>&lt;/Article&gt;</w:t>
      </w:r>
    </w:p>
    <w:p w14:paraId="4527B64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F8978E6" w14:textId="77777777" w:rsidR="00CE45E2" w:rsidRPr="00CE45E2" w:rsidRDefault="00CE45E2" w:rsidP="00CE45E2">
      <w:r w:rsidRPr="00CE45E2">
        <w:rPr>
          <w:rStyle w:val="HideTWBExt"/>
        </w:rPr>
        <w:t>&lt;Article2&gt;</w:t>
      </w:r>
      <w:r w:rsidRPr="00CE45E2">
        <w:t>Artykuł 14 – ustęp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516D033" w14:textId="77777777" w:rsidTr="006476FB">
        <w:trPr>
          <w:trHeight w:hRule="exact" w:val="240"/>
          <w:jc w:val="center"/>
        </w:trPr>
        <w:tc>
          <w:tcPr>
            <w:tcW w:w="9752" w:type="dxa"/>
            <w:gridSpan w:val="2"/>
            <w:tcBorders>
              <w:top w:val="nil"/>
              <w:left w:val="nil"/>
              <w:bottom w:val="nil"/>
              <w:right w:val="nil"/>
            </w:tcBorders>
          </w:tcPr>
          <w:p w14:paraId="77EFC99F" w14:textId="77777777" w:rsidR="00CE45E2" w:rsidRPr="00CE45E2" w:rsidRDefault="00CE45E2" w:rsidP="006476FB"/>
        </w:tc>
      </w:tr>
      <w:tr w:rsidR="00CE45E2" w:rsidRPr="00CE45E2" w14:paraId="4B619C7B" w14:textId="77777777" w:rsidTr="006476FB">
        <w:trPr>
          <w:trHeight w:val="240"/>
          <w:jc w:val="center"/>
        </w:trPr>
        <w:tc>
          <w:tcPr>
            <w:tcW w:w="4876" w:type="dxa"/>
            <w:tcBorders>
              <w:top w:val="nil"/>
              <w:left w:val="nil"/>
              <w:bottom w:val="nil"/>
              <w:right w:val="nil"/>
            </w:tcBorders>
          </w:tcPr>
          <w:p w14:paraId="173DFCB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0139C57" w14:textId="77777777" w:rsidR="00CE45E2" w:rsidRPr="00CE45E2" w:rsidRDefault="00CE45E2" w:rsidP="006476FB">
            <w:pPr>
              <w:pStyle w:val="AmColumnHeading"/>
            </w:pPr>
            <w:r w:rsidRPr="00CE45E2">
              <w:t>Poprawka</w:t>
            </w:r>
          </w:p>
        </w:tc>
      </w:tr>
      <w:tr w:rsidR="00CE45E2" w:rsidRPr="00CE45E2" w14:paraId="57FA9C2F" w14:textId="77777777" w:rsidTr="006476FB">
        <w:trPr>
          <w:jc w:val="center"/>
        </w:trPr>
        <w:tc>
          <w:tcPr>
            <w:tcW w:w="4876" w:type="dxa"/>
            <w:tcBorders>
              <w:top w:val="nil"/>
              <w:left w:val="nil"/>
              <w:bottom w:val="nil"/>
              <w:right w:val="nil"/>
            </w:tcBorders>
          </w:tcPr>
          <w:p w14:paraId="7ABD0394" w14:textId="77777777" w:rsidR="00CE45E2" w:rsidRPr="00CE45E2" w:rsidRDefault="00CE45E2" w:rsidP="006476FB">
            <w:pPr>
              <w:pStyle w:val="Normal6a"/>
            </w:pPr>
            <w:r w:rsidRPr="00CE45E2">
              <w:rPr>
                <w:b/>
                <w:bCs/>
                <w:i/>
                <w:iCs/>
              </w:rPr>
              <w:t>b)</w:t>
            </w:r>
            <w:r w:rsidRPr="00CE45E2">
              <w:tab/>
            </w:r>
            <w:r w:rsidRPr="00CE45E2">
              <w:rPr>
                <w:b/>
                <w:bCs/>
                <w:i/>
                <w:iCs/>
              </w:rPr>
              <w:t>skreśla się</w:t>
            </w:r>
            <w:r w:rsidRPr="00CE45E2">
              <w:t xml:space="preserve"> ust. 3</w:t>
            </w:r>
            <w:r w:rsidRPr="00CE45E2">
              <w:rPr>
                <w:b/>
                <w:bCs/>
                <w:i/>
                <w:iCs/>
              </w:rPr>
              <w:t>;</w:t>
            </w:r>
          </w:p>
        </w:tc>
        <w:tc>
          <w:tcPr>
            <w:tcW w:w="4876" w:type="dxa"/>
            <w:tcBorders>
              <w:top w:val="nil"/>
              <w:left w:val="nil"/>
              <w:bottom w:val="nil"/>
              <w:right w:val="nil"/>
            </w:tcBorders>
          </w:tcPr>
          <w:p w14:paraId="403F505B" w14:textId="77777777" w:rsidR="00CE45E2" w:rsidRPr="00CE45E2" w:rsidRDefault="00CE45E2" w:rsidP="006476FB">
            <w:pPr>
              <w:pStyle w:val="Normal6a"/>
            </w:pPr>
            <w:r w:rsidRPr="00CE45E2">
              <w:rPr>
                <w:b/>
                <w:bCs/>
                <w:i/>
                <w:iCs/>
              </w:rPr>
              <w:t>b)</w:t>
            </w:r>
            <w:r w:rsidRPr="00CE45E2">
              <w:tab/>
            </w:r>
            <w:r w:rsidRPr="00CE45E2">
              <w:rPr>
                <w:b/>
                <w:i/>
              </w:rPr>
              <w:t>ust. 3</w:t>
            </w:r>
            <w:r w:rsidRPr="00CE45E2">
              <w:rPr>
                <w:b/>
                <w:bCs/>
                <w:i/>
                <w:iCs/>
              </w:rPr>
              <w:t xml:space="preserve"> otrzymuje brzmienie:</w:t>
            </w:r>
          </w:p>
        </w:tc>
      </w:tr>
      <w:tr w:rsidR="00CE45E2" w:rsidRPr="00CE45E2" w14:paraId="56879575" w14:textId="77777777" w:rsidTr="006476FB">
        <w:trPr>
          <w:jc w:val="center"/>
        </w:trPr>
        <w:tc>
          <w:tcPr>
            <w:tcW w:w="4876" w:type="dxa"/>
            <w:tcBorders>
              <w:top w:val="nil"/>
              <w:left w:val="nil"/>
              <w:bottom w:val="nil"/>
              <w:right w:val="nil"/>
            </w:tcBorders>
          </w:tcPr>
          <w:p w14:paraId="44468AD8" w14:textId="77777777" w:rsidR="00CE45E2" w:rsidRPr="00CE45E2" w:rsidRDefault="00CE45E2" w:rsidP="006476FB">
            <w:pPr>
              <w:pStyle w:val="Normal6a"/>
            </w:pPr>
          </w:p>
        </w:tc>
        <w:tc>
          <w:tcPr>
            <w:tcW w:w="4876" w:type="dxa"/>
            <w:tcBorders>
              <w:top w:val="nil"/>
              <w:left w:val="nil"/>
              <w:bottom w:val="nil"/>
              <w:right w:val="nil"/>
            </w:tcBorders>
          </w:tcPr>
          <w:p w14:paraId="61495D27" w14:textId="77777777" w:rsidR="00CE45E2" w:rsidRPr="00CE45E2" w:rsidRDefault="00CE45E2" w:rsidP="006476FB">
            <w:pPr>
              <w:pStyle w:val="Normal6a"/>
            </w:pPr>
            <w:r w:rsidRPr="00CE45E2">
              <w:rPr>
                <w:b/>
                <w:i/>
              </w:rPr>
              <w:t>„W przypadku działalności transgranicznej rezerwy techniczno-ubezpieczeniowe są zawsze całkowicie finansowane w odniesieniu do pełnego zakresu obsługiwanych programów emerytalnych. Jeżeli warunek ten nie jest spełniony, właściwy organ rodzimego państwa członkowskiego niezwłocznie interweniuje i wymaga od IORP natychmiastowego opracowania odpowiednich środków i bezzwłocznego ich zastosowania w taki sposób, by uczestnicy i beneficjenci byli odpowiednio chronieni.”</w:t>
            </w:r>
          </w:p>
        </w:tc>
      </w:tr>
    </w:tbl>
    <w:p w14:paraId="2A7D7FB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B9A9EDA"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5CCCA37" w14:textId="77777777" w:rsidR="00CE45E2" w:rsidRPr="00CE45E2" w:rsidRDefault="00CE45E2" w:rsidP="00CE45E2">
      <w:pPr>
        <w:pStyle w:val="AmJustText"/>
      </w:pPr>
      <w:r w:rsidRPr="00CE45E2">
        <w:t>Propozycja Komisji dotycząca skreślenia tego akapitu jest niepożądana, ponieważ bez dodatkowych zabezpieczeń mogłoby to prowadzić do osłabienia ochrony uczestników.</w:t>
      </w:r>
    </w:p>
    <w:p w14:paraId="7C768295" w14:textId="77777777" w:rsidR="00CE45E2" w:rsidRPr="00CE45E2" w:rsidRDefault="00CE45E2" w:rsidP="00CE45E2">
      <w:r w:rsidRPr="00CE45E2">
        <w:rPr>
          <w:rStyle w:val="HideTWBExt"/>
        </w:rPr>
        <w:t>&lt;/Amend&gt;</w:t>
      </w:r>
    </w:p>
    <w:p w14:paraId="3FAB5F2D" w14:textId="413CED1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285</w:t>
      </w:r>
      <w:r w:rsidRPr="00CE45E2">
        <w:rPr>
          <w:rStyle w:val="HideTWBExt"/>
          <w:b w:val="0"/>
        </w:rPr>
        <w:t>&lt;/NumAm&gt;</w:t>
      </w:r>
    </w:p>
    <w:p w14:paraId="2C6F151E"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C89FC96" w14:textId="77777777" w:rsidR="00CE45E2" w:rsidRPr="00CE45E2" w:rsidRDefault="00CE45E2" w:rsidP="00CE45E2">
      <w:pPr>
        <w:pStyle w:val="NormalBold"/>
      </w:pPr>
      <w:r w:rsidRPr="00CE45E2">
        <w:rPr>
          <w:rStyle w:val="HideTWBExt"/>
          <w:b w:val="0"/>
        </w:rPr>
        <w:t>&lt;/RepeatBlock-By&gt;</w:t>
      </w:r>
    </w:p>
    <w:p w14:paraId="14ABD46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F00E31E" w14:textId="77777777" w:rsidR="00CE45E2" w:rsidRPr="00CE45E2" w:rsidRDefault="00CE45E2" w:rsidP="00CE45E2">
      <w:pPr>
        <w:pStyle w:val="NormalBold"/>
      </w:pPr>
      <w:r w:rsidRPr="00CE45E2">
        <w:rPr>
          <w:rStyle w:val="HideTWBExt"/>
          <w:b w:val="0"/>
        </w:rPr>
        <w:t>&lt;Article&gt;</w:t>
      </w:r>
      <w:r w:rsidRPr="00CE45E2">
        <w:t>Artykuł 1 – akapit 1 – punkt 18 a (nowy)</w:t>
      </w:r>
      <w:r w:rsidRPr="00CE45E2">
        <w:rPr>
          <w:rStyle w:val="HideTWBExt"/>
          <w:b w:val="0"/>
        </w:rPr>
        <w:t>&lt;/Article&gt;</w:t>
      </w:r>
    </w:p>
    <w:p w14:paraId="0015AC0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A743505" w14:textId="77777777" w:rsidR="00CE45E2" w:rsidRPr="00CE45E2" w:rsidRDefault="00CE45E2" w:rsidP="00CE45E2">
      <w:r w:rsidRPr="00CE45E2">
        <w:rPr>
          <w:rStyle w:val="HideTWBExt"/>
        </w:rPr>
        <w:t>&lt;Article2&gt;</w:t>
      </w:r>
      <w:r w:rsidRPr="00CE45E2">
        <w:t>Artykuł 15 – ustęp 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07B8F35" w14:textId="77777777" w:rsidTr="006476FB">
        <w:trPr>
          <w:trHeight w:hRule="exact" w:val="240"/>
          <w:jc w:val="center"/>
        </w:trPr>
        <w:tc>
          <w:tcPr>
            <w:tcW w:w="9752" w:type="dxa"/>
            <w:gridSpan w:val="2"/>
            <w:tcBorders>
              <w:top w:val="nil"/>
              <w:left w:val="nil"/>
              <w:bottom w:val="nil"/>
              <w:right w:val="nil"/>
            </w:tcBorders>
          </w:tcPr>
          <w:p w14:paraId="3722E36D" w14:textId="77777777" w:rsidR="00CE45E2" w:rsidRPr="00CE45E2" w:rsidRDefault="00CE45E2" w:rsidP="006476FB"/>
        </w:tc>
      </w:tr>
      <w:tr w:rsidR="00CE45E2" w:rsidRPr="00CE45E2" w14:paraId="7285DCED" w14:textId="77777777" w:rsidTr="006476FB">
        <w:trPr>
          <w:trHeight w:val="240"/>
          <w:jc w:val="center"/>
        </w:trPr>
        <w:tc>
          <w:tcPr>
            <w:tcW w:w="4876" w:type="dxa"/>
            <w:tcBorders>
              <w:top w:val="nil"/>
              <w:left w:val="nil"/>
              <w:bottom w:val="nil"/>
              <w:right w:val="nil"/>
            </w:tcBorders>
          </w:tcPr>
          <w:p w14:paraId="2F31D07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516B0B5" w14:textId="77777777" w:rsidR="00CE45E2" w:rsidRPr="00CE45E2" w:rsidRDefault="00CE45E2" w:rsidP="006476FB">
            <w:pPr>
              <w:pStyle w:val="AmColumnHeading"/>
            </w:pPr>
            <w:r w:rsidRPr="00CE45E2">
              <w:t>Poprawka</w:t>
            </w:r>
          </w:p>
        </w:tc>
      </w:tr>
      <w:tr w:rsidR="00CE45E2" w:rsidRPr="00CE45E2" w14:paraId="2C33792C" w14:textId="77777777" w:rsidTr="006476FB">
        <w:trPr>
          <w:jc w:val="center"/>
        </w:trPr>
        <w:tc>
          <w:tcPr>
            <w:tcW w:w="4876" w:type="dxa"/>
            <w:tcBorders>
              <w:top w:val="nil"/>
              <w:left w:val="nil"/>
              <w:bottom w:val="nil"/>
              <w:right w:val="nil"/>
            </w:tcBorders>
          </w:tcPr>
          <w:p w14:paraId="147973C0" w14:textId="77777777" w:rsidR="00CE45E2" w:rsidRPr="00CE45E2" w:rsidRDefault="00CE45E2" w:rsidP="006476FB">
            <w:pPr>
              <w:pStyle w:val="Normal6a"/>
            </w:pPr>
          </w:p>
        </w:tc>
        <w:tc>
          <w:tcPr>
            <w:tcW w:w="4876" w:type="dxa"/>
            <w:tcBorders>
              <w:top w:val="nil"/>
              <w:left w:val="nil"/>
              <w:bottom w:val="nil"/>
              <w:right w:val="nil"/>
            </w:tcBorders>
          </w:tcPr>
          <w:p w14:paraId="125A45C6" w14:textId="77777777" w:rsidR="00CE45E2" w:rsidRPr="00CE45E2" w:rsidRDefault="00CE45E2" w:rsidP="006476FB">
            <w:pPr>
              <w:pStyle w:val="Normal6a"/>
            </w:pPr>
            <w:r w:rsidRPr="00CE45E2">
              <w:rPr>
                <w:b/>
                <w:i/>
              </w:rPr>
              <w:t>18a)</w:t>
            </w:r>
            <w:r w:rsidRPr="00CE45E2">
              <w:tab/>
            </w:r>
            <w:r w:rsidRPr="00CE45E2">
              <w:rPr>
                <w:b/>
                <w:i/>
              </w:rPr>
              <w:t>w art. 15 dodaje się ust. 2a w brzmieniu:</w:t>
            </w:r>
          </w:p>
        </w:tc>
      </w:tr>
      <w:tr w:rsidR="00CE45E2" w:rsidRPr="00CE45E2" w14:paraId="6A98555A" w14:textId="77777777" w:rsidTr="006476FB">
        <w:trPr>
          <w:jc w:val="center"/>
        </w:trPr>
        <w:tc>
          <w:tcPr>
            <w:tcW w:w="4876" w:type="dxa"/>
            <w:tcBorders>
              <w:top w:val="nil"/>
              <w:left w:val="nil"/>
              <w:bottom w:val="nil"/>
              <w:right w:val="nil"/>
            </w:tcBorders>
          </w:tcPr>
          <w:p w14:paraId="4DBC6852" w14:textId="77777777" w:rsidR="00CE45E2" w:rsidRPr="00CE45E2" w:rsidRDefault="00CE45E2" w:rsidP="006476FB">
            <w:pPr>
              <w:pStyle w:val="Normal6a"/>
            </w:pPr>
          </w:p>
        </w:tc>
        <w:tc>
          <w:tcPr>
            <w:tcW w:w="4876" w:type="dxa"/>
            <w:tcBorders>
              <w:top w:val="nil"/>
              <w:left w:val="nil"/>
              <w:bottom w:val="nil"/>
              <w:right w:val="nil"/>
            </w:tcBorders>
          </w:tcPr>
          <w:p w14:paraId="4FFAFBBD" w14:textId="77777777" w:rsidR="00CE45E2" w:rsidRPr="00CE45E2" w:rsidRDefault="00CE45E2" w:rsidP="006476FB">
            <w:pPr>
              <w:pStyle w:val="Normal6a"/>
            </w:pPr>
            <w:r w:rsidRPr="00CE45E2">
              <w:rPr>
                <w:b/>
                <w:i/>
              </w:rPr>
              <w:t>„</w:t>
            </w:r>
          </w:p>
        </w:tc>
      </w:tr>
      <w:tr w:rsidR="00CE45E2" w:rsidRPr="00CE45E2" w14:paraId="4EB1548C" w14:textId="77777777" w:rsidTr="006476FB">
        <w:trPr>
          <w:jc w:val="center"/>
        </w:trPr>
        <w:tc>
          <w:tcPr>
            <w:tcW w:w="4876" w:type="dxa"/>
            <w:tcBorders>
              <w:top w:val="nil"/>
              <w:left w:val="nil"/>
              <w:bottom w:val="nil"/>
              <w:right w:val="nil"/>
            </w:tcBorders>
          </w:tcPr>
          <w:p w14:paraId="710F59C6" w14:textId="77777777" w:rsidR="00CE45E2" w:rsidRPr="00CE45E2" w:rsidRDefault="00CE45E2" w:rsidP="006476FB">
            <w:pPr>
              <w:pStyle w:val="Normal6a"/>
            </w:pPr>
          </w:p>
        </w:tc>
        <w:tc>
          <w:tcPr>
            <w:tcW w:w="4876" w:type="dxa"/>
            <w:tcBorders>
              <w:top w:val="nil"/>
              <w:left w:val="nil"/>
              <w:bottom w:val="nil"/>
              <w:right w:val="nil"/>
            </w:tcBorders>
          </w:tcPr>
          <w:p w14:paraId="74F3F956" w14:textId="77777777" w:rsidR="00CE45E2" w:rsidRPr="00CE45E2" w:rsidRDefault="00CE45E2" w:rsidP="006476FB">
            <w:pPr>
              <w:pStyle w:val="Normal6a"/>
            </w:pPr>
            <w:r w:rsidRPr="00CE45E2">
              <w:rPr>
                <w:b/>
                <w:i/>
              </w:rPr>
              <w:t>2a. Państwa członkowskie dopilnowują, aby IORP, które posiadają aktywa znacznie przewyższające minimalną kwotę dodatkowych aktywów wymaganą przez ich państwo członkowskie, nadal wywiązywały się ze swoich zobowiązań wobec uczestników i beneficjentów, w tym w odniesieniu do wpływu opartych na ryzyku wyborów polityki na ich cele w zakresie dochodów emerytalnych oraz na odpowiednie świadczenia emerytalne.</w:t>
            </w:r>
          </w:p>
        </w:tc>
      </w:tr>
      <w:tr w:rsidR="00CE45E2" w:rsidRPr="00CE45E2" w14:paraId="6D79252C" w14:textId="77777777" w:rsidTr="006476FB">
        <w:trPr>
          <w:jc w:val="center"/>
        </w:trPr>
        <w:tc>
          <w:tcPr>
            <w:tcW w:w="4876" w:type="dxa"/>
            <w:tcBorders>
              <w:top w:val="nil"/>
              <w:left w:val="nil"/>
              <w:bottom w:val="nil"/>
              <w:right w:val="nil"/>
            </w:tcBorders>
          </w:tcPr>
          <w:p w14:paraId="040565E4" w14:textId="77777777" w:rsidR="00CE45E2" w:rsidRPr="00CE45E2" w:rsidRDefault="00CE45E2" w:rsidP="006476FB">
            <w:pPr>
              <w:pStyle w:val="Normal6a"/>
            </w:pPr>
          </w:p>
        </w:tc>
        <w:tc>
          <w:tcPr>
            <w:tcW w:w="4876" w:type="dxa"/>
            <w:tcBorders>
              <w:top w:val="nil"/>
              <w:left w:val="nil"/>
              <w:bottom w:val="nil"/>
              <w:right w:val="nil"/>
            </w:tcBorders>
          </w:tcPr>
          <w:p w14:paraId="5E2285F0" w14:textId="77777777" w:rsidR="00CE45E2" w:rsidRPr="00CE45E2" w:rsidRDefault="00CE45E2" w:rsidP="006476FB">
            <w:pPr>
              <w:pStyle w:val="Normal6a"/>
            </w:pPr>
            <w:r w:rsidRPr="00CE45E2">
              <w:rPr>
                <w:b/>
                <w:i/>
              </w:rPr>
              <w:t>”</w:t>
            </w:r>
          </w:p>
        </w:tc>
      </w:tr>
    </w:tbl>
    <w:p w14:paraId="5B93F2C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5D5CEC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66A8642" w14:textId="77777777" w:rsidR="00CE45E2" w:rsidRPr="00CE45E2" w:rsidRDefault="00CE45E2" w:rsidP="00CE45E2">
      <w:pPr>
        <w:pStyle w:val="AmJustText"/>
      </w:pPr>
      <w:r w:rsidRPr="00CE45E2">
        <w:t>Chociaż niezbędne jest, aby IORP posiadały wystarczające aktywa, by zawsze wywiązywać się ze swoich zobowiązań i zachować wypłacalność, nadmierna niechęć do ryzyka może również wpływać na interesy uczestników i beneficjentów, na przykład poprzez decyzje podejmowane przez IORP, które mają wpływ na siłę nabywczą (przyszłych) beneficjentów. Może to obejmować decyzje związane z brakiem indeksacji świadczeń emerytalnych. Ponieważ zapewnienie odpowiednich dochodów emerytalnych jest również kluczowym obowiązkiem IORP, skutki nadmiernej niechęci do ryzyka są istotne i należy uwzględnić je w dyrektywie, bez wprowadzania rygorystycznych wymogów.</w:t>
      </w:r>
    </w:p>
    <w:p w14:paraId="3FAD3CE9" w14:textId="77777777" w:rsidR="00CE45E2" w:rsidRPr="00CE45E2" w:rsidRDefault="00CE45E2" w:rsidP="00CE45E2">
      <w:r w:rsidRPr="00CE45E2">
        <w:rPr>
          <w:rStyle w:val="HideTWBExt"/>
        </w:rPr>
        <w:t>&lt;/Amend&gt;</w:t>
      </w:r>
    </w:p>
    <w:p w14:paraId="282AAB9F" w14:textId="558C314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286</w:t>
      </w:r>
      <w:r w:rsidRPr="00CE45E2">
        <w:rPr>
          <w:rStyle w:val="HideTWBExt"/>
          <w:b w:val="0"/>
        </w:rPr>
        <w:t>&lt;/NumAm&gt;</w:t>
      </w:r>
    </w:p>
    <w:p w14:paraId="0806C137"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062F1547" w14:textId="77777777" w:rsidR="00CE45E2" w:rsidRPr="00CE45E2" w:rsidRDefault="00CE45E2" w:rsidP="00CE45E2">
      <w:pPr>
        <w:pStyle w:val="NormalBold"/>
      </w:pPr>
      <w:r w:rsidRPr="00CE45E2">
        <w:rPr>
          <w:rStyle w:val="HideTWBExt"/>
          <w:b w:val="0"/>
        </w:rPr>
        <w:t>&lt;/RepeatBlock-By&gt;</w:t>
      </w:r>
    </w:p>
    <w:p w14:paraId="5750046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3C5EBCA" w14:textId="77777777" w:rsidR="00CE45E2" w:rsidRPr="00CE45E2" w:rsidRDefault="00CE45E2" w:rsidP="00CE45E2">
      <w:pPr>
        <w:pStyle w:val="NormalBold"/>
      </w:pPr>
      <w:r w:rsidRPr="00CE45E2">
        <w:rPr>
          <w:rStyle w:val="HideTWBExt"/>
          <w:b w:val="0"/>
        </w:rPr>
        <w:t>&lt;Article&gt;</w:t>
      </w:r>
      <w:r w:rsidRPr="00CE45E2">
        <w:t>Artykuł 1 – akapit 1 – punkt 18 b (nowy)</w:t>
      </w:r>
      <w:r w:rsidRPr="00CE45E2">
        <w:rPr>
          <w:rStyle w:val="HideTWBExt"/>
          <w:b w:val="0"/>
        </w:rPr>
        <w:t>&lt;/Article&gt;</w:t>
      </w:r>
    </w:p>
    <w:p w14:paraId="4AF36E5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7DCBDCB" w14:textId="77777777" w:rsidR="00CE45E2" w:rsidRPr="00CE45E2" w:rsidRDefault="00CE45E2" w:rsidP="00CE45E2">
      <w:r w:rsidRPr="00CE45E2">
        <w:rPr>
          <w:rStyle w:val="HideTWBExt"/>
        </w:rPr>
        <w:t>&lt;Article2&gt;</w:t>
      </w:r>
      <w:r w:rsidRPr="00CE45E2">
        <w:t>Artykuł 15 – ustęp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153CFCE" w14:textId="77777777" w:rsidTr="006476FB">
        <w:trPr>
          <w:trHeight w:hRule="exact" w:val="240"/>
          <w:jc w:val="center"/>
        </w:trPr>
        <w:tc>
          <w:tcPr>
            <w:tcW w:w="9752" w:type="dxa"/>
            <w:gridSpan w:val="2"/>
            <w:tcBorders>
              <w:top w:val="nil"/>
              <w:left w:val="nil"/>
              <w:bottom w:val="nil"/>
              <w:right w:val="nil"/>
            </w:tcBorders>
          </w:tcPr>
          <w:p w14:paraId="6A6A0BCE" w14:textId="77777777" w:rsidR="00CE45E2" w:rsidRPr="00CE45E2" w:rsidRDefault="00CE45E2" w:rsidP="006476FB"/>
        </w:tc>
      </w:tr>
      <w:tr w:rsidR="00CE45E2" w:rsidRPr="00CE45E2" w14:paraId="69E2E6C5" w14:textId="77777777" w:rsidTr="006476FB">
        <w:trPr>
          <w:trHeight w:val="240"/>
          <w:jc w:val="center"/>
        </w:trPr>
        <w:tc>
          <w:tcPr>
            <w:tcW w:w="4876" w:type="dxa"/>
            <w:tcBorders>
              <w:top w:val="nil"/>
              <w:left w:val="nil"/>
              <w:bottom w:val="nil"/>
              <w:right w:val="nil"/>
            </w:tcBorders>
          </w:tcPr>
          <w:p w14:paraId="0757CFE1"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4ECEAD80" w14:textId="77777777" w:rsidR="00CE45E2" w:rsidRPr="00CE45E2" w:rsidRDefault="00CE45E2" w:rsidP="006476FB">
            <w:pPr>
              <w:pStyle w:val="AmColumnHeading"/>
            </w:pPr>
            <w:r w:rsidRPr="00CE45E2">
              <w:t>Poprawka</w:t>
            </w:r>
          </w:p>
        </w:tc>
      </w:tr>
      <w:tr w:rsidR="00CE45E2" w:rsidRPr="00CE45E2" w14:paraId="6E561C0D" w14:textId="77777777" w:rsidTr="006476FB">
        <w:trPr>
          <w:jc w:val="center"/>
        </w:trPr>
        <w:tc>
          <w:tcPr>
            <w:tcW w:w="4876" w:type="dxa"/>
            <w:tcBorders>
              <w:top w:val="nil"/>
              <w:left w:val="nil"/>
              <w:bottom w:val="nil"/>
              <w:right w:val="nil"/>
            </w:tcBorders>
          </w:tcPr>
          <w:p w14:paraId="40BBFEDD" w14:textId="77777777" w:rsidR="00CE45E2" w:rsidRPr="00CE45E2" w:rsidRDefault="00CE45E2" w:rsidP="006476FB">
            <w:pPr>
              <w:pStyle w:val="Normal6a"/>
            </w:pPr>
          </w:p>
        </w:tc>
        <w:tc>
          <w:tcPr>
            <w:tcW w:w="4876" w:type="dxa"/>
            <w:tcBorders>
              <w:top w:val="nil"/>
              <w:left w:val="nil"/>
              <w:bottom w:val="nil"/>
              <w:right w:val="nil"/>
            </w:tcBorders>
          </w:tcPr>
          <w:p w14:paraId="072D4253" w14:textId="77777777" w:rsidR="00CE45E2" w:rsidRPr="00CE45E2" w:rsidRDefault="00CE45E2" w:rsidP="006476FB">
            <w:pPr>
              <w:pStyle w:val="Normal6a"/>
            </w:pPr>
            <w:r w:rsidRPr="00CE45E2">
              <w:rPr>
                <w:b/>
                <w:i/>
              </w:rPr>
              <w:t>18b)</w:t>
            </w:r>
            <w:r w:rsidRPr="00CE45E2">
              <w:tab/>
            </w:r>
            <w:r w:rsidRPr="00CE45E2">
              <w:rPr>
                <w:b/>
                <w:i/>
              </w:rPr>
              <w:t>art. 15 ust. 3 otrzymuje brzmienie:</w:t>
            </w:r>
          </w:p>
        </w:tc>
      </w:tr>
      <w:tr w:rsidR="00CE45E2" w:rsidRPr="00CE45E2" w14:paraId="7774E36E" w14:textId="77777777" w:rsidTr="006476FB">
        <w:trPr>
          <w:jc w:val="center"/>
        </w:trPr>
        <w:tc>
          <w:tcPr>
            <w:tcW w:w="4876" w:type="dxa"/>
            <w:tcBorders>
              <w:top w:val="nil"/>
              <w:left w:val="nil"/>
              <w:bottom w:val="nil"/>
              <w:right w:val="nil"/>
            </w:tcBorders>
          </w:tcPr>
          <w:p w14:paraId="787F1DDF" w14:textId="77777777" w:rsidR="00CE45E2" w:rsidRPr="00CE45E2" w:rsidRDefault="00CE45E2" w:rsidP="006476FB">
            <w:pPr>
              <w:pStyle w:val="Normal6a"/>
            </w:pPr>
            <w:r w:rsidRPr="00CE45E2">
              <w:t>Jednakże ust. 1 nie stanowi przeszkody dla państw członkowskich, aby wymagać od znajdujących się na ich terytoriach IORP utrzymywania ustawowych funduszy własnych lub ustanowienia bardziej szczegółowych zasad</w:t>
            </w:r>
            <w:r w:rsidRPr="00CE45E2">
              <w:rPr>
                <w:b/>
                <w:bCs/>
                <w:i/>
                <w:iCs/>
              </w:rPr>
              <w:t xml:space="preserve">, pod </w:t>
            </w:r>
            <w:proofErr w:type="gramStart"/>
            <w:r w:rsidRPr="00CE45E2">
              <w:rPr>
                <w:b/>
                <w:bCs/>
                <w:i/>
                <w:iCs/>
              </w:rPr>
              <w:t>warunkiem</w:t>
            </w:r>
            <w:proofErr w:type="gramEnd"/>
            <w:r w:rsidRPr="00CE45E2">
              <w:rPr>
                <w:b/>
                <w:bCs/>
                <w:i/>
                <w:iCs/>
              </w:rPr>
              <w:t xml:space="preserve"> że są one</w:t>
            </w:r>
            <w:r w:rsidRPr="00CE45E2">
              <w:t xml:space="preserve"> uzasadnione względami ostrożnościowymi.</w:t>
            </w:r>
          </w:p>
        </w:tc>
        <w:tc>
          <w:tcPr>
            <w:tcW w:w="4876" w:type="dxa"/>
            <w:tcBorders>
              <w:top w:val="nil"/>
              <w:left w:val="nil"/>
              <w:bottom w:val="nil"/>
              <w:right w:val="nil"/>
            </w:tcBorders>
          </w:tcPr>
          <w:p w14:paraId="3FA9FDA8" w14:textId="77777777" w:rsidR="00CE45E2" w:rsidRPr="00CE45E2" w:rsidRDefault="00CE45E2" w:rsidP="006476FB">
            <w:pPr>
              <w:pStyle w:val="Normal6a"/>
            </w:pPr>
            <w:r w:rsidRPr="00CE45E2">
              <w:rPr>
                <w:b/>
                <w:bCs/>
                <w:i/>
                <w:iCs/>
              </w:rPr>
              <w:t>„</w:t>
            </w:r>
            <w:r w:rsidRPr="00CE45E2">
              <w:t xml:space="preserve">Jednakże ust. 1 nie stanowi przeszkody dla państw członkowskich, aby wymagać od znajdujących się na ich terytoriach IORP utrzymywania ustawowych funduszy własnych lub ustanowienia bardziej szczegółowych zasad </w:t>
            </w:r>
            <w:r w:rsidRPr="00CE45E2">
              <w:rPr>
                <w:b/>
                <w:bCs/>
                <w:i/>
                <w:iCs/>
              </w:rPr>
              <w:t xml:space="preserve">wyłącznie w przypadku, gdy mogą one wykazać, że takie środki są ściśle niezbędne, proporcjonalne i </w:t>
            </w:r>
            <w:r w:rsidRPr="00CE45E2">
              <w:t>uzasadnione względami ostrożnościowymi.</w:t>
            </w:r>
          </w:p>
        </w:tc>
      </w:tr>
      <w:tr w:rsidR="00CE45E2" w:rsidRPr="00CE45E2" w14:paraId="0C2D214D" w14:textId="77777777" w:rsidTr="006476FB">
        <w:trPr>
          <w:jc w:val="center"/>
        </w:trPr>
        <w:tc>
          <w:tcPr>
            <w:tcW w:w="4876" w:type="dxa"/>
            <w:tcBorders>
              <w:top w:val="nil"/>
              <w:left w:val="nil"/>
              <w:bottom w:val="nil"/>
              <w:right w:val="nil"/>
            </w:tcBorders>
          </w:tcPr>
          <w:p w14:paraId="5A45E526" w14:textId="77777777" w:rsidR="00CE45E2" w:rsidRPr="00CE45E2" w:rsidRDefault="00CE45E2" w:rsidP="006476FB">
            <w:pPr>
              <w:pStyle w:val="Normal6a"/>
            </w:pPr>
          </w:p>
        </w:tc>
        <w:tc>
          <w:tcPr>
            <w:tcW w:w="4876" w:type="dxa"/>
            <w:tcBorders>
              <w:top w:val="nil"/>
              <w:left w:val="nil"/>
              <w:bottom w:val="nil"/>
              <w:right w:val="nil"/>
            </w:tcBorders>
          </w:tcPr>
          <w:p w14:paraId="4674DC1D" w14:textId="77777777" w:rsidR="00CE45E2" w:rsidRPr="00CE45E2" w:rsidRDefault="00CE45E2" w:rsidP="006476FB">
            <w:pPr>
              <w:pStyle w:val="Normal6a"/>
            </w:pPr>
            <w:r w:rsidRPr="00CE45E2">
              <w:rPr>
                <w:b/>
                <w:bCs/>
                <w:i/>
                <w:iCs/>
              </w:rPr>
              <w:t>EIOPA może, z własnej inicjatywy lub na wniosek właściwego organu, wydawać niewiążące opinie dotyczące tego, czy dodatkowe regulacyjne fundusze własne wprowadzone przez państwa członkowskie są zgodne z warunkami określonymi w akapicie pierwszym.”</w:t>
            </w:r>
          </w:p>
        </w:tc>
      </w:tr>
    </w:tbl>
    <w:p w14:paraId="3A63358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B0867FD" w14:textId="77777777" w:rsidR="00CE45E2" w:rsidRPr="00CE45E2" w:rsidRDefault="00CE45E2" w:rsidP="00CE45E2">
      <w:pPr>
        <w:pStyle w:val="AmCrossRef"/>
      </w:pPr>
      <w:r w:rsidRPr="00CE45E2">
        <w:t>(32016L2341)</w:t>
      </w:r>
    </w:p>
    <w:p w14:paraId="5C8A0B62" w14:textId="77777777" w:rsidR="00CE45E2" w:rsidRPr="00CE45E2" w:rsidRDefault="00CE45E2" w:rsidP="00CE45E2">
      <w:r w:rsidRPr="00CE45E2">
        <w:rPr>
          <w:rStyle w:val="HideTWBExt"/>
        </w:rPr>
        <w:t>&lt;/Amend&gt;</w:t>
      </w:r>
    </w:p>
    <w:p w14:paraId="76AA5AB2" w14:textId="405A531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287</w:t>
      </w:r>
      <w:r w:rsidRPr="00CE45E2">
        <w:rPr>
          <w:rStyle w:val="HideTWBExt"/>
          <w:b w:val="0"/>
        </w:rPr>
        <w:t>&lt;/NumAm&gt;</w:t>
      </w:r>
    </w:p>
    <w:p w14:paraId="00664B64"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René</w:t>
      </w:r>
      <w:proofErr w:type="spellEnd"/>
      <w:r w:rsidRPr="00CE45E2">
        <w:t xml:space="preserve"> </w:t>
      </w:r>
      <w:proofErr w:type="spellStart"/>
      <w:r w:rsidRPr="00CE45E2">
        <w:t>Repasi</w:t>
      </w:r>
      <w:proofErr w:type="spellEnd"/>
      <w:r w:rsidRPr="00CE45E2">
        <w:rPr>
          <w:rStyle w:val="HideTWBExt"/>
          <w:b w:val="0"/>
        </w:rPr>
        <w:t>&lt;/Members&gt;</w:t>
      </w:r>
    </w:p>
    <w:p w14:paraId="6F66DE04" w14:textId="77777777" w:rsidR="00CE45E2" w:rsidRPr="00CE45E2" w:rsidRDefault="00CE45E2" w:rsidP="00CE45E2">
      <w:pPr>
        <w:pStyle w:val="NormalBold"/>
      </w:pPr>
      <w:r w:rsidRPr="00CE45E2">
        <w:rPr>
          <w:rStyle w:val="HideTWBExt"/>
          <w:b w:val="0"/>
        </w:rPr>
        <w:t>&lt;/RepeatBlock-By&gt;</w:t>
      </w:r>
    </w:p>
    <w:p w14:paraId="5860437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009897F"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08EC8F6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6451F3A"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072FF19" w14:textId="77777777" w:rsidTr="006476FB">
        <w:trPr>
          <w:trHeight w:hRule="exact" w:val="240"/>
          <w:jc w:val="center"/>
        </w:trPr>
        <w:tc>
          <w:tcPr>
            <w:tcW w:w="9752" w:type="dxa"/>
            <w:gridSpan w:val="2"/>
            <w:tcBorders>
              <w:top w:val="nil"/>
              <w:left w:val="nil"/>
              <w:bottom w:val="nil"/>
              <w:right w:val="nil"/>
            </w:tcBorders>
          </w:tcPr>
          <w:p w14:paraId="54CBFB42" w14:textId="77777777" w:rsidR="00CE45E2" w:rsidRPr="00CE45E2" w:rsidRDefault="00CE45E2" w:rsidP="006476FB"/>
        </w:tc>
      </w:tr>
      <w:tr w:rsidR="00CE45E2" w:rsidRPr="00CE45E2" w14:paraId="326E9529" w14:textId="77777777" w:rsidTr="006476FB">
        <w:trPr>
          <w:trHeight w:val="240"/>
          <w:jc w:val="center"/>
        </w:trPr>
        <w:tc>
          <w:tcPr>
            <w:tcW w:w="4876" w:type="dxa"/>
            <w:tcBorders>
              <w:top w:val="nil"/>
              <w:left w:val="nil"/>
              <w:bottom w:val="nil"/>
              <w:right w:val="nil"/>
            </w:tcBorders>
          </w:tcPr>
          <w:p w14:paraId="46B1400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8F2B74C" w14:textId="77777777" w:rsidR="00CE45E2" w:rsidRPr="00CE45E2" w:rsidRDefault="00CE45E2" w:rsidP="006476FB">
            <w:pPr>
              <w:pStyle w:val="AmColumnHeading"/>
            </w:pPr>
            <w:r w:rsidRPr="00CE45E2">
              <w:t>Poprawka</w:t>
            </w:r>
          </w:p>
        </w:tc>
      </w:tr>
      <w:tr w:rsidR="00CE45E2" w:rsidRPr="00CE45E2" w14:paraId="2BD21E58" w14:textId="77777777" w:rsidTr="006476FB">
        <w:trPr>
          <w:jc w:val="center"/>
        </w:trPr>
        <w:tc>
          <w:tcPr>
            <w:tcW w:w="4876" w:type="dxa"/>
            <w:tcBorders>
              <w:top w:val="nil"/>
              <w:left w:val="nil"/>
              <w:bottom w:val="nil"/>
              <w:right w:val="nil"/>
            </w:tcBorders>
          </w:tcPr>
          <w:p w14:paraId="575D025C" w14:textId="77777777" w:rsidR="00CE45E2" w:rsidRPr="00CE45E2" w:rsidRDefault="00CE45E2" w:rsidP="006476FB">
            <w:pPr>
              <w:pStyle w:val="Normal6a"/>
            </w:pPr>
            <w:r w:rsidRPr="00CE45E2">
              <w:rPr>
                <w:b/>
                <w:i/>
              </w:rPr>
              <w:t>20)</w:t>
            </w:r>
            <w:r w:rsidRPr="00CE45E2">
              <w:tab/>
            </w:r>
            <w:r w:rsidRPr="00CE45E2">
              <w:rPr>
                <w:b/>
                <w:i/>
              </w:rPr>
              <w:t>w art. 17 dodaje się ust. 7 w brzmieniu:</w:t>
            </w:r>
          </w:p>
        </w:tc>
        <w:tc>
          <w:tcPr>
            <w:tcW w:w="4876" w:type="dxa"/>
            <w:tcBorders>
              <w:top w:val="nil"/>
              <w:left w:val="nil"/>
              <w:bottom w:val="nil"/>
              <w:right w:val="nil"/>
            </w:tcBorders>
          </w:tcPr>
          <w:p w14:paraId="263073AB" w14:textId="77777777" w:rsidR="00CE45E2" w:rsidRPr="00CE45E2" w:rsidRDefault="00CE45E2" w:rsidP="006476FB">
            <w:pPr>
              <w:pStyle w:val="Normal6a"/>
            </w:pPr>
            <w:r w:rsidRPr="00CE45E2">
              <w:rPr>
                <w:b/>
                <w:i/>
              </w:rPr>
              <w:t>skreśla się</w:t>
            </w:r>
          </w:p>
        </w:tc>
      </w:tr>
      <w:tr w:rsidR="00CE45E2" w:rsidRPr="00CE45E2" w14:paraId="1311F2BB" w14:textId="77777777" w:rsidTr="006476FB">
        <w:trPr>
          <w:jc w:val="center"/>
        </w:trPr>
        <w:tc>
          <w:tcPr>
            <w:tcW w:w="4876" w:type="dxa"/>
            <w:tcBorders>
              <w:top w:val="nil"/>
              <w:left w:val="nil"/>
              <w:bottom w:val="nil"/>
              <w:right w:val="nil"/>
            </w:tcBorders>
          </w:tcPr>
          <w:p w14:paraId="36E2EACA" w14:textId="77777777" w:rsidR="00CE45E2" w:rsidRPr="00CE45E2" w:rsidRDefault="00CE45E2" w:rsidP="006476FB">
            <w:pPr>
              <w:pStyle w:val="Normal6a"/>
            </w:pPr>
            <w:r w:rsidRPr="00CE45E2">
              <w:rPr>
                <w:b/>
                <w:i/>
              </w:rPr>
              <w:t>„7. Komisja jest uprawniona do przyjmowania aktów delegowanych zgodnie z art. 64a w celu zmiany liczb i wartości procentowych, o których mowa w niniejszym artykule i art. 18.”;</w:t>
            </w:r>
          </w:p>
        </w:tc>
        <w:tc>
          <w:tcPr>
            <w:tcW w:w="4876" w:type="dxa"/>
            <w:tcBorders>
              <w:top w:val="nil"/>
              <w:left w:val="nil"/>
              <w:bottom w:val="nil"/>
              <w:right w:val="nil"/>
            </w:tcBorders>
          </w:tcPr>
          <w:p w14:paraId="3A561289" w14:textId="77777777" w:rsidR="00CE45E2" w:rsidRPr="00CE45E2" w:rsidRDefault="00CE45E2" w:rsidP="006476FB">
            <w:pPr>
              <w:pStyle w:val="Normal6a"/>
            </w:pPr>
          </w:p>
        </w:tc>
      </w:tr>
    </w:tbl>
    <w:p w14:paraId="3299A50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B5E01F9"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07E78E8" w14:textId="77777777" w:rsidR="00CE45E2" w:rsidRPr="00CE45E2" w:rsidRDefault="00CE45E2" w:rsidP="00CE45E2">
      <w:pPr>
        <w:pStyle w:val="AmJustText"/>
      </w:pPr>
      <w:r w:rsidRPr="00CE45E2">
        <w:t>Parametry liczbowe, o których mowa w art. 17 i 18, stanowią podstawowe wymogi ostrożnościowe i powinny nadal podlegać zwykłej procedurze ustawodawczej. Zmiany tych wartości mogą mieć istotne konsekwencje dla IORP, uczestników i beneficjentów, dlatego nie powinny być wprowadzane w drodze aktów delegowanych.</w:t>
      </w:r>
    </w:p>
    <w:p w14:paraId="3EF1591D" w14:textId="77777777" w:rsidR="00CE45E2" w:rsidRPr="00CE45E2" w:rsidRDefault="00CE45E2" w:rsidP="00CE45E2">
      <w:r w:rsidRPr="00CE45E2">
        <w:rPr>
          <w:rStyle w:val="HideTWBExt"/>
        </w:rPr>
        <w:t>&lt;/Amend&gt;</w:t>
      </w:r>
    </w:p>
    <w:p w14:paraId="2F93E9FC" w14:textId="79B74DA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288</w:t>
      </w:r>
      <w:r w:rsidRPr="00CE45E2">
        <w:rPr>
          <w:rStyle w:val="HideTWBExt"/>
          <w:b w:val="0"/>
        </w:rPr>
        <w:t>&lt;/NumAm&gt;</w:t>
      </w:r>
    </w:p>
    <w:p w14:paraId="58844322" w14:textId="77777777" w:rsidR="00CE45E2" w:rsidRPr="00CE45E2" w:rsidRDefault="00CE45E2" w:rsidP="00CE45E2">
      <w:pPr>
        <w:pStyle w:val="NormalBold"/>
      </w:pPr>
      <w:r w:rsidRPr="00CE45E2">
        <w:rPr>
          <w:rStyle w:val="HideTWBExt"/>
          <w:b w:val="0"/>
        </w:rPr>
        <w:t>&lt;RepeatBlock-By&gt;&lt;Members&gt;</w:t>
      </w:r>
      <w:r w:rsidRPr="00CE45E2">
        <w:t xml:space="preserve">Arba </w:t>
      </w:r>
      <w:proofErr w:type="spellStart"/>
      <w:r w:rsidRPr="00CE45E2">
        <w:t>Kokalari</w:t>
      </w:r>
      <w:proofErr w:type="spellEnd"/>
      <w:r w:rsidRPr="00CE45E2">
        <w:rPr>
          <w:rStyle w:val="HideTWBExt"/>
          <w:b w:val="0"/>
        </w:rPr>
        <w:t>&lt;/Members&gt;</w:t>
      </w:r>
    </w:p>
    <w:p w14:paraId="65106057" w14:textId="77777777" w:rsidR="00CE45E2" w:rsidRPr="00CE45E2" w:rsidRDefault="00CE45E2" w:rsidP="00CE45E2">
      <w:pPr>
        <w:pStyle w:val="NormalBold"/>
      </w:pPr>
      <w:r w:rsidRPr="00CE45E2">
        <w:rPr>
          <w:rStyle w:val="HideTWBExt"/>
          <w:b w:val="0"/>
        </w:rPr>
        <w:t>&lt;/RepeatBlock-By&gt;</w:t>
      </w:r>
    </w:p>
    <w:p w14:paraId="404CE68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134018F"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232CC03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6D6BBBA"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862EDC1" w14:textId="77777777" w:rsidTr="006476FB">
        <w:trPr>
          <w:trHeight w:hRule="exact" w:val="240"/>
          <w:jc w:val="center"/>
        </w:trPr>
        <w:tc>
          <w:tcPr>
            <w:tcW w:w="9752" w:type="dxa"/>
            <w:gridSpan w:val="2"/>
            <w:tcBorders>
              <w:top w:val="nil"/>
              <w:left w:val="nil"/>
              <w:bottom w:val="nil"/>
              <w:right w:val="nil"/>
            </w:tcBorders>
          </w:tcPr>
          <w:p w14:paraId="76EC7574" w14:textId="77777777" w:rsidR="00CE45E2" w:rsidRPr="00CE45E2" w:rsidRDefault="00CE45E2" w:rsidP="006476FB"/>
        </w:tc>
      </w:tr>
      <w:tr w:rsidR="00CE45E2" w:rsidRPr="00CE45E2" w14:paraId="4A3CCC49" w14:textId="77777777" w:rsidTr="006476FB">
        <w:trPr>
          <w:trHeight w:val="240"/>
          <w:jc w:val="center"/>
        </w:trPr>
        <w:tc>
          <w:tcPr>
            <w:tcW w:w="4876" w:type="dxa"/>
            <w:tcBorders>
              <w:top w:val="nil"/>
              <w:left w:val="nil"/>
              <w:bottom w:val="nil"/>
              <w:right w:val="nil"/>
            </w:tcBorders>
          </w:tcPr>
          <w:p w14:paraId="364806D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43A4384" w14:textId="77777777" w:rsidR="00CE45E2" w:rsidRPr="00CE45E2" w:rsidRDefault="00CE45E2" w:rsidP="006476FB">
            <w:pPr>
              <w:pStyle w:val="AmColumnHeading"/>
            </w:pPr>
            <w:r w:rsidRPr="00CE45E2">
              <w:t>Poprawka</w:t>
            </w:r>
          </w:p>
        </w:tc>
      </w:tr>
      <w:tr w:rsidR="00CE45E2" w:rsidRPr="00CE45E2" w14:paraId="57FB971F" w14:textId="77777777" w:rsidTr="006476FB">
        <w:trPr>
          <w:jc w:val="center"/>
        </w:trPr>
        <w:tc>
          <w:tcPr>
            <w:tcW w:w="4876" w:type="dxa"/>
            <w:tcBorders>
              <w:top w:val="nil"/>
              <w:left w:val="nil"/>
              <w:bottom w:val="nil"/>
              <w:right w:val="nil"/>
            </w:tcBorders>
          </w:tcPr>
          <w:p w14:paraId="1975E23D" w14:textId="77777777" w:rsidR="00CE45E2" w:rsidRPr="00CE45E2" w:rsidRDefault="00CE45E2" w:rsidP="006476FB">
            <w:pPr>
              <w:pStyle w:val="Normal6a"/>
            </w:pPr>
            <w:r w:rsidRPr="00CE45E2">
              <w:rPr>
                <w:b/>
                <w:i/>
              </w:rPr>
              <w:t>20)</w:t>
            </w:r>
            <w:r w:rsidRPr="00CE45E2">
              <w:tab/>
            </w:r>
            <w:r w:rsidRPr="00CE45E2">
              <w:rPr>
                <w:b/>
                <w:i/>
              </w:rPr>
              <w:t>w art. 17 dodaje się ust. 7 w brzmieniu:</w:t>
            </w:r>
          </w:p>
        </w:tc>
        <w:tc>
          <w:tcPr>
            <w:tcW w:w="4876" w:type="dxa"/>
            <w:tcBorders>
              <w:top w:val="nil"/>
              <w:left w:val="nil"/>
              <w:bottom w:val="nil"/>
              <w:right w:val="nil"/>
            </w:tcBorders>
          </w:tcPr>
          <w:p w14:paraId="5A751035" w14:textId="77777777" w:rsidR="00CE45E2" w:rsidRPr="00CE45E2" w:rsidRDefault="00CE45E2" w:rsidP="006476FB">
            <w:pPr>
              <w:pStyle w:val="Normal6a"/>
            </w:pPr>
            <w:r w:rsidRPr="00CE45E2">
              <w:rPr>
                <w:b/>
                <w:i/>
              </w:rPr>
              <w:t>skreśla się</w:t>
            </w:r>
          </w:p>
        </w:tc>
      </w:tr>
      <w:tr w:rsidR="00CE45E2" w:rsidRPr="00CE45E2" w14:paraId="653D6852" w14:textId="77777777" w:rsidTr="006476FB">
        <w:trPr>
          <w:jc w:val="center"/>
        </w:trPr>
        <w:tc>
          <w:tcPr>
            <w:tcW w:w="4876" w:type="dxa"/>
            <w:tcBorders>
              <w:top w:val="nil"/>
              <w:left w:val="nil"/>
              <w:bottom w:val="nil"/>
              <w:right w:val="nil"/>
            </w:tcBorders>
          </w:tcPr>
          <w:p w14:paraId="69E1603E" w14:textId="77777777" w:rsidR="00CE45E2" w:rsidRPr="00CE45E2" w:rsidRDefault="00CE45E2" w:rsidP="006476FB">
            <w:pPr>
              <w:pStyle w:val="Normal6a"/>
            </w:pPr>
            <w:r w:rsidRPr="00CE45E2">
              <w:rPr>
                <w:b/>
                <w:i/>
              </w:rPr>
              <w:t>„7. Komisja jest uprawniona do przyjmowania aktów delegowanych zgodnie z art. 64a w celu zmiany liczb i wartości procentowych, o których mowa w niniejszym artykule i art. 18.”;</w:t>
            </w:r>
          </w:p>
        </w:tc>
        <w:tc>
          <w:tcPr>
            <w:tcW w:w="4876" w:type="dxa"/>
            <w:tcBorders>
              <w:top w:val="nil"/>
              <w:left w:val="nil"/>
              <w:bottom w:val="nil"/>
              <w:right w:val="nil"/>
            </w:tcBorders>
          </w:tcPr>
          <w:p w14:paraId="06361E84" w14:textId="77777777" w:rsidR="00CE45E2" w:rsidRPr="00CE45E2" w:rsidRDefault="00CE45E2" w:rsidP="006476FB">
            <w:pPr>
              <w:pStyle w:val="Normal6a"/>
            </w:pPr>
          </w:p>
        </w:tc>
      </w:tr>
    </w:tbl>
    <w:p w14:paraId="7FD7FEB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C54502F" w14:textId="77777777" w:rsidR="00CE45E2" w:rsidRPr="00CE45E2" w:rsidRDefault="00CE45E2" w:rsidP="00CE45E2">
      <w:r w:rsidRPr="00CE45E2">
        <w:rPr>
          <w:rStyle w:val="HideTWBExt"/>
        </w:rPr>
        <w:t>&lt;/Amend&gt;</w:t>
      </w:r>
    </w:p>
    <w:p w14:paraId="30E41DFF" w14:textId="08F9B5A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289</w:t>
      </w:r>
      <w:r w:rsidRPr="00CE45E2">
        <w:rPr>
          <w:rStyle w:val="HideTWBExt"/>
          <w:b w:val="0"/>
        </w:rPr>
        <w:t>&lt;/NumAm&gt;</w:t>
      </w:r>
    </w:p>
    <w:p w14:paraId="3A5F99ED"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00A0EE38" w14:textId="77777777" w:rsidR="00CE45E2" w:rsidRPr="00CE45E2" w:rsidRDefault="00CE45E2" w:rsidP="00CE45E2">
      <w:pPr>
        <w:pStyle w:val="NormalBold"/>
      </w:pPr>
      <w:r w:rsidRPr="00CE45E2">
        <w:rPr>
          <w:rStyle w:val="HideTWBExt"/>
          <w:b w:val="0"/>
        </w:rPr>
        <w:t>&lt;/RepeatBlock-By&gt;</w:t>
      </w:r>
    </w:p>
    <w:p w14:paraId="38DF9B0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54A6C33"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4325C8F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B9C00C1"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2AB3AC3" w14:textId="77777777" w:rsidTr="006476FB">
        <w:trPr>
          <w:trHeight w:hRule="exact" w:val="240"/>
          <w:jc w:val="center"/>
        </w:trPr>
        <w:tc>
          <w:tcPr>
            <w:tcW w:w="9752" w:type="dxa"/>
            <w:gridSpan w:val="2"/>
            <w:tcBorders>
              <w:top w:val="nil"/>
              <w:left w:val="nil"/>
              <w:bottom w:val="nil"/>
              <w:right w:val="nil"/>
            </w:tcBorders>
          </w:tcPr>
          <w:p w14:paraId="4AD5AF19" w14:textId="77777777" w:rsidR="00CE45E2" w:rsidRPr="00CE45E2" w:rsidRDefault="00CE45E2" w:rsidP="006476FB"/>
        </w:tc>
      </w:tr>
      <w:tr w:rsidR="00CE45E2" w:rsidRPr="00CE45E2" w14:paraId="6E5F965C" w14:textId="77777777" w:rsidTr="006476FB">
        <w:trPr>
          <w:trHeight w:val="240"/>
          <w:jc w:val="center"/>
        </w:trPr>
        <w:tc>
          <w:tcPr>
            <w:tcW w:w="4876" w:type="dxa"/>
            <w:tcBorders>
              <w:top w:val="nil"/>
              <w:left w:val="nil"/>
              <w:bottom w:val="nil"/>
              <w:right w:val="nil"/>
            </w:tcBorders>
          </w:tcPr>
          <w:p w14:paraId="7DF9F4C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9312B85" w14:textId="77777777" w:rsidR="00CE45E2" w:rsidRPr="00CE45E2" w:rsidRDefault="00CE45E2" w:rsidP="006476FB">
            <w:pPr>
              <w:pStyle w:val="AmColumnHeading"/>
            </w:pPr>
            <w:r w:rsidRPr="00CE45E2">
              <w:t>Poprawka</w:t>
            </w:r>
          </w:p>
        </w:tc>
      </w:tr>
      <w:tr w:rsidR="00CE45E2" w:rsidRPr="00CE45E2" w14:paraId="78B028E2" w14:textId="77777777" w:rsidTr="006476FB">
        <w:trPr>
          <w:jc w:val="center"/>
        </w:trPr>
        <w:tc>
          <w:tcPr>
            <w:tcW w:w="4876" w:type="dxa"/>
            <w:tcBorders>
              <w:top w:val="nil"/>
              <w:left w:val="nil"/>
              <w:bottom w:val="nil"/>
              <w:right w:val="nil"/>
            </w:tcBorders>
          </w:tcPr>
          <w:p w14:paraId="641829CD" w14:textId="77777777" w:rsidR="00CE45E2" w:rsidRPr="00CE45E2" w:rsidRDefault="00CE45E2" w:rsidP="006476FB">
            <w:pPr>
              <w:pStyle w:val="Normal6a"/>
            </w:pPr>
            <w:r w:rsidRPr="00CE45E2">
              <w:rPr>
                <w:b/>
                <w:i/>
              </w:rPr>
              <w:t>20)</w:t>
            </w:r>
            <w:r w:rsidRPr="00CE45E2">
              <w:tab/>
            </w:r>
            <w:r w:rsidRPr="00CE45E2">
              <w:rPr>
                <w:b/>
                <w:i/>
              </w:rPr>
              <w:t>w art. 17 dodaje się ust. 7 w brzmieniu:</w:t>
            </w:r>
          </w:p>
        </w:tc>
        <w:tc>
          <w:tcPr>
            <w:tcW w:w="4876" w:type="dxa"/>
            <w:tcBorders>
              <w:top w:val="nil"/>
              <w:left w:val="nil"/>
              <w:bottom w:val="nil"/>
              <w:right w:val="nil"/>
            </w:tcBorders>
          </w:tcPr>
          <w:p w14:paraId="0E088A59" w14:textId="77777777" w:rsidR="00CE45E2" w:rsidRPr="00CE45E2" w:rsidRDefault="00CE45E2" w:rsidP="006476FB">
            <w:pPr>
              <w:pStyle w:val="Normal6a"/>
            </w:pPr>
            <w:r w:rsidRPr="00CE45E2">
              <w:rPr>
                <w:b/>
                <w:i/>
              </w:rPr>
              <w:t>skreśla się</w:t>
            </w:r>
          </w:p>
        </w:tc>
      </w:tr>
      <w:tr w:rsidR="00CE45E2" w:rsidRPr="00CE45E2" w14:paraId="22D7769C" w14:textId="77777777" w:rsidTr="006476FB">
        <w:trPr>
          <w:jc w:val="center"/>
        </w:trPr>
        <w:tc>
          <w:tcPr>
            <w:tcW w:w="4876" w:type="dxa"/>
            <w:tcBorders>
              <w:top w:val="nil"/>
              <w:left w:val="nil"/>
              <w:bottom w:val="nil"/>
              <w:right w:val="nil"/>
            </w:tcBorders>
          </w:tcPr>
          <w:p w14:paraId="191D5AEB" w14:textId="77777777" w:rsidR="00CE45E2" w:rsidRPr="00CE45E2" w:rsidRDefault="00CE45E2" w:rsidP="006476FB">
            <w:pPr>
              <w:pStyle w:val="Normal6a"/>
            </w:pPr>
            <w:r w:rsidRPr="00CE45E2">
              <w:rPr>
                <w:b/>
                <w:i/>
              </w:rPr>
              <w:t>„7. Komisja jest uprawniona do przyjmowania aktów delegowanych zgodnie z art. 64a w celu zmiany liczb i wartości procentowych, o których mowa w niniejszym artykule i art. 18.”;</w:t>
            </w:r>
          </w:p>
        </w:tc>
        <w:tc>
          <w:tcPr>
            <w:tcW w:w="4876" w:type="dxa"/>
            <w:tcBorders>
              <w:top w:val="nil"/>
              <w:left w:val="nil"/>
              <w:bottom w:val="nil"/>
              <w:right w:val="nil"/>
            </w:tcBorders>
          </w:tcPr>
          <w:p w14:paraId="1635A3BE" w14:textId="77777777" w:rsidR="00CE45E2" w:rsidRPr="00CE45E2" w:rsidRDefault="00CE45E2" w:rsidP="006476FB">
            <w:pPr>
              <w:pStyle w:val="Normal6a"/>
            </w:pPr>
          </w:p>
        </w:tc>
      </w:tr>
    </w:tbl>
    <w:p w14:paraId="3EEDF63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A0AA67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15A210CF" w14:textId="77777777" w:rsidR="00CE45E2" w:rsidRPr="00CE45E2" w:rsidRDefault="00CE45E2" w:rsidP="00CE45E2">
      <w:pPr>
        <w:pStyle w:val="AmJustText"/>
      </w:pPr>
      <w:r w:rsidRPr="00CE45E2">
        <w:t>Progi marginesu wypłacalności są podstawowymi parametrami legislacyjnymi, które określają fundamentalne zobowiązania finansowe IORP oraz ekspozycję na zobowiązania instytucji finansujących. Zmiana tych progów powinna nastąpić w drodze zmiany na poziomie 1, a nie poprzez akt delegowany.</w:t>
      </w:r>
    </w:p>
    <w:p w14:paraId="056B914C" w14:textId="77777777" w:rsidR="00CE45E2" w:rsidRPr="00CE45E2" w:rsidRDefault="00CE45E2" w:rsidP="00CE45E2">
      <w:r w:rsidRPr="00CE45E2">
        <w:rPr>
          <w:rStyle w:val="HideTWBExt"/>
        </w:rPr>
        <w:t>&lt;/Amend&gt;</w:t>
      </w:r>
    </w:p>
    <w:p w14:paraId="580AEB8C" w14:textId="2F8CEBDB"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290</w:t>
      </w:r>
      <w:r w:rsidRPr="00CE45E2">
        <w:rPr>
          <w:rStyle w:val="HideTWBExt"/>
          <w:b w:val="0"/>
        </w:rPr>
        <w:t>&lt;/NumAm&gt;</w:t>
      </w:r>
    </w:p>
    <w:p w14:paraId="35FB49BA"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044845AE" w14:textId="77777777" w:rsidR="00CE45E2" w:rsidRPr="00CE45E2" w:rsidRDefault="00CE45E2" w:rsidP="00CE45E2">
      <w:pPr>
        <w:pStyle w:val="NormalBold"/>
      </w:pPr>
      <w:r w:rsidRPr="00CE45E2">
        <w:rPr>
          <w:rStyle w:val="HideTWBExt"/>
          <w:b w:val="0"/>
        </w:rPr>
        <w:t>&lt;/RepeatBlock-By&gt;</w:t>
      </w:r>
    </w:p>
    <w:p w14:paraId="63A5E74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EA631B5"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78CDDF5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CFD1C4B"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349893E" w14:textId="77777777" w:rsidTr="006476FB">
        <w:trPr>
          <w:trHeight w:hRule="exact" w:val="240"/>
          <w:jc w:val="center"/>
        </w:trPr>
        <w:tc>
          <w:tcPr>
            <w:tcW w:w="9752" w:type="dxa"/>
            <w:gridSpan w:val="2"/>
            <w:tcBorders>
              <w:top w:val="nil"/>
              <w:left w:val="nil"/>
              <w:bottom w:val="nil"/>
              <w:right w:val="nil"/>
            </w:tcBorders>
          </w:tcPr>
          <w:p w14:paraId="65331214" w14:textId="77777777" w:rsidR="00CE45E2" w:rsidRPr="00CE45E2" w:rsidRDefault="00CE45E2" w:rsidP="006476FB"/>
        </w:tc>
      </w:tr>
      <w:tr w:rsidR="00CE45E2" w:rsidRPr="00CE45E2" w14:paraId="6E089A34" w14:textId="77777777" w:rsidTr="006476FB">
        <w:trPr>
          <w:trHeight w:val="240"/>
          <w:jc w:val="center"/>
        </w:trPr>
        <w:tc>
          <w:tcPr>
            <w:tcW w:w="4876" w:type="dxa"/>
            <w:tcBorders>
              <w:top w:val="nil"/>
              <w:left w:val="nil"/>
              <w:bottom w:val="nil"/>
              <w:right w:val="nil"/>
            </w:tcBorders>
          </w:tcPr>
          <w:p w14:paraId="6722F2A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2C3D67F" w14:textId="77777777" w:rsidR="00CE45E2" w:rsidRPr="00CE45E2" w:rsidRDefault="00CE45E2" w:rsidP="006476FB">
            <w:pPr>
              <w:pStyle w:val="AmColumnHeading"/>
            </w:pPr>
            <w:r w:rsidRPr="00CE45E2">
              <w:t>Poprawka</w:t>
            </w:r>
          </w:p>
        </w:tc>
      </w:tr>
      <w:tr w:rsidR="00CE45E2" w:rsidRPr="00CE45E2" w14:paraId="4E706BBD" w14:textId="77777777" w:rsidTr="006476FB">
        <w:trPr>
          <w:jc w:val="center"/>
        </w:trPr>
        <w:tc>
          <w:tcPr>
            <w:tcW w:w="4876" w:type="dxa"/>
            <w:tcBorders>
              <w:top w:val="nil"/>
              <w:left w:val="nil"/>
              <w:bottom w:val="nil"/>
              <w:right w:val="nil"/>
            </w:tcBorders>
          </w:tcPr>
          <w:p w14:paraId="5B10B573" w14:textId="77777777" w:rsidR="00CE45E2" w:rsidRPr="00CE45E2" w:rsidRDefault="00CE45E2" w:rsidP="006476FB">
            <w:pPr>
              <w:pStyle w:val="Normal6a"/>
            </w:pPr>
            <w:r w:rsidRPr="00CE45E2">
              <w:rPr>
                <w:b/>
                <w:i/>
              </w:rPr>
              <w:t>7.</w:t>
            </w:r>
            <w:r w:rsidRPr="00CE45E2">
              <w:tab/>
            </w:r>
            <w:r w:rsidRPr="00CE45E2">
              <w:rPr>
                <w:b/>
                <w:i/>
              </w:rPr>
              <w:t>Komisja jest uprawniona do przyjmowania aktów delegowanych zgodnie z art. 64a w celu zmiany liczb i wartości procentowych, o których mowa w niniejszym artykule i art. 18.”;</w:t>
            </w:r>
          </w:p>
        </w:tc>
        <w:tc>
          <w:tcPr>
            <w:tcW w:w="4876" w:type="dxa"/>
            <w:tcBorders>
              <w:top w:val="nil"/>
              <w:left w:val="nil"/>
              <w:bottom w:val="nil"/>
              <w:right w:val="nil"/>
            </w:tcBorders>
          </w:tcPr>
          <w:p w14:paraId="2B0DE0A9" w14:textId="77777777" w:rsidR="00CE45E2" w:rsidRPr="00CE45E2" w:rsidRDefault="00CE45E2" w:rsidP="006476FB">
            <w:pPr>
              <w:pStyle w:val="Normal6a"/>
            </w:pPr>
            <w:r w:rsidRPr="00CE45E2">
              <w:rPr>
                <w:b/>
                <w:i/>
              </w:rPr>
              <w:t>skreśla się</w:t>
            </w:r>
          </w:p>
        </w:tc>
      </w:tr>
    </w:tbl>
    <w:p w14:paraId="49E2224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349D7DC"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2EAD323" w14:textId="77777777" w:rsidR="00CE45E2" w:rsidRPr="00CE45E2" w:rsidRDefault="00CE45E2" w:rsidP="00CE45E2">
      <w:pPr>
        <w:pStyle w:val="AmJustText"/>
      </w:pPr>
      <w:r w:rsidRPr="00CE45E2">
        <w:t>Skreślono ze względu na charakter dyrektywy IORP, która przewiduje minimalną harmonizację.</w:t>
      </w:r>
    </w:p>
    <w:p w14:paraId="45B2B2BE" w14:textId="77777777" w:rsidR="00CE45E2" w:rsidRPr="00CE45E2" w:rsidRDefault="00CE45E2" w:rsidP="00CE45E2">
      <w:r w:rsidRPr="00CE45E2">
        <w:rPr>
          <w:rStyle w:val="HideTWBExt"/>
        </w:rPr>
        <w:t>&lt;/Amend&gt;</w:t>
      </w:r>
    </w:p>
    <w:p w14:paraId="3A145661" w14:textId="734D5E5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291</w:t>
      </w:r>
      <w:r w:rsidRPr="00CE45E2">
        <w:rPr>
          <w:rStyle w:val="HideTWBExt"/>
          <w:b w:val="0"/>
        </w:rPr>
        <w:t>&lt;/NumAm&gt;</w:t>
      </w:r>
    </w:p>
    <w:p w14:paraId="3942A7AC" w14:textId="77777777" w:rsidR="00CE45E2" w:rsidRPr="00CE45E2" w:rsidRDefault="00CE45E2" w:rsidP="00CE45E2">
      <w:pPr>
        <w:pStyle w:val="NormalBold"/>
      </w:pPr>
      <w:r w:rsidRPr="00CE45E2">
        <w:rPr>
          <w:rStyle w:val="HideTWBExt"/>
          <w:b w:val="0"/>
        </w:rPr>
        <w:t>&lt;RepeatBlock-By&gt;&lt;Members&gt;</w:t>
      </w:r>
      <w:proofErr w:type="spellStart"/>
      <w:r w:rsidRPr="00CE45E2">
        <w:t>Anouk</w:t>
      </w:r>
      <w:proofErr w:type="spellEnd"/>
      <w:r w:rsidRPr="00CE45E2">
        <w:t xml:space="preserve"> Van </w:t>
      </w:r>
      <w:proofErr w:type="spellStart"/>
      <w:r w:rsidRPr="00CE45E2">
        <w:t>Brug</w:t>
      </w:r>
      <w:proofErr w:type="spellEnd"/>
      <w:r w:rsidRPr="00CE45E2">
        <w:t xml:space="preserve">, </w:t>
      </w:r>
      <w:proofErr w:type="spellStart"/>
      <w:r w:rsidRPr="00CE45E2">
        <w:t>Engin</w:t>
      </w:r>
      <w:proofErr w:type="spellEnd"/>
      <w:r w:rsidRPr="00CE45E2">
        <w:t xml:space="preserve"> </w:t>
      </w:r>
      <w:proofErr w:type="spellStart"/>
      <w:r w:rsidRPr="00CE45E2">
        <w:t>Eroglu</w:t>
      </w:r>
      <w:proofErr w:type="spellEnd"/>
      <w:r w:rsidRPr="00CE45E2">
        <w:t xml:space="preserve">, </w:t>
      </w:r>
      <w:proofErr w:type="spellStart"/>
      <w:r w:rsidRPr="00CE45E2">
        <w:t>Stéphanie</w:t>
      </w:r>
      <w:proofErr w:type="spellEnd"/>
      <w:r w:rsidRPr="00CE45E2">
        <w:t xml:space="preserve"> </w:t>
      </w:r>
      <w:proofErr w:type="spellStart"/>
      <w:r w:rsidRPr="00CE45E2">
        <w:t>Yon-Courtin</w:t>
      </w:r>
      <w:proofErr w:type="spellEnd"/>
      <w:r w:rsidRPr="00CE45E2">
        <w:rPr>
          <w:rStyle w:val="HideTWBExt"/>
          <w:b w:val="0"/>
        </w:rPr>
        <w:t>&lt;/Members&gt;</w:t>
      </w:r>
    </w:p>
    <w:p w14:paraId="4D27428E" w14:textId="77777777" w:rsidR="00CE45E2" w:rsidRPr="00CE45E2" w:rsidRDefault="00CE45E2" w:rsidP="00CE45E2">
      <w:pPr>
        <w:pStyle w:val="NormalBold"/>
      </w:pPr>
      <w:r w:rsidRPr="00CE45E2">
        <w:rPr>
          <w:rStyle w:val="HideTWBExt"/>
          <w:b w:val="0"/>
        </w:rPr>
        <w:t>&lt;/RepeatBlock-By&gt;</w:t>
      </w:r>
    </w:p>
    <w:p w14:paraId="76312FF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80992D5"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0252E48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114C44A"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7801849" w14:textId="77777777" w:rsidTr="006476FB">
        <w:trPr>
          <w:trHeight w:hRule="exact" w:val="240"/>
          <w:jc w:val="center"/>
        </w:trPr>
        <w:tc>
          <w:tcPr>
            <w:tcW w:w="9752" w:type="dxa"/>
            <w:gridSpan w:val="2"/>
            <w:tcBorders>
              <w:top w:val="nil"/>
              <w:left w:val="nil"/>
              <w:bottom w:val="nil"/>
              <w:right w:val="nil"/>
            </w:tcBorders>
          </w:tcPr>
          <w:p w14:paraId="54BB10CB" w14:textId="77777777" w:rsidR="00CE45E2" w:rsidRPr="00CE45E2" w:rsidRDefault="00CE45E2" w:rsidP="006476FB"/>
        </w:tc>
      </w:tr>
      <w:tr w:rsidR="00CE45E2" w:rsidRPr="00CE45E2" w14:paraId="75E81EE7" w14:textId="77777777" w:rsidTr="006476FB">
        <w:trPr>
          <w:trHeight w:val="240"/>
          <w:jc w:val="center"/>
        </w:trPr>
        <w:tc>
          <w:tcPr>
            <w:tcW w:w="4876" w:type="dxa"/>
            <w:tcBorders>
              <w:top w:val="nil"/>
              <w:left w:val="nil"/>
              <w:bottom w:val="nil"/>
              <w:right w:val="nil"/>
            </w:tcBorders>
          </w:tcPr>
          <w:p w14:paraId="7830688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42621B5" w14:textId="77777777" w:rsidR="00CE45E2" w:rsidRPr="00CE45E2" w:rsidRDefault="00CE45E2" w:rsidP="006476FB">
            <w:pPr>
              <w:pStyle w:val="AmColumnHeading"/>
            </w:pPr>
            <w:r w:rsidRPr="00CE45E2">
              <w:t>Poprawka</w:t>
            </w:r>
          </w:p>
        </w:tc>
      </w:tr>
      <w:tr w:rsidR="00CE45E2" w:rsidRPr="00CE45E2" w14:paraId="184DA36C" w14:textId="77777777" w:rsidTr="006476FB">
        <w:trPr>
          <w:jc w:val="center"/>
        </w:trPr>
        <w:tc>
          <w:tcPr>
            <w:tcW w:w="4876" w:type="dxa"/>
            <w:tcBorders>
              <w:top w:val="nil"/>
              <w:left w:val="nil"/>
              <w:bottom w:val="nil"/>
              <w:right w:val="nil"/>
            </w:tcBorders>
          </w:tcPr>
          <w:p w14:paraId="64F67163" w14:textId="77777777" w:rsidR="00CE45E2" w:rsidRPr="00CE45E2" w:rsidRDefault="00CE45E2" w:rsidP="006476FB">
            <w:pPr>
              <w:pStyle w:val="Normal6a"/>
            </w:pPr>
            <w:r w:rsidRPr="00CE45E2">
              <w:t>7.</w:t>
            </w:r>
            <w:r w:rsidRPr="00CE45E2">
              <w:tab/>
            </w:r>
            <w:r w:rsidRPr="00CE45E2">
              <w:rPr>
                <w:b/>
                <w:bCs/>
                <w:i/>
                <w:iCs/>
              </w:rPr>
              <w:t xml:space="preserve">Komisja jest uprawniona do przyjmowania aktów delegowanych zgodnie z art. 64a w celu zmiany liczb i wartości procentowych, o których mowa w </w:t>
            </w:r>
            <w:r w:rsidRPr="00CE45E2">
              <w:t>niniejszym artykule i art. 18.</w:t>
            </w:r>
            <w:r w:rsidRPr="00CE45E2">
              <w:rPr>
                <w:b/>
                <w:bCs/>
                <w:i/>
                <w:iCs/>
              </w:rPr>
              <w:t>”;</w:t>
            </w:r>
          </w:p>
        </w:tc>
        <w:tc>
          <w:tcPr>
            <w:tcW w:w="4876" w:type="dxa"/>
            <w:tcBorders>
              <w:top w:val="nil"/>
              <w:left w:val="nil"/>
              <w:bottom w:val="nil"/>
              <w:right w:val="nil"/>
            </w:tcBorders>
          </w:tcPr>
          <w:p w14:paraId="5D68CB57" w14:textId="77777777" w:rsidR="00CE45E2" w:rsidRPr="00CE45E2" w:rsidRDefault="00CE45E2" w:rsidP="006476FB">
            <w:pPr>
              <w:pStyle w:val="Normal6a"/>
            </w:pPr>
            <w:r w:rsidRPr="00CE45E2">
              <w:t>7.</w:t>
            </w:r>
            <w:r w:rsidRPr="00CE45E2">
              <w:tab/>
            </w:r>
            <w:r w:rsidRPr="00CE45E2">
              <w:rPr>
                <w:b/>
                <w:bCs/>
                <w:i/>
                <w:iCs/>
              </w:rPr>
              <w:t>Liczby i wartości procentowe zawarte</w:t>
            </w:r>
            <w:r w:rsidRPr="00CE45E2">
              <w:t xml:space="preserve"> w niniejszym artykule i art. 18 </w:t>
            </w:r>
            <w:r w:rsidRPr="00CE45E2">
              <w:rPr>
                <w:b/>
                <w:bCs/>
                <w:i/>
                <w:iCs/>
              </w:rPr>
              <w:t>zostaną zmienione po przeprowadzeniu przez Komisję odpowiedniego, kompleksowego badania opartego na źródłach publicznych, któremu towarzyszyć będzie wniosek ustawodawczy, w terminie 18 miesięcy od ... [daty wejścia w życie niniejszej dyrektywy zmieniającej]</w:t>
            </w:r>
            <w:r w:rsidRPr="00CE45E2">
              <w:t>.</w:t>
            </w:r>
          </w:p>
        </w:tc>
      </w:tr>
    </w:tbl>
    <w:p w14:paraId="75831F6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258A2F6"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D708A9C" w14:textId="77777777" w:rsidR="00CE45E2" w:rsidRPr="00CE45E2" w:rsidRDefault="00CE45E2" w:rsidP="00CE45E2">
      <w:pPr>
        <w:pStyle w:val="AmJustText"/>
      </w:pPr>
      <w:r w:rsidRPr="00CE45E2">
        <w:t>Alternatywnie można skreślić ten ustęp.</w:t>
      </w:r>
    </w:p>
    <w:p w14:paraId="41827B4F" w14:textId="77777777" w:rsidR="00CE45E2" w:rsidRPr="00CE45E2" w:rsidRDefault="00CE45E2" w:rsidP="00CE45E2">
      <w:r w:rsidRPr="00CE45E2">
        <w:rPr>
          <w:rStyle w:val="HideTWBExt"/>
        </w:rPr>
        <w:t>&lt;/Amend&gt;</w:t>
      </w:r>
    </w:p>
    <w:p w14:paraId="3F248B91" w14:textId="2422AAF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292</w:t>
      </w:r>
      <w:r w:rsidRPr="00CE45E2">
        <w:rPr>
          <w:rStyle w:val="HideTWBExt"/>
          <w:b w:val="0"/>
        </w:rPr>
        <w:t>&lt;/NumAm&gt;</w:t>
      </w:r>
    </w:p>
    <w:p w14:paraId="780B14B6" w14:textId="77777777" w:rsidR="00CE45E2" w:rsidRPr="00CE45E2" w:rsidRDefault="00CE45E2" w:rsidP="00CE45E2">
      <w:pPr>
        <w:pStyle w:val="NormalBold"/>
      </w:pPr>
      <w:r w:rsidRPr="00CE45E2">
        <w:rPr>
          <w:rStyle w:val="HideTWBExt"/>
          <w:b w:val="0"/>
        </w:rPr>
        <w:t>&lt;RepeatBlock-By&gt;&lt;Members&gt;</w:t>
      </w:r>
      <w:proofErr w:type="spellStart"/>
      <w:r w:rsidRPr="00CE45E2">
        <w:t>Engin</w:t>
      </w:r>
      <w:proofErr w:type="spellEnd"/>
      <w:r w:rsidRPr="00CE45E2">
        <w:t xml:space="preserve"> </w:t>
      </w:r>
      <w:proofErr w:type="spellStart"/>
      <w:r w:rsidRPr="00CE45E2">
        <w:t>Eroglu</w:t>
      </w:r>
      <w:proofErr w:type="spellEnd"/>
      <w:r w:rsidRPr="00CE45E2">
        <w:rPr>
          <w:rStyle w:val="HideTWBExt"/>
          <w:b w:val="0"/>
        </w:rPr>
        <w:t>&lt;/Members&gt;</w:t>
      </w:r>
    </w:p>
    <w:p w14:paraId="5C267E8E" w14:textId="77777777" w:rsidR="00CE45E2" w:rsidRPr="00CE45E2" w:rsidRDefault="00CE45E2" w:rsidP="00CE45E2">
      <w:pPr>
        <w:pStyle w:val="NormalBold"/>
      </w:pPr>
      <w:r w:rsidRPr="00CE45E2">
        <w:rPr>
          <w:rStyle w:val="HideTWBExt"/>
          <w:b w:val="0"/>
        </w:rPr>
        <w:t>&lt;/RepeatBlock-By&gt;</w:t>
      </w:r>
    </w:p>
    <w:p w14:paraId="4BD1F1E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03A802A"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6F53A32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6A6C51D" w14:textId="77777777" w:rsidR="00CE45E2" w:rsidRPr="00CE45E2" w:rsidRDefault="00CE45E2" w:rsidP="00CE45E2">
      <w:r w:rsidRPr="00CE45E2">
        <w:rPr>
          <w:rStyle w:val="HideTWBExt"/>
        </w:rPr>
        <w:t>&lt;Article2&gt;</w:t>
      </w:r>
      <w:r w:rsidRPr="00CE45E2">
        <w:t>Artykuł 18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5A5D7E4" w14:textId="77777777" w:rsidTr="006476FB">
        <w:trPr>
          <w:trHeight w:hRule="exact" w:val="240"/>
          <w:jc w:val="center"/>
        </w:trPr>
        <w:tc>
          <w:tcPr>
            <w:tcW w:w="9752" w:type="dxa"/>
            <w:gridSpan w:val="2"/>
            <w:tcBorders>
              <w:top w:val="nil"/>
              <w:left w:val="nil"/>
              <w:bottom w:val="nil"/>
              <w:right w:val="nil"/>
            </w:tcBorders>
          </w:tcPr>
          <w:p w14:paraId="76E4E158" w14:textId="77777777" w:rsidR="00CE45E2" w:rsidRPr="00CE45E2" w:rsidRDefault="00CE45E2" w:rsidP="006476FB"/>
        </w:tc>
      </w:tr>
      <w:tr w:rsidR="00CE45E2" w:rsidRPr="00CE45E2" w14:paraId="2496ADC4" w14:textId="77777777" w:rsidTr="006476FB">
        <w:trPr>
          <w:trHeight w:val="240"/>
          <w:jc w:val="center"/>
        </w:trPr>
        <w:tc>
          <w:tcPr>
            <w:tcW w:w="4876" w:type="dxa"/>
            <w:tcBorders>
              <w:top w:val="nil"/>
              <w:left w:val="nil"/>
              <w:bottom w:val="nil"/>
              <w:right w:val="nil"/>
            </w:tcBorders>
          </w:tcPr>
          <w:p w14:paraId="0658277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EEEA757" w14:textId="77777777" w:rsidR="00CE45E2" w:rsidRPr="00CE45E2" w:rsidRDefault="00CE45E2" w:rsidP="006476FB">
            <w:pPr>
              <w:pStyle w:val="AmColumnHeading"/>
            </w:pPr>
            <w:r w:rsidRPr="00CE45E2">
              <w:t>Poprawka</w:t>
            </w:r>
          </w:p>
        </w:tc>
      </w:tr>
      <w:tr w:rsidR="00CE45E2" w:rsidRPr="00CE45E2" w14:paraId="3D3E7279" w14:textId="77777777" w:rsidTr="006476FB">
        <w:trPr>
          <w:jc w:val="center"/>
        </w:trPr>
        <w:tc>
          <w:tcPr>
            <w:tcW w:w="4876" w:type="dxa"/>
            <w:tcBorders>
              <w:top w:val="nil"/>
              <w:left w:val="nil"/>
              <w:bottom w:val="nil"/>
              <w:right w:val="nil"/>
            </w:tcBorders>
          </w:tcPr>
          <w:p w14:paraId="4395071A" w14:textId="77777777" w:rsidR="00CE45E2" w:rsidRPr="00CE45E2" w:rsidRDefault="00CE45E2" w:rsidP="006476FB">
            <w:pPr>
              <w:pStyle w:val="Normal6a"/>
            </w:pPr>
            <w:r w:rsidRPr="00CE45E2">
              <w:rPr>
                <w:b/>
                <w:i/>
              </w:rPr>
              <w:t>[...]</w:t>
            </w:r>
          </w:p>
        </w:tc>
        <w:tc>
          <w:tcPr>
            <w:tcW w:w="4876" w:type="dxa"/>
            <w:tcBorders>
              <w:top w:val="nil"/>
              <w:left w:val="nil"/>
              <w:bottom w:val="nil"/>
              <w:right w:val="nil"/>
            </w:tcBorders>
          </w:tcPr>
          <w:p w14:paraId="473E548D" w14:textId="77777777" w:rsidR="00CE45E2" w:rsidRPr="00CE45E2" w:rsidRDefault="00CE45E2" w:rsidP="006476FB">
            <w:pPr>
              <w:pStyle w:val="Normal6a"/>
            </w:pPr>
            <w:r w:rsidRPr="00CE45E2">
              <w:rPr>
                <w:b/>
                <w:i/>
              </w:rPr>
              <w:t>skreśla się</w:t>
            </w:r>
          </w:p>
        </w:tc>
      </w:tr>
    </w:tbl>
    <w:p w14:paraId="1FBA703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E6FA2C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BC594D9" w14:textId="77777777" w:rsidR="00CE45E2" w:rsidRPr="00CE45E2" w:rsidRDefault="00CE45E2" w:rsidP="00CE45E2">
      <w:pPr>
        <w:pStyle w:val="AmJustText"/>
      </w:pPr>
      <w:r w:rsidRPr="00CE45E2">
        <w:t>Poprawka jest konieczna, aby zachować stan obecny.</w:t>
      </w:r>
    </w:p>
    <w:p w14:paraId="55EC24C5" w14:textId="77777777" w:rsidR="00CE45E2" w:rsidRPr="00CE45E2" w:rsidRDefault="00CE45E2" w:rsidP="00CE45E2">
      <w:pPr>
        <w:rPr>
          <w:rStyle w:val="HideTWBExt"/>
        </w:rPr>
      </w:pPr>
      <w:r w:rsidRPr="00CE45E2">
        <w:rPr>
          <w:rStyle w:val="HideTWBExt"/>
        </w:rPr>
        <w:t>&lt;/Amend&gt;</w:t>
      </w:r>
    </w:p>
    <w:p w14:paraId="7BFF83B2" w14:textId="16F6D38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293</w:t>
      </w:r>
      <w:r w:rsidRPr="00CE45E2">
        <w:rPr>
          <w:rStyle w:val="HideTWBExt"/>
          <w:b w:val="0"/>
        </w:rPr>
        <w:t>&lt;/NumAm&gt;</w:t>
      </w:r>
    </w:p>
    <w:p w14:paraId="146C30FD"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15A00DFD" w14:textId="77777777" w:rsidR="00CE45E2" w:rsidRPr="00CE45E2" w:rsidRDefault="00CE45E2" w:rsidP="00CE45E2">
      <w:pPr>
        <w:pStyle w:val="NormalBold"/>
      </w:pPr>
      <w:r w:rsidRPr="00CE45E2">
        <w:rPr>
          <w:rStyle w:val="HideTWBExt"/>
          <w:b w:val="0"/>
        </w:rPr>
        <w:t>&lt;/RepeatBlock-By&gt;</w:t>
      </w:r>
    </w:p>
    <w:p w14:paraId="38455F9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87175BA" w14:textId="77777777" w:rsidR="00CE45E2" w:rsidRPr="00CE45E2" w:rsidRDefault="00CE45E2" w:rsidP="00CE45E2">
      <w:pPr>
        <w:pStyle w:val="NormalBold"/>
      </w:pPr>
      <w:r w:rsidRPr="00CE45E2">
        <w:rPr>
          <w:rStyle w:val="HideTWBExt"/>
          <w:b w:val="0"/>
        </w:rPr>
        <w:t>&lt;Article&gt;</w:t>
      </w:r>
      <w:r w:rsidRPr="00CE45E2">
        <w:t>Artykuł 1 – akapit 1 – punkt 20</w:t>
      </w:r>
      <w:r w:rsidRPr="00CE45E2">
        <w:rPr>
          <w:rStyle w:val="HideTWBExt"/>
          <w:b w:val="0"/>
        </w:rPr>
        <w:t>&lt;/Article&gt;</w:t>
      </w:r>
    </w:p>
    <w:p w14:paraId="13BE582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848CC7A" w14:textId="77777777" w:rsidR="00CE45E2" w:rsidRPr="00CE45E2" w:rsidRDefault="00CE45E2" w:rsidP="00CE45E2">
      <w:r w:rsidRPr="00CE45E2">
        <w:rPr>
          <w:rStyle w:val="HideTWBExt"/>
        </w:rPr>
        <w:t>&lt;Article2&gt;</w:t>
      </w:r>
      <w:r w:rsidRPr="00CE45E2">
        <w:t>Artykuł 17 – ustęp 7</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469C827" w14:textId="77777777" w:rsidTr="006476FB">
        <w:trPr>
          <w:trHeight w:hRule="exact" w:val="240"/>
          <w:jc w:val="center"/>
        </w:trPr>
        <w:tc>
          <w:tcPr>
            <w:tcW w:w="9752" w:type="dxa"/>
            <w:gridSpan w:val="2"/>
            <w:tcBorders>
              <w:top w:val="nil"/>
              <w:left w:val="nil"/>
              <w:bottom w:val="nil"/>
              <w:right w:val="nil"/>
            </w:tcBorders>
          </w:tcPr>
          <w:p w14:paraId="6BD924E8" w14:textId="77777777" w:rsidR="00CE45E2" w:rsidRPr="00CE45E2" w:rsidRDefault="00CE45E2" w:rsidP="006476FB"/>
        </w:tc>
      </w:tr>
      <w:tr w:rsidR="00CE45E2" w:rsidRPr="00CE45E2" w14:paraId="7ADD73B5" w14:textId="77777777" w:rsidTr="006476FB">
        <w:trPr>
          <w:trHeight w:val="240"/>
          <w:jc w:val="center"/>
        </w:trPr>
        <w:tc>
          <w:tcPr>
            <w:tcW w:w="4876" w:type="dxa"/>
            <w:tcBorders>
              <w:top w:val="nil"/>
              <w:left w:val="nil"/>
              <w:bottom w:val="nil"/>
              <w:right w:val="nil"/>
            </w:tcBorders>
          </w:tcPr>
          <w:p w14:paraId="69303AF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A53C5F0" w14:textId="77777777" w:rsidR="00CE45E2" w:rsidRPr="00CE45E2" w:rsidRDefault="00CE45E2" w:rsidP="006476FB">
            <w:pPr>
              <w:pStyle w:val="AmColumnHeading"/>
            </w:pPr>
            <w:r w:rsidRPr="00CE45E2">
              <w:t>Poprawka</w:t>
            </w:r>
          </w:p>
        </w:tc>
      </w:tr>
      <w:tr w:rsidR="00CE45E2" w:rsidRPr="00CE45E2" w14:paraId="497DD75A" w14:textId="77777777" w:rsidTr="006476FB">
        <w:trPr>
          <w:jc w:val="center"/>
        </w:trPr>
        <w:tc>
          <w:tcPr>
            <w:tcW w:w="4876" w:type="dxa"/>
            <w:tcBorders>
              <w:top w:val="nil"/>
              <w:left w:val="nil"/>
              <w:bottom w:val="nil"/>
              <w:right w:val="nil"/>
            </w:tcBorders>
          </w:tcPr>
          <w:p w14:paraId="1CACD9C5" w14:textId="77777777" w:rsidR="00CE45E2" w:rsidRPr="00CE45E2" w:rsidRDefault="00CE45E2" w:rsidP="006476FB">
            <w:pPr>
              <w:pStyle w:val="Normal6a"/>
            </w:pPr>
            <w:r w:rsidRPr="00CE45E2">
              <w:t>7.</w:t>
            </w:r>
            <w:r w:rsidRPr="00CE45E2">
              <w:tab/>
              <w:t>Komisja jest uprawniona do przyjmowania aktów delegowanych zgodnie z art. 64a w celu zmiany liczb i wartości procentowych, o których mowa w niniejszym artykule i art. 18.”;</w:t>
            </w:r>
          </w:p>
        </w:tc>
        <w:tc>
          <w:tcPr>
            <w:tcW w:w="4876" w:type="dxa"/>
            <w:tcBorders>
              <w:top w:val="nil"/>
              <w:left w:val="nil"/>
              <w:bottom w:val="nil"/>
              <w:right w:val="nil"/>
            </w:tcBorders>
          </w:tcPr>
          <w:p w14:paraId="2E2B2D83" w14:textId="77777777" w:rsidR="00CE45E2" w:rsidRPr="00CE45E2" w:rsidRDefault="00CE45E2" w:rsidP="006476FB">
            <w:pPr>
              <w:pStyle w:val="Normal6a"/>
            </w:pPr>
            <w:r w:rsidRPr="00CE45E2">
              <w:t>7.</w:t>
            </w:r>
            <w:r w:rsidRPr="00CE45E2">
              <w:tab/>
              <w:t xml:space="preserve">Komisja jest uprawniona do przyjmowania aktów delegowanych zgodnie z art. 64a w celu zmiany liczb i wartości procentowych, o których mowa w niniejszym artykule i art. 18. </w:t>
            </w:r>
            <w:r w:rsidRPr="00CE45E2">
              <w:rPr>
                <w:b/>
                <w:i/>
              </w:rPr>
              <w:t xml:space="preserve">Marginesy wypłacalności ustala się w granicach przedziałów minimalnych i maksymalnych określonych w niniejszej dyrektywie. Wszelkie zmiany wprowadzane w drodze aktów delegowanych wymagają uprzedniej konsultacji z EIOPA, której towarzyszy analiza skutków. </w:t>
            </w:r>
            <w:r w:rsidRPr="00CE45E2">
              <w:rPr>
                <w:b/>
                <w:bCs/>
                <w:i/>
                <w:iCs/>
              </w:rPr>
              <w:t>Przeglądy odbywają się w regularnych odstępach czasu wynoszących pięć lat</w:t>
            </w:r>
            <w:r w:rsidRPr="00CE45E2">
              <w:t>.”;</w:t>
            </w:r>
          </w:p>
        </w:tc>
      </w:tr>
    </w:tbl>
    <w:p w14:paraId="7BBB6C9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041AEFA" w14:textId="77777777" w:rsidR="00CE45E2" w:rsidRPr="00CE45E2" w:rsidRDefault="00CE45E2" w:rsidP="00CE45E2">
      <w:r w:rsidRPr="00CE45E2">
        <w:rPr>
          <w:rStyle w:val="HideTWBExt"/>
        </w:rPr>
        <w:t>&lt;/Amend&gt;</w:t>
      </w:r>
    </w:p>
    <w:p w14:paraId="01EB4138" w14:textId="047D095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294</w:t>
      </w:r>
      <w:r w:rsidRPr="00CE45E2">
        <w:rPr>
          <w:rStyle w:val="HideTWBExt"/>
          <w:b w:val="0"/>
        </w:rPr>
        <w:t>&lt;/NumAm&gt;</w:t>
      </w:r>
    </w:p>
    <w:p w14:paraId="3931BEA3"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446B3D06" w14:textId="77777777" w:rsidR="00CE45E2" w:rsidRPr="00CE45E2" w:rsidRDefault="00CE45E2" w:rsidP="00CE45E2">
      <w:pPr>
        <w:pStyle w:val="NormalBold"/>
      </w:pPr>
      <w:r w:rsidRPr="00CE45E2">
        <w:rPr>
          <w:rStyle w:val="HideTWBExt"/>
          <w:b w:val="0"/>
        </w:rPr>
        <w:t>&lt;/RepeatBlock-By&gt;</w:t>
      </w:r>
    </w:p>
    <w:p w14:paraId="6110D66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DFF568F"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27A89DE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ABEFE6A" w14:textId="77777777" w:rsidR="00CE45E2" w:rsidRPr="00CE45E2" w:rsidRDefault="00CE45E2" w:rsidP="00CE45E2">
      <w:r w:rsidRPr="00CE45E2">
        <w:rPr>
          <w:rStyle w:val="HideTWBExt"/>
        </w:rPr>
        <w:t>&lt;Article2&gt;</w:t>
      </w:r>
      <w:r w:rsidRPr="00CE45E2">
        <w:t>Artykuł 18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87889D7" w14:textId="77777777" w:rsidTr="006476FB">
        <w:trPr>
          <w:trHeight w:hRule="exact" w:val="240"/>
          <w:jc w:val="center"/>
        </w:trPr>
        <w:tc>
          <w:tcPr>
            <w:tcW w:w="9752" w:type="dxa"/>
            <w:gridSpan w:val="2"/>
            <w:tcBorders>
              <w:top w:val="nil"/>
              <w:left w:val="nil"/>
              <w:bottom w:val="nil"/>
              <w:right w:val="nil"/>
            </w:tcBorders>
          </w:tcPr>
          <w:p w14:paraId="5C32EB44" w14:textId="77777777" w:rsidR="00CE45E2" w:rsidRPr="00CE45E2" w:rsidRDefault="00CE45E2" w:rsidP="006476FB"/>
        </w:tc>
      </w:tr>
      <w:tr w:rsidR="00CE45E2" w:rsidRPr="00CE45E2" w14:paraId="4207EAB5" w14:textId="77777777" w:rsidTr="006476FB">
        <w:trPr>
          <w:trHeight w:val="240"/>
          <w:jc w:val="center"/>
        </w:trPr>
        <w:tc>
          <w:tcPr>
            <w:tcW w:w="4876" w:type="dxa"/>
            <w:tcBorders>
              <w:top w:val="nil"/>
              <w:left w:val="nil"/>
              <w:bottom w:val="nil"/>
              <w:right w:val="nil"/>
            </w:tcBorders>
          </w:tcPr>
          <w:p w14:paraId="334CB36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08C50E3" w14:textId="77777777" w:rsidR="00CE45E2" w:rsidRPr="00CE45E2" w:rsidRDefault="00CE45E2" w:rsidP="006476FB">
            <w:pPr>
              <w:pStyle w:val="AmColumnHeading"/>
            </w:pPr>
            <w:r w:rsidRPr="00CE45E2">
              <w:t>Poprawka</w:t>
            </w:r>
          </w:p>
        </w:tc>
      </w:tr>
      <w:tr w:rsidR="00CE45E2" w:rsidRPr="00CE45E2" w14:paraId="467CC964" w14:textId="77777777" w:rsidTr="006476FB">
        <w:trPr>
          <w:jc w:val="center"/>
        </w:trPr>
        <w:tc>
          <w:tcPr>
            <w:tcW w:w="4876" w:type="dxa"/>
            <w:tcBorders>
              <w:top w:val="nil"/>
              <w:left w:val="nil"/>
              <w:bottom w:val="nil"/>
              <w:right w:val="nil"/>
            </w:tcBorders>
          </w:tcPr>
          <w:p w14:paraId="44C3FE37" w14:textId="77777777" w:rsidR="00CE45E2" w:rsidRPr="00CE45E2" w:rsidRDefault="00CE45E2" w:rsidP="006476FB">
            <w:pPr>
              <w:pStyle w:val="Normal6a"/>
            </w:pPr>
            <w:r w:rsidRPr="00CE45E2">
              <w:rPr>
                <w:b/>
                <w:i/>
              </w:rPr>
              <w:t>21)</w:t>
            </w:r>
            <w:r w:rsidRPr="00CE45E2">
              <w:tab/>
            </w:r>
            <w:r w:rsidRPr="00CE45E2">
              <w:rPr>
                <w:b/>
                <w:i/>
              </w:rPr>
              <w:t>[...]</w:t>
            </w:r>
          </w:p>
        </w:tc>
        <w:tc>
          <w:tcPr>
            <w:tcW w:w="4876" w:type="dxa"/>
            <w:tcBorders>
              <w:top w:val="nil"/>
              <w:left w:val="nil"/>
              <w:bottom w:val="nil"/>
              <w:right w:val="nil"/>
            </w:tcBorders>
          </w:tcPr>
          <w:p w14:paraId="2DFC635E" w14:textId="77777777" w:rsidR="00CE45E2" w:rsidRPr="00CE45E2" w:rsidRDefault="00CE45E2" w:rsidP="006476FB">
            <w:pPr>
              <w:pStyle w:val="Normal6a"/>
            </w:pPr>
            <w:r w:rsidRPr="00CE45E2">
              <w:rPr>
                <w:b/>
                <w:i/>
              </w:rPr>
              <w:t>skreśla się</w:t>
            </w:r>
          </w:p>
        </w:tc>
      </w:tr>
    </w:tbl>
    <w:p w14:paraId="3C46DCA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58C4FB6"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2DAA672" w14:textId="77777777" w:rsidR="00CE45E2" w:rsidRPr="00CE45E2" w:rsidRDefault="00CE45E2" w:rsidP="00CE45E2">
      <w:pPr>
        <w:pStyle w:val="AmJustText"/>
      </w:pPr>
      <w:r w:rsidRPr="00CE45E2">
        <w:t>Art. 18a nakłada obowiązek stosowania krótkoterminowych scenariuszy warunków skrajnych w zakresie wypłacalności na instytucje o długoterminowych horyzontach inwestycyjnych oraz posiadające istniejące krajowe sieci bezpieczeństwa, które już uwzględniają ryzyka, jakie przepis ten ma pokrywać. Przewidziane scenariusze aktywnie zniechęcają do inwestycji kapitałowych i niepłynnych, co jest sprzeczne z celem unii oszczędności i inwestycji. Artykuł ten jest nieproporcjonalny i powinien zostać skreślony.</w:t>
      </w:r>
    </w:p>
    <w:p w14:paraId="49305F7F" w14:textId="77777777" w:rsidR="00CE45E2" w:rsidRPr="00CE45E2" w:rsidRDefault="00CE45E2" w:rsidP="00CE45E2">
      <w:r w:rsidRPr="00CE45E2">
        <w:rPr>
          <w:rStyle w:val="HideTWBExt"/>
        </w:rPr>
        <w:t>&lt;/Amend&gt;</w:t>
      </w:r>
    </w:p>
    <w:p w14:paraId="33DE8C7B" w14:textId="552E4FE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295</w:t>
      </w:r>
      <w:r w:rsidRPr="00CE45E2">
        <w:rPr>
          <w:rStyle w:val="HideTWBExt"/>
          <w:b w:val="0"/>
        </w:rPr>
        <w:t>&lt;/NumAm&gt;</w:t>
      </w:r>
    </w:p>
    <w:p w14:paraId="7BC012B0"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1299D922" w14:textId="77777777" w:rsidR="00CE45E2" w:rsidRPr="00CE45E2" w:rsidRDefault="00CE45E2" w:rsidP="00CE45E2">
      <w:pPr>
        <w:pStyle w:val="NormalBold"/>
      </w:pPr>
      <w:r w:rsidRPr="00CE45E2">
        <w:rPr>
          <w:rStyle w:val="HideTWBExt"/>
          <w:b w:val="0"/>
        </w:rPr>
        <w:t>&lt;/RepeatBlock-By&gt;</w:t>
      </w:r>
    </w:p>
    <w:p w14:paraId="332BB61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EF611F6"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311BD04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311F954" w14:textId="77777777" w:rsidR="00CE45E2" w:rsidRPr="00CE45E2" w:rsidRDefault="00CE45E2" w:rsidP="00CE45E2">
      <w:r w:rsidRPr="00CE45E2">
        <w:rPr>
          <w:rStyle w:val="HideTWBExt"/>
        </w:rPr>
        <w:t>&lt;Article2&gt;</w:t>
      </w:r>
      <w:r w:rsidRPr="00CE45E2">
        <w:t>Artykuł 18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C65C2B3" w14:textId="77777777" w:rsidTr="006476FB">
        <w:trPr>
          <w:trHeight w:hRule="exact" w:val="240"/>
          <w:jc w:val="center"/>
        </w:trPr>
        <w:tc>
          <w:tcPr>
            <w:tcW w:w="9752" w:type="dxa"/>
            <w:gridSpan w:val="2"/>
            <w:tcBorders>
              <w:top w:val="nil"/>
              <w:left w:val="nil"/>
              <w:bottom w:val="nil"/>
              <w:right w:val="nil"/>
            </w:tcBorders>
          </w:tcPr>
          <w:p w14:paraId="3396D492" w14:textId="77777777" w:rsidR="00CE45E2" w:rsidRPr="00CE45E2" w:rsidRDefault="00CE45E2" w:rsidP="006476FB"/>
        </w:tc>
      </w:tr>
      <w:tr w:rsidR="00CE45E2" w:rsidRPr="00CE45E2" w14:paraId="08F0B857" w14:textId="77777777" w:rsidTr="006476FB">
        <w:trPr>
          <w:trHeight w:val="240"/>
          <w:jc w:val="center"/>
        </w:trPr>
        <w:tc>
          <w:tcPr>
            <w:tcW w:w="4876" w:type="dxa"/>
            <w:tcBorders>
              <w:top w:val="nil"/>
              <w:left w:val="nil"/>
              <w:bottom w:val="nil"/>
              <w:right w:val="nil"/>
            </w:tcBorders>
          </w:tcPr>
          <w:p w14:paraId="26EB28D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689A0F6" w14:textId="77777777" w:rsidR="00CE45E2" w:rsidRPr="00CE45E2" w:rsidRDefault="00CE45E2" w:rsidP="006476FB">
            <w:pPr>
              <w:pStyle w:val="AmColumnHeading"/>
            </w:pPr>
            <w:r w:rsidRPr="00CE45E2">
              <w:t>Poprawka</w:t>
            </w:r>
          </w:p>
        </w:tc>
      </w:tr>
      <w:tr w:rsidR="00CE45E2" w:rsidRPr="00CE45E2" w14:paraId="38E0C419" w14:textId="77777777" w:rsidTr="006476FB">
        <w:trPr>
          <w:jc w:val="center"/>
        </w:trPr>
        <w:tc>
          <w:tcPr>
            <w:tcW w:w="4876" w:type="dxa"/>
            <w:tcBorders>
              <w:top w:val="nil"/>
              <w:left w:val="nil"/>
              <w:bottom w:val="nil"/>
              <w:right w:val="nil"/>
            </w:tcBorders>
          </w:tcPr>
          <w:p w14:paraId="15DC9336" w14:textId="77777777" w:rsidR="00CE45E2" w:rsidRPr="00CE45E2" w:rsidRDefault="00CE45E2" w:rsidP="006476FB">
            <w:pPr>
              <w:pStyle w:val="Normal6a"/>
            </w:pPr>
            <w:r w:rsidRPr="00CE45E2">
              <w:rPr>
                <w:b/>
                <w:i/>
              </w:rPr>
              <w:t>[...]</w:t>
            </w:r>
          </w:p>
        </w:tc>
        <w:tc>
          <w:tcPr>
            <w:tcW w:w="4876" w:type="dxa"/>
            <w:tcBorders>
              <w:top w:val="nil"/>
              <w:left w:val="nil"/>
              <w:bottom w:val="nil"/>
              <w:right w:val="nil"/>
            </w:tcBorders>
          </w:tcPr>
          <w:p w14:paraId="4A083B89" w14:textId="77777777" w:rsidR="00CE45E2" w:rsidRPr="00CE45E2" w:rsidRDefault="00CE45E2" w:rsidP="006476FB">
            <w:pPr>
              <w:pStyle w:val="Normal6a"/>
            </w:pPr>
            <w:r w:rsidRPr="00CE45E2">
              <w:rPr>
                <w:b/>
                <w:i/>
              </w:rPr>
              <w:t>skreśla się</w:t>
            </w:r>
          </w:p>
        </w:tc>
      </w:tr>
    </w:tbl>
    <w:p w14:paraId="21CFB7F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38D06F9E" w14:textId="77777777" w:rsidR="00CE45E2" w:rsidRPr="00CE45E2" w:rsidRDefault="00CE45E2" w:rsidP="00CE45E2">
      <w:r w:rsidRPr="00CE45E2">
        <w:rPr>
          <w:rStyle w:val="HideTWBExt"/>
        </w:rPr>
        <w:t>&lt;/Amend&gt;</w:t>
      </w:r>
    </w:p>
    <w:p w14:paraId="48A5BDE7" w14:textId="3951825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296</w:t>
      </w:r>
      <w:r w:rsidRPr="00CE45E2">
        <w:rPr>
          <w:rStyle w:val="HideTWBExt"/>
          <w:b w:val="0"/>
        </w:rPr>
        <w:t>&lt;/NumAm&gt;</w:t>
      </w:r>
    </w:p>
    <w:p w14:paraId="197322EF"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710FE065" w14:textId="77777777" w:rsidR="00CE45E2" w:rsidRPr="00CE45E2" w:rsidRDefault="00CE45E2" w:rsidP="00CE45E2">
      <w:pPr>
        <w:pStyle w:val="NormalBold"/>
      </w:pPr>
      <w:r w:rsidRPr="00CE45E2">
        <w:rPr>
          <w:rStyle w:val="HideTWBExt"/>
          <w:b w:val="0"/>
        </w:rPr>
        <w:t>&lt;/RepeatBlock-By&gt;</w:t>
      </w:r>
    </w:p>
    <w:p w14:paraId="09207E0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E8F856B"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22FE408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EFE28AD" w14:textId="77777777" w:rsidR="00CE45E2" w:rsidRPr="00CE45E2" w:rsidRDefault="00CE45E2" w:rsidP="00CE45E2">
      <w:r w:rsidRPr="00CE45E2">
        <w:rPr>
          <w:rStyle w:val="HideTWBExt"/>
        </w:rPr>
        <w:t>&lt;Article2&gt;</w:t>
      </w:r>
      <w:r w:rsidRPr="00CE45E2">
        <w:t>Artykuł 18 a – ustęp 1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88600D3" w14:textId="77777777" w:rsidTr="006476FB">
        <w:trPr>
          <w:trHeight w:hRule="exact" w:val="240"/>
          <w:jc w:val="center"/>
        </w:trPr>
        <w:tc>
          <w:tcPr>
            <w:tcW w:w="9752" w:type="dxa"/>
            <w:gridSpan w:val="2"/>
            <w:tcBorders>
              <w:top w:val="nil"/>
              <w:left w:val="nil"/>
              <w:bottom w:val="nil"/>
              <w:right w:val="nil"/>
            </w:tcBorders>
          </w:tcPr>
          <w:p w14:paraId="476B4013" w14:textId="77777777" w:rsidR="00CE45E2" w:rsidRPr="00CE45E2" w:rsidRDefault="00CE45E2" w:rsidP="006476FB"/>
        </w:tc>
      </w:tr>
      <w:tr w:rsidR="00CE45E2" w:rsidRPr="00CE45E2" w14:paraId="3D1A0F2C" w14:textId="77777777" w:rsidTr="006476FB">
        <w:trPr>
          <w:trHeight w:val="240"/>
          <w:jc w:val="center"/>
        </w:trPr>
        <w:tc>
          <w:tcPr>
            <w:tcW w:w="4876" w:type="dxa"/>
            <w:tcBorders>
              <w:top w:val="nil"/>
              <w:left w:val="nil"/>
              <w:bottom w:val="nil"/>
              <w:right w:val="nil"/>
            </w:tcBorders>
          </w:tcPr>
          <w:p w14:paraId="47DA9C6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8AE2DA6" w14:textId="77777777" w:rsidR="00CE45E2" w:rsidRPr="00CE45E2" w:rsidRDefault="00CE45E2" w:rsidP="006476FB">
            <w:pPr>
              <w:pStyle w:val="AmColumnHeading"/>
            </w:pPr>
            <w:r w:rsidRPr="00CE45E2">
              <w:t>Poprawka</w:t>
            </w:r>
          </w:p>
        </w:tc>
      </w:tr>
      <w:tr w:rsidR="00CE45E2" w:rsidRPr="00CE45E2" w14:paraId="3B56E894" w14:textId="77777777" w:rsidTr="006476FB">
        <w:trPr>
          <w:jc w:val="center"/>
        </w:trPr>
        <w:tc>
          <w:tcPr>
            <w:tcW w:w="4876" w:type="dxa"/>
            <w:tcBorders>
              <w:top w:val="nil"/>
              <w:left w:val="nil"/>
              <w:bottom w:val="nil"/>
              <w:right w:val="nil"/>
            </w:tcBorders>
          </w:tcPr>
          <w:p w14:paraId="2BC4EAF8" w14:textId="77777777" w:rsidR="00CE45E2" w:rsidRPr="00CE45E2" w:rsidRDefault="00CE45E2" w:rsidP="006476FB">
            <w:pPr>
              <w:pStyle w:val="Normal6a"/>
            </w:pPr>
            <w:r w:rsidRPr="00CE45E2">
              <w:t xml:space="preserve">Właściwe organy rodzimych państw członkowskich wymagają, aby IORP obsługujące programy emerytalne, w przypadku gdy sama IORP, a nie instytucja finansująca, ponosi zobowiązania z tytułu pokrycia biometrycznych rodzajów ryzyka lub gwarantuje określony wynik działalności inwestycyjnej lub dany poziom świadczeń, przeprowadzały test warunków skrajnych </w:t>
            </w:r>
            <w:r w:rsidRPr="00CE45E2">
              <w:rPr>
                <w:b/>
                <w:bCs/>
                <w:i/>
                <w:iCs/>
              </w:rPr>
              <w:t>co najmniej raz na trzy lata</w:t>
            </w:r>
            <w:r w:rsidRPr="00CE45E2">
              <w:t xml:space="preserve"> w celu oceny ich zdolności do wywiązania się ze swoich zobowiązań wobec uczestników i beneficjentów, w tym w scenariuszach przedstawiających niekorzystny rozwój sytuacji rynkowej i demograficznej.</w:t>
            </w:r>
          </w:p>
        </w:tc>
        <w:tc>
          <w:tcPr>
            <w:tcW w:w="4876" w:type="dxa"/>
            <w:tcBorders>
              <w:top w:val="nil"/>
              <w:left w:val="nil"/>
              <w:bottom w:val="nil"/>
              <w:right w:val="nil"/>
            </w:tcBorders>
          </w:tcPr>
          <w:p w14:paraId="3C76F9B8" w14:textId="77777777" w:rsidR="00CE45E2" w:rsidRPr="00CE45E2" w:rsidRDefault="00CE45E2" w:rsidP="006476FB">
            <w:pPr>
              <w:pStyle w:val="Normal6a"/>
            </w:pPr>
            <w:r w:rsidRPr="00CE45E2">
              <w:t xml:space="preserve">Właściwe organy rodzimych państw członkowskich wymagają, aby IORP obsługujące programy emerytalne, w przypadku gdy sama IORP, a nie instytucja finansująca, ponosi zobowiązania z tytułu pokrycia biometrycznych rodzajów ryzyka lub gwarantuje określony wynik działalności inwestycyjnej lub dany poziom świadczeń, </w:t>
            </w:r>
            <w:r w:rsidRPr="00CE45E2">
              <w:rPr>
                <w:b/>
                <w:bCs/>
                <w:i/>
                <w:iCs/>
              </w:rPr>
              <w:t>regularnie</w:t>
            </w:r>
            <w:r w:rsidRPr="00CE45E2">
              <w:t xml:space="preserve"> przeprowadzały test warunków skrajnych w celu oceny ich zdolności do wywiązania się ze swoich zobowiązań wobec uczestników i beneficjentów, w tym w scenariuszach przedstawiających niekorzystny rozwój sytuacji rynkowej i demograficznej. </w:t>
            </w:r>
            <w:r w:rsidRPr="00CE45E2">
              <w:rPr>
                <w:b/>
                <w:i/>
              </w:rPr>
              <w:t>Przy określaniu zakresu, poziomu szczegółowości i częstotliwości testów warunków skrajnych właściwe organy uwzględniają charakter, ryzyko, skalę i złożoność działalności IORP.</w:t>
            </w:r>
          </w:p>
        </w:tc>
      </w:tr>
    </w:tbl>
    <w:p w14:paraId="10253C5A"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F890037" w14:textId="77777777" w:rsidR="00CE45E2" w:rsidRPr="00CE45E2" w:rsidRDefault="00CE45E2" w:rsidP="00CE45E2">
      <w:r w:rsidRPr="00CE45E2">
        <w:rPr>
          <w:rStyle w:val="HideTWBExt"/>
        </w:rPr>
        <w:t>&lt;/Amend&gt;</w:t>
      </w:r>
    </w:p>
    <w:p w14:paraId="5064B13C" w14:textId="5FEC7C0C"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297</w:t>
      </w:r>
      <w:r w:rsidRPr="00CE45E2">
        <w:rPr>
          <w:rStyle w:val="HideTWBExt"/>
          <w:b w:val="0"/>
        </w:rPr>
        <w:t>&lt;/NumAm&gt;</w:t>
      </w:r>
    </w:p>
    <w:p w14:paraId="41F0296E"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5724A9C" w14:textId="77777777" w:rsidR="00CE45E2" w:rsidRPr="00CE45E2" w:rsidRDefault="00CE45E2" w:rsidP="00CE45E2">
      <w:pPr>
        <w:pStyle w:val="NormalBold"/>
      </w:pPr>
      <w:r w:rsidRPr="00CE45E2">
        <w:rPr>
          <w:rStyle w:val="HideTWBExt"/>
          <w:b w:val="0"/>
        </w:rPr>
        <w:t>&lt;/RepeatBlock-By&gt;</w:t>
      </w:r>
    </w:p>
    <w:p w14:paraId="7CA520D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5EA57C2"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6A35A46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6F04DEC" w14:textId="77777777" w:rsidR="00CE45E2" w:rsidRPr="00CE45E2" w:rsidRDefault="00CE45E2" w:rsidP="00CE45E2">
      <w:r w:rsidRPr="00CE45E2">
        <w:rPr>
          <w:rStyle w:val="HideTWBExt"/>
        </w:rPr>
        <w:t>&lt;Article2&gt;</w:t>
      </w:r>
      <w:r w:rsidRPr="00CE45E2">
        <w:t>Artykuł 18 a – ustęp 1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E5CB6DC" w14:textId="77777777" w:rsidTr="006476FB">
        <w:trPr>
          <w:trHeight w:hRule="exact" w:val="240"/>
          <w:jc w:val="center"/>
        </w:trPr>
        <w:tc>
          <w:tcPr>
            <w:tcW w:w="9752" w:type="dxa"/>
            <w:gridSpan w:val="2"/>
            <w:tcBorders>
              <w:top w:val="nil"/>
              <w:left w:val="nil"/>
              <w:bottom w:val="nil"/>
              <w:right w:val="nil"/>
            </w:tcBorders>
          </w:tcPr>
          <w:p w14:paraId="6BEA160C" w14:textId="77777777" w:rsidR="00CE45E2" w:rsidRPr="00CE45E2" w:rsidRDefault="00CE45E2" w:rsidP="006476FB"/>
        </w:tc>
      </w:tr>
      <w:tr w:rsidR="00CE45E2" w:rsidRPr="00CE45E2" w14:paraId="6D874B15" w14:textId="77777777" w:rsidTr="006476FB">
        <w:trPr>
          <w:trHeight w:val="240"/>
          <w:jc w:val="center"/>
        </w:trPr>
        <w:tc>
          <w:tcPr>
            <w:tcW w:w="4876" w:type="dxa"/>
            <w:tcBorders>
              <w:top w:val="nil"/>
              <w:left w:val="nil"/>
              <w:bottom w:val="nil"/>
              <w:right w:val="nil"/>
            </w:tcBorders>
          </w:tcPr>
          <w:p w14:paraId="15DFCA0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5551EB1" w14:textId="77777777" w:rsidR="00CE45E2" w:rsidRPr="00CE45E2" w:rsidRDefault="00CE45E2" w:rsidP="006476FB">
            <w:pPr>
              <w:pStyle w:val="AmColumnHeading"/>
            </w:pPr>
            <w:r w:rsidRPr="00CE45E2">
              <w:t>Poprawka</w:t>
            </w:r>
          </w:p>
        </w:tc>
      </w:tr>
      <w:tr w:rsidR="00CE45E2" w:rsidRPr="00CE45E2" w14:paraId="01F667C4" w14:textId="77777777" w:rsidTr="006476FB">
        <w:trPr>
          <w:jc w:val="center"/>
        </w:trPr>
        <w:tc>
          <w:tcPr>
            <w:tcW w:w="4876" w:type="dxa"/>
            <w:tcBorders>
              <w:top w:val="nil"/>
              <w:left w:val="nil"/>
              <w:bottom w:val="nil"/>
              <w:right w:val="nil"/>
            </w:tcBorders>
          </w:tcPr>
          <w:p w14:paraId="7A585C36" w14:textId="77777777" w:rsidR="00CE45E2" w:rsidRPr="00CE45E2" w:rsidRDefault="00CE45E2" w:rsidP="006476FB">
            <w:pPr>
              <w:pStyle w:val="Normal6a"/>
            </w:pPr>
            <w:r w:rsidRPr="00CE45E2">
              <w:t xml:space="preserve">Państwa członkowskie </w:t>
            </w:r>
            <w:r w:rsidRPr="00CE45E2">
              <w:rPr>
                <w:b/>
                <w:bCs/>
                <w:i/>
                <w:iCs/>
              </w:rPr>
              <w:t>mogą</w:t>
            </w:r>
            <w:r w:rsidRPr="00CE45E2">
              <w:t xml:space="preserve"> również </w:t>
            </w:r>
            <w:r w:rsidRPr="00CE45E2">
              <w:rPr>
                <w:b/>
                <w:bCs/>
                <w:i/>
                <w:iCs/>
              </w:rPr>
              <w:t>wymagać</w:t>
            </w:r>
            <w:r w:rsidRPr="00CE45E2">
              <w:t xml:space="preserve">, aby IORP oceniła, czy jej prognozowany dostępny margines wypłacalności przekracza jej wymagany margines wypłacalności </w:t>
            </w:r>
            <w:proofErr w:type="gramStart"/>
            <w:r w:rsidRPr="00CE45E2">
              <w:t>lub,</w:t>
            </w:r>
            <w:proofErr w:type="gramEnd"/>
            <w:r w:rsidRPr="00CE45E2">
              <w:t xml:space="preserve"> w stosownych przypadkach, wyższy poziom ustawowych funduszy własnych wymagany na mocy prawa krajowego zgodnie z art. 15.</w:t>
            </w:r>
          </w:p>
        </w:tc>
        <w:tc>
          <w:tcPr>
            <w:tcW w:w="4876" w:type="dxa"/>
            <w:tcBorders>
              <w:top w:val="nil"/>
              <w:left w:val="nil"/>
              <w:bottom w:val="nil"/>
              <w:right w:val="nil"/>
            </w:tcBorders>
          </w:tcPr>
          <w:p w14:paraId="2AD67FED" w14:textId="77777777" w:rsidR="00CE45E2" w:rsidRPr="00CE45E2" w:rsidRDefault="00CE45E2" w:rsidP="006476FB">
            <w:pPr>
              <w:pStyle w:val="Normal6a"/>
            </w:pPr>
            <w:r w:rsidRPr="00CE45E2">
              <w:t xml:space="preserve">Państwa członkowskie </w:t>
            </w:r>
            <w:r w:rsidRPr="00CE45E2">
              <w:rPr>
                <w:b/>
                <w:bCs/>
                <w:i/>
                <w:iCs/>
              </w:rPr>
              <w:t>wymagają</w:t>
            </w:r>
            <w:r w:rsidRPr="00CE45E2">
              <w:t xml:space="preserve"> również, aby IORP oceniła, czy jej prognozowany dostępny margines wypłacalności przekracza jej wymagany margines wypłacalności </w:t>
            </w:r>
            <w:proofErr w:type="gramStart"/>
            <w:r w:rsidRPr="00CE45E2">
              <w:t>lub,</w:t>
            </w:r>
            <w:proofErr w:type="gramEnd"/>
            <w:r w:rsidRPr="00CE45E2">
              <w:t xml:space="preserve"> w stosownych przypadkach, wyższy poziom ustawowych funduszy własnych wymagany na mocy prawa krajowego zgodnie z art. 15.</w:t>
            </w:r>
          </w:p>
        </w:tc>
      </w:tr>
    </w:tbl>
    <w:p w14:paraId="64F7745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435FE0E" w14:textId="77777777" w:rsidR="00CE45E2" w:rsidRPr="00CE45E2" w:rsidRDefault="00CE45E2" w:rsidP="00CE45E2">
      <w:r w:rsidRPr="00CE45E2">
        <w:rPr>
          <w:rStyle w:val="HideTWBExt"/>
        </w:rPr>
        <w:t>&lt;/Amend&gt;</w:t>
      </w:r>
    </w:p>
    <w:p w14:paraId="1BE9F696" w14:textId="0B85BAB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298</w:t>
      </w:r>
      <w:r w:rsidRPr="00CE45E2">
        <w:rPr>
          <w:rStyle w:val="HideTWBExt"/>
          <w:b w:val="0"/>
        </w:rPr>
        <w:t>&lt;/NumAm&gt;</w:t>
      </w:r>
    </w:p>
    <w:p w14:paraId="79A5A4C5"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rPr>
          <w:rStyle w:val="HideTWBExt"/>
          <w:b w:val="0"/>
        </w:rPr>
        <w:t>&lt;/Members&gt;</w:t>
      </w:r>
    </w:p>
    <w:p w14:paraId="62AF06F6" w14:textId="77777777" w:rsidR="00CE45E2" w:rsidRPr="00CE45E2" w:rsidRDefault="00CE45E2" w:rsidP="00CE45E2">
      <w:pPr>
        <w:pStyle w:val="NormalBold"/>
      </w:pPr>
      <w:r w:rsidRPr="00CE45E2">
        <w:rPr>
          <w:rStyle w:val="HideTWBExt"/>
          <w:b w:val="0"/>
        </w:rPr>
        <w:t>&lt;/RepeatBlock-By&gt;</w:t>
      </w:r>
    </w:p>
    <w:p w14:paraId="6FAAECB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B4766FF"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4D4701B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81931A7" w14:textId="77777777" w:rsidR="00CE45E2" w:rsidRPr="00CE45E2" w:rsidRDefault="00CE45E2" w:rsidP="00CE45E2">
      <w:r w:rsidRPr="00CE45E2">
        <w:rPr>
          <w:rStyle w:val="HideTWBExt"/>
        </w:rPr>
        <w:t>&lt;Article2&gt;</w:t>
      </w:r>
      <w:r w:rsidRPr="00CE45E2">
        <w:t>Artykuł 18 a – ustęp 2</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75D61F" w14:textId="77777777" w:rsidTr="006476FB">
        <w:trPr>
          <w:trHeight w:hRule="exact" w:val="240"/>
          <w:jc w:val="center"/>
        </w:trPr>
        <w:tc>
          <w:tcPr>
            <w:tcW w:w="9752" w:type="dxa"/>
            <w:gridSpan w:val="2"/>
            <w:tcBorders>
              <w:top w:val="nil"/>
              <w:left w:val="nil"/>
              <w:bottom w:val="nil"/>
              <w:right w:val="nil"/>
            </w:tcBorders>
          </w:tcPr>
          <w:p w14:paraId="3992B6A6" w14:textId="77777777" w:rsidR="00CE45E2" w:rsidRPr="00CE45E2" w:rsidRDefault="00CE45E2" w:rsidP="006476FB"/>
        </w:tc>
      </w:tr>
      <w:tr w:rsidR="00CE45E2" w:rsidRPr="00CE45E2" w14:paraId="6EC9E6D8" w14:textId="77777777" w:rsidTr="006476FB">
        <w:trPr>
          <w:trHeight w:val="240"/>
          <w:jc w:val="center"/>
        </w:trPr>
        <w:tc>
          <w:tcPr>
            <w:tcW w:w="4876" w:type="dxa"/>
            <w:tcBorders>
              <w:top w:val="nil"/>
              <w:left w:val="nil"/>
              <w:bottom w:val="nil"/>
              <w:right w:val="nil"/>
            </w:tcBorders>
          </w:tcPr>
          <w:p w14:paraId="5FA4389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A1C67E1" w14:textId="77777777" w:rsidR="00CE45E2" w:rsidRPr="00CE45E2" w:rsidRDefault="00CE45E2" w:rsidP="006476FB">
            <w:pPr>
              <w:pStyle w:val="AmColumnHeading"/>
            </w:pPr>
            <w:r w:rsidRPr="00CE45E2">
              <w:t>Poprawka</w:t>
            </w:r>
          </w:p>
        </w:tc>
      </w:tr>
      <w:tr w:rsidR="00CE45E2" w:rsidRPr="00CE45E2" w14:paraId="2EFBEFB1" w14:textId="77777777" w:rsidTr="006476FB">
        <w:trPr>
          <w:jc w:val="center"/>
        </w:trPr>
        <w:tc>
          <w:tcPr>
            <w:tcW w:w="4876" w:type="dxa"/>
            <w:tcBorders>
              <w:top w:val="nil"/>
              <w:left w:val="nil"/>
              <w:bottom w:val="nil"/>
              <w:right w:val="nil"/>
            </w:tcBorders>
          </w:tcPr>
          <w:p w14:paraId="52A9F0F1" w14:textId="77777777" w:rsidR="00CE45E2" w:rsidRPr="00CE45E2" w:rsidRDefault="00CE45E2" w:rsidP="006476FB">
            <w:pPr>
              <w:pStyle w:val="Normal6a"/>
            </w:pPr>
            <w:r w:rsidRPr="00CE45E2">
              <w:rPr>
                <w:b/>
                <w:i/>
              </w:rPr>
              <w:t>2.</w:t>
            </w:r>
            <w:r w:rsidRPr="00CE45E2">
              <w:tab/>
            </w:r>
            <w:r w:rsidRPr="00CE45E2">
              <w:rPr>
                <w:b/>
                <w:i/>
              </w:rPr>
              <w:t>Do celów ust. 1 IORP sporządzają prognozy aktywów i pasywów na najbliższe dziesięć lat obrotowych, licząc od daty ostatniego sprawozdania finansowego, w ramach każdego z następujących scenariuszy:</w:t>
            </w:r>
          </w:p>
        </w:tc>
        <w:tc>
          <w:tcPr>
            <w:tcW w:w="4876" w:type="dxa"/>
            <w:tcBorders>
              <w:top w:val="nil"/>
              <w:left w:val="nil"/>
              <w:bottom w:val="nil"/>
              <w:right w:val="nil"/>
            </w:tcBorders>
          </w:tcPr>
          <w:p w14:paraId="5C8D2CC9" w14:textId="77777777" w:rsidR="00CE45E2" w:rsidRPr="00CE45E2" w:rsidRDefault="00CE45E2" w:rsidP="006476FB">
            <w:pPr>
              <w:pStyle w:val="Normal6a"/>
            </w:pPr>
            <w:r w:rsidRPr="00CE45E2">
              <w:rPr>
                <w:b/>
                <w:i/>
              </w:rPr>
              <w:t>skreśla się</w:t>
            </w:r>
          </w:p>
        </w:tc>
      </w:tr>
      <w:tr w:rsidR="00CE45E2" w:rsidRPr="00CE45E2" w14:paraId="562745E8" w14:textId="77777777" w:rsidTr="006476FB">
        <w:trPr>
          <w:jc w:val="center"/>
        </w:trPr>
        <w:tc>
          <w:tcPr>
            <w:tcW w:w="4876" w:type="dxa"/>
            <w:tcBorders>
              <w:top w:val="nil"/>
              <w:left w:val="nil"/>
              <w:bottom w:val="nil"/>
              <w:right w:val="nil"/>
            </w:tcBorders>
          </w:tcPr>
          <w:p w14:paraId="12271685" w14:textId="77777777" w:rsidR="00CE45E2" w:rsidRPr="00CE45E2" w:rsidRDefault="00CE45E2" w:rsidP="006476FB">
            <w:pPr>
              <w:pStyle w:val="Normal6a"/>
            </w:pPr>
            <w:r w:rsidRPr="00CE45E2">
              <w:rPr>
                <w:b/>
                <w:i/>
              </w:rPr>
              <w:t>a) scenariusz odniesienia rozszerzający warunki ekonomiczne panujące na dzień sporządzenia ostatniego sprawozdania finansowego;</w:t>
            </w:r>
          </w:p>
        </w:tc>
        <w:tc>
          <w:tcPr>
            <w:tcW w:w="4876" w:type="dxa"/>
            <w:tcBorders>
              <w:top w:val="nil"/>
              <w:left w:val="nil"/>
              <w:bottom w:val="nil"/>
              <w:right w:val="nil"/>
            </w:tcBorders>
          </w:tcPr>
          <w:p w14:paraId="0097AF28" w14:textId="77777777" w:rsidR="00CE45E2" w:rsidRPr="00CE45E2" w:rsidRDefault="00CE45E2" w:rsidP="006476FB">
            <w:pPr>
              <w:pStyle w:val="Normal6a"/>
            </w:pPr>
          </w:p>
        </w:tc>
      </w:tr>
      <w:tr w:rsidR="00CE45E2" w:rsidRPr="00CE45E2" w14:paraId="54CCB349" w14:textId="77777777" w:rsidTr="006476FB">
        <w:trPr>
          <w:jc w:val="center"/>
        </w:trPr>
        <w:tc>
          <w:tcPr>
            <w:tcW w:w="4876" w:type="dxa"/>
            <w:tcBorders>
              <w:top w:val="nil"/>
              <w:left w:val="nil"/>
              <w:bottom w:val="nil"/>
              <w:right w:val="nil"/>
            </w:tcBorders>
          </w:tcPr>
          <w:p w14:paraId="3BB1ADD9" w14:textId="77777777" w:rsidR="00CE45E2" w:rsidRPr="00CE45E2" w:rsidRDefault="00CE45E2" w:rsidP="006476FB">
            <w:pPr>
              <w:pStyle w:val="Normal6a"/>
            </w:pPr>
            <w:r w:rsidRPr="00CE45E2">
              <w:rPr>
                <w:b/>
                <w:bCs/>
                <w:i/>
                <w:iCs/>
              </w:rPr>
              <w:t>b)</w:t>
            </w:r>
            <w:r w:rsidRPr="00CE45E2">
              <w:rPr>
                <w:b/>
                <w:i/>
              </w:rPr>
              <w:t xml:space="preserve"> niekorzystny scenariusz stałego względnego spadku stóp procentowych o 40 % lub bezwzględnego spadku o 0,75 punktu procentowego, w zależności od tego, który z tych scenariuszy jest bardziej dotkliwy, przy czym stopy procentowe nie spadną poniżej 0 % ani nie przekroczą 3,5 %;</w:t>
            </w:r>
          </w:p>
        </w:tc>
        <w:tc>
          <w:tcPr>
            <w:tcW w:w="4876" w:type="dxa"/>
            <w:tcBorders>
              <w:top w:val="nil"/>
              <w:left w:val="nil"/>
              <w:bottom w:val="nil"/>
              <w:right w:val="nil"/>
            </w:tcBorders>
          </w:tcPr>
          <w:p w14:paraId="2A673799" w14:textId="77777777" w:rsidR="00CE45E2" w:rsidRPr="00CE45E2" w:rsidRDefault="00CE45E2" w:rsidP="006476FB">
            <w:pPr>
              <w:pStyle w:val="Normal6a"/>
            </w:pPr>
          </w:p>
        </w:tc>
      </w:tr>
      <w:tr w:rsidR="00CE45E2" w:rsidRPr="00CE45E2" w14:paraId="2ADE1EC1" w14:textId="77777777" w:rsidTr="006476FB">
        <w:trPr>
          <w:jc w:val="center"/>
        </w:trPr>
        <w:tc>
          <w:tcPr>
            <w:tcW w:w="4876" w:type="dxa"/>
            <w:tcBorders>
              <w:top w:val="nil"/>
              <w:left w:val="nil"/>
              <w:bottom w:val="nil"/>
              <w:right w:val="nil"/>
            </w:tcBorders>
          </w:tcPr>
          <w:p w14:paraId="4C06D508" w14:textId="77777777" w:rsidR="00CE45E2" w:rsidRPr="00CE45E2" w:rsidRDefault="00CE45E2" w:rsidP="006476FB">
            <w:pPr>
              <w:pStyle w:val="Normal6a"/>
            </w:pPr>
            <w:r w:rsidRPr="00CE45E2">
              <w:rPr>
                <w:b/>
                <w:i/>
              </w:rPr>
              <w:t>c) niekorzystny scenariusz spadku zwrotów z inwestycji w aktywa niepodlegające amortyzacji o 30 %;</w:t>
            </w:r>
          </w:p>
        </w:tc>
        <w:tc>
          <w:tcPr>
            <w:tcW w:w="4876" w:type="dxa"/>
            <w:tcBorders>
              <w:top w:val="nil"/>
              <w:left w:val="nil"/>
              <w:bottom w:val="nil"/>
              <w:right w:val="nil"/>
            </w:tcBorders>
          </w:tcPr>
          <w:p w14:paraId="3D2761C2" w14:textId="77777777" w:rsidR="00CE45E2" w:rsidRPr="00CE45E2" w:rsidRDefault="00CE45E2" w:rsidP="006476FB">
            <w:pPr>
              <w:pStyle w:val="Normal6a"/>
            </w:pPr>
          </w:p>
        </w:tc>
      </w:tr>
      <w:tr w:rsidR="00CE45E2" w:rsidRPr="00CE45E2" w14:paraId="45862598" w14:textId="77777777" w:rsidTr="006476FB">
        <w:trPr>
          <w:jc w:val="center"/>
        </w:trPr>
        <w:tc>
          <w:tcPr>
            <w:tcW w:w="4876" w:type="dxa"/>
            <w:tcBorders>
              <w:top w:val="nil"/>
              <w:left w:val="nil"/>
              <w:bottom w:val="nil"/>
              <w:right w:val="nil"/>
            </w:tcBorders>
          </w:tcPr>
          <w:p w14:paraId="264E8C56" w14:textId="77777777" w:rsidR="00CE45E2" w:rsidRPr="00CE45E2" w:rsidRDefault="00CE45E2" w:rsidP="006476FB">
            <w:pPr>
              <w:pStyle w:val="Normal6a"/>
            </w:pPr>
            <w:r w:rsidRPr="00CE45E2">
              <w:rPr>
                <w:b/>
                <w:i/>
              </w:rPr>
              <w:t>d) spadek współczynników śmiertelności uczestników i beneficjentów w każdym wieku o 10 %.</w:t>
            </w:r>
          </w:p>
        </w:tc>
        <w:tc>
          <w:tcPr>
            <w:tcW w:w="4876" w:type="dxa"/>
            <w:tcBorders>
              <w:top w:val="nil"/>
              <w:left w:val="nil"/>
              <w:bottom w:val="nil"/>
              <w:right w:val="nil"/>
            </w:tcBorders>
          </w:tcPr>
          <w:p w14:paraId="2E6A77E4" w14:textId="77777777" w:rsidR="00CE45E2" w:rsidRPr="00CE45E2" w:rsidRDefault="00CE45E2" w:rsidP="006476FB">
            <w:pPr>
              <w:pStyle w:val="Normal6a"/>
            </w:pPr>
          </w:p>
        </w:tc>
      </w:tr>
      <w:tr w:rsidR="00CE45E2" w:rsidRPr="00CE45E2" w14:paraId="15BE0B61" w14:textId="77777777" w:rsidTr="006476FB">
        <w:trPr>
          <w:jc w:val="center"/>
        </w:trPr>
        <w:tc>
          <w:tcPr>
            <w:tcW w:w="4876" w:type="dxa"/>
            <w:tcBorders>
              <w:top w:val="nil"/>
              <w:left w:val="nil"/>
              <w:bottom w:val="nil"/>
              <w:right w:val="nil"/>
            </w:tcBorders>
          </w:tcPr>
          <w:p w14:paraId="465D01CC" w14:textId="77777777" w:rsidR="00CE45E2" w:rsidRPr="00CE45E2" w:rsidRDefault="00CE45E2" w:rsidP="006476FB">
            <w:pPr>
              <w:pStyle w:val="Normal6a"/>
            </w:pPr>
            <w:r w:rsidRPr="00CE45E2">
              <w:rPr>
                <w:b/>
                <w:i/>
              </w:rPr>
              <w:t>Na zasadzie odstępstwa od akapitu pierwszego państwa członkowskie mogą wymagać od IORP:</w:t>
            </w:r>
          </w:p>
        </w:tc>
        <w:tc>
          <w:tcPr>
            <w:tcW w:w="4876" w:type="dxa"/>
            <w:tcBorders>
              <w:top w:val="nil"/>
              <w:left w:val="nil"/>
              <w:bottom w:val="nil"/>
              <w:right w:val="nil"/>
            </w:tcBorders>
          </w:tcPr>
          <w:p w14:paraId="791AD72E" w14:textId="77777777" w:rsidR="00CE45E2" w:rsidRPr="00CE45E2" w:rsidRDefault="00CE45E2" w:rsidP="006476FB">
            <w:pPr>
              <w:pStyle w:val="Normal6a"/>
            </w:pPr>
          </w:p>
        </w:tc>
      </w:tr>
      <w:tr w:rsidR="00CE45E2" w:rsidRPr="00CE45E2" w14:paraId="114BFA32" w14:textId="77777777" w:rsidTr="006476FB">
        <w:trPr>
          <w:jc w:val="center"/>
        </w:trPr>
        <w:tc>
          <w:tcPr>
            <w:tcW w:w="4876" w:type="dxa"/>
            <w:tcBorders>
              <w:top w:val="nil"/>
              <w:left w:val="nil"/>
              <w:bottom w:val="nil"/>
              <w:right w:val="nil"/>
            </w:tcBorders>
          </w:tcPr>
          <w:p w14:paraId="36C751E5" w14:textId="77777777" w:rsidR="00CE45E2" w:rsidRPr="00CE45E2" w:rsidRDefault="00CE45E2" w:rsidP="006476FB">
            <w:pPr>
              <w:pStyle w:val="Normal6a"/>
            </w:pPr>
            <w:r w:rsidRPr="00CE45E2">
              <w:rPr>
                <w:b/>
                <w:i/>
              </w:rPr>
              <w:t>a) sporządzania prognoz na okres dłuższy niż dziesięć lat obrotowych;</w:t>
            </w:r>
          </w:p>
        </w:tc>
        <w:tc>
          <w:tcPr>
            <w:tcW w:w="4876" w:type="dxa"/>
            <w:tcBorders>
              <w:top w:val="nil"/>
              <w:left w:val="nil"/>
              <w:bottom w:val="nil"/>
              <w:right w:val="nil"/>
            </w:tcBorders>
          </w:tcPr>
          <w:p w14:paraId="179D86E0" w14:textId="77777777" w:rsidR="00CE45E2" w:rsidRPr="00CE45E2" w:rsidRDefault="00CE45E2" w:rsidP="006476FB">
            <w:pPr>
              <w:pStyle w:val="Normal6a"/>
            </w:pPr>
          </w:p>
        </w:tc>
      </w:tr>
      <w:tr w:rsidR="00CE45E2" w:rsidRPr="00CE45E2" w14:paraId="2747FDBB" w14:textId="77777777" w:rsidTr="006476FB">
        <w:trPr>
          <w:jc w:val="center"/>
        </w:trPr>
        <w:tc>
          <w:tcPr>
            <w:tcW w:w="4876" w:type="dxa"/>
            <w:tcBorders>
              <w:top w:val="nil"/>
              <w:left w:val="nil"/>
              <w:bottom w:val="nil"/>
              <w:right w:val="nil"/>
            </w:tcBorders>
          </w:tcPr>
          <w:p w14:paraId="2ACA1A32" w14:textId="77777777" w:rsidR="00CE45E2" w:rsidRPr="00CE45E2" w:rsidRDefault="00CE45E2" w:rsidP="006476FB">
            <w:pPr>
              <w:pStyle w:val="Normal6a"/>
            </w:pPr>
            <w:r w:rsidRPr="00CE45E2">
              <w:rPr>
                <w:b/>
                <w:bCs/>
                <w:i/>
                <w:iCs/>
              </w:rPr>
              <w:t>b)</w:t>
            </w:r>
            <w:r w:rsidRPr="00CE45E2">
              <w:rPr>
                <w:b/>
                <w:i/>
              </w:rPr>
              <w:t xml:space="preserve"> przeprowadzania prognoz w niekorzystnych scenariuszach, które są bardziej dotkliwe niż scenariusze określone w akapicie pierwszym lit. b), c) lub d);</w:t>
            </w:r>
          </w:p>
        </w:tc>
        <w:tc>
          <w:tcPr>
            <w:tcW w:w="4876" w:type="dxa"/>
            <w:tcBorders>
              <w:top w:val="nil"/>
              <w:left w:val="nil"/>
              <w:bottom w:val="nil"/>
              <w:right w:val="nil"/>
            </w:tcBorders>
          </w:tcPr>
          <w:p w14:paraId="265BB553" w14:textId="77777777" w:rsidR="00CE45E2" w:rsidRPr="00CE45E2" w:rsidRDefault="00CE45E2" w:rsidP="006476FB">
            <w:pPr>
              <w:pStyle w:val="Normal6a"/>
            </w:pPr>
          </w:p>
        </w:tc>
      </w:tr>
      <w:tr w:rsidR="00CE45E2" w:rsidRPr="00CE45E2" w14:paraId="12C26EAD" w14:textId="77777777" w:rsidTr="006476FB">
        <w:trPr>
          <w:jc w:val="center"/>
        </w:trPr>
        <w:tc>
          <w:tcPr>
            <w:tcW w:w="4876" w:type="dxa"/>
            <w:tcBorders>
              <w:top w:val="nil"/>
              <w:left w:val="nil"/>
              <w:bottom w:val="nil"/>
              <w:right w:val="nil"/>
            </w:tcBorders>
          </w:tcPr>
          <w:p w14:paraId="0FDDBAD7" w14:textId="77777777" w:rsidR="00CE45E2" w:rsidRPr="00CE45E2" w:rsidRDefault="00CE45E2" w:rsidP="006476FB">
            <w:pPr>
              <w:pStyle w:val="Normal6a"/>
            </w:pPr>
            <w:r w:rsidRPr="00CE45E2">
              <w:rPr>
                <w:b/>
                <w:i/>
              </w:rPr>
              <w:t>c) przeprowadzenia prognoz w dodatkowych scenariuszach warunków skrajnych.</w:t>
            </w:r>
          </w:p>
        </w:tc>
        <w:tc>
          <w:tcPr>
            <w:tcW w:w="4876" w:type="dxa"/>
            <w:tcBorders>
              <w:top w:val="nil"/>
              <w:left w:val="nil"/>
              <w:bottom w:val="nil"/>
              <w:right w:val="nil"/>
            </w:tcBorders>
          </w:tcPr>
          <w:p w14:paraId="48557DA8" w14:textId="77777777" w:rsidR="00CE45E2" w:rsidRPr="00CE45E2" w:rsidRDefault="00CE45E2" w:rsidP="006476FB">
            <w:pPr>
              <w:pStyle w:val="Normal6a"/>
            </w:pPr>
          </w:p>
        </w:tc>
      </w:tr>
    </w:tbl>
    <w:p w14:paraId="481C91C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B1067B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F679FB7" w14:textId="77777777" w:rsidR="00CE45E2" w:rsidRPr="00CE45E2" w:rsidRDefault="00CE45E2" w:rsidP="00CE45E2">
      <w:pPr>
        <w:pStyle w:val="AmJustText"/>
      </w:pPr>
      <w:r w:rsidRPr="00CE45E2">
        <w:t>Zharmonizowany dziesięcioletni okres prognozy już teraz stanowi wymagającą ocenę długoterminową. Umożliwienie organom krajowym stosowania dłuższych horyzontów czasowych, bardziej pesymistycznych scenariuszy lub dodatkowych scenariuszy prowadzi do powstania nieograniczonych wymogów nadzorczych, zmniejsza pewność prawa i podważa porównywalność.</w:t>
      </w:r>
    </w:p>
    <w:p w14:paraId="1566E6DB" w14:textId="77777777" w:rsidR="00CE45E2" w:rsidRPr="00CE45E2" w:rsidRDefault="00CE45E2" w:rsidP="00CE45E2">
      <w:r w:rsidRPr="00CE45E2">
        <w:rPr>
          <w:rStyle w:val="HideTWBExt"/>
        </w:rPr>
        <w:t>&lt;/Amend&gt;</w:t>
      </w:r>
    </w:p>
    <w:p w14:paraId="66A2A23E" w14:textId="61BF696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299</w:t>
      </w:r>
      <w:r w:rsidRPr="00CE45E2">
        <w:rPr>
          <w:rStyle w:val="HideTWBExt"/>
          <w:b w:val="0"/>
        </w:rPr>
        <w:t>&lt;/NumAm&gt;</w:t>
      </w:r>
    </w:p>
    <w:p w14:paraId="0837124C"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43C5A50E" w14:textId="77777777" w:rsidR="00CE45E2" w:rsidRPr="00CE45E2" w:rsidRDefault="00CE45E2" w:rsidP="00CE45E2">
      <w:pPr>
        <w:pStyle w:val="NormalBold"/>
      </w:pPr>
      <w:r w:rsidRPr="00CE45E2">
        <w:rPr>
          <w:rStyle w:val="HideTWBExt"/>
          <w:b w:val="0"/>
        </w:rPr>
        <w:t>&lt;/RepeatBlock-By&gt;</w:t>
      </w:r>
    </w:p>
    <w:p w14:paraId="1059F3D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5EB315A"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0AD12BC8"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5894238" w14:textId="77777777" w:rsidR="00CE45E2" w:rsidRPr="00CE45E2" w:rsidRDefault="00CE45E2" w:rsidP="00CE45E2">
      <w:r w:rsidRPr="00CE45E2">
        <w:rPr>
          <w:rStyle w:val="HideTWBExt"/>
        </w:rPr>
        <w:t>&lt;Article2&gt;</w:t>
      </w:r>
      <w:r w:rsidRPr="00CE45E2">
        <w:t>Artykuł 18 a – ustęp 2 – akapit 2 – wprowadzenie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0BB6B95" w14:textId="77777777" w:rsidTr="006476FB">
        <w:trPr>
          <w:trHeight w:hRule="exact" w:val="240"/>
          <w:jc w:val="center"/>
        </w:trPr>
        <w:tc>
          <w:tcPr>
            <w:tcW w:w="9752" w:type="dxa"/>
            <w:gridSpan w:val="2"/>
            <w:tcBorders>
              <w:top w:val="nil"/>
              <w:left w:val="nil"/>
              <w:bottom w:val="nil"/>
              <w:right w:val="nil"/>
            </w:tcBorders>
          </w:tcPr>
          <w:p w14:paraId="4DBE186A" w14:textId="77777777" w:rsidR="00CE45E2" w:rsidRPr="00CE45E2" w:rsidRDefault="00CE45E2" w:rsidP="006476FB"/>
        </w:tc>
      </w:tr>
      <w:tr w:rsidR="00CE45E2" w:rsidRPr="00CE45E2" w14:paraId="2C36619E" w14:textId="77777777" w:rsidTr="006476FB">
        <w:trPr>
          <w:trHeight w:val="240"/>
          <w:jc w:val="center"/>
        </w:trPr>
        <w:tc>
          <w:tcPr>
            <w:tcW w:w="4876" w:type="dxa"/>
            <w:tcBorders>
              <w:top w:val="nil"/>
              <w:left w:val="nil"/>
              <w:bottom w:val="nil"/>
              <w:right w:val="nil"/>
            </w:tcBorders>
          </w:tcPr>
          <w:p w14:paraId="011AFB2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321368D" w14:textId="77777777" w:rsidR="00CE45E2" w:rsidRPr="00CE45E2" w:rsidRDefault="00CE45E2" w:rsidP="006476FB">
            <w:pPr>
              <w:pStyle w:val="AmColumnHeading"/>
            </w:pPr>
            <w:r w:rsidRPr="00CE45E2">
              <w:t>Poprawka</w:t>
            </w:r>
          </w:p>
        </w:tc>
      </w:tr>
      <w:tr w:rsidR="00CE45E2" w:rsidRPr="00CE45E2" w14:paraId="5630E8BF" w14:textId="77777777" w:rsidTr="006476FB">
        <w:trPr>
          <w:jc w:val="center"/>
        </w:trPr>
        <w:tc>
          <w:tcPr>
            <w:tcW w:w="4876" w:type="dxa"/>
            <w:tcBorders>
              <w:top w:val="nil"/>
              <w:left w:val="nil"/>
              <w:bottom w:val="nil"/>
              <w:right w:val="nil"/>
            </w:tcBorders>
          </w:tcPr>
          <w:p w14:paraId="3D4BB7AF" w14:textId="77777777" w:rsidR="00CE45E2" w:rsidRPr="00CE45E2" w:rsidRDefault="00CE45E2" w:rsidP="006476FB">
            <w:pPr>
              <w:pStyle w:val="Normal6a"/>
            </w:pPr>
            <w:r w:rsidRPr="00CE45E2">
              <w:t>Na zasadzie odstępstwa od akapitu pierwszego państwa członkowskie mogą wymagać od IORP:</w:t>
            </w:r>
          </w:p>
        </w:tc>
        <w:tc>
          <w:tcPr>
            <w:tcW w:w="4876" w:type="dxa"/>
            <w:tcBorders>
              <w:top w:val="nil"/>
              <w:left w:val="nil"/>
              <w:bottom w:val="nil"/>
              <w:right w:val="nil"/>
            </w:tcBorders>
          </w:tcPr>
          <w:p w14:paraId="1CD2987E" w14:textId="77777777" w:rsidR="00CE45E2" w:rsidRPr="00CE45E2" w:rsidRDefault="00CE45E2" w:rsidP="006476FB">
            <w:pPr>
              <w:pStyle w:val="Normal6a"/>
            </w:pPr>
            <w:r w:rsidRPr="00CE45E2">
              <w:t>Na zasadzie odstępstwa od akapitu pierwszego</w:t>
            </w:r>
            <w:r w:rsidRPr="00CE45E2">
              <w:rPr>
                <w:b/>
                <w:bCs/>
                <w:i/>
                <w:iCs/>
              </w:rPr>
              <w:t xml:space="preserve"> i drugiego</w:t>
            </w:r>
            <w:r w:rsidRPr="00CE45E2">
              <w:t xml:space="preserve"> państwa członkowskie mogą wymagać od IORP:</w:t>
            </w:r>
          </w:p>
        </w:tc>
      </w:tr>
    </w:tbl>
    <w:p w14:paraId="2D5DD27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35FC200" w14:textId="77777777" w:rsidR="00CE45E2" w:rsidRPr="00CE45E2" w:rsidRDefault="00CE45E2" w:rsidP="00CE45E2">
      <w:r w:rsidRPr="00CE45E2">
        <w:rPr>
          <w:rStyle w:val="HideTWBExt"/>
        </w:rPr>
        <w:t>&lt;/Amend&gt;</w:t>
      </w:r>
    </w:p>
    <w:p w14:paraId="3B000C9C" w14:textId="08532D1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300</w:t>
      </w:r>
      <w:r w:rsidRPr="00CE45E2">
        <w:rPr>
          <w:rStyle w:val="HideTWBExt"/>
          <w:b w:val="0"/>
        </w:rPr>
        <w:t>&lt;/NumAm&gt;</w:t>
      </w:r>
    </w:p>
    <w:p w14:paraId="0BF08F79"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26BCBD6C" w14:textId="77777777" w:rsidR="00CE45E2" w:rsidRPr="00CE45E2" w:rsidRDefault="00CE45E2" w:rsidP="00CE45E2">
      <w:pPr>
        <w:pStyle w:val="NormalBold"/>
      </w:pPr>
      <w:r w:rsidRPr="00CE45E2">
        <w:rPr>
          <w:rStyle w:val="HideTWBExt"/>
          <w:b w:val="0"/>
        </w:rPr>
        <w:t>&lt;/RepeatBlock-By&gt;</w:t>
      </w:r>
    </w:p>
    <w:p w14:paraId="31BB8F0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36A111A"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171ECFF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41CEF14" w14:textId="77777777" w:rsidR="00CE45E2" w:rsidRPr="00CE45E2" w:rsidRDefault="00CE45E2" w:rsidP="00CE45E2">
      <w:r w:rsidRPr="00CE45E2">
        <w:rPr>
          <w:rStyle w:val="HideTWBExt"/>
        </w:rPr>
        <w:t>&lt;Article2&gt;</w:t>
      </w:r>
      <w:r w:rsidRPr="00CE45E2">
        <w:t>Artykuł 18 a – ustęp 2 – akapit 2 – litera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FDD7461" w14:textId="77777777" w:rsidTr="006476FB">
        <w:trPr>
          <w:trHeight w:hRule="exact" w:val="240"/>
          <w:jc w:val="center"/>
        </w:trPr>
        <w:tc>
          <w:tcPr>
            <w:tcW w:w="9752" w:type="dxa"/>
            <w:gridSpan w:val="2"/>
            <w:tcBorders>
              <w:top w:val="nil"/>
              <w:left w:val="nil"/>
              <w:bottom w:val="nil"/>
              <w:right w:val="nil"/>
            </w:tcBorders>
          </w:tcPr>
          <w:p w14:paraId="350C9C85" w14:textId="77777777" w:rsidR="00CE45E2" w:rsidRPr="00CE45E2" w:rsidRDefault="00CE45E2" w:rsidP="006476FB"/>
        </w:tc>
      </w:tr>
      <w:tr w:rsidR="00CE45E2" w:rsidRPr="00CE45E2" w14:paraId="3F1CB0FD" w14:textId="77777777" w:rsidTr="006476FB">
        <w:trPr>
          <w:trHeight w:val="240"/>
          <w:jc w:val="center"/>
        </w:trPr>
        <w:tc>
          <w:tcPr>
            <w:tcW w:w="4876" w:type="dxa"/>
            <w:tcBorders>
              <w:top w:val="nil"/>
              <w:left w:val="nil"/>
              <w:bottom w:val="nil"/>
              <w:right w:val="nil"/>
            </w:tcBorders>
          </w:tcPr>
          <w:p w14:paraId="2DC693D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62185F4" w14:textId="77777777" w:rsidR="00CE45E2" w:rsidRPr="00CE45E2" w:rsidRDefault="00CE45E2" w:rsidP="006476FB">
            <w:pPr>
              <w:pStyle w:val="AmColumnHeading"/>
            </w:pPr>
            <w:r w:rsidRPr="00CE45E2">
              <w:t>Poprawka</w:t>
            </w:r>
          </w:p>
        </w:tc>
      </w:tr>
      <w:tr w:rsidR="00CE45E2" w:rsidRPr="00CE45E2" w14:paraId="00DA209F" w14:textId="77777777" w:rsidTr="006476FB">
        <w:trPr>
          <w:jc w:val="center"/>
        </w:trPr>
        <w:tc>
          <w:tcPr>
            <w:tcW w:w="4876" w:type="dxa"/>
            <w:tcBorders>
              <w:top w:val="nil"/>
              <w:left w:val="nil"/>
              <w:bottom w:val="nil"/>
              <w:right w:val="nil"/>
            </w:tcBorders>
          </w:tcPr>
          <w:p w14:paraId="4ABEC176" w14:textId="77777777" w:rsidR="00CE45E2" w:rsidRPr="00CE45E2" w:rsidRDefault="00CE45E2" w:rsidP="006476FB">
            <w:pPr>
              <w:pStyle w:val="Normal6a"/>
            </w:pPr>
            <w:r w:rsidRPr="00CE45E2">
              <w:rPr>
                <w:b/>
                <w:i/>
              </w:rPr>
              <w:t>a)</w:t>
            </w:r>
            <w:r w:rsidRPr="00CE45E2">
              <w:tab/>
            </w:r>
            <w:r w:rsidRPr="00CE45E2">
              <w:rPr>
                <w:b/>
                <w:i/>
              </w:rPr>
              <w:t>sporządzania prognoz na okres dłuższy niż dziesięć lat obrotowych;</w:t>
            </w:r>
          </w:p>
        </w:tc>
        <w:tc>
          <w:tcPr>
            <w:tcW w:w="4876" w:type="dxa"/>
            <w:tcBorders>
              <w:top w:val="nil"/>
              <w:left w:val="nil"/>
              <w:bottom w:val="nil"/>
              <w:right w:val="nil"/>
            </w:tcBorders>
          </w:tcPr>
          <w:p w14:paraId="1310A6C2" w14:textId="77777777" w:rsidR="00CE45E2" w:rsidRPr="00CE45E2" w:rsidRDefault="00CE45E2" w:rsidP="006476FB">
            <w:pPr>
              <w:pStyle w:val="Normal6a"/>
            </w:pPr>
            <w:r w:rsidRPr="00CE45E2">
              <w:rPr>
                <w:b/>
                <w:i/>
              </w:rPr>
              <w:t>skreśla się</w:t>
            </w:r>
          </w:p>
        </w:tc>
      </w:tr>
    </w:tbl>
    <w:p w14:paraId="4B22137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55142F9" w14:textId="77777777" w:rsidR="00CE45E2" w:rsidRPr="00CE45E2" w:rsidRDefault="00CE45E2" w:rsidP="00CE45E2">
      <w:r w:rsidRPr="00CE45E2">
        <w:rPr>
          <w:rStyle w:val="HideTWBExt"/>
        </w:rPr>
        <w:t>&lt;/Amend&gt;</w:t>
      </w:r>
    </w:p>
    <w:p w14:paraId="78EBC9C9" w14:textId="5C096C4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301</w:t>
      </w:r>
      <w:r w:rsidRPr="00CE45E2">
        <w:rPr>
          <w:rStyle w:val="HideTWBExt"/>
          <w:b w:val="0"/>
        </w:rPr>
        <w:t>&lt;/NumAm&gt;</w:t>
      </w:r>
    </w:p>
    <w:p w14:paraId="08A90FFF"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58D7535F" w14:textId="77777777" w:rsidR="00CE45E2" w:rsidRPr="00CE45E2" w:rsidRDefault="00CE45E2" w:rsidP="00CE45E2">
      <w:pPr>
        <w:pStyle w:val="NormalBold"/>
      </w:pPr>
      <w:r w:rsidRPr="00CE45E2">
        <w:rPr>
          <w:rStyle w:val="HideTWBExt"/>
          <w:b w:val="0"/>
        </w:rPr>
        <w:t>&lt;/RepeatBlock-By&gt;</w:t>
      </w:r>
    </w:p>
    <w:p w14:paraId="57A6440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08C4BDC"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4146FAC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B10A067" w14:textId="77777777" w:rsidR="00CE45E2" w:rsidRPr="00CE45E2" w:rsidRDefault="00CE45E2" w:rsidP="00CE45E2">
      <w:r w:rsidRPr="00CE45E2">
        <w:rPr>
          <w:rStyle w:val="HideTWBExt"/>
        </w:rPr>
        <w:t>&lt;Article2&gt;</w:t>
      </w:r>
      <w:r w:rsidRPr="00CE45E2">
        <w:t>Artykuł 18 a – ustęp 2 – akapit 2 – litera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00A1BFF" w14:textId="77777777" w:rsidTr="006476FB">
        <w:trPr>
          <w:trHeight w:hRule="exact" w:val="240"/>
          <w:jc w:val="center"/>
        </w:trPr>
        <w:tc>
          <w:tcPr>
            <w:tcW w:w="9752" w:type="dxa"/>
            <w:gridSpan w:val="2"/>
            <w:tcBorders>
              <w:top w:val="nil"/>
              <w:left w:val="nil"/>
              <w:bottom w:val="nil"/>
              <w:right w:val="nil"/>
            </w:tcBorders>
          </w:tcPr>
          <w:p w14:paraId="27E67B04" w14:textId="77777777" w:rsidR="00CE45E2" w:rsidRPr="00CE45E2" w:rsidRDefault="00CE45E2" w:rsidP="006476FB"/>
        </w:tc>
      </w:tr>
      <w:tr w:rsidR="00CE45E2" w:rsidRPr="00CE45E2" w14:paraId="03F12E09" w14:textId="77777777" w:rsidTr="006476FB">
        <w:trPr>
          <w:trHeight w:val="240"/>
          <w:jc w:val="center"/>
        </w:trPr>
        <w:tc>
          <w:tcPr>
            <w:tcW w:w="4876" w:type="dxa"/>
            <w:tcBorders>
              <w:top w:val="nil"/>
              <w:left w:val="nil"/>
              <w:bottom w:val="nil"/>
              <w:right w:val="nil"/>
            </w:tcBorders>
          </w:tcPr>
          <w:p w14:paraId="2EE0F3C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6F519F3" w14:textId="77777777" w:rsidR="00CE45E2" w:rsidRPr="00CE45E2" w:rsidRDefault="00CE45E2" w:rsidP="006476FB">
            <w:pPr>
              <w:pStyle w:val="AmColumnHeading"/>
            </w:pPr>
            <w:r w:rsidRPr="00CE45E2">
              <w:t>Poprawka</w:t>
            </w:r>
          </w:p>
        </w:tc>
      </w:tr>
      <w:tr w:rsidR="00CE45E2" w:rsidRPr="00CE45E2" w14:paraId="6AD54498" w14:textId="77777777" w:rsidTr="006476FB">
        <w:trPr>
          <w:jc w:val="center"/>
        </w:trPr>
        <w:tc>
          <w:tcPr>
            <w:tcW w:w="4876" w:type="dxa"/>
            <w:tcBorders>
              <w:top w:val="nil"/>
              <w:left w:val="nil"/>
              <w:bottom w:val="nil"/>
              <w:right w:val="nil"/>
            </w:tcBorders>
          </w:tcPr>
          <w:p w14:paraId="567FCFEE" w14:textId="77777777" w:rsidR="00CE45E2" w:rsidRPr="00CE45E2" w:rsidRDefault="00CE45E2" w:rsidP="006476FB">
            <w:pPr>
              <w:pStyle w:val="Normal6a"/>
            </w:pPr>
            <w:r w:rsidRPr="00CE45E2">
              <w:rPr>
                <w:b/>
                <w:i/>
              </w:rPr>
              <w:t>c)</w:t>
            </w:r>
            <w:r w:rsidRPr="00CE45E2">
              <w:tab/>
            </w:r>
            <w:r w:rsidRPr="00CE45E2">
              <w:rPr>
                <w:b/>
                <w:i/>
              </w:rPr>
              <w:t>przeprowadzenia prognoz w dodatkowych scenariuszach warunków skrajnych.</w:t>
            </w:r>
          </w:p>
        </w:tc>
        <w:tc>
          <w:tcPr>
            <w:tcW w:w="4876" w:type="dxa"/>
            <w:tcBorders>
              <w:top w:val="nil"/>
              <w:left w:val="nil"/>
              <w:bottom w:val="nil"/>
              <w:right w:val="nil"/>
            </w:tcBorders>
          </w:tcPr>
          <w:p w14:paraId="0058D44D" w14:textId="77777777" w:rsidR="00CE45E2" w:rsidRPr="00CE45E2" w:rsidRDefault="00CE45E2" w:rsidP="006476FB">
            <w:pPr>
              <w:pStyle w:val="Normal6a"/>
            </w:pPr>
            <w:r w:rsidRPr="00CE45E2">
              <w:rPr>
                <w:b/>
                <w:i/>
              </w:rPr>
              <w:t>skreśla się</w:t>
            </w:r>
          </w:p>
        </w:tc>
      </w:tr>
    </w:tbl>
    <w:p w14:paraId="12B5650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3F144F6" w14:textId="77777777" w:rsidR="00CE45E2" w:rsidRPr="00CE45E2" w:rsidRDefault="00CE45E2" w:rsidP="00CE45E2">
      <w:r w:rsidRPr="00CE45E2">
        <w:rPr>
          <w:rStyle w:val="HideTWBExt"/>
        </w:rPr>
        <w:t>&lt;/Amend&gt;</w:t>
      </w:r>
    </w:p>
    <w:p w14:paraId="4287291A" w14:textId="4D1B013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302</w:t>
      </w:r>
      <w:r w:rsidRPr="00CE45E2">
        <w:rPr>
          <w:rStyle w:val="HideTWBExt"/>
          <w:b w:val="0"/>
        </w:rPr>
        <w:t>&lt;/NumAm&gt;</w:t>
      </w:r>
    </w:p>
    <w:p w14:paraId="5640A243"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089DB9B0" w14:textId="77777777" w:rsidR="00CE45E2" w:rsidRPr="00CE45E2" w:rsidRDefault="00CE45E2" w:rsidP="00CE45E2">
      <w:pPr>
        <w:pStyle w:val="NormalBold"/>
      </w:pPr>
      <w:r w:rsidRPr="00CE45E2">
        <w:rPr>
          <w:rStyle w:val="HideTWBExt"/>
          <w:b w:val="0"/>
        </w:rPr>
        <w:t>&lt;/RepeatBlock-By&gt;</w:t>
      </w:r>
    </w:p>
    <w:p w14:paraId="25E9442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0E8038E"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5FDD165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FAE9A1D" w14:textId="77777777" w:rsidR="00CE45E2" w:rsidRPr="00CE45E2" w:rsidRDefault="00CE45E2" w:rsidP="00CE45E2">
      <w:r w:rsidRPr="00CE45E2">
        <w:rPr>
          <w:rStyle w:val="HideTWBExt"/>
        </w:rPr>
        <w:t>&lt;Article2&gt;</w:t>
      </w:r>
      <w:proofErr w:type="gramStart"/>
      <w:r w:rsidRPr="00CE45E2">
        <w:t>Artykuł  18</w:t>
      </w:r>
      <w:proofErr w:type="gramEnd"/>
      <w:r w:rsidRPr="00CE45E2">
        <w:t xml:space="preserve"> a – ustęp 2 – akapit 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80BDAF" w14:textId="77777777" w:rsidTr="006476FB">
        <w:trPr>
          <w:trHeight w:hRule="exact" w:val="240"/>
          <w:jc w:val="center"/>
        </w:trPr>
        <w:tc>
          <w:tcPr>
            <w:tcW w:w="9752" w:type="dxa"/>
            <w:gridSpan w:val="2"/>
            <w:tcBorders>
              <w:top w:val="nil"/>
              <w:left w:val="nil"/>
              <w:bottom w:val="nil"/>
              <w:right w:val="nil"/>
            </w:tcBorders>
          </w:tcPr>
          <w:p w14:paraId="285B2AAC" w14:textId="77777777" w:rsidR="00CE45E2" w:rsidRPr="00CE45E2" w:rsidRDefault="00CE45E2" w:rsidP="006476FB"/>
        </w:tc>
      </w:tr>
      <w:tr w:rsidR="00CE45E2" w:rsidRPr="00CE45E2" w14:paraId="27264C13" w14:textId="77777777" w:rsidTr="006476FB">
        <w:trPr>
          <w:trHeight w:val="240"/>
          <w:jc w:val="center"/>
        </w:trPr>
        <w:tc>
          <w:tcPr>
            <w:tcW w:w="4876" w:type="dxa"/>
            <w:tcBorders>
              <w:top w:val="nil"/>
              <w:left w:val="nil"/>
              <w:bottom w:val="nil"/>
              <w:right w:val="nil"/>
            </w:tcBorders>
          </w:tcPr>
          <w:p w14:paraId="01F9BB1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8A4281" w14:textId="77777777" w:rsidR="00CE45E2" w:rsidRPr="00CE45E2" w:rsidRDefault="00CE45E2" w:rsidP="006476FB">
            <w:pPr>
              <w:pStyle w:val="AmColumnHeading"/>
            </w:pPr>
            <w:r w:rsidRPr="00CE45E2">
              <w:t>Poprawka</w:t>
            </w:r>
          </w:p>
        </w:tc>
      </w:tr>
      <w:tr w:rsidR="00CE45E2" w:rsidRPr="00CE45E2" w14:paraId="39398342" w14:textId="77777777" w:rsidTr="006476FB">
        <w:trPr>
          <w:jc w:val="center"/>
        </w:trPr>
        <w:tc>
          <w:tcPr>
            <w:tcW w:w="4876" w:type="dxa"/>
            <w:tcBorders>
              <w:top w:val="nil"/>
              <w:left w:val="nil"/>
              <w:bottom w:val="nil"/>
              <w:right w:val="nil"/>
            </w:tcBorders>
          </w:tcPr>
          <w:p w14:paraId="03412D07" w14:textId="77777777" w:rsidR="00CE45E2" w:rsidRPr="00CE45E2" w:rsidRDefault="00CE45E2" w:rsidP="006476FB">
            <w:pPr>
              <w:pStyle w:val="Normal6a"/>
            </w:pPr>
          </w:p>
        </w:tc>
        <w:tc>
          <w:tcPr>
            <w:tcW w:w="4876" w:type="dxa"/>
            <w:tcBorders>
              <w:top w:val="nil"/>
              <w:left w:val="nil"/>
              <w:bottom w:val="nil"/>
              <w:right w:val="nil"/>
            </w:tcBorders>
          </w:tcPr>
          <w:p w14:paraId="76691AE4" w14:textId="77777777" w:rsidR="00CE45E2" w:rsidRPr="00CE45E2" w:rsidRDefault="00CE45E2" w:rsidP="006476FB">
            <w:pPr>
              <w:pStyle w:val="Normal6a"/>
            </w:pPr>
            <w:r w:rsidRPr="00CE45E2">
              <w:rPr>
                <w:b/>
                <w:i/>
              </w:rPr>
              <w:t>W przypadku zwiększonej zmienności rynku lub innych wyjątkowych zjawisk rynkowych Komisja, po konsultacji z EIOPA, może przyjąć akt delegowany w celu przeprowadzenia prognozy w oparciu o pesymistyczne scenariusze, które są bardziej pesymistyczne niż scenariusze określone w akapicie pierwszym lit. b), c) lub d).</w:t>
            </w:r>
          </w:p>
        </w:tc>
      </w:tr>
    </w:tbl>
    <w:p w14:paraId="6E6D511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2CBEE10" w14:textId="77777777" w:rsidR="00CE45E2" w:rsidRPr="00CE45E2" w:rsidRDefault="00CE45E2" w:rsidP="00CE45E2">
      <w:r w:rsidRPr="00CE45E2">
        <w:rPr>
          <w:rStyle w:val="HideTWBExt"/>
        </w:rPr>
        <w:t>&lt;/Amend&gt;</w:t>
      </w:r>
    </w:p>
    <w:p w14:paraId="00B188E3" w14:textId="25792BE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303</w:t>
      </w:r>
      <w:r w:rsidRPr="00CE45E2">
        <w:rPr>
          <w:rStyle w:val="HideTWBExt"/>
          <w:b w:val="0"/>
        </w:rPr>
        <w:t>&lt;/NumAm&gt;</w:t>
      </w:r>
    </w:p>
    <w:p w14:paraId="35DD22DD"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t xml:space="preserve">, </w:t>
      </w:r>
      <w:proofErr w:type="spellStart"/>
      <w:r w:rsidRPr="00CE45E2">
        <w:t>Mireia</w:t>
      </w:r>
      <w:proofErr w:type="spellEnd"/>
      <w:r w:rsidRPr="00CE45E2">
        <w:t xml:space="preserve"> </w:t>
      </w:r>
      <w:proofErr w:type="spellStart"/>
      <w:r w:rsidRPr="00CE45E2">
        <w:t>Borrás</w:t>
      </w:r>
      <w:proofErr w:type="spellEnd"/>
      <w:r w:rsidRPr="00CE45E2">
        <w:t xml:space="preserve"> </w:t>
      </w:r>
      <w:proofErr w:type="spellStart"/>
      <w:r w:rsidRPr="00CE45E2">
        <w:t>Pabón</w:t>
      </w:r>
      <w:proofErr w:type="spellEnd"/>
      <w:r w:rsidRPr="00CE45E2">
        <w:rPr>
          <w:rStyle w:val="HideTWBExt"/>
          <w:b w:val="0"/>
        </w:rPr>
        <w:t>&lt;/Members&gt;</w:t>
      </w:r>
    </w:p>
    <w:p w14:paraId="7F8F4D2D" w14:textId="77777777" w:rsidR="00CE45E2" w:rsidRPr="00CE45E2" w:rsidRDefault="00CE45E2" w:rsidP="00CE45E2">
      <w:pPr>
        <w:pStyle w:val="NormalBold"/>
      </w:pPr>
      <w:r w:rsidRPr="00CE45E2">
        <w:rPr>
          <w:rStyle w:val="HideTWBExt"/>
          <w:b w:val="0"/>
        </w:rPr>
        <w:t>&lt;/RepeatBlock-By&gt;</w:t>
      </w:r>
    </w:p>
    <w:p w14:paraId="3790BB4C"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66E2781"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0AEE51F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3CC0D61" w14:textId="77777777" w:rsidR="00CE45E2" w:rsidRPr="00CE45E2" w:rsidRDefault="00CE45E2" w:rsidP="00CE45E2">
      <w:r w:rsidRPr="00CE45E2">
        <w:rPr>
          <w:rStyle w:val="HideTWBExt"/>
        </w:rPr>
        <w:t>&lt;Article2&gt;</w:t>
      </w:r>
      <w:r w:rsidRPr="00CE45E2">
        <w:t>Artykuł 18 a – ustęp 2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E915761" w14:textId="77777777" w:rsidTr="006476FB">
        <w:trPr>
          <w:trHeight w:hRule="exact" w:val="240"/>
          <w:jc w:val="center"/>
        </w:trPr>
        <w:tc>
          <w:tcPr>
            <w:tcW w:w="9752" w:type="dxa"/>
            <w:gridSpan w:val="2"/>
            <w:tcBorders>
              <w:top w:val="nil"/>
              <w:left w:val="nil"/>
              <w:bottom w:val="nil"/>
              <w:right w:val="nil"/>
            </w:tcBorders>
          </w:tcPr>
          <w:p w14:paraId="762A4476" w14:textId="77777777" w:rsidR="00CE45E2" w:rsidRPr="00CE45E2" w:rsidRDefault="00CE45E2" w:rsidP="006476FB"/>
        </w:tc>
      </w:tr>
      <w:tr w:rsidR="00CE45E2" w:rsidRPr="00CE45E2" w14:paraId="6005C536" w14:textId="77777777" w:rsidTr="006476FB">
        <w:trPr>
          <w:trHeight w:val="240"/>
          <w:jc w:val="center"/>
        </w:trPr>
        <w:tc>
          <w:tcPr>
            <w:tcW w:w="4876" w:type="dxa"/>
            <w:tcBorders>
              <w:top w:val="nil"/>
              <w:left w:val="nil"/>
              <w:bottom w:val="nil"/>
              <w:right w:val="nil"/>
            </w:tcBorders>
          </w:tcPr>
          <w:p w14:paraId="38D20F7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DA7F8EE" w14:textId="77777777" w:rsidR="00CE45E2" w:rsidRPr="00CE45E2" w:rsidRDefault="00CE45E2" w:rsidP="006476FB">
            <w:pPr>
              <w:pStyle w:val="AmColumnHeading"/>
            </w:pPr>
            <w:r w:rsidRPr="00CE45E2">
              <w:t>Poprawka</w:t>
            </w:r>
          </w:p>
        </w:tc>
      </w:tr>
      <w:tr w:rsidR="00CE45E2" w:rsidRPr="00CE45E2" w14:paraId="7EE5E9B4" w14:textId="77777777" w:rsidTr="006476FB">
        <w:trPr>
          <w:jc w:val="center"/>
        </w:trPr>
        <w:tc>
          <w:tcPr>
            <w:tcW w:w="4876" w:type="dxa"/>
            <w:tcBorders>
              <w:top w:val="nil"/>
              <w:left w:val="nil"/>
              <w:bottom w:val="nil"/>
              <w:right w:val="nil"/>
            </w:tcBorders>
          </w:tcPr>
          <w:p w14:paraId="586B811B" w14:textId="77777777" w:rsidR="00CE45E2" w:rsidRPr="00CE45E2" w:rsidRDefault="00CE45E2" w:rsidP="006476FB">
            <w:pPr>
              <w:pStyle w:val="Normal6a"/>
            </w:pPr>
          </w:p>
        </w:tc>
        <w:tc>
          <w:tcPr>
            <w:tcW w:w="4876" w:type="dxa"/>
            <w:tcBorders>
              <w:top w:val="nil"/>
              <w:left w:val="nil"/>
              <w:bottom w:val="nil"/>
              <w:right w:val="nil"/>
            </w:tcBorders>
          </w:tcPr>
          <w:p w14:paraId="2F44D681" w14:textId="77777777" w:rsidR="00CE45E2" w:rsidRPr="00CE45E2" w:rsidRDefault="00CE45E2" w:rsidP="006476FB">
            <w:pPr>
              <w:pStyle w:val="Normal6a"/>
            </w:pPr>
            <w:r w:rsidRPr="00CE45E2">
              <w:rPr>
                <w:b/>
                <w:i/>
              </w:rPr>
              <w:t>2a.</w:t>
            </w:r>
            <w:r w:rsidRPr="00CE45E2">
              <w:tab/>
            </w:r>
            <w:r w:rsidRPr="00CE45E2">
              <w:rPr>
                <w:b/>
                <w:i/>
              </w:rPr>
              <w:t>Testy warunków skrajnych wymagane na mocy niniejszej dyrektywy ograniczają się do istotnych z finansowego punktu widzenia rodzajów ryzyka związanych z rynkiem, stopami procentowymi, inwestycjami, długowiecznością, umieralnością oraz demografią. Państwa członkowskie i właściwe organy nie mogą wymagać od IORP przeprowadzania scenariuszy testów warunków skrajnych dotyczących zmiany klimatu, środowiska, polityki transformacji lub innych kwestii związanych ze środowiskiem.</w:t>
            </w:r>
          </w:p>
        </w:tc>
      </w:tr>
    </w:tbl>
    <w:p w14:paraId="55438C3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B67BEBA"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760CB2BE" w14:textId="77777777" w:rsidR="00CE45E2" w:rsidRPr="00CE45E2" w:rsidRDefault="00CE45E2" w:rsidP="00CE45E2">
      <w:pPr>
        <w:pStyle w:val="AmJustText"/>
      </w:pPr>
      <w:r w:rsidRPr="00CE45E2">
        <w:t>Testy warunków skrajnych przeprowadzane przez IORP powinny koncentrować się na ryzykach mających bezpośredni wpływ na zdolność instytucji do wywiązywania się z zobowiązań emerytalnych. Scenariusze dotyczące polityki klimatycznej mają charakter spekulacyjny, są uzależnione od uwarunkowań politycznych i nie nadają się do wykorzystania jako obowiązkowe parametry ostrożnościowe dla długoterminowych systemów emerytalnych.</w:t>
      </w:r>
    </w:p>
    <w:p w14:paraId="603226AC" w14:textId="77777777" w:rsidR="00CE45E2" w:rsidRPr="00CE45E2" w:rsidRDefault="00CE45E2" w:rsidP="00CE45E2">
      <w:r w:rsidRPr="00CE45E2">
        <w:rPr>
          <w:rStyle w:val="HideTWBExt"/>
        </w:rPr>
        <w:t>&lt;/Amend&gt;</w:t>
      </w:r>
    </w:p>
    <w:p w14:paraId="2FD9B360" w14:textId="56E3589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304</w:t>
      </w:r>
      <w:r w:rsidRPr="00CE45E2">
        <w:rPr>
          <w:rStyle w:val="HideTWBExt"/>
          <w:b w:val="0"/>
        </w:rPr>
        <w:t>&lt;/NumAm&gt;</w:t>
      </w:r>
    </w:p>
    <w:p w14:paraId="4DC34583"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René</w:t>
      </w:r>
      <w:proofErr w:type="spellEnd"/>
      <w:r w:rsidRPr="00CE45E2">
        <w:t xml:space="preserve"> </w:t>
      </w:r>
      <w:proofErr w:type="spellStart"/>
      <w:r w:rsidRPr="00CE45E2">
        <w:t>Repasi</w:t>
      </w:r>
      <w:proofErr w:type="spellEnd"/>
      <w:r w:rsidRPr="00CE45E2">
        <w:rPr>
          <w:rStyle w:val="HideTWBExt"/>
          <w:b w:val="0"/>
        </w:rPr>
        <w:t>&lt;/Members&gt;</w:t>
      </w:r>
    </w:p>
    <w:p w14:paraId="574E920C" w14:textId="77777777" w:rsidR="00CE45E2" w:rsidRPr="00CE45E2" w:rsidRDefault="00CE45E2" w:rsidP="00CE45E2">
      <w:pPr>
        <w:pStyle w:val="NormalBold"/>
      </w:pPr>
      <w:r w:rsidRPr="00CE45E2">
        <w:rPr>
          <w:rStyle w:val="HideTWBExt"/>
          <w:b w:val="0"/>
        </w:rPr>
        <w:t>&lt;/RepeatBlock-By&gt;</w:t>
      </w:r>
    </w:p>
    <w:p w14:paraId="7C45BFE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AE10B0B"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467168F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7D44F2E" w14:textId="77777777" w:rsidR="00CE45E2" w:rsidRPr="00CE45E2" w:rsidRDefault="00CE45E2" w:rsidP="00CE45E2">
      <w:r w:rsidRPr="00CE45E2">
        <w:rPr>
          <w:rStyle w:val="HideTWBExt"/>
        </w:rPr>
        <w:t>&lt;Article2&gt;</w:t>
      </w:r>
      <w:r w:rsidRPr="00CE45E2">
        <w:t>Artykuł 18 a – ustęp 3 – akapit 1</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0D26A93" w14:textId="77777777" w:rsidTr="006476FB">
        <w:trPr>
          <w:trHeight w:hRule="exact" w:val="240"/>
          <w:jc w:val="center"/>
        </w:trPr>
        <w:tc>
          <w:tcPr>
            <w:tcW w:w="9752" w:type="dxa"/>
            <w:gridSpan w:val="2"/>
            <w:tcBorders>
              <w:top w:val="nil"/>
              <w:left w:val="nil"/>
              <w:bottom w:val="nil"/>
              <w:right w:val="nil"/>
            </w:tcBorders>
          </w:tcPr>
          <w:p w14:paraId="76EE58D2" w14:textId="77777777" w:rsidR="00CE45E2" w:rsidRPr="00CE45E2" w:rsidRDefault="00CE45E2" w:rsidP="006476FB"/>
        </w:tc>
      </w:tr>
      <w:tr w:rsidR="00CE45E2" w:rsidRPr="00CE45E2" w14:paraId="4D791E0B" w14:textId="77777777" w:rsidTr="006476FB">
        <w:trPr>
          <w:trHeight w:val="240"/>
          <w:jc w:val="center"/>
        </w:trPr>
        <w:tc>
          <w:tcPr>
            <w:tcW w:w="4876" w:type="dxa"/>
            <w:tcBorders>
              <w:top w:val="nil"/>
              <w:left w:val="nil"/>
              <w:bottom w:val="nil"/>
              <w:right w:val="nil"/>
            </w:tcBorders>
          </w:tcPr>
          <w:p w14:paraId="134F4DA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633870" w14:textId="77777777" w:rsidR="00CE45E2" w:rsidRPr="00CE45E2" w:rsidRDefault="00CE45E2" w:rsidP="006476FB">
            <w:pPr>
              <w:pStyle w:val="AmColumnHeading"/>
            </w:pPr>
            <w:r w:rsidRPr="00CE45E2">
              <w:t>Poprawka</w:t>
            </w:r>
          </w:p>
        </w:tc>
      </w:tr>
      <w:tr w:rsidR="00CE45E2" w:rsidRPr="00CE45E2" w14:paraId="49D51859" w14:textId="77777777" w:rsidTr="006476FB">
        <w:trPr>
          <w:jc w:val="center"/>
        </w:trPr>
        <w:tc>
          <w:tcPr>
            <w:tcW w:w="4876" w:type="dxa"/>
            <w:tcBorders>
              <w:top w:val="nil"/>
              <w:left w:val="nil"/>
              <w:bottom w:val="nil"/>
              <w:right w:val="nil"/>
            </w:tcBorders>
          </w:tcPr>
          <w:p w14:paraId="3A82616A" w14:textId="77777777" w:rsidR="00CE45E2" w:rsidRPr="00CE45E2" w:rsidRDefault="00CE45E2" w:rsidP="006476FB">
            <w:pPr>
              <w:pStyle w:val="Normal6a"/>
            </w:pPr>
            <w:r w:rsidRPr="00CE45E2">
              <w:t xml:space="preserve">Jeżeli wyniki testu warunków skrajnych, o którym mowa w ust. 1, wskazują, że w ramach któregokolwiek ze scenariuszy, o których mowa w ust. 2, IORP posiadałaby albo niewystarczające aktywa dla pokrycia rezerw techniczno-ubezpieczeniowych, albo, w stosownych przypadkach, niewystarczający dostępny margines wypłacalności dla pokrycia wymaganego marginesu wypłacalności lub jakiegokolwiek wyższego poziomu ustawowych funduszy własnych wymaganych na mocy prawa krajowego zgodnie z art. 15 na dowolny rok objęty prognozą, państwa członkowskie zapewniają, aby właściwy organ </w:t>
            </w:r>
            <w:r w:rsidRPr="00CE45E2">
              <w:rPr>
                <w:b/>
                <w:bCs/>
                <w:i/>
                <w:iCs/>
              </w:rPr>
              <w:t>wymagał</w:t>
            </w:r>
            <w:r w:rsidRPr="00CE45E2">
              <w:t xml:space="preserve"> od IORP przedłożenia planu konwergencji.</w:t>
            </w:r>
          </w:p>
        </w:tc>
        <w:tc>
          <w:tcPr>
            <w:tcW w:w="4876" w:type="dxa"/>
            <w:tcBorders>
              <w:top w:val="nil"/>
              <w:left w:val="nil"/>
              <w:bottom w:val="nil"/>
              <w:right w:val="nil"/>
            </w:tcBorders>
          </w:tcPr>
          <w:p w14:paraId="36DFFC0C" w14:textId="77777777" w:rsidR="00CE45E2" w:rsidRPr="00CE45E2" w:rsidRDefault="00CE45E2" w:rsidP="006476FB">
            <w:pPr>
              <w:pStyle w:val="Normal6a"/>
            </w:pPr>
            <w:r w:rsidRPr="00CE45E2">
              <w:t>Jeżeli wyniki testu warunków skrajnych, o którym mowa w ust. 1, wskazują, że w ramach któregokolwiek ze scenariuszy, o których mowa w ust. 2</w:t>
            </w:r>
            <w:r w:rsidRPr="00CE45E2">
              <w:rPr>
                <w:b/>
                <w:bCs/>
                <w:i/>
                <w:iCs/>
              </w:rPr>
              <w:t xml:space="preserve"> lit. a), b) lub c), istnieje istotne ryzyko, że</w:t>
            </w:r>
            <w:r w:rsidRPr="00CE45E2">
              <w:t xml:space="preserve"> IORP posiadałaby albo niewystarczające aktywa dla pokrycia rezerw techniczno-ubezpieczeniowych, albo, w stosownych przypadkach, niewystarczający dostępny margines wypłacalności dla pokrycia wymaganego marginesu wypłacalności lub jakiegokolwiek wyższego poziomu ustawowych funduszy własnych wymaganych na mocy prawa krajowego zgodnie z art. 15 na dowolny rok objęty prognozą, państwa członkowskie zapewniają, aby właściwy organ </w:t>
            </w:r>
            <w:r w:rsidRPr="00CE45E2">
              <w:rPr>
                <w:b/>
                <w:bCs/>
                <w:i/>
                <w:iCs/>
              </w:rPr>
              <w:t>mógł wymagać</w:t>
            </w:r>
            <w:r w:rsidRPr="00CE45E2">
              <w:t xml:space="preserve"> od IORP przedłożenia </w:t>
            </w:r>
            <w:r w:rsidRPr="00CE45E2">
              <w:rPr>
                <w:b/>
                <w:bCs/>
                <w:i/>
                <w:iCs/>
              </w:rPr>
              <w:t>proporcjonalnego</w:t>
            </w:r>
            <w:r w:rsidRPr="00CE45E2">
              <w:t xml:space="preserve"> planu konwergencji. </w:t>
            </w:r>
            <w:r w:rsidRPr="00CE45E2">
              <w:rPr>
                <w:b/>
                <w:i/>
              </w:rPr>
              <w:t>Jeżeli wyniki scenariusza, o którym mowa w ust. 2 lit. d), wskazują na istotne ryzyko, właściwy organ może wymagać od IORP oceny tego ryzyka i przeciwdziałania mu w ramach istniejących mechanizmów zarządzania ryzykiem lub planów naprawczych. Wyniki te same w sobie nie wymagają przedłożenia planu konwergencji ani natychmiastowego zwiększenia dostępnego marginesu wypłacalności.</w:t>
            </w:r>
          </w:p>
        </w:tc>
      </w:tr>
    </w:tbl>
    <w:p w14:paraId="0F13ECD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A70E9A4" w14:textId="77777777" w:rsidR="00CE45E2" w:rsidRPr="00CE45E2" w:rsidRDefault="00CE45E2" w:rsidP="00CE45E2">
      <w:r w:rsidRPr="00CE45E2">
        <w:rPr>
          <w:rStyle w:val="HideTWBExt"/>
        </w:rPr>
        <w:t>&lt;/Amend&gt;</w:t>
      </w:r>
    </w:p>
    <w:p w14:paraId="5452BBB5" w14:textId="4C3B2E0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305</w:t>
      </w:r>
      <w:r w:rsidRPr="00CE45E2">
        <w:rPr>
          <w:rStyle w:val="HideTWBExt"/>
          <w:b w:val="0"/>
        </w:rPr>
        <w:t>&lt;/NumAm&gt;</w:t>
      </w:r>
    </w:p>
    <w:p w14:paraId="04F7F389"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37468E03" w14:textId="77777777" w:rsidR="00CE45E2" w:rsidRPr="00CE45E2" w:rsidRDefault="00CE45E2" w:rsidP="00CE45E2">
      <w:pPr>
        <w:pStyle w:val="NormalBold"/>
      </w:pPr>
      <w:r w:rsidRPr="00CE45E2">
        <w:rPr>
          <w:rStyle w:val="HideTWBExt"/>
          <w:b w:val="0"/>
        </w:rPr>
        <w:t>&lt;/RepeatBlock-By&gt;</w:t>
      </w:r>
    </w:p>
    <w:p w14:paraId="28C2C84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389442C"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54092EA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F50120F" w14:textId="77777777" w:rsidR="00CE45E2" w:rsidRPr="00CE45E2" w:rsidRDefault="00CE45E2" w:rsidP="00CE45E2">
      <w:r w:rsidRPr="00CE45E2">
        <w:rPr>
          <w:rStyle w:val="HideTWBExt"/>
        </w:rPr>
        <w:t>&lt;Article2&gt;</w:t>
      </w:r>
      <w:r w:rsidRPr="00CE45E2">
        <w:t>Artykuł 18 a – ustęp 3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5FDC8B9" w14:textId="77777777" w:rsidTr="006476FB">
        <w:trPr>
          <w:trHeight w:hRule="exact" w:val="240"/>
          <w:jc w:val="center"/>
        </w:trPr>
        <w:tc>
          <w:tcPr>
            <w:tcW w:w="9752" w:type="dxa"/>
            <w:gridSpan w:val="2"/>
            <w:tcBorders>
              <w:top w:val="nil"/>
              <w:left w:val="nil"/>
              <w:bottom w:val="nil"/>
              <w:right w:val="nil"/>
            </w:tcBorders>
          </w:tcPr>
          <w:p w14:paraId="3DD1D5A4" w14:textId="77777777" w:rsidR="00CE45E2" w:rsidRPr="00CE45E2" w:rsidRDefault="00CE45E2" w:rsidP="006476FB"/>
        </w:tc>
      </w:tr>
      <w:tr w:rsidR="00CE45E2" w:rsidRPr="00CE45E2" w14:paraId="58EF0C47" w14:textId="77777777" w:rsidTr="006476FB">
        <w:trPr>
          <w:trHeight w:val="240"/>
          <w:jc w:val="center"/>
        </w:trPr>
        <w:tc>
          <w:tcPr>
            <w:tcW w:w="4876" w:type="dxa"/>
            <w:tcBorders>
              <w:top w:val="nil"/>
              <w:left w:val="nil"/>
              <w:bottom w:val="nil"/>
              <w:right w:val="nil"/>
            </w:tcBorders>
          </w:tcPr>
          <w:p w14:paraId="640A3A5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76E2E31" w14:textId="77777777" w:rsidR="00CE45E2" w:rsidRPr="00CE45E2" w:rsidRDefault="00CE45E2" w:rsidP="006476FB">
            <w:pPr>
              <w:pStyle w:val="AmColumnHeading"/>
            </w:pPr>
            <w:r w:rsidRPr="00CE45E2">
              <w:t>Poprawka</w:t>
            </w:r>
          </w:p>
        </w:tc>
      </w:tr>
      <w:tr w:rsidR="00CE45E2" w:rsidRPr="00CE45E2" w14:paraId="20C114F5" w14:textId="77777777" w:rsidTr="006476FB">
        <w:trPr>
          <w:jc w:val="center"/>
        </w:trPr>
        <w:tc>
          <w:tcPr>
            <w:tcW w:w="4876" w:type="dxa"/>
            <w:tcBorders>
              <w:top w:val="nil"/>
              <w:left w:val="nil"/>
              <w:bottom w:val="nil"/>
              <w:right w:val="nil"/>
            </w:tcBorders>
          </w:tcPr>
          <w:p w14:paraId="65B6F102" w14:textId="77777777" w:rsidR="00CE45E2" w:rsidRPr="00CE45E2" w:rsidRDefault="00CE45E2" w:rsidP="006476FB">
            <w:pPr>
              <w:pStyle w:val="Normal6a"/>
            </w:pPr>
            <w:r w:rsidRPr="00CE45E2">
              <w:t xml:space="preserve">Państwa członkowskie zapewniają, aby IORP przedłożyła właściwemu organowi plan konwergencji w terminie </w:t>
            </w:r>
            <w:r w:rsidRPr="00CE45E2">
              <w:rPr>
                <w:b/>
                <w:bCs/>
                <w:i/>
                <w:iCs/>
              </w:rPr>
              <w:t>trzech miesięcy</w:t>
            </w:r>
            <w:r w:rsidRPr="00CE45E2">
              <w:t xml:space="preserve"> od daty przeprowadzenia testu warunków skrajnych.</w:t>
            </w:r>
          </w:p>
        </w:tc>
        <w:tc>
          <w:tcPr>
            <w:tcW w:w="4876" w:type="dxa"/>
            <w:tcBorders>
              <w:top w:val="nil"/>
              <w:left w:val="nil"/>
              <w:bottom w:val="nil"/>
              <w:right w:val="nil"/>
            </w:tcBorders>
          </w:tcPr>
          <w:p w14:paraId="3648C52D" w14:textId="77777777" w:rsidR="00CE45E2" w:rsidRPr="00CE45E2" w:rsidRDefault="00CE45E2" w:rsidP="006476FB">
            <w:pPr>
              <w:pStyle w:val="Normal6a"/>
            </w:pPr>
            <w:r w:rsidRPr="00CE45E2">
              <w:t xml:space="preserve">Państwa członkowskie zapewniają, aby IORP przedłożyła właściwemu organowi plan konwergencji w </w:t>
            </w:r>
            <w:r w:rsidRPr="00CE45E2">
              <w:rPr>
                <w:b/>
                <w:bCs/>
                <w:i/>
                <w:iCs/>
              </w:rPr>
              <w:t>określonym</w:t>
            </w:r>
            <w:r w:rsidRPr="00CE45E2">
              <w:t xml:space="preserve"> terminie od daty przeprowadzenia testu warunków skrajnych.</w:t>
            </w:r>
          </w:p>
        </w:tc>
      </w:tr>
    </w:tbl>
    <w:p w14:paraId="2A4DCB07"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572A516" w14:textId="77777777" w:rsidR="00CE45E2" w:rsidRPr="00CE45E2" w:rsidRDefault="00CE45E2" w:rsidP="00CE45E2">
      <w:r w:rsidRPr="00CE45E2">
        <w:rPr>
          <w:rStyle w:val="HideTWBExt"/>
        </w:rPr>
        <w:t>&lt;/Amend&gt;</w:t>
      </w:r>
    </w:p>
    <w:p w14:paraId="3CE6DBAD" w14:textId="44BD418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306</w:t>
      </w:r>
      <w:r w:rsidRPr="00CE45E2">
        <w:rPr>
          <w:rStyle w:val="HideTWBExt"/>
          <w:b w:val="0"/>
        </w:rPr>
        <w:t>&lt;/NumAm&gt;</w:t>
      </w:r>
    </w:p>
    <w:p w14:paraId="7F866053"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612A403E" w14:textId="77777777" w:rsidR="00CE45E2" w:rsidRPr="00CE45E2" w:rsidRDefault="00CE45E2" w:rsidP="00CE45E2">
      <w:pPr>
        <w:pStyle w:val="NormalBold"/>
      </w:pPr>
      <w:r w:rsidRPr="00CE45E2">
        <w:rPr>
          <w:rStyle w:val="HideTWBExt"/>
          <w:b w:val="0"/>
        </w:rPr>
        <w:t>&lt;/RepeatBlock-By&gt;</w:t>
      </w:r>
    </w:p>
    <w:p w14:paraId="2CEF808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B22E4D4"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04B189C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9FFA5BC" w14:textId="77777777" w:rsidR="00CE45E2" w:rsidRPr="00CE45E2" w:rsidRDefault="00CE45E2" w:rsidP="00CE45E2">
      <w:r w:rsidRPr="00CE45E2">
        <w:rPr>
          <w:rStyle w:val="HideTWBExt"/>
        </w:rPr>
        <w:t>&lt;Article2&gt;</w:t>
      </w:r>
      <w:r w:rsidRPr="00CE45E2">
        <w:t>Artykuł 18 a – ustęp 3 – akapit 3</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D5ED9D0" w14:textId="77777777" w:rsidTr="006476FB">
        <w:trPr>
          <w:trHeight w:hRule="exact" w:val="240"/>
          <w:jc w:val="center"/>
        </w:trPr>
        <w:tc>
          <w:tcPr>
            <w:tcW w:w="9752" w:type="dxa"/>
            <w:gridSpan w:val="2"/>
            <w:tcBorders>
              <w:top w:val="nil"/>
              <w:left w:val="nil"/>
              <w:bottom w:val="nil"/>
              <w:right w:val="nil"/>
            </w:tcBorders>
          </w:tcPr>
          <w:p w14:paraId="4F85DC3C" w14:textId="77777777" w:rsidR="00CE45E2" w:rsidRPr="00CE45E2" w:rsidRDefault="00CE45E2" w:rsidP="006476FB"/>
        </w:tc>
      </w:tr>
      <w:tr w:rsidR="00CE45E2" w:rsidRPr="00CE45E2" w14:paraId="657421CD" w14:textId="77777777" w:rsidTr="006476FB">
        <w:trPr>
          <w:trHeight w:val="240"/>
          <w:jc w:val="center"/>
        </w:trPr>
        <w:tc>
          <w:tcPr>
            <w:tcW w:w="4876" w:type="dxa"/>
            <w:tcBorders>
              <w:top w:val="nil"/>
              <w:left w:val="nil"/>
              <w:bottom w:val="nil"/>
              <w:right w:val="nil"/>
            </w:tcBorders>
          </w:tcPr>
          <w:p w14:paraId="1AD6EF9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2B2EE7E" w14:textId="77777777" w:rsidR="00CE45E2" w:rsidRPr="00CE45E2" w:rsidRDefault="00CE45E2" w:rsidP="006476FB">
            <w:pPr>
              <w:pStyle w:val="AmColumnHeading"/>
            </w:pPr>
            <w:r w:rsidRPr="00CE45E2">
              <w:t>Poprawka</w:t>
            </w:r>
          </w:p>
        </w:tc>
      </w:tr>
      <w:tr w:rsidR="00CE45E2" w:rsidRPr="00CE45E2" w14:paraId="20B5C0E3" w14:textId="77777777" w:rsidTr="006476FB">
        <w:trPr>
          <w:jc w:val="center"/>
        </w:trPr>
        <w:tc>
          <w:tcPr>
            <w:tcW w:w="4876" w:type="dxa"/>
            <w:tcBorders>
              <w:top w:val="nil"/>
              <w:left w:val="nil"/>
              <w:bottom w:val="nil"/>
              <w:right w:val="nil"/>
            </w:tcBorders>
          </w:tcPr>
          <w:p w14:paraId="3341A0FF" w14:textId="77777777" w:rsidR="00CE45E2" w:rsidRPr="00CE45E2" w:rsidRDefault="00CE45E2" w:rsidP="006476FB">
            <w:pPr>
              <w:pStyle w:val="Normal6a"/>
            </w:pPr>
            <w:r w:rsidRPr="00CE45E2">
              <w:t xml:space="preserve">W przypadku nieprzedłożenia planu konwergencji w terminie </w:t>
            </w:r>
            <w:r w:rsidRPr="00CE45E2">
              <w:rPr>
                <w:b/>
                <w:bCs/>
                <w:i/>
                <w:iCs/>
              </w:rPr>
              <w:t>trzech miesięcy</w:t>
            </w:r>
            <w:r w:rsidRPr="00CE45E2">
              <w:t xml:space="preserve"> lub w przypadku gdy plan konwergencji nie zawiera wiarygodnych działań mających na celu zaradzenie stwierdzonemu niepełnemu finansowaniu </w:t>
            </w:r>
            <w:proofErr w:type="gramStart"/>
            <w:r w:rsidRPr="00CE45E2">
              <w:t>lub,</w:t>
            </w:r>
            <w:proofErr w:type="gramEnd"/>
            <w:r w:rsidRPr="00CE45E2">
              <w:t xml:space="preserve"> w stosownych przypadkach, niewystarczającemu poziomowi dostępnego marginesu wypłacalności w teście warunków skrajnych, państwa członkowskie zapewniają właściwym organom uprawnienia do wymagania od IORP posiadania wyższego dostępnego marginesu wypłacalności.</w:t>
            </w:r>
          </w:p>
        </w:tc>
        <w:tc>
          <w:tcPr>
            <w:tcW w:w="4876" w:type="dxa"/>
            <w:tcBorders>
              <w:top w:val="nil"/>
              <w:left w:val="nil"/>
              <w:bottom w:val="nil"/>
              <w:right w:val="nil"/>
            </w:tcBorders>
          </w:tcPr>
          <w:p w14:paraId="77CA2336" w14:textId="77777777" w:rsidR="00CE45E2" w:rsidRPr="00CE45E2" w:rsidRDefault="00CE45E2" w:rsidP="006476FB">
            <w:pPr>
              <w:pStyle w:val="Normal6a"/>
            </w:pPr>
            <w:r w:rsidRPr="00CE45E2">
              <w:t xml:space="preserve">W przypadku nieprzedłożenia planu konwergencji w </w:t>
            </w:r>
            <w:r w:rsidRPr="00CE45E2">
              <w:rPr>
                <w:b/>
                <w:bCs/>
                <w:i/>
                <w:iCs/>
              </w:rPr>
              <w:t>określonym</w:t>
            </w:r>
            <w:r w:rsidRPr="00CE45E2">
              <w:t xml:space="preserve"> terminie lub w przypadku gdy plan konwergencji nie zawiera wiarygodnych działań mających na celu zaradzenie stwierdzonemu niepełnemu finansowaniu </w:t>
            </w:r>
            <w:proofErr w:type="gramStart"/>
            <w:r w:rsidRPr="00CE45E2">
              <w:t>lub,</w:t>
            </w:r>
            <w:proofErr w:type="gramEnd"/>
            <w:r w:rsidRPr="00CE45E2">
              <w:t xml:space="preserve"> w stosownych przypadkach, niewystarczającemu poziomowi dostępnego marginesu wypłacalności w teście warunków skrajnych, państwa członkowskie zapewniają właściwym organom uprawnienia do wymagania od IORP posiadania wyższego dostępnego marginesu wypłacalności.</w:t>
            </w:r>
          </w:p>
        </w:tc>
      </w:tr>
    </w:tbl>
    <w:p w14:paraId="77B5781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7CCE9F8" w14:textId="77777777" w:rsidR="00CE45E2" w:rsidRPr="00CE45E2" w:rsidRDefault="00CE45E2" w:rsidP="00CE45E2">
      <w:r w:rsidRPr="00CE45E2">
        <w:rPr>
          <w:rStyle w:val="HideTWBExt"/>
        </w:rPr>
        <w:t>&lt;/Amend&gt;</w:t>
      </w:r>
    </w:p>
    <w:p w14:paraId="7CF92B22" w14:textId="7B4AA86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307</w:t>
      </w:r>
      <w:r w:rsidRPr="00CE45E2">
        <w:rPr>
          <w:rStyle w:val="HideTWBExt"/>
          <w:b w:val="0"/>
        </w:rPr>
        <w:t>&lt;/NumAm&gt;</w:t>
      </w:r>
    </w:p>
    <w:p w14:paraId="7DF8BEAB"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AB7A81F" w14:textId="77777777" w:rsidR="00CE45E2" w:rsidRPr="00CE45E2" w:rsidRDefault="00CE45E2" w:rsidP="00CE45E2">
      <w:pPr>
        <w:pStyle w:val="NormalBold"/>
      </w:pPr>
      <w:r w:rsidRPr="00CE45E2">
        <w:rPr>
          <w:rStyle w:val="HideTWBExt"/>
          <w:b w:val="0"/>
        </w:rPr>
        <w:t>&lt;/RepeatBlock-By&gt;</w:t>
      </w:r>
    </w:p>
    <w:p w14:paraId="02B98CC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35B384A"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7D8B41FA"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26F1585" w14:textId="77777777" w:rsidR="00CE45E2" w:rsidRPr="00CE45E2" w:rsidRDefault="00CE45E2" w:rsidP="00CE45E2">
      <w:r w:rsidRPr="00CE45E2">
        <w:rPr>
          <w:rStyle w:val="HideTWBExt"/>
        </w:rPr>
        <w:t>&lt;Article2&gt;</w:t>
      </w:r>
      <w:r w:rsidRPr="00CE45E2">
        <w:t>Artykuł 18 a – ustęp 3 a (nowy)</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CD0D945" w14:textId="77777777" w:rsidTr="006476FB">
        <w:trPr>
          <w:trHeight w:hRule="exact" w:val="240"/>
          <w:jc w:val="center"/>
        </w:trPr>
        <w:tc>
          <w:tcPr>
            <w:tcW w:w="9752" w:type="dxa"/>
            <w:gridSpan w:val="2"/>
            <w:tcBorders>
              <w:top w:val="nil"/>
              <w:left w:val="nil"/>
              <w:bottom w:val="nil"/>
              <w:right w:val="nil"/>
            </w:tcBorders>
          </w:tcPr>
          <w:p w14:paraId="5A997957" w14:textId="77777777" w:rsidR="00CE45E2" w:rsidRPr="00CE45E2" w:rsidRDefault="00CE45E2" w:rsidP="006476FB"/>
        </w:tc>
      </w:tr>
      <w:tr w:rsidR="00CE45E2" w:rsidRPr="00CE45E2" w14:paraId="6197F80F" w14:textId="77777777" w:rsidTr="006476FB">
        <w:trPr>
          <w:trHeight w:val="240"/>
          <w:jc w:val="center"/>
        </w:trPr>
        <w:tc>
          <w:tcPr>
            <w:tcW w:w="4876" w:type="dxa"/>
            <w:tcBorders>
              <w:top w:val="nil"/>
              <w:left w:val="nil"/>
              <w:bottom w:val="nil"/>
              <w:right w:val="nil"/>
            </w:tcBorders>
          </w:tcPr>
          <w:p w14:paraId="032BFDA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9AF352E" w14:textId="77777777" w:rsidR="00CE45E2" w:rsidRPr="00CE45E2" w:rsidRDefault="00CE45E2" w:rsidP="006476FB">
            <w:pPr>
              <w:pStyle w:val="AmColumnHeading"/>
            </w:pPr>
            <w:r w:rsidRPr="00CE45E2">
              <w:t>Poprawka</w:t>
            </w:r>
          </w:p>
        </w:tc>
      </w:tr>
      <w:tr w:rsidR="00CE45E2" w:rsidRPr="00CE45E2" w14:paraId="2FA40983" w14:textId="77777777" w:rsidTr="006476FB">
        <w:trPr>
          <w:jc w:val="center"/>
        </w:trPr>
        <w:tc>
          <w:tcPr>
            <w:tcW w:w="4876" w:type="dxa"/>
            <w:tcBorders>
              <w:top w:val="nil"/>
              <w:left w:val="nil"/>
              <w:bottom w:val="nil"/>
              <w:right w:val="nil"/>
            </w:tcBorders>
          </w:tcPr>
          <w:p w14:paraId="1E1439D5" w14:textId="77777777" w:rsidR="00CE45E2" w:rsidRPr="00CE45E2" w:rsidRDefault="00CE45E2" w:rsidP="006476FB">
            <w:pPr>
              <w:pStyle w:val="Normal6a"/>
            </w:pPr>
          </w:p>
        </w:tc>
        <w:tc>
          <w:tcPr>
            <w:tcW w:w="4876" w:type="dxa"/>
            <w:tcBorders>
              <w:top w:val="nil"/>
              <w:left w:val="nil"/>
              <w:bottom w:val="nil"/>
              <w:right w:val="nil"/>
            </w:tcBorders>
          </w:tcPr>
          <w:p w14:paraId="08FB66D1" w14:textId="77777777" w:rsidR="00CE45E2" w:rsidRPr="00CE45E2" w:rsidRDefault="00CE45E2" w:rsidP="006476FB">
            <w:pPr>
              <w:pStyle w:val="Normal6a"/>
            </w:pPr>
            <w:r w:rsidRPr="00CE45E2">
              <w:rPr>
                <w:b/>
                <w:i/>
              </w:rPr>
              <w:t>3a. Jeżeli wyniki testu warunków skrajnych, o którym mowa w ust. 1, wskazują, że w scenariuszach, o których mowa w ust. 2, IORP w dowolnym prognozowanym roku albo posiadałaby aktywa znacznie przewyższające kwotę niezbędną do pokrycia jej rezerw techniczno-ubezpieczeniowych, albo – w stosownych przypadkach – dysponowałaby dostępnym marginesem wypłacalności znacznie przewyższającym kwotę niezbędną do spełnienia wymogu dotyczącego marginesu wypłacalności lub jakiegokolwiek wyższego poziomu regulacyjnych środków własnych wymaganego na mocy prawa krajowego zgodnie z art. 15, państwa członkowskie wymagają od IORP przedstawienia szczegółowego wyjaśnienia, w jaki sposób będzie ona nadal wywiązywać się ze swoich zobowiązań wobec uczestników i beneficjentów, a także wyjaśnienia wpływu wyborów strategicznych na jej cele w zakresie dochodów emerytalnych oraz zapewnienie odpowiedniego dochodu emerytalnego.</w:t>
            </w:r>
          </w:p>
        </w:tc>
      </w:tr>
    </w:tbl>
    <w:p w14:paraId="430DB92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0853A2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1215B9DA" w14:textId="77777777" w:rsidR="00CE45E2" w:rsidRPr="00CE45E2" w:rsidRDefault="00CE45E2" w:rsidP="00CE45E2">
      <w:pPr>
        <w:pStyle w:val="AmJustText"/>
      </w:pPr>
      <w:proofErr w:type="spellStart"/>
      <w:r w:rsidRPr="00CE45E2">
        <w:t>While</w:t>
      </w:r>
      <w:proofErr w:type="spellEnd"/>
      <w:r w:rsidRPr="00CE45E2">
        <w:t xml:space="preserve"> </w:t>
      </w:r>
      <w:proofErr w:type="spellStart"/>
      <w:r w:rsidRPr="00CE45E2">
        <w:t>it</w:t>
      </w:r>
      <w:proofErr w:type="spellEnd"/>
      <w:r w:rsidRPr="00CE45E2">
        <w:t xml:space="preserve"> </w:t>
      </w:r>
      <w:proofErr w:type="spellStart"/>
      <w:r w:rsidRPr="00CE45E2">
        <w:t>is</w:t>
      </w:r>
      <w:proofErr w:type="spellEnd"/>
      <w:r w:rsidRPr="00CE45E2">
        <w:t xml:space="preserve"> </w:t>
      </w:r>
      <w:proofErr w:type="spellStart"/>
      <w:r w:rsidRPr="00CE45E2">
        <w:t>essential</w:t>
      </w:r>
      <w:proofErr w:type="spellEnd"/>
      <w:r w:rsidRPr="00CE45E2">
        <w:t xml:space="preserve"> </w:t>
      </w:r>
      <w:proofErr w:type="spellStart"/>
      <w:r w:rsidRPr="00CE45E2">
        <w:t>that</w:t>
      </w:r>
      <w:proofErr w:type="spellEnd"/>
      <w:r w:rsidRPr="00CE45E2">
        <w:t xml:space="preserve"> </w:t>
      </w:r>
      <w:proofErr w:type="spellStart"/>
      <w:r w:rsidRPr="00CE45E2">
        <w:t>IORPs</w:t>
      </w:r>
      <w:proofErr w:type="spellEnd"/>
      <w:r w:rsidRPr="00CE45E2">
        <w:t xml:space="preserve"> </w:t>
      </w:r>
      <w:proofErr w:type="spellStart"/>
      <w:r w:rsidRPr="00CE45E2">
        <w:t>hold</w:t>
      </w:r>
      <w:proofErr w:type="spellEnd"/>
      <w:r w:rsidRPr="00CE45E2">
        <w:t xml:space="preserve"> </w:t>
      </w:r>
      <w:proofErr w:type="spellStart"/>
      <w:r w:rsidRPr="00CE45E2">
        <w:t>enough</w:t>
      </w:r>
      <w:proofErr w:type="spellEnd"/>
      <w:r w:rsidRPr="00CE45E2">
        <w:t xml:space="preserve"> </w:t>
      </w:r>
      <w:proofErr w:type="spellStart"/>
      <w:r w:rsidRPr="00CE45E2">
        <w:t>assets</w:t>
      </w:r>
      <w:proofErr w:type="spellEnd"/>
      <w:r w:rsidRPr="00CE45E2">
        <w:t xml:space="preserve"> to </w:t>
      </w:r>
      <w:proofErr w:type="spellStart"/>
      <w:r w:rsidRPr="00CE45E2">
        <w:t>always</w:t>
      </w:r>
      <w:proofErr w:type="spellEnd"/>
      <w:r w:rsidRPr="00CE45E2">
        <w:t xml:space="preserve"> </w:t>
      </w:r>
      <w:proofErr w:type="spellStart"/>
      <w:r w:rsidRPr="00CE45E2">
        <w:t>meet</w:t>
      </w:r>
      <w:proofErr w:type="spellEnd"/>
      <w:r w:rsidRPr="00CE45E2">
        <w:t xml:space="preserve"> </w:t>
      </w:r>
      <w:proofErr w:type="spellStart"/>
      <w:r w:rsidRPr="00CE45E2">
        <w:t>their</w:t>
      </w:r>
      <w:proofErr w:type="spellEnd"/>
      <w:r w:rsidRPr="00CE45E2">
        <w:t xml:space="preserve"> </w:t>
      </w:r>
      <w:proofErr w:type="spellStart"/>
      <w:r w:rsidRPr="00CE45E2">
        <w:t>obligations</w:t>
      </w:r>
      <w:proofErr w:type="spellEnd"/>
      <w:r w:rsidRPr="00CE45E2">
        <w:t xml:space="preserve"> and </w:t>
      </w:r>
      <w:proofErr w:type="spellStart"/>
      <w:r w:rsidRPr="00CE45E2">
        <w:t>stay</w:t>
      </w:r>
      <w:proofErr w:type="spellEnd"/>
      <w:r w:rsidRPr="00CE45E2">
        <w:t xml:space="preserve"> </w:t>
      </w:r>
      <w:proofErr w:type="spellStart"/>
      <w:r w:rsidRPr="00CE45E2">
        <w:t>solvent</w:t>
      </w:r>
      <w:proofErr w:type="spellEnd"/>
      <w:r w:rsidRPr="00CE45E2">
        <w:t xml:space="preserve">, </w:t>
      </w:r>
      <w:proofErr w:type="spellStart"/>
      <w:r w:rsidRPr="00CE45E2">
        <w:t>being</w:t>
      </w:r>
      <w:proofErr w:type="spellEnd"/>
      <w:r w:rsidRPr="00CE45E2">
        <w:t xml:space="preserve"> </w:t>
      </w:r>
      <w:proofErr w:type="spellStart"/>
      <w:r w:rsidRPr="00CE45E2">
        <w:t>overly</w:t>
      </w:r>
      <w:proofErr w:type="spellEnd"/>
      <w:r w:rsidRPr="00CE45E2">
        <w:t xml:space="preserve"> </w:t>
      </w:r>
      <w:proofErr w:type="spellStart"/>
      <w:r w:rsidRPr="00CE45E2">
        <w:t>risk-averse</w:t>
      </w:r>
      <w:proofErr w:type="spellEnd"/>
      <w:r w:rsidRPr="00CE45E2">
        <w:t xml:space="preserve"> </w:t>
      </w:r>
      <w:proofErr w:type="spellStart"/>
      <w:r w:rsidRPr="00CE45E2">
        <w:t>could</w:t>
      </w:r>
      <w:proofErr w:type="spellEnd"/>
      <w:r w:rsidRPr="00CE45E2">
        <w:t xml:space="preserve"> </w:t>
      </w:r>
      <w:proofErr w:type="spellStart"/>
      <w:r w:rsidRPr="00CE45E2">
        <w:t>also</w:t>
      </w:r>
      <w:proofErr w:type="spellEnd"/>
      <w:r w:rsidRPr="00CE45E2">
        <w:t xml:space="preserve"> </w:t>
      </w:r>
      <w:proofErr w:type="spellStart"/>
      <w:r w:rsidRPr="00CE45E2">
        <w:t>affect</w:t>
      </w:r>
      <w:proofErr w:type="spellEnd"/>
      <w:r w:rsidRPr="00CE45E2">
        <w:t xml:space="preserve"> the </w:t>
      </w:r>
      <w:proofErr w:type="spellStart"/>
      <w:r w:rsidRPr="00CE45E2">
        <w:t>interest</w:t>
      </w:r>
      <w:proofErr w:type="spellEnd"/>
      <w:r w:rsidRPr="00CE45E2">
        <w:t xml:space="preserve"> of </w:t>
      </w:r>
      <w:proofErr w:type="spellStart"/>
      <w:r w:rsidRPr="00CE45E2">
        <w:t>members</w:t>
      </w:r>
      <w:proofErr w:type="spellEnd"/>
      <w:r w:rsidRPr="00CE45E2">
        <w:t xml:space="preserve"> and </w:t>
      </w:r>
      <w:proofErr w:type="spellStart"/>
      <w:r w:rsidRPr="00CE45E2">
        <w:t>beneficiaries</w:t>
      </w:r>
      <w:proofErr w:type="spellEnd"/>
      <w:r w:rsidRPr="00CE45E2">
        <w:t xml:space="preserve">, for </w:t>
      </w:r>
      <w:proofErr w:type="spellStart"/>
      <w:r w:rsidRPr="00CE45E2">
        <w:t>example</w:t>
      </w:r>
      <w:proofErr w:type="spellEnd"/>
      <w:r w:rsidRPr="00CE45E2">
        <w:t xml:space="preserve"> </w:t>
      </w:r>
      <w:proofErr w:type="spellStart"/>
      <w:r w:rsidRPr="00CE45E2">
        <w:t>through</w:t>
      </w:r>
      <w:proofErr w:type="spellEnd"/>
      <w:r w:rsidRPr="00CE45E2">
        <w:t xml:space="preserve"> </w:t>
      </w:r>
      <w:proofErr w:type="spellStart"/>
      <w:r w:rsidRPr="00CE45E2">
        <w:t>choices</w:t>
      </w:r>
      <w:proofErr w:type="spellEnd"/>
      <w:r w:rsidRPr="00CE45E2">
        <w:t xml:space="preserve"> </w:t>
      </w:r>
      <w:proofErr w:type="spellStart"/>
      <w:r w:rsidRPr="00CE45E2">
        <w:t>made</w:t>
      </w:r>
      <w:proofErr w:type="spellEnd"/>
      <w:r w:rsidRPr="00CE45E2">
        <w:t xml:space="preserve"> by </w:t>
      </w:r>
      <w:proofErr w:type="spellStart"/>
      <w:r w:rsidRPr="00CE45E2">
        <w:t>an</w:t>
      </w:r>
      <w:proofErr w:type="spellEnd"/>
      <w:r w:rsidRPr="00CE45E2">
        <w:t xml:space="preserve"> IORP </w:t>
      </w:r>
      <w:proofErr w:type="spellStart"/>
      <w:r w:rsidRPr="00CE45E2">
        <w:t>that</w:t>
      </w:r>
      <w:proofErr w:type="spellEnd"/>
      <w:r w:rsidRPr="00CE45E2">
        <w:t xml:space="preserve"> </w:t>
      </w:r>
      <w:proofErr w:type="spellStart"/>
      <w:r w:rsidRPr="00CE45E2">
        <w:t>impact</w:t>
      </w:r>
      <w:proofErr w:type="spellEnd"/>
      <w:r w:rsidRPr="00CE45E2">
        <w:t xml:space="preserve"> the </w:t>
      </w:r>
      <w:proofErr w:type="spellStart"/>
      <w:r w:rsidRPr="00CE45E2">
        <w:t>purchasing</w:t>
      </w:r>
      <w:proofErr w:type="spellEnd"/>
      <w:r w:rsidRPr="00CE45E2">
        <w:t xml:space="preserve"> </w:t>
      </w:r>
      <w:proofErr w:type="spellStart"/>
      <w:r w:rsidRPr="00CE45E2">
        <w:t>power</w:t>
      </w:r>
      <w:proofErr w:type="spellEnd"/>
      <w:r w:rsidRPr="00CE45E2">
        <w:t xml:space="preserve"> of (</w:t>
      </w:r>
      <w:proofErr w:type="spellStart"/>
      <w:r w:rsidRPr="00CE45E2">
        <w:t>future</w:t>
      </w:r>
      <w:proofErr w:type="spellEnd"/>
      <w:r w:rsidRPr="00CE45E2">
        <w:t xml:space="preserve">) </w:t>
      </w:r>
      <w:proofErr w:type="spellStart"/>
      <w:r w:rsidRPr="00CE45E2">
        <w:t>beneficiaries</w:t>
      </w:r>
      <w:proofErr w:type="spellEnd"/>
      <w:r w:rsidRPr="00CE45E2">
        <w:t xml:space="preserve">. </w:t>
      </w:r>
      <w:proofErr w:type="spellStart"/>
      <w:r w:rsidRPr="00CE45E2">
        <w:t>This</w:t>
      </w:r>
      <w:proofErr w:type="spellEnd"/>
      <w:r w:rsidRPr="00CE45E2">
        <w:t xml:space="preserve"> </w:t>
      </w:r>
      <w:proofErr w:type="spellStart"/>
      <w:r w:rsidRPr="00CE45E2">
        <w:t>can</w:t>
      </w:r>
      <w:proofErr w:type="spellEnd"/>
      <w:r w:rsidRPr="00CE45E2">
        <w:t xml:space="preserve"> </w:t>
      </w:r>
      <w:proofErr w:type="spellStart"/>
      <w:r w:rsidRPr="00CE45E2">
        <w:t>include</w:t>
      </w:r>
      <w:proofErr w:type="spellEnd"/>
      <w:r w:rsidRPr="00CE45E2">
        <w:t xml:space="preserve"> </w:t>
      </w:r>
      <w:proofErr w:type="spellStart"/>
      <w:r w:rsidRPr="00CE45E2">
        <w:t>choices</w:t>
      </w:r>
      <w:proofErr w:type="spellEnd"/>
      <w:r w:rsidRPr="00CE45E2">
        <w:t xml:space="preserve"> </w:t>
      </w:r>
      <w:proofErr w:type="spellStart"/>
      <w:r w:rsidRPr="00CE45E2">
        <w:t>related</w:t>
      </w:r>
      <w:proofErr w:type="spellEnd"/>
      <w:r w:rsidRPr="00CE45E2">
        <w:t xml:space="preserve"> to non-</w:t>
      </w:r>
      <w:proofErr w:type="spellStart"/>
      <w:r w:rsidRPr="00CE45E2">
        <w:t>indexation</w:t>
      </w:r>
      <w:proofErr w:type="spellEnd"/>
      <w:r w:rsidRPr="00CE45E2">
        <w:t xml:space="preserve"> of </w:t>
      </w:r>
      <w:proofErr w:type="spellStart"/>
      <w:r w:rsidRPr="00CE45E2">
        <w:t>pension</w:t>
      </w:r>
      <w:proofErr w:type="spellEnd"/>
      <w:r w:rsidRPr="00CE45E2">
        <w:t xml:space="preserve"> </w:t>
      </w:r>
      <w:proofErr w:type="spellStart"/>
      <w:r w:rsidRPr="00CE45E2">
        <w:t>benefits</w:t>
      </w:r>
      <w:proofErr w:type="spellEnd"/>
      <w:r w:rsidRPr="00CE45E2">
        <w:t xml:space="preserve">. </w:t>
      </w:r>
      <w:proofErr w:type="spellStart"/>
      <w:r w:rsidRPr="00CE45E2">
        <w:t>Since</w:t>
      </w:r>
      <w:proofErr w:type="spellEnd"/>
      <w:r w:rsidRPr="00CE45E2">
        <w:t xml:space="preserve"> </w:t>
      </w:r>
      <w:proofErr w:type="spellStart"/>
      <w:r w:rsidRPr="00CE45E2">
        <w:t>providing</w:t>
      </w:r>
      <w:proofErr w:type="spellEnd"/>
      <w:r w:rsidRPr="00CE45E2">
        <w:t xml:space="preserve"> </w:t>
      </w:r>
      <w:proofErr w:type="spellStart"/>
      <w:r w:rsidRPr="00CE45E2">
        <w:t>adequate</w:t>
      </w:r>
      <w:proofErr w:type="spellEnd"/>
      <w:r w:rsidRPr="00CE45E2">
        <w:t xml:space="preserve"> </w:t>
      </w:r>
      <w:proofErr w:type="spellStart"/>
      <w:r w:rsidRPr="00CE45E2">
        <w:t>retirement</w:t>
      </w:r>
      <w:proofErr w:type="spellEnd"/>
      <w:r w:rsidRPr="00CE45E2">
        <w:t xml:space="preserve"> </w:t>
      </w:r>
      <w:proofErr w:type="spellStart"/>
      <w:r w:rsidRPr="00CE45E2">
        <w:t>income</w:t>
      </w:r>
      <w:proofErr w:type="spellEnd"/>
      <w:r w:rsidRPr="00CE45E2">
        <w:t xml:space="preserve"> </w:t>
      </w:r>
      <w:proofErr w:type="spellStart"/>
      <w:r w:rsidRPr="00CE45E2">
        <w:t>also</w:t>
      </w:r>
      <w:proofErr w:type="spellEnd"/>
      <w:r w:rsidRPr="00CE45E2">
        <w:t xml:space="preserve"> </w:t>
      </w:r>
      <w:proofErr w:type="spellStart"/>
      <w:r w:rsidRPr="00CE45E2">
        <w:t>is</w:t>
      </w:r>
      <w:proofErr w:type="spellEnd"/>
      <w:r w:rsidRPr="00CE45E2">
        <w:t xml:space="preserve"> a </w:t>
      </w:r>
      <w:proofErr w:type="spellStart"/>
      <w:r w:rsidRPr="00CE45E2">
        <w:t>key</w:t>
      </w:r>
      <w:proofErr w:type="spellEnd"/>
      <w:r w:rsidRPr="00CE45E2">
        <w:t xml:space="preserve"> </w:t>
      </w:r>
      <w:proofErr w:type="spellStart"/>
      <w:r w:rsidRPr="00CE45E2">
        <w:t>obligation</w:t>
      </w:r>
      <w:proofErr w:type="spellEnd"/>
      <w:r w:rsidRPr="00CE45E2">
        <w:t xml:space="preserve"> of </w:t>
      </w:r>
      <w:proofErr w:type="spellStart"/>
      <w:r w:rsidRPr="00CE45E2">
        <w:t>IORPs</w:t>
      </w:r>
      <w:proofErr w:type="spellEnd"/>
      <w:r w:rsidRPr="00CE45E2">
        <w:t xml:space="preserve">, the </w:t>
      </w:r>
      <w:proofErr w:type="spellStart"/>
      <w:r w:rsidRPr="00CE45E2">
        <w:t>effects</w:t>
      </w:r>
      <w:proofErr w:type="spellEnd"/>
      <w:r w:rsidRPr="00CE45E2">
        <w:t xml:space="preserve"> of </w:t>
      </w:r>
      <w:proofErr w:type="spellStart"/>
      <w:r w:rsidRPr="00CE45E2">
        <w:t>being</w:t>
      </w:r>
      <w:proofErr w:type="spellEnd"/>
      <w:r w:rsidRPr="00CE45E2">
        <w:t xml:space="preserve"> </w:t>
      </w:r>
      <w:proofErr w:type="spellStart"/>
      <w:r w:rsidRPr="00CE45E2">
        <w:t>overly</w:t>
      </w:r>
      <w:proofErr w:type="spellEnd"/>
      <w:r w:rsidRPr="00CE45E2">
        <w:t xml:space="preserve"> </w:t>
      </w:r>
      <w:proofErr w:type="spellStart"/>
      <w:r w:rsidRPr="00CE45E2">
        <w:t>risk-averse</w:t>
      </w:r>
      <w:proofErr w:type="spellEnd"/>
      <w:r w:rsidRPr="00CE45E2">
        <w:t xml:space="preserve"> </w:t>
      </w:r>
      <w:proofErr w:type="spellStart"/>
      <w:r w:rsidRPr="00CE45E2">
        <w:t>are</w:t>
      </w:r>
      <w:proofErr w:type="spellEnd"/>
      <w:r w:rsidRPr="00CE45E2">
        <w:t xml:space="preserve"> </w:t>
      </w:r>
      <w:proofErr w:type="spellStart"/>
      <w:r w:rsidRPr="00CE45E2">
        <w:t>relevant</w:t>
      </w:r>
      <w:proofErr w:type="spellEnd"/>
      <w:r w:rsidRPr="00CE45E2">
        <w:t xml:space="preserve"> and </w:t>
      </w:r>
      <w:proofErr w:type="spellStart"/>
      <w:r w:rsidRPr="00CE45E2">
        <w:t>should</w:t>
      </w:r>
      <w:proofErr w:type="spellEnd"/>
      <w:r w:rsidRPr="00CE45E2">
        <w:t xml:space="preserve"> be </w:t>
      </w:r>
      <w:proofErr w:type="spellStart"/>
      <w:r w:rsidRPr="00CE45E2">
        <w:t>included</w:t>
      </w:r>
      <w:proofErr w:type="spellEnd"/>
      <w:r w:rsidRPr="00CE45E2">
        <w:t xml:space="preserve"> in the Directive. The </w:t>
      </w:r>
      <w:proofErr w:type="spellStart"/>
      <w:r w:rsidRPr="00CE45E2">
        <w:t>stress</w:t>
      </w:r>
      <w:proofErr w:type="spellEnd"/>
      <w:r w:rsidRPr="00CE45E2">
        <w:t xml:space="preserve"> </w:t>
      </w:r>
      <w:proofErr w:type="spellStart"/>
      <w:r w:rsidRPr="00CE45E2">
        <w:t>tests</w:t>
      </w:r>
      <w:proofErr w:type="spellEnd"/>
      <w:r w:rsidRPr="00CE45E2">
        <w:t xml:space="preserve"> </w:t>
      </w:r>
      <w:proofErr w:type="spellStart"/>
      <w:r w:rsidRPr="00CE45E2">
        <w:t>under</w:t>
      </w:r>
      <w:proofErr w:type="spellEnd"/>
      <w:r w:rsidRPr="00CE45E2">
        <w:t xml:space="preserve"> </w:t>
      </w:r>
      <w:proofErr w:type="spellStart"/>
      <w:r w:rsidRPr="00CE45E2">
        <w:t>this</w:t>
      </w:r>
      <w:proofErr w:type="spellEnd"/>
      <w:r w:rsidRPr="00CE45E2">
        <w:t xml:space="preserve"> </w:t>
      </w:r>
      <w:proofErr w:type="spellStart"/>
      <w:r w:rsidRPr="00CE45E2">
        <w:t>new</w:t>
      </w:r>
      <w:proofErr w:type="spellEnd"/>
      <w:r w:rsidRPr="00CE45E2">
        <w:t xml:space="preserve"> </w:t>
      </w:r>
      <w:proofErr w:type="spellStart"/>
      <w:r w:rsidRPr="00CE45E2">
        <w:t>Article</w:t>
      </w:r>
      <w:proofErr w:type="spellEnd"/>
      <w:r w:rsidRPr="00CE45E2">
        <w:t xml:space="preserve"> </w:t>
      </w:r>
      <w:proofErr w:type="spellStart"/>
      <w:r w:rsidRPr="00CE45E2">
        <w:t>could</w:t>
      </w:r>
      <w:proofErr w:type="spellEnd"/>
      <w:r w:rsidRPr="00CE45E2">
        <w:t xml:space="preserve"> be a </w:t>
      </w:r>
      <w:proofErr w:type="spellStart"/>
      <w:r w:rsidRPr="00CE45E2">
        <w:t>useful</w:t>
      </w:r>
      <w:proofErr w:type="spellEnd"/>
      <w:r w:rsidRPr="00CE45E2">
        <w:t xml:space="preserve"> </w:t>
      </w:r>
      <w:proofErr w:type="spellStart"/>
      <w:r w:rsidRPr="00CE45E2">
        <w:t>way</w:t>
      </w:r>
      <w:proofErr w:type="spellEnd"/>
      <w:r w:rsidRPr="00CE45E2">
        <w:t xml:space="preserve"> to </w:t>
      </w:r>
      <w:proofErr w:type="spellStart"/>
      <w:r w:rsidRPr="00CE45E2">
        <w:t>also</w:t>
      </w:r>
      <w:proofErr w:type="spellEnd"/>
      <w:r w:rsidRPr="00CE45E2">
        <w:t xml:space="preserve"> </w:t>
      </w:r>
      <w:proofErr w:type="spellStart"/>
      <w:r w:rsidRPr="00CE45E2">
        <w:t>measure</w:t>
      </w:r>
      <w:proofErr w:type="spellEnd"/>
      <w:r w:rsidRPr="00CE45E2">
        <w:t xml:space="preserve"> </w:t>
      </w:r>
      <w:proofErr w:type="spellStart"/>
      <w:r w:rsidRPr="00CE45E2">
        <w:t>whether</w:t>
      </w:r>
      <w:proofErr w:type="spellEnd"/>
      <w:r w:rsidRPr="00CE45E2">
        <w:t xml:space="preserve"> </w:t>
      </w:r>
      <w:proofErr w:type="spellStart"/>
      <w:r w:rsidRPr="00CE45E2">
        <w:t>an</w:t>
      </w:r>
      <w:proofErr w:type="spellEnd"/>
      <w:r w:rsidRPr="00CE45E2">
        <w:t xml:space="preserve"> IORP </w:t>
      </w:r>
      <w:proofErr w:type="spellStart"/>
      <w:r w:rsidRPr="00CE45E2">
        <w:t>is</w:t>
      </w:r>
      <w:proofErr w:type="spellEnd"/>
      <w:r w:rsidRPr="00CE45E2">
        <w:t xml:space="preserve"> </w:t>
      </w:r>
      <w:proofErr w:type="spellStart"/>
      <w:r w:rsidRPr="00CE45E2">
        <w:t>overly</w:t>
      </w:r>
      <w:proofErr w:type="spellEnd"/>
      <w:r w:rsidRPr="00CE45E2">
        <w:t xml:space="preserve"> </w:t>
      </w:r>
      <w:proofErr w:type="spellStart"/>
      <w:r w:rsidRPr="00CE45E2">
        <w:t>risk-averse</w:t>
      </w:r>
      <w:proofErr w:type="spellEnd"/>
      <w:r w:rsidRPr="00CE45E2">
        <w:t>.</w:t>
      </w:r>
    </w:p>
    <w:p w14:paraId="66878A14" w14:textId="77777777" w:rsidR="00CE45E2" w:rsidRPr="00CE45E2" w:rsidRDefault="00CE45E2" w:rsidP="00CE45E2">
      <w:r w:rsidRPr="00CE45E2">
        <w:rPr>
          <w:rStyle w:val="HideTWBExt"/>
        </w:rPr>
        <w:t>&lt;/Amend&gt;</w:t>
      </w:r>
    </w:p>
    <w:p w14:paraId="577ED898" w14:textId="6EEF73A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308</w:t>
      </w:r>
      <w:r w:rsidRPr="00CE45E2">
        <w:rPr>
          <w:rStyle w:val="HideTWBExt"/>
          <w:b w:val="0"/>
        </w:rPr>
        <w:t>&lt;/NumAm&gt;</w:t>
      </w:r>
    </w:p>
    <w:p w14:paraId="384833CF"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4F857F4" w14:textId="77777777" w:rsidR="00CE45E2" w:rsidRPr="00CE45E2" w:rsidRDefault="00CE45E2" w:rsidP="00CE45E2">
      <w:pPr>
        <w:pStyle w:val="NormalBold"/>
      </w:pPr>
      <w:r w:rsidRPr="00CE45E2">
        <w:rPr>
          <w:rStyle w:val="HideTWBExt"/>
          <w:b w:val="0"/>
        </w:rPr>
        <w:t>&lt;/RepeatBlock-By&gt;</w:t>
      </w:r>
    </w:p>
    <w:p w14:paraId="0652F79F"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7F24948"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64F223AC"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84F797E" w14:textId="77777777" w:rsidR="00CE45E2" w:rsidRPr="00CE45E2" w:rsidRDefault="00CE45E2" w:rsidP="00CE45E2">
      <w:r w:rsidRPr="00CE45E2">
        <w:rPr>
          <w:rStyle w:val="HideTWBExt"/>
        </w:rPr>
        <w:t>&lt;Article2&gt;</w:t>
      </w:r>
      <w:r w:rsidRPr="00CE45E2">
        <w:t>Artykuł 18 a – ustęp 5</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2F2022F" w14:textId="77777777" w:rsidTr="006476FB">
        <w:trPr>
          <w:trHeight w:hRule="exact" w:val="240"/>
          <w:jc w:val="center"/>
        </w:trPr>
        <w:tc>
          <w:tcPr>
            <w:tcW w:w="9752" w:type="dxa"/>
            <w:gridSpan w:val="2"/>
            <w:tcBorders>
              <w:top w:val="nil"/>
              <w:left w:val="nil"/>
              <w:bottom w:val="nil"/>
              <w:right w:val="nil"/>
            </w:tcBorders>
          </w:tcPr>
          <w:p w14:paraId="5BF4A1DA" w14:textId="77777777" w:rsidR="00CE45E2" w:rsidRPr="00CE45E2" w:rsidRDefault="00CE45E2" w:rsidP="006476FB"/>
        </w:tc>
      </w:tr>
      <w:tr w:rsidR="00CE45E2" w:rsidRPr="00CE45E2" w14:paraId="2681EE2F" w14:textId="77777777" w:rsidTr="006476FB">
        <w:trPr>
          <w:trHeight w:val="240"/>
          <w:jc w:val="center"/>
        </w:trPr>
        <w:tc>
          <w:tcPr>
            <w:tcW w:w="4876" w:type="dxa"/>
            <w:tcBorders>
              <w:top w:val="nil"/>
              <w:left w:val="nil"/>
              <w:bottom w:val="nil"/>
              <w:right w:val="nil"/>
            </w:tcBorders>
          </w:tcPr>
          <w:p w14:paraId="294AA4AF"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F9C9EB9" w14:textId="77777777" w:rsidR="00CE45E2" w:rsidRPr="00CE45E2" w:rsidRDefault="00CE45E2" w:rsidP="006476FB">
            <w:pPr>
              <w:pStyle w:val="AmColumnHeading"/>
            </w:pPr>
            <w:r w:rsidRPr="00CE45E2">
              <w:t>Poprawka</w:t>
            </w:r>
          </w:p>
        </w:tc>
      </w:tr>
      <w:tr w:rsidR="00CE45E2" w:rsidRPr="00CE45E2" w14:paraId="17F30B70" w14:textId="77777777" w:rsidTr="006476FB">
        <w:trPr>
          <w:jc w:val="center"/>
        </w:trPr>
        <w:tc>
          <w:tcPr>
            <w:tcW w:w="4876" w:type="dxa"/>
            <w:tcBorders>
              <w:top w:val="nil"/>
              <w:left w:val="nil"/>
              <w:bottom w:val="nil"/>
              <w:right w:val="nil"/>
            </w:tcBorders>
          </w:tcPr>
          <w:p w14:paraId="619B45C8" w14:textId="77777777" w:rsidR="00CE45E2" w:rsidRPr="00CE45E2" w:rsidRDefault="00CE45E2" w:rsidP="006476FB">
            <w:pPr>
              <w:pStyle w:val="Normal6a"/>
            </w:pPr>
            <w:r w:rsidRPr="00CE45E2">
              <w:rPr>
                <w:b/>
                <w:i/>
              </w:rPr>
              <w:t>5.</w:t>
            </w:r>
            <w:r w:rsidRPr="00CE45E2">
              <w:tab/>
            </w:r>
            <w:r w:rsidRPr="00CE45E2">
              <w:rPr>
                <w:b/>
                <w:i/>
              </w:rPr>
              <w:t xml:space="preserve">Państwa członkowskie mogą podjąć decyzję o niestosowaniu ust. 1–3, jeżeli wymagają od IORP zlokalizowanych na ich terytorium utrzymywania ustawowych funduszy własnych przekraczających wymagany margines wypłacalności, o którym mowa w art. 17, pod </w:t>
            </w:r>
            <w:proofErr w:type="gramStart"/>
            <w:r w:rsidRPr="00CE45E2">
              <w:rPr>
                <w:b/>
                <w:i/>
              </w:rPr>
              <w:t>warunkiem</w:t>
            </w:r>
            <w:proofErr w:type="gramEnd"/>
            <w:r w:rsidRPr="00CE45E2">
              <w:rPr>
                <w:b/>
                <w:i/>
              </w:rPr>
              <w:t xml:space="preserve"> że wymogi dotyczące takich ustawowych funduszy własnych są oparte na analizie ryzyka, przynajmniej w odniesieniu do ryzyka rynkowego i ryzyka długowieczności.”;</w:t>
            </w:r>
          </w:p>
        </w:tc>
        <w:tc>
          <w:tcPr>
            <w:tcW w:w="4876" w:type="dxa"/>
            <w:tcBorders>
              <w:top w:val="nil"/>
              <w:left w:val="nil"/>
              <w:bottom w:val="nil"/>
              <w:right w:val="nil"/>
            </w:tcBorders>
          </w:tcPr>
          <w:p w14:paraId="1CD0F927" w14:textId="77777777" w:rsidR="00CE45E2" w:rsidRPr="00CE45E2" w:rsidRDefault="00CE45E2" w:rsidP="006476FB">
            <w:pPr>
              <w:pStyle w:val="Normal6a"/>
            </w:pPr>
            <w:r w:rsidRPr="00CE45E2">
              <w:rPr>
                <w:b/>
                <w:i/>
              </w:rPr>
              <w:t>skreśla się</w:t>
            </w:r>
          </w:p>
        </w:tc>
      </w:tr>
    </w:tbl>
    <w:p w14:paraId="620A78F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6D06FAE" w14:textId="77777777" w:rsidR="00CE45E2" w:rsidRPr="00CE45E2" w:rsidRDefault="00CE45E2" w:rsidP="00CE45E2">
      <w:r w:rsidRPr="00CE45E2">
        <w:rPr>
          <w:rStyle w:val="HideTWBExt"/>
        </w:rPr>
        <w:t>&lt;/Amend&gt;</w:t>
      </w:r>
    </w:p>
    <w:p w14:paraId="6381CEDD" w14:textId="40B2B588"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309</w:t>
      </w:r>
      <w:r w:rsidRPr="00CE45E2">
        <w:rPr>
          <w:rStyle w:val="HideTWBExt"/>
          <w:b w:val="0"/>
        </w:rPr>
        <w:t>&lt;/NumAm&gt;</w:t>
      </w:r>
    </w:p>
    <w:p w14:paraId="05E9F311" w14:textId="77777777" w:rsidR="00CE45E2" w:rsidRPr="00CE45E2" w:rsidRDefault="00CE45E2" w:rsidP="00CE45E2">
      <w:pPr>
        <w:pStyle w:val="NormalBold"/>
      </w:pPr>
      <w:r w:rsidRPr="00CE45E2">
        <w:rPr>
          <w:rStyle w:val="HideTWBExt"/>
          <w:b w:val="0"/>
        </w:rPr>
        <w:t>&lt;RepeatBlock-By&gt;&lt;Members&gt;</w:t>
      </w:r>
      <w:proofErr w:type="spellStart"/>
      <w:r w:rsidRPr="00CE45E2">
        <w:t>Adnan</w:t>
      </w:r>
      <w:proofErr w:type="spellEnd"/>
      <w:r w:rsidRPr="00CE45E2">
        <w:t xml:space="preserve"> </w:t>
      </w:r>
      <w:proofErr w:type="spellStart"/>
      <w:r w:rsidRPr="00CE45E2">
        <w:t>Dibrani</w:t>
      </w:r>
      <w:proofErr w:type="spellEnd"/>
      <w:r w:rsidRPr="00CE45E2">
        <w:t xml:space="preserve">, Niels </w:t>
      </w:r>
      <w:proofErr w:type="spellStart"/>
      <w:r w:rsidRPr="00CE45E2">
        <w:t>Fuglsang</w:t>
      </w:r>
      <w:proofErr w:type="spellEnd"/>
      <w:r w:rsidRPr="00CE45E2">
        <w:t xml:space="preserve">, Thomas </w:t>
      </w:r>
      <w:proofErr w:type="spellStart"/>
      <w:r w:rsidRPr="00CE45E2">
        <w:t>Bajada</w:t>
      </w:r>
      <w:proofErr w:type="spellEnd"/>
      <w:r w:rsidRPr="00CE45E2">
        <w:t xml:space="preserve">, Lara Wolters, </w:t>
      </w:r>
      <w:proofErr w:type="spellStart"/>
      <w:r w:rsidRPr="00CE45E2">
        <w:t>René</w:t>
      </w:r>
      <w:proofErr w:type="spellEnd"/>
      <w:r w:rsidRPr="00CE45E2">
        <w:t xml:space="preserve"> </w:t>
      </w:r>
      <w:proofErr w:type="spellStart"/>
      <w:r w:rsidRPr="00CE45E2">
        <w:t>Repasi</w:t>
      </w:r>
      <w:proofErr w:type="spellEnd"/>
      <w:r w:rsidRPr="00CE45E2">
        <w:rPr>
          <w:rStyle w:val="HideTWBExt"/>
          <w:b w:val="0"/>
        </w:rPr>
        <w:t>&lt;/Members&gt;</w:t>
      </w:r>
    </w:p>
    <w:p w14:paraId="7B1E9389" w14:textId="77777777" w:rsidR="00CE45E2" w:rsidRPr="00CE45E2" w:rsidRDefault="00CE45E2" w:rsidP="00CE45E2">
      <w:pPr>
        <w:pStyle w:val="NormalBold"/>
      </w:pPr>
      <w:r w:rsidRPr="00CE45E2">
        <w:rPr>
          <w:rStyle w:val="HideTWBExt"/>
          <w:b w:val="0"/>
        </w:rPr>
        <w:t>&lt;/RepeatBlock-By&gt;</w:t>
      </w:r>
    </w:p>
    <w:p w14:paraId="5F0EF01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B1DB656" w14:textId="77777777" w:rsidR="00CE45E2" w:rsidRPr="00CE45E2" w:rsidRDefault="00CE45E2" w:rsidP="00CE45E2">
      <w:pPr>
        <w:pStyle w:val="NormalBold"/>
      </w:pPr>
      <w:r w:rsidRPr="00CE45E2">
        <w:rPr>
          <w:rStyle w:val="HideTWBExt"/>
          <w:b w:val="0"/>
        </w:rPr>
        <w:t>&lt;Article&gt;</w:t>
      </w:r>
      <w:r w:rsidRPr="00CE45E2">
        <w:t>Artykuł 1 – akapit 1 – punkt 21</w:t>
      </w:r>
      <w:r w:rsidRPr="00CE45E2">
        <w:rPr>
          <w:rStyle w:val="HideTWBExt"/>
          <w:b w:val="0"/>
        </w:rPr>
        <w:t>&lt;/Article&gt;</w:t>
      </w:r>
    </w:p>
    <w:p w14:paraId="1DE8F77B"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D6AF54A" w14:textId="77777777" w:rsidR="00CE45E2" w:rsidRPr="00CE45E2" w:rsidRDefault="00CE45E2" w:rsidP="00CE45E2">
      <w:r w:rsidRPr="00CE45E2">
        <w:rPr>
          <w:rStyle w:val="HideTWBExt"/>
        </w:rPr>
        <w:t>&lt;Article2&gt;</w:t>
      </w:r>
      <w:r w:rsidRPr="00CE45E2">
        <w:t>Artykuł 18 a – ustęp 5</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72BA7DC" w14:textId="77777777" w:rsidTr="006476FB">
        <w:trPr>
          <w:trHeight w:hRule="exact" w:val="240"/>
          <w:jc w:val="center"/>
        </w:trPr>
        <w:tc>
          <w:tcPr>
            <w:tcW w:w="9752" w:type="dxa"/>
            <w:gridSpan w:val="2"/>
            <w:tcBorders>
              <w:top w:val="nil"/>
              <w:left w:val="nil"/>
              <w:bottom w:val="nil"/>
              <w:right w:val="nil"/>
            </w:tcBorders>
          </w:tcPr>
          <w:p w14:paraId="5B50D5EC" w14:textId="77777777" w:rsidR="00CE45E2" w:rsidRPr="00CE45E2" w:rsidRDefault="00CE45E2" w:rsidP="006476FB"/>
        </w:tc>
      </w:tr>
      <w:tr w:rsidR="00CE45E2" w:rsidRPr="00CE45E2" w14:paraId="0F32F7EA" w14:textId="77777777" w:rsidTr="006476FB">
        <w:trPr>
          <w:trHeight w:val="240"/>
          <w:jc w:val="center"/>
        </w:trPr>
        <w:tc>
          <w:tcPr>
            <w:tcW w:w="4876" w:type="dxa"/>
            <w:tcBorders>
              <w:top w:val="nil"/>
              <w:left w:val="nil"/>
              <w:bottom w:val="nil"/>
              <w:right w:val="nil"/>
            </w:tcBorders>
          </w:tcPr>
          <w:p w14:paraId="70D376B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B7D40FC" w14:textId="77777777" w:rsidR="00CE45E2" w:rsidRPr="00CE45E2" w:rsidRDefault="00CE45E2" w:rsidP="006476FB">
            <w:pPr>
              <w:pStyle w:val="AmColumnHeading"/>
            </w:pPr>
            <w:r w:rsidRPr="00CE45E2">
              <w:t>Poprawka</w:t>
            </w:r>
          </w:p>
        </w:tc>
      </w:tr>
      <w:tr w:rsidR="00CE45E2" w:rsidRPr="00CE45E2" w14:paraId="79873833" w14:textId="77777777" w:rsidTr="006476FB">
        <w:trPr>
          <w:jc w:val="center"/>
        </w:trPr>
        <w:tc>
          <w:tcPr>
            <w:tcW w:w="4876" w:type="dxa"/>
            <w:tcBorders>
              <w:top w:val="nil"/>
              <w:left w:val="nil"/>
              <w:bottom w:val="nil"/>
              <w:right w:val="nil"/>
            </w:tcBorders>
          </w:tcPr>
          <w:p w14:paraId="315D82EE" w14:textId="77777777" w:rsidR="00CE45E2" w:rsidRPr="00CE45E2" w:rsidRDefault="00CE45E2" w:rsidP="006476FB">
            <w:pPr>
              <w:pStyle w:val="Normal6a"/>
            </w:pPr>
            <w:r w:rsidRPr="00CE45E2">
              <w:t>5.</w:t>
            </w:r>
            <w:r w:rsidRPr="00CE45E2">
              <w:tab/>
              <w:t xml:space="preserve">Państwa członkowskie mogą podjąć decyzję o niestosowaniu ust. 1–3, jeżeli wymagają od IORP zlokalizowanych na ich terytorium utrzymywania ustawowych funduszy własnych przekraczających wymagany margines wypłacalności, o którym mowa w art. 17, pod </w:t>
            </w:r>
            <w:proofErr w:type="gramStart"/>
            <w:r w:rsidRPr="00CE45E2">
              <w:t>warunkiem</w:t>
            </w:r>
            <w:proofErr w:type="gramEnd"/>
            <w:r w:rsidRPr="00CE45E2">
              <w:t xml:space="preserve"> że wymogi dotyczące takich ustawowych funduszy własnych są oparte na analizie ryzyka, przynajmniej w odniesieniu do ryzyka rynkowego i ryzyka długowieczności.”;</w:t>
            </w:r>
          </w:p>
        </w:tc>
        <w:tc>
          <w:tcPr>
            <w:tcW w:w="4876" w:type="dxa"/>
            <w:tcBorders>
              <w:top w:val="nil"/>
              <w:left w:val="nil"/>
              <w:bottom w:val="nil"/>
              <w:right w:val="nil"/>
            </w:tcBorders>
          </w:tcPr>
          <w:p w14:paraId="6B74C3C4" w14:textId="77777777" w:rsidR="00CE45E2" w:rsidRPr="00CE45E2" w:rsidRDefault="00CE45E2" w:rsidP="006476FB">
            <w:pPr>
              <w:pStyle w:val="Normal6a"/>
            </w:pPr>
            <w:r w:rsidRPr="00CE45E2">
              <w:t>5.</w:t>
            </w:r>
            <w:r w:rsidRPr="00CE45E2">
              <w:tab/>
              <w:t>Państwa członkowskie mogą podjąć decyzję o niestosowaniu ust. 1–3, jeżeli wymagają od IORP zlokalizowanych na ich terytorium utrzymywania ustawowych funduszy własnych przekraczających wymagany margines wypłacalności, o którym mowa w art. 17, pod warunkiem że wymogi dotyczące takich ustawowych funduszy własnych są oparte na analizie ryzyka, przynajmniej w odniesieniu do ryzyka rynkowego i ryzyka długowieczności</w:t>
            </w:r>
            <w:r w:rsidRPr="00CE45E2">
              <w:rPr>
                <w:b/>
                <w:bCs/>
                <w:i/>
                <w:iCs/>
              </w:rPr>
              <w:t>, lub w przypadku gdy równoważne przepisy krajowe już wymagają od IORP oceny odpowiednich rodzajów ryzyka i zarządzania nimi poprzez wymogi dotyczące wypłacalności opartej na ryzyku, ładu korporacyjnego oraz własnej oceny ryzyka, w tym własnej oceny ryzyka i wypłacalności, w celu uniknięcia powielania i nieproporcjonalnych wymogów</w:t>
            </w:r>
            <w:r w:rsidRPr="00CE45E2">
              <w:t>.”;</w:t>
            </w:r>
          </w:p>
        </w:tc>
      </w:tr>
    </w:tbl>
    <w:p w14:paraId="5384026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A5DD9DB"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4D7B5A42" w14:textId="30D5627F" w:rsidR="00CE45E2" w:rsidRPr="00CE45E2" w:rsidRDefault="00CE45E2" w:rsidP="00CE45E2">
      <w:pPr>
        <w:pStyle w:val="AmJustText"/>
      </w:pPr>
      <w:r w:rsidRPr="00CE45E2">
        <w:t>Wymogi określone w art. 18a powinny być stosowane w sposób proporcjonalny i nie powinny automatycznie skutkować nałożeniem dodatkowych wymogów kapitałowych ani obowiązkiem opracowania planów</w:t>
      </w:r>
      <w:r w:rsidR="0010594F">
        <w:t xml:space="preserve"> </w:t>
      </w:r>
      <w:r w:rsidRPr="00CE45E2">
        <w:t>ka</w:t>
      </w:r>
      <w:r w:rsidR="0010594F">
        <w:t>p</w:t>
      </w:r>
      <w:r w:rsidRPr="00CE45E2">
        <w:t>itałowych w przypadkach, gdy ryzyko można odpowiednio uwzględnić w ramach istniejących rozwiązań dotyczących zarządzania ryzykiem, ładu korporacyjnego lub naprawy. Niniejsza poprawka pozwala uniknąć powielania wymogów, zachowując jednocześnie możliwość działania właściwych organów w przypadku zidentyfikowania istotnych rodzajów ryzyka.</w:t>
      </w:r>
    </w:p>
    <w:p w14:paraId="10427C8E" w14:textId="77777777" w:rsidR="00CE45E2" w:rsidRPr="00CE45E2" w:rsidRDefault="00CE45E2" w:rsidP="00CE45E2">
      <w:r w:rsidRPr="00CE45E2">
        <w:rPr>
          <w:rStyle w:val="HideTWBExt"/>
        </w:rPr>
        <w:t>&lt;/Amend&gt;</w:t>
      </w:r>
    </w:p>
    <w:p w14:paraId="07336F5B" w14:textId="2D9C3A6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310</w:t>
      </w:r>
      <w:r w:rsidRPr="00CE45E2">
        <w:rPr>
          <w:rStyle w:val="HideTWBExt"/>
          <w:b w:val="0"/>
        </w:rPr>
        <w:t>&lt;/NumAm&gt;</w:t>
      </w:r>
    </w:p>
    <w:p w14:paraId="5B43B778"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4FE26663" w14:textId="77777777" w:rsidR="00CE45E2" w:rsidRPr="00CE45E2" w:rsidRDefault="00CE45E2" w:rsidP="00CE45E2">
      <w:pPr>
        <w:pStyle w:val="NormalBold"/>
      </w:pPr>
      <w:r w:rsidRPr="00CE45E2">
        <w:rPr>
          <w:rStyle w:val="HideTWBExt"/>
          <w:b w:val="0"/>
        </w:rPr>
        <w:t>&lt;/RepeatBlock-By&gt;</w:t>
      </w:r>
    </w:p>
    <w:p w14:paraId="3B7EBE1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84FD8FF" w14:textId="77777777" w:rsidR="00CE45E2" w:rsidRPr="00CE45E2" w:rsidRDefault="00CE45E2" w:rsidP="00CE45E2">
      <w:pPr>
        <w:pStyle w:val="NormalBold"/>
      </w:pPr>
      <w:r w:rsidRPr="00CE45E2">
        <w:rPr>
          <w:rStyle w:val="HideTWBExt"/>
          <w:b w:val="0"/>
        </w:rPr>
        <w:t>&lt;Article&gt;</w:t>
      </w:r>
      <w:r w:rsidRPr="00CE45E2">
        <w:t>Artykuł 1 – akapit 1 – punkt 22 – litery a–d</w:t>
      </w:r>
      <w:r w:rsidRPr="00CE45E2">
        <w:rPr>
          <w:rStyle w:val="HideTWBExt"/>
          <w:b w:val="0"/>
        </w:rPr>
        <w:t>&lt;/Article&gt;</w:t>
      </w:r>
    </w:p>
    <w:p w14:paraId="7A44512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9EB2170" w14:textId="77777777" w:rsidR="00CE45E2" w:rsidRPr="00CE45E2" w:rsidRDefault="00CE45E2" w:rsidP="00CE45E2">
      <w:r w:rsidRPr="00CE45E2">
        <w:rPr>
          <w:rStyle w:val="HideTWBExt"/>
        </w:rPr>
        <w:t>&lt;Article2&gt;</w:t>
      </w:r>
      <w:r w:rsidRPr="00CE45E2">
        <w:t>Artykuł 19 – ustęp 1, ustępy 1 a–1 d, ustępy 6–8</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6B20057" w14:textId="77777777" w:rsidTr="006476FB">
        <w:trPr>
          <w:trHeight w:hRule="exact" w:val="240"/>
          <w:jc w:val="center"/>
        </w:trPr>
        <w:tc>
          <w:tcPr>
            <w:tcW w:w="9752" w:type="dxa"/>
            <w:gridSpan w:val="2"/>
            <w:tcBorders>
              <w:top w:val="nil"/>
              <w:left w:val="nil"/>
              <w:bottom w:val="nil"/>
              <w:right w:val="nil"/>
            </w:tcBorders>
          </w:tcPr>
          <w:p w14:paraId="3C6E835B" w14:textId="77777777" w:rsidR="00CE45E2" w:rsidRPr="00CE45E2" w:rsidRDefault="00CE45E2" w:rsidP="006476FB"/>
        </w:tc>
      </w:tr>
      <w:tr w:rsidR="00CE45E2" w:rsidRPr="00CE45E2" w14:paraId="18FA6A0B" w14:textId="77777777" w:rsidTr="006476FB">
        <w:trPr>
          <w:trHeight w:val="240"/>
          <w:jc w:val="center"/>
        </w:trPr>
        <w:tc>
          <w:tcPr>
            <w:tcW w:w="4876" w:type="dxa"/>
            <w:tcBorders>
              <w:top w:val="nil"/>
              <w:left w:val="nil"/>
              <w:bottom w:val="nil"/>
              <w:right w:val="nil"/>
            </w:tcBorders>
          </w:tcPr>
          <w:p w14:paraId="25C3F1F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9270512" w14:textId="77777777" w:rsidR="00CE45E2" w:rsidRPr="00CE45E2" w:rsidRDefault="00CE45E2" w:rsidP="006476FB">
            <w:pPr>
              <w:pStyle w:val="AmColumnHeading"/>
            </w:pPr>
            <w:r w:rsidRPr="00CE45E2">
              <w:t>Poprawka</w:t>
            </w:r>
          </w:p>
        </w:tc>
      </w:tr>
      <w:tr w:rsidR="00CE45E2" w:rsidRPr="00CE45E2" w14:paraId="1C58C8C4" w14:textId="77777777" w:rsidTr="006476FB">
        <w:trPr>
          <w:jc w:val="center"/>
        </w:trPr>
        <w:tc>
          <w:tcPr>
            <w:tcW w:w="4876" w:type="dxa"/>
            <w:tcBorders>
              <w:top w:val="nil"/>
              <w:left w:val="nil"/>
              <w:bottom w:val="nil"/>
              <w:right w:val="nil"/>
            </w:tcBorders>
          </w:tcPr>
          <w:p w14:paraId="59C2EE0E" w14:textId="77777777" w:rsidR="00CE45E2" w:rsidRPr="00CE45E2" w:rsidRDefault="00CE45E2" w:rsidP="006476FB">
            <w:pPr>
              <w:pStyle w:val="Normal6a"/>
            </w:pPr>
            <w:r w:rsidRPr="00CE45E2">
              <w:rPr>
                <w:b/>
                <w:i/>
              </w:rPr>
              <w:t>[...]</w:t>
            </w:r>
          </w:p>
        </w:tc>
        <w:tc>
          <w:tcPr>
            <w:tcW w:w="4876" w:type="dxa"/>
            <w:tcBorders>
              <w:top w:val="nil"/>
              <w:left w:val="nil"/>
              <w:bottom w:val="nil"/>
              <w:right w:val="nil"/>
            </w:tcBorders>
          </w:tcPr>
          <w:p w14:paraId="2633628F" w14:textId="77777777" w:rsidR="00CE45E2" w:rsidRPr="00CE45E2" w:rsidRDefault="00CE45E2" w:rsidP="006476FB">
            <w:pPr>
              <w:pStyle w:val="Normal6a"/>
            </w:pPr>
            <w:r w:rsidRPr="00CE45E2">
              <w:rPr>
                <w:b/>
                <w:i/>
              </w:rPr>
              <w:t>skreśla się</w:t>
            </w:r>
          </w:p>
        </w:tc>
      </w:tr>
    </w:tbl>
    <w:p w14:paraId="151ABF4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3E27CEFF" w14:textId="77777777" w:rsidR="00CE45E2" w:rsidRPr="00CE45E2" w:rsidRDefault="00CE45E2" w:rsidP="00CE45E2">
      <w:r w:rsidRPr="00CE45E2">
        <w:rPr>
          <w:rStyle w:val="HideTWBExt"/>
        </w:rPr>
        <w:t>&lt;/Amend&gt;</w:t>
      </w:r>
    </w:p>
    <w:p w14:paraId="5078C3A0" w14:textId="78434076"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311</w:t>
      </w:r>
      <w:r w:rsidRPr="00CE45E2">
        <w:rPr>
          <w:rStyle w:val="HideTWBExt"/>
          <w:b w:val="0"/>
        </w:rPr>
        <w:t>&lt;/NumAm&gt;</w:t>
      </w:r>
    </w:p>
    <w:p w14:paraId="43F5C3B1"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6612CBA" w14:textId="77777777" w:rsidR="00CE45E2" w:rsidRPr="00CE45E2" w:rsidRDefault="00CE45E2" w:rsidP="00CE45E2">
      <w:pPr>
        <w:pStyle w:val="NormalBold"/>
      </w:pPr>
      <w:r w:rsidRPr="00CE45E2">
        <w:rPr>
          <w:rStyle w:val="HideTWBExt"/>
          <w:b w:val="0"/>
        </w:rPr>
        <w:t>&lt;/RepeatBlock-By&gt;</w:t>
      </w:r>
    </w:p>
    <w:p w14:paraId="18FDA3B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57EED56" w14:textId="0BC6618D"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a</w:t>
      </w:r>
      <w:r w:rsidRPr="00CE45E2">
        <w:rPr>
          <w:rStyle w:val="HideTWBExt"/>
          <w:b w:val="0"/>
        </w:rPr>
        <w:t>&lt;/Article&gt;</w:t>
      </w:r>
    </w:p>
    <w:p w14:paraId="0163E31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00CDECC" w14:textId="77777777" w:rsidR="00CE45E2" w:rsidRPr="00CE45E2" w:rsidRDefault="00CE45E2" w:rsidP="00CE45E2">
      <w:r w:rsidRPr="00CE45E2">
        <w:rPr>
          <w:rStyle w:val="HideTWBExt"/>
        </w:rPr>
        <w:t>&lt;Article2&gt;</w:t>
      </w:r>
      <w:r w:rsidRPr="00CE45E2">
        <w:t>Artykuł 19 – ustęp 1 – akapit 1 – wprowadzenie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98E60E9" w14:textId="77777777" w:rsidTr="006476FB">
        <w:trPr>
          <w:trHeight w:hRule="exact" w:val="240"/>
          <w:jc w:val="center"/>
        </w:trPr>
        <w:tc>
          <w:tcPr>
            <w:tcW w:w="9752" w:type="dxa"/>
            <w:gridSpan w:val="2"/>
            <w:tcBorders>
              <w:top w:val="nil"/>
              <w:left w:val="nil"/>
              <w:bottom w:val="nil"/>
              <w:right w:val="nil"/>
            </w:tcBorders>
          </w:tcPr>
          <w:p w14:paraId="38CC1D57" w14:textId="77777777" w:rsidR="00CE45E2" w:rsidRPr="00CE45E2" w:rsidRDefault="00CE45E2" w:rsidP="006476FB"/>
        </w:tc>
      </w:tr>
      <w:tr w:rsidR="00CE45E2" w:rsidRPr="00CE45E2" w14:paraId="08BC2A9B" w14:textId="77777777" w:rsidTr="006476FB">
        <w:trPr>
          <w:trHeight w:val="240"/>
          <w:jc w:val="center"/>
        </w:trPr>
        <w:tc>
          <w:tcPr>
            <w:tcW w:w="4876" w:type="dxa"/>
            <w:tcBorders>
              <w:top w:val="nil"/>
              <w:left w:val="nil"/>
              <w:bottom w:val="nil"/>
              <w:right w:val="nil"/>
            </w:tcBorders>
          </w:tcPr>
          <w:p w14:paraId="3628770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96A2938" w14:textId="77777777" w:rsidR="00CE45E2" w:rsidRPr="00CE45E2" w:rsidRDefault="00CE45E2" w:rsidP="006476FB">
            <w:pPr>
              <w:pStyle w:val="AmColumnHeading"/>
            </w:pPr>
            <w:r w:rsidRPr="00CE45E2">
              <w:t>Poprawka</w:t>
            </w:r>
          </w:p>
        </w:tc>
      </w:tr>
      <w:tr w:rsidR="00CE45E2" w:rsidRPr="00CE45E2" w14:paraId="7796A797" w14:textId="77777777" w:rsidTr="006476FB">
        <w:trPr>
          <w:jc w:val="center"/>
        </w:trPr>
        <w:tc>
          <w:tcPr>
            <w:tcW w:w="4876" w:type="dxa"/>
            <w:tcBorders>
              <w:top w:val="nil"/>
              <w:left w:val="nil"/>
              <w:bottom w:val="nil"/>
              <w:right w:val="nil"/>
            </w:tcBorders>
          </w:tcPr>
          <w:p w14:paraId="35BB26F2" w14:textId="77777777" w:rsidR="00CE45E2" w:rsidRPr="00CE45E2" w:rsidRDefault="00CE45E2" w:rsidP="006476FB">
            <w:pPr>
              <w:pStyle w:val="Normal6a"/>
            </w:pPr>
            <w:r w:rsidRPr="00CE45E2">
              <w:t>1.</w:t>
            </w:r>
            <w:r w:rsidRPr="00CE45E2">
              <w:tab/>
              <w:t xml:space="preserve">Państwa członkowskie wymagają od IORP wykonujących działalność na podstawie zezwolenia na ich terytoriach, aby inwestowały zgodnie z </w:t>
            </w:r>
            <w:proofErr w:type="gramStart"/>
            <w:r w:rsidRPr="00CE45E2">
              <w:t>zasadą »ostrożnego</w:t>
            </w:r>
            <w:proofErr w:type="gramEnd"/>
            <w:r w:rsidRPr="00CE45E2">
              <w:t xml:space="preserve"> inwestora«, w szczególności zgodnie z następującymi regułami:”;</w:t>
            </w:r>
          </w:p>
        </w:tc>
        <w:tc>
          <w:tcPr>
            <w:tcW w:w="4876" w:type="dxa"/>
            <w:tcBorders>
              <w:top w:val="nil"/>
              <w:left w:val="nil"/>
              <w:bottom w:val="nil"/>
              <w:right w:val="nil"/>
            </w:tcBorders>
          </w:tcPr>
          <w:p w14:paraId="67D1D2F3" w14:textId="77777777" w:rsidR="00CE45E2" w:rsidRPr="00CE45E2" w:rsidRDefault="00CE45E2" w:rsidP="006476FB">
            <w:pPr>
              <w:pStyle w:val="Normal6a"/>
            </w:pPr>
            <w:r w:rsidRPr="00CE45E2">
              <w:t>1.</w:t>
            </w:r>
            <w:r w:rsidRPr="00CE45E2">
              <w:tab/>
              <w:t xml:space="preserve">Państwa członkowskie wymagają od IORP wykonujących działalność na podstawie zezwolenia </w:t>
            </w:r>
            <w:r w:rsidRPr="00CE45E2">
              <w:rPr>
                <w:b/>
                <w:bCs/>
                <w:i/>
                <w:iCs/>
              </w:rPr>
              <w:t>lub rejestracji</w:t>
            </w:r>
            <w:r w:rsidRPr="00CE45E2">
              <w:t xml:space="preserve"> na ich terytoriach, aby inwestowały zgodnie z </w:t>
            </w:r>
            <w:proofErr w:type="gramStart"/>
            <w:r w:rsidRPr="00CE45E2">
              <w:t>zasadą »ostrożnego</w:t>
            </w:r>
            <w:proofErr w:type="gramEnd"/>
            <w:r w:rsidRPr="00CE45E2">
              <w:t xml:space="preserve"> inwestora«, w szczególności zgodnie z następującymi regułami:”;</w:t>
            </w:r>
          </w:p>
        </w:tc>
      </w:tr>
    </w:tbl>
    <w:p w14:paraId="69A83A9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75DCEB67" w14:textId="77777777" w:rsidR="00CE45E2" w:rsidRPr="00CE45E2" w:rsidRDefault="00CE45E2" w:rsidP="00CE45E2">
      <w:r w:rsidRPr="00CE45E2">
        <w:rPr>
          <w:rStyle w:val="HideTWBExt"/>
        </w:rPr>
        <w:t>&lt;/Amend&gt;</w:t>
      </w:r>
    </w:p>
    <w:p w14:paraId="2432DD6F" w14:textId="524884C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312</w:t>
      </w:r>
      <w:r w:rsidRPr="00CE45E2">
        <w:rPr>
          <w:rStyle w:val="HideTWBExt"/>
          <w:b w:val="0"/>
        </w:rPr>
        <w:t>&lt;/NumAm&gt;</w:t>
      </w:r>
    </w:p>
    <w:p w14:paraId="4E65A64B"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2CA96337" w14:textId="77777777" w:rsidR="00CE45E2" w:rsidRPr="00CE45E2" w:rsidRDefault="00CE45E2" w:rsidP="00CE45E2">
      <w:pPr>
        <w:pStyle w:val="NormalBold"/>
      </w:pPr>
      <w:r w:rsidRPr="00CE45E2">
        <w:rPr>
          <w:rStyle w:val="HideTWBExt"/>
          <w:b w:val="0"/>
        </w:rPr>
        <w:t>&lt;/RepeatBlock-By&gt;</w:t>
      </w:r>
    </w:p>
    <w:p w14:paraId="794FF1E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AFFD1E2" w14:textId="14B4ECED"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a </w:t>
      </w:r>
      <w:proofErr w:type="spellStart"/>
      <w:r w:rsidRPr="00CE45E2">
        <w:t>a</w:t>
      </w:r>
      <w:proofErr w:type="spellEnd"/>
      <w:r w:rsidRPr="00CE45E2">
        <w:t xml:space="preserve"> </w:t>
      </w:r>
      <w:r w:rsidR="0010594F">
        <w:t>(nowa)</w:t>
      </w:r>
      <w:r w:rsidRPr="00CE45E2">
        <w:rPr>
          <w:rStyle w:val="HideTWBExt"/>
          <w:b w:val="0"/>
        </w:rPr>
        <w:t>&lt;/Article&gt;</w:t>
      </w:r>
    </w:p>
    <w:p w14:paraId="13238FF7"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656A76F" w14:textId="77777777" w:rsidR="00CE45E2" w:rsidRPr="00CE45E2" w:rsidRDefault="00CE45E2" w:rsidP="00CE45E2">
      <w:r w:rsidRPr="00CE45E2">
        <w:rPr>
          <w:rStyle w:val="HideTWBExt"/>
        </w:rPr>
        <w:t>&lt;Article2&gt;</w:t>
      </w:r>
      <w:r w:rsidRPr="00CE45E2">
        <w:t>Artykuł 19 – ustęp 1 – akapit 1 – litera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1E70389" w14:textId="77777777" w:rsidTr="006476FB">
        <w:trPr>
          <w:trHeight w:hRule="exact" w:val="240"/>
          <w:jc w:val="center"/>
        </w:trPr>
        <w:tc>
          <w:tcPr>
            <w:tcW w:w="9752" w:type="dxa"/>
            <w:gridSpan w:val="2"/>
            <w:tcBorders>
              <w:top w:val="nil"/>
              <w:left w:val="nil"/>
              <w:bottom w:val="nil"/>
              <w:right w:val="nil"/>
            </w:tcBorders>
          </w:tcPr>
          <w:p w14:paraId="556229B6" w14:textId="77777777" w:rsidR="00CE45E2" w:rsidRPr="00CE45E2" w:rsidRDefault="00CE45E2" w:rsidP="006476FB"/>
        </w:tc>
      </w:tr>
      <w:tr w:rsidR="00CE45E2" w:rsidRPr="00CE45E2" w14:paraId="1ED4C889" w14:textId="77777777" w:rsidTr="006476FB">
        <w:trPr>
          <w:trHeight w:val="240"/>
          <w:jc w:val="center"/>
        </w:trPr>
        <w:tc>
          <w:tcPr>
            <w:tcW w:w="4876" w:type="dxa"/>
            <w:tcBorders>
              <w:top w:val="nil"/>
              <w:left w:val="nil"/>
              <w:bottom w:val="nil"/>
              <w:right w:val="nil"/>
            </w:tcBorders>
          </w:tcPr>
          <w:p w14:paraId="067F5F23"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5F717650" w14:textId="77777777" w:rsidR="00CE45E2" w:rsidRPr="00CE45E2" w:rsidRDefault="00CE45E2" w:rsidP="006476FB">
            <w:pPr>
              <w:pStyle w:val="AmColumnHeading"/>
            </w:pPr>
            <w:r w:rsidRPr="00CE45E2">
              <w:t>Poprawka</w:t>
            </w:r>
          </w:p>
        </w:tc>
      </w:tr>
      <w:tr w:rsidR="00CE45E2" w:rsidRPr="00CE45E2" w14:paraId="6C28513C" w14:textId="77777777" w:rsidTr="006476FB">
        <w:trPr>
          <w:jc w:val="center"/>
        </w:trPr>
        <w:tc>
          <w:tcPr>
            <w:tcW w:w="4876" w:type="dxa"/>
            <w:tcBorders>
              <w:top w:val="nil"/>
              <w:left w:val="nil"/>
              <w:bottom w:val="nil"/>
              <w:right w:val="nil"/>
            </w:tcBorders>
          </w:tcPr>
          <w:p w14:paraId="641DF1B4" w14:textId="77777777" w:rsidR="00CE45E2" w:rsidRPr="00CE45E2" w:rsidRDefault="00CE45E2" w:rsidP="006476FB">
            <w:pPr>
              <w:pStyle w:val="Normal6a"/>
            </w:pPr>
          </w:p>
        </w:tc>
        <w:tc>
          <w:tcPr>
            <w:tcW w:w="4876" w:type="dxa"/>
            <w:tcBorders>
              <w:top w:val="nil"/>
              <w:left w:val="nil"/>
              <w:bottom w:val="nil"/>
              <w:right w:val="nil"/>
            </w:tcBorders>
          </w:tcPr>
          <w:p w14:paraId="6BCE8099" w14:textId="77777777" w:rsidR="00CE45E2" w:rsidRPr="00CE45E2" w:rsidRDefault="00CE45E2" w:rsidP="006476FB">
            <w:pPr>
              <w:pStyle w:val="Normal6a"/>
            </w:pPr>
            <w:r w:rsidRPr="00CE45E2">
              <w:rPr>
                <w:b/>
                <w:i/>
              </w:rPr>
              <w:t>aa)</w:t>
            </w:r>
            <w:r w:rsidRPr="00CE45E2">
              <w:tab/>
            </w:r>
            <w:r w:rsidRPr="00CE45E2">
              <w:rPr>
                <w:b/>
                <w:i/>
              </w:rPr>
              <w:t>lit. a) otrzymuje brzmienie:</w:t>
            </w:r>
          </w:p>
        </w:tc>
      </w:tr>
      <w:tr w:rsidR="00CE45E2" w:rsidRPr="00CE45E2" w14:paraId="6563BEEC" w14:textId="77777777" w:rsidTr="006476FB">
        <w:trPr>
          <w:jc w:val="center"/>
        </w:trPr>
        <w:tc>
          <w:tcPr>
            <w:tcW w:w="4876" w:type="dxa"/>
            <w:tcBorders>
              <w:top w:val="nil"/>
              <w:left w:val="nil"/>
              <w:bottom w:val="nil"/>
              <w:right w:val="nil"/>
            </w:tcBorders>
          </w:tcPr>
          <w:p w14:paraId="61C15B1D" w14:textId="77777777" w:rsidR="00CE45E2" w:rsidRPr="00CE45E2" w:rsidRDefault="00CE45E2" w:rsidP="006476FB">
            <w:pPr>
              <w:pStyle w:val="Normal6a"/>
            </w:pPr>
            <w:r w:rsidRPr="00CE45E2">
              <w:t>a) aktywa są inwestowane w najlepszym długoterminowym interesie ogółu uczestników i beneficjentów. W przypadku potencjalnego konfliktu interesów, IORP lub podmiot, który zarządza jej portfelem, zapewnia, aby inwestycja była dokonywana wyłącznie w interesie uczestników i beneficjentów;</w:t>
            </w:r>
          </w:p>
        </w:tc>
        <w:tc>
          <w:tcPr>
            <w:tcW w:w="4876" w:type="dxa"/>
            <w:tcBorders>
              <w:top w:val="nil"/>
              <w:left w:val="nil"/>
              <w:bottom w:val="nil"/>
              <w:right w:val="nil"/>
            </w:tcBorders>
          </w:tcPr>
          <w:p w14:paraId="51D14C2A" w14:textId="77777777" w:rsidR="00CE45E2" w:rsidRPr="00CE45E2" w:rsidRDefault="00CE45E2" w:rsidP="006476FB">
            <w:pPr>
              <w:pStyle w:val="Normal6a"/>
            </w:pPr>
            <w:r w:rsidRPr="00CE45E2">
              <w:rPr>
                <w:b/>
                <w:bCs/>
                <w:i/>
                <w:iCs/>
              </w:rPr>
              <w:t>„</w:t>
            </w:r>
            <w:r w:rsidRPr="00CE45E2">
              <w:t>a) aktywa są inwestowane w najlepszym długoterminowym interesie ogółu uczestników i beneficjentów</w:t>
            </w:r>
            <w:r w:rsidRPr="00CE45E2">
              <w:rPr>
                <w:b/>
                <w:bCs/>
                <w:i/>
                <w:iCs/>
              </w:rPr>
              <w:t>, w tym w celu zapewnienia odpowiednich i opłacalnych długoterminowych zwrotów oraz zabezpieczenia długoterminowych zobowiązań IORP</w:t>
            </w:r>
            <w:r w:rsidRPr="00CE45E2">
              <w:t>. W przypadku potencjalnego konfliktu interesów, IORP lub podmiot, który zarządza jej portfelem, zapewnia, aby inwestycja była dokonywana wyłącznie w interesie uczestników i beneficjentów;</w:t>
            </w:r>
            <w:r w:rsidRPr="00CE45E2">
              <w:rPr>
                <w:b/>
                <w:bCs/>
                <w:i/>
                <w:iCs/>
              </w:rPr>
              <w:t>”</w:t>
            </w:r>
          </w:p>
        </w:tc>
      </w:tr>
    </w:tbl>
    <w:p w14:paraId="3EA0518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7639FAD" w14:textId="77777777" w:rsidR="00CE45E2" w:rsidRPr="00CE45E2" w:rsidRDefault="00CE45E2" w:rsidP="00CE45E2">
      <w:pPr>
        <w:pStyle w:val="AmCrossRef"/>
      </w:pPr>
      <w:r w:rsidRPr="00CE45E2">
        <w:t>(32016L2341)</w:t>
      </w:r>
    </w:p>
    <w:p w14:paraId="33F17336" w14:textId="77777777" w:rsidR="00CE45E2" w:rsidRPr="00CE45E2" w:rsidRDefault="00CE45E2" w:rsidP="00CE45E2">
      <w:r w:rsidRPr="00CE45E2">
        <w:rPr>
          <w:rStyle w:val="HideTWBExt"/>
        </w:rPr>
        <w:t>&lt;/Amend&gt;</w:t>
      </w:r>
    </w:p>
    <w:p w14:paraId="3F3D5867" w14:textId="1D62197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313</w:t>
      </w:r>
      <w:r w:rsidRPr="00CE45E2">
        <w:rPr>
          <w:rStyle w:val="HideTWBExt"/>
          <w:b w:val="0"/>
        </w:rPr>
        <w:t>&lt;/NumAm&gt;</w:t>
      </w:r>
    </w:p>
    <w:p w14:paraId="2F752B9B"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3D169806" w14:textId="77777777" w:rsidR="00CE45E2" w:rsidRPr="00CE45E2" w:rsidRDefault="00CE45E2" w:rsidP="00CE45E2">
      <w:pPr>
        <w:pStyle w:val="NormalBold"/>
      </w:pPr>
      <w:r w:rsidRPr="00CE45E2">
        <w:rPr>
          <w:rStyle w:val="HideTWBExt"/>
          <w:b w:val="0"/>
        </w:rPr>
        <w:t>&lt;/RepeatBlock-By&gt;</w:t>
      </w:r>
    </w:p>
    <w:p w14:paraId="26D2F94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6B2874B" w14:textId="0D4512A1"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a </w:t>
      </w:r>
      <w:proofErr w:type="spellStart"/>
      <w:r w:rsidRPr="00CE45E2">
        <w:t>a</w:t>
      </w:r>
      <w:proofErr w:type="spellEnd"/>
      <w:r w:rsidRPr="00CE45E2">
        <w:t xml:space="preserve"> </w:t>
      </w:r>
      <w:r w:rsidR="0010594F">
        <w:t>(nowa)</w:t>
      </w:r>
      <w:r w:rsidRPr="00CE45E2">
        <w:rPr>
          <w:rStyle w:val="HideTWBExt"/>
          <w:b w:val="0"/>
        </w:rPr>
        <w:t>&lt;/Article&gt;</w:t>
      </w:r>
    </w:p>
    <w:p w14:paraId="09FD01F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A404F25" w14:textId="77777777" w:rsidR="00CE45E2" w:rsidRPr="00CE45E2" w:rsidRDefault="00CE45E2" w:rsidP="00CE45E2">
      <w:r w:rsidRPr="00CE45E2">
        <w:rPr>
          <w:rStyle w:val="HideTWBExt"/>
        </w:rPr>
        <w:t>&lt;Article2&gt;</w:t>
      </w:r>
      <w:r w:rsidRPr="00CE45E2">
        <w:t>Artykuł 19 – ustęp 1 – akapit 1 – litera 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3FFAF0B" w14:textId="77777777" w:rsidTr="006476FB">
        <w:trPr>
          <w:trHeight w:hRule="exact" w:val="240"/>
          <w:jc w:val="center"/>
        </w:trPr>
        <w:tc>
          <w:tcPr>
            <w:tcW w:w="9752" w:type="dxa"/>
            <w:gridSpan w:val="2"/>
            <w:tcBorders>
              <w:top w:val="nil"/>
              <w:left w:val="nil"/>
              <w:bottom w:val="nil"/>
              <w:right w:val="nil"/>
            </w:tcBorders>
          </w:tcPr>
          <w:p w14:paraId="20291B0E" w14:textId="77777777" w:rsidR="00CE45E2" w:rsidRPr="00CE45E2" w:rsidRDefault="00CE45E2" w:rsidP="006476FB"/>
        </w:tc>
      </w:tr>
      <w:tr w:rsidR="00CE45E2" w:rsidRPr="00CE45E2" w14:paraId="4CE53A22" w14:textId="77777777" w:rsidTr="006476FB">
        <w:trPr>
          <w:trHeight w:val="240"/>
          <w:jc w:val="center"/>
        </w:trPr>
        <w:tc>
          <w:tcPr>
            <w:tcW w:w="4876" w:type="dxa"/>
            <w:tcBorders>
              <w:top w:val="nil"/>
              <w:left w:val="nil"/>
              <w:bottom w:val="nil"/>
              <w:right w:val="nil"/>
            </w:tcBorders>
          </w:tcPr>
          <w:p w14:paraId="62EB135C" w14:textId="77777777" w:rsidR="00CE45E2" w:rsidRPr="00CE45E2" w:rsidRDefault="00CE45E2" w:rsidP="006476FB">
            <w:pPr>
              <w:pStyle w:val="AmColumnHeading"/>
            </w:pPr>
            <w:r w:rsidRPr="00CE45E2">
              <w:t>Tekst obowiązujący</w:t>
            </w:r>
          </w:p>
        </w:tc>
        <w:tc>
          <w:tcPr>
            <w:tcW w:w="4876" w:type="dxa"/>
            <w:tcBorders>
              <w:top w:val="nil"/>
              <w:left w:val="nil"/>
              <w:bottom w:val="nil"/>
              <w:right w:val="nil"/>
            </w:tcBorders>
          </w:tcPr>
          <w:p w14:paraId="6F528C82" w14:textId="77777777" w:rsidR="00CE45E2" w:rsidRPr="00CE45E2" w:rsidRDefault="00CE45E2" w:rsidP="006476FB">
            <w:pPr>
              <w:pStyle w:val="AmColumnHeading"/>
            </w:pPr>
            <w:r w:rsidRPr="00CE45E2">
              <w:t>Poprawka</w:t>
            </w:r>
          </w:p>
        </w:tc>
      </w:tr>
      <w:tr w:rsidR="00CE45E2" w:rsidRPr="00CE45E2" w14:paraId="31116178" w14:textId="77777777" w:rsidTr="006476FB">
        <w:trPr>
          <w:jc w:val="center"/>
        </w:trPr>
        <w:tc>
          <w:tcPr>
            <w:tcW w:w="4876" w:type="dxa"/>
            <w:tcBorders>
              <w:top w:val="nil"/>
              <w:left w:val="nil"/>
              <w:bottom w:val="nil"/>
              <w:right w:val="nil"/>
            </w:tcBorders>
          </w:tcPr>
          <w:p w14:paraId="10F3FB34" w14:textId="77777777" w:rsidR="00CE45E2" w:rsidRPr="00CE45E2" w:rsidRDefault="00CE45E2" w:rsidP="006476FB">
            <w:pPr>
              <w:pStyle w:val="Normal6a"/>
            </w:pPr>
          </w:p>
        </w:tc>
        <w:tc>
          <w:tcPr>
            <w:tcW w:w="4876" w:type="dxa"/>
            <w:tcBorders>
              <w:top w:val="nil"/>
              <w:left w:val="nil"/>
              <w:bottom w:val="nil"/>
              <w:right w:val="nil"/>
            </w:tcBorders>
          </w:tcPr>
          <w:p w14:paraId="7AF8ACFD" w14:textId="77777777" w:rsidR="00CE45E2" w:rsidRPr="00CE45E2" w:rsidRDefault="00CE45E2" w:rsidP="006476FB">
            <w:pPr>
              <w:pStyle w:val="Normal6a"/>
            </w:pPr>
            <w:r w:rsidRPr="00CE45E2">
              <w:rPr>
                <w:b/>
                <w:i/>
              </w:rPr>
              <w:t>aa)</w:t>
            </w:r>
            <w:r w:rsidRPr="00CE45E2">
              <w:tab/>
            </w:r>
            <w:r w:rsidRPr="00CE45E2">
              <w:rPr>
                <w:b/>
                <w:i/>
              </w:rPr>
              <w:t>lit. a) otrzymuje brzmienie:</w:t>
            </w:r>
          </w:p>
        </w:tc>
      </w:tr>
      <w:tr w:rsidR="00CE45E2" w:rsidRPr="00CE45E2" w14:paraId="0AFCDF7E" w14:textId="77777777" w:rsidTr="006476FB">
        <w:trPr>
          <w:jc w:val="center"/>
        </w:trPr>
        <w:tc>
          <w:tcPr>
            <w:tcW w:w="4876" w:type="dxa"/>
            <w:tcBorders>
              <w:top w:val="nil"/>
              <w:left w:val="nil"/>
              <w:bottom w:val="nil"/>
              <w:right w:val="nil"/>
            </w:tcBorders>
          </w:tcPr>
          <w:p w14:paraId="02D5004E" w14:textId="77777777" w:rsidR="00CE45E2" w:rsidRPr="00CE45E2" w:rsidRDefault="00CE45E2" w:rsidP="006476FB">
            <w:pPr>
              <w:pStyle w:val="Normal6a"/>
            </w:pPr>
            <w:r w:rsidRPr="00CE45E2">
              <w:t>a) aktywa są inwestowane w najlepszym długoterminowym interesie ogółu uczestników i beneficjentów. W przypadku potencjalnego konfliktu interesów, IORP lub podmiot, który zarządza jej portfelem, zapewnia, aby inwestycja była dokonywana wyłącznie w interesie uczestników i beneficjentów;</w:t>
            </w:r>
          </w:p>
        </w:tc>
        <w:tc>
          <w:tcPr>
            <w:tcW w:w="4876" w:type="dxa"/>
            <w:tcBorders>
              <w:top w:val="nil"/>
              <w:left w:val="nil"/>
              <w:bottom w:val="nil"/>
              <w:right w:val="nil"/>
            </w:tcBorders>
          </w:tcPr>
          <w:p w14:paraId="40795D4B" w14:textId="77777777" w:rsidR="00CE45E2" w:rsidRPr="00CE45E2" w:rsidRDefault="00CE45E2" w:rsidP="006476FB">
            <w:pPr>
              <w:pStyle w:val="Normal6a"/>
            </w:pPr>
            <w:r w:rsidRPr="00CE45E2">
              <w:rPr>
                <w:b/>
                <w:bCs/>
                <w:i/>
                <w:iCs/>
              </w:rPr>
              <w:t>„</w:t>
            </w:r>
            <w:r w:rsidRPr="00CE45E2">
              <w:t xml:space="preserve">aktywa są inwestowane w najlepszym długoterminowym interesie ogółu uczestników i beneficjentów; W przypadku potencjalnego konfliktu interesów, IORP lub podmiot, który zarządza jej portfelem, zapewnia, aby inwestycja była dokonywana wyłącznie w interesie uczestników i beneficjentów; </w:t>
            </w:r>
            <w:r w:rsidRPr="00CE45E2">
              <w:rPr>
                <w:b/>
                <w:i/>
              </w:rPr>
              <w:t xml:space="preserve">co najmniej co trzy lata IORP przeprowadzają ocenę potrzeb emerytalnych swoich uczestników i beneficjentów, w tym między innymi docelowych stawek zastąpienia, oczekiwanych stóp zwrotu oraz potrzeb w zakresie płynności. </w:t>
            </w:r>
            <w:r w:rsidRPr="00CE45E2">
              <w:rPr>
                <w:b/>
                <w:bCs/>
                <w:i/>
                <w:iCs/>
              </w:rPr>
              <w:t xml:space="preserve">Na podstawie tej oceny IORP potwierdzają </w:t>
            </w:r>
            <w:proofErr w:type="gramStart"/>
            <w:r w:rsidRPr="00CE45E2">
              <w:rPr>
                <w:b/>
                <w:bCs/>
                <w:i/>
                <w:iCs/>
              </w:rPr>
              <w:t>lub,</w:t>
            </w:r>
            <w:proofErr w:type="gramEnd"/>
            <w:r w:rsidRPr="00CE45E2">
              <w:rPr>
                <w:b/>
                <w:bCs/>
                <w:i/>
                <w:iCs/>
              </w:rPr>
              <w:t xml:space="preserve"> w stosownych przypadkach, korygują alokację aktywów w celu zapewnienia jej stałej zgodności z charakterystyką i potrzebami swoich uczestników i beneficjentów;”</w:t>
            </w:r>
          </w:p>
        </w:tc>
      </w:tr>
    </w:tbl>
    <w:p w14:paraId="221695B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779E551" w14:textId="77777777" w:rsidR="00CE45E2" w:rsidRPr="00CE45E2" w:rsidRDefault="00CE45E2" w:rsidP="00CE45E2">
      <w:pPr>
        <w:pStyle w:val="AmCrossRef"/>
      </w:pPr>
      <w:r w:rsidRPr="00CE45E2">
        <w:t>(https://eur-lex.europa.eu/legal-content/PL/TXT/?uri=CELEX%3A02016L2341-20250117&amp;qid=1782305062370)</w:t>
      </w:r>
    </w:p>
    <w:p w14:paraId="7A5F46D7" w14:textId="77777777" w:rsidR="00CE45E2" w:rsidRPr="00CE45E2" w:rsidRDefault="00CE45E2" w:rsidP="00CE45E2">
      <w:r w:rsidRPr="00CE45E2">
        <w:rPr>
          <w:rStyle w:val="HideTWBExt"/>
        </w:rPr>
        <w:t>&lt;/Amend&gt;</w:t>
      </w:r>
    </w:p>
    <w:p w14:paraId="201CB020" w14:textId="2E2758F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314</w:t>
      </w:r>
      <w:r w:rsidRPr="00CE45E2">
        <w:rPr>
          <w:rStyle w:val="HideTWBExt"/>
          <w:b w:val="0"/>
        </w:rPr>
        <w:t>&lt;/NumAm&gt;</w:t>
      </w:r>
    </w:p>
    <w:p w14:paraId="079D849C"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40F50500" w14:textId="77777777" w:rsidR="00CE45E2" w:rsidRPr="00CE45E2" w:rsidRDefault="00CE45E2" w:rsidP="00CE45E2">
      <w:pPr>
        <w:pStyle w:val="NormalBold"/>
      </w:pPr>
      <w:r w:rsidRPr="00CE45E2">
        <w:rPr>
          <w:rStyle w:val="HideTWBExt"/>
          <w:b w:val="0"/>
        </w:rPr>
        <w:t>&lt;/RepeatBlock-By&gt;</w:t>
      </w:r>
    </w:p>
    <w:p w14:paraId="12CDB0E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808A14C" w14:textId="45612A4D"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a b </w:t>
      </w:r>
      <w:r w:rsidR="0010594F">
        <w:t>(nowa)</w:t>
      </w:r>
      <w:r w:rsidRPr="00CE45E2">
        <w:rPr>
          <w:rStyle w:val="HideTWBExt"/>
          <w:b w:val="0"/>
        </w:rPr>
        <w:t>&lt;/Article&gt;</w:t>
      </w:r>
    </w:p>
    <w:p w14:paraId="7E20EBD3"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003EA5F" w14:textId="77777777" w:rsidR="00CE45E2" w:rsidRPr="00CE45E2" w:rsidRDefault="00CE45E2" w:rsidP="00CE45E2">
      <w:r w:rsidRPr="00CE45E2">
        <w:rPr>
          <w:rStyle w:val="HideTWBExt"/>
        </w:rPr>
        <w:t>&lt;Article2&gt;</w:t>
      </w:r>
      <w:r w:rsidRPr="00CE45E2">
        <w:t>Artykuł 19 – ustęp 1 – akapit 1 – litery a a–a d (nowe)</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945E11F" w14:textId="77777777" w:rsidTr="006476FB">
        <w:trPr>
          <w:trHeight w:hRule="exact" w:val="240"/>
          <w:jc w:val="center"/>
        </w:trPr>
        <w:tc>
          <w:tcPr>
            <w:tcW w:w="9752" w:type="dxa"/>
            <w:gridSpan w:val="2"/>
            <w:tcBorders>
              <w:top w:val="nil"/>
              <w:left w:val="nil"/>
              <w:bottom w:val="nil"/>
              <w:right w:val="nil"/>
            </w:tcBorders>
          </w:tcPr>
          <w:p w14:paraId="41432DEE" w14:textId="77777777" w:rsidR="00CE45E2" w:rsidRPr="00CE45E2" w:rsidRDefault="00CE45E2" w:rsidP="006476FB"/>
        </w:tc>
      </w:tr>
      <w:tr w:rsidR="00CE45E2" w:rsidRPr="00CE45E2" w14:paraId="0419B073" w14:textId="77777777" w:rsidTr="006476FB">
        <w:trPr>
          <w:trHeight w:val="240"/>
          <w:jc w:val="center"/>
        </w:trPr>
        <w:tc>
          <w:tcPr>
            <w:tcW w:w="4876" w:type="dxa"/>
            <w:tcBorders>
              <w:top w:val="nil"/>
              <w:left w:val="nil"/>
              <w:bottom w:val="nil"/>
              <w:right w:val="nil"/>
            </w:tcBorders>
          </w:tcPr>
          <w:p w14:paraId="18DA3E0D"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78B3FC2" w14:textId="77777777" w:rsidR="00CE45E2" w:rsidRPr="00CE45E2" w:rsidRDefault="00CE45E2" w:rsidP="006476FB">
            <w:pPr>
              <w:pStyle w:val="AmColumnHeading"/>
            </w:pPr>
            <w:r w:rsidRPr="00CE45E2">
              <w:t>Poprawka</w:t>
            </w:r>
          </w:p>
        </w:tc>
      </w:tr>
      <w:tr w:rsidR="00CE45E2" w:rsidRPr="00CE45E2" w14:paraId="71977CA4" w14:textId="77777777" w:rsidTr="006476FB">
        <w:trPr>
          <w:jc w:val="center"/>
        </w:trPr>
        <w:tc>
          <w:tcPr>
            <w:tcW w:w="4876" w:type="dxa"/>
            <w:tcBorders>
              <w:top w:val="nil"/>
              <w:left w:val="nil"/>
              <w:bottom w:val="nil"/>
              <w:right w:val="nil"/>
            </w:tcBorders>
          </w:tcPr>
          <w:p w14:paraId="6892DD61" w14:textId="77777777" w:rsidR="00CE45E2" w:rsidRPr="00CE45E2" w:rsidRDefault="00CE45E2" w:rsidP="006476FB">
            <w:pPr>
              <w:pStyle w:val="Normal6a"/>
            </w:pPr>
          </w:p>
        </w:tc>
        <w:tc>
          <w:tcPr>
            <w:tcW w:w="4876" w:type="dxa"/>
            <w:tcBorders>
              <w:top w:val="nil"/>
              <w:left w:val="nil"/>
              <w:bottom w:val="nil"/>
              <w:right w:val="nil"/>
            </w:tcBorders>
          </w:tcPr>
          <w:p w14:paraId="6543B584" w14:textId="77777777" w:rsidR="00CE45E2" w:rsidRPr="00CE45E2" w:rsidRDefault="00CE45E2" w:rsidP="006476FB">
            <w:pPr>
              <w:pStyle w:val="Normal6a"/>
            </w:pPr>
            <w:r w:rsidRPr="00CE45E2">
              <w:rPr>
                <w:b/>
                <w:i/>
              </w:rPr>
              <w:t>ab)</w:t>
            </w:r>
            <w:r w:rsidRPr="00CE45E2">
              <w:tab/>
            </w:r>
            <w:r w:rsidRPr="00CE45E2">
              <w:rPr>
                <w:b/>
                <w:i/>
              </w:rPr>
              <w:t>w art. 19 ust. 1 dodaje się litery w brzmieniu:</w:t>
            </w:r>
          </w:p>
        </w:tc>
      </w:tr>
      <w:tr w:rsidR="00CE45E2" w:rsidRPr="00CE45E2" w14:paraId="367CB764" w14:textId="77777777" w:rsidTr="006476FB">
        <w:trPr>
          <w:jc w:val="center"/>
        </w:trPr>
        <w:tc>
          <w:tcPr>
            <w:tcW w:w="4876" w:type="dxa"/>
            <w:tcBorders>
              <w:top w:val="nil"/>
              <w:left w:val="nil"/>
              <w:bottom w:val="nil"/>
              <w:right w:val="nil"/>
            </w:tcBorders>
          </w:tcPr>
          <w:p w14:paraId="5B958ACD" w14:textId="77777777" w:rsidR="00CE45E2" w:rsidRPr="00CE45E2" w:rsidRDefault="00CE45E2" w:rsidP="006476FB">
            <w:pPr>
              <w:pStyle w:val="Normal6a"/>
            </w:pPr>
          </w:p>
        </w:tc>
        <w:tc>
          <w:tcPr>
            <w:tcW w:w="4876" w:type="dxa"/>
            <w:tcBorders>
              <w:top w:val="nil"/>
              <w:left w:val="nil"/>
              <w:bottom w:val="nil"/>
              <w:right w:val="nil"/>
            </w:tcBorders>
          </w:tcPr>
          <w:p w14:paraId="12FAB19E" w14:textId="77777777" w:rsidR="00CE45E2" w:rsidRPr="00CE45E2" w:rsidRDefault="00CE45E2" w:rsidP="006476FB">
            <w:pPr>
              <w:pStyle w:val="Normal6a"/>
            </w:pPr>
            <w:r w:rsidRPr="00CE45E2">
              <w:rPr>
                <w:b/>
                <w:i/>
              </w:rPr>
              <w:t>„aa) zmiany w wieloletnich strategiach inwestycyjnych są zatwierdzane przez zarząd lub inne organy zarządzające, w których uczestnicy i beneficjenci ustawowych pracowniczych programów emerytalnych, w tym IORP dla osób samozatrudnionych, są reprezentowani bezpośrednio lub przez przedstawicieli wybranych lub mianowanych przez partnerów społecznych;</w:t>
            </w:r>
          </w:p>
        </w:tc>
      </w:tr>
      <w:tr w:rsidR="00CE45E2" w:rsidRPr="00CE45E2" w14:paraId="40EF6ABA" w14:textId="77777777" w:rsidTr="006476FB">
        <w:trPr>
          <w:jc w:val="center"/>
        </w:trPr>
        <w:tc>
          <w:tcPr>
            <w:tcW w:w="4876" w:type="dxa"/>
            <w:tcBorders>
              <w:top w:val="nil"/>
              <w:left w:val="nil"/>
              <w:bottom w:val="nil"/>
              <w:right w:val="nil"/>
            </w:tcBorders>
          </w:tcPr>
          <w:p w14:paraId="69944B9F" w14:textId="77777777" w:rsidR="00CE45E2" w:rsidRPr="00CE45E2" w:rsidRDefault="00CE45E2" w:rsidP="006476FB">
            <w:pPr>
              <w:pStyle w:val="Normal6a"/>
            </w:pPr>
          </w:p>
        </w:tc>
        <w:tc>
          <w:tcPr>
            <w:tcW w:w="4876" w:type="dxa"/>
            <w:tcBorders>
              <w:top w:val="nil"/>
              <w:left w:val="nil"/>
              <w:bottom w:val="nil"/>
              <w:right w:val="nil"/>
            </w:tcBorders>
          </w:tcPr>
          <w:p w14:paraId="7925F9DC" w14:textId="77777777" w:rsidR="00CE45E2" w:rsidRPr="00CE45E2" w:rsidRDefault="00CE45E2" w:rsidP="006476FB">
            <w:pPr>
              <w:pStyle w:val="Normal6a"/>
            </w:pPr>
            <w:r w:rsidRPr="00CE45E2">
              <w:rPr>
                <w:b/>
                <w:i/>
              </w:rPr>
              <w:t>ab) IORP określają preferencje inwestycyjne uczestników i beneficjentów, w tym preferencje w zakresie zrównoważonego rozwoju, oraz informują uczestników i beneficjentów o głównych kierunkach inwestycji, w tym obejmujących kryteria środowiskowe, społeczne i z zakresu ładu korporacyjnego;</w:t>
            </w:r>
          </w:p>
        </w:tc>
      </w:tr>
      <w:tr w:rsidR="00CE45E2" w:rsidRPr="00CE45E2" w14:paraId="1E37C0A1" w14:textId="77777777" w:rsidTr="006476FB">
        <w:trPr>
          <w:jc w:val="center"/>
        </w:trPr>
        <w:tc>
          <w:tcPr>
            <w:tcW w:w="4876" w:type="dxa"/>
            <w:tcBorders>
              <w:top w:val="nil"/>
              <w:left w:val="nil"/>
              <w:bottom w:val="nil"/>
              <w:right w:val="nil"/>
            </w:tcBorders>
          </w:tcPr>
          <w:p w14:paraId="3BDE3A83" w14:textId="77777777" w:rsidR="00CE45E2" w:rsidRPr="00CE45E2" w:rsidRDefault="00CE45E2" w:rsidP="006476FB">
            <w:pPr>
              <w:pStyle w:val="Normal6a"/>
            </w:pPr>
          </w:p>
        </w:tc>
        <w:tc>
          <w:tcPr>
            <w:tcW w:w="4876" w:type="dxa"/>
            <w:tcBorders>
              <w:top w:val="nil"/>
              <w:left w:val="nil"/>
              <w:bottom w:val="nil"/>
              <w:right w:val="nil"/>
            </w:tcBorders>
          </w:tcPr>
          <w:p w14:paraId="57777E5E" w14:textId="77777777" w:rsidR="00CE45E2" w:rsidRPr="00CE45E2" w:rsidRDefault="00CE45E2" w:rsidP="006476FB">
            <w:pPr>
              <w:pStyle w:val="Normal6a"/>
            </w:pPr>
            <w:proofErr w:type="spellStart"/>
            <w:r w:rsidRPr="00CE45E2">
              <w:rPr>
                <w:b/>
                <w:i/>
              </w:rPr>
              <w:t>ac</w:t>
            </w:r>
            <w:proofErr w:type="spellEnd"/>
            <w:r w:rsidRPr="00CE45E2">
              <w:rPr>
                <w:b/>
                <w:i/>
              </w:rPr>
              <w:t>) IORP dopilnowują, aby przy wyborze zarządzających inwestycjami i uprawnień inwestycyjnych uwzględniano zasadę „ostrożnego inwestora”, interesy uczestników i beneficjentów oraz potencjalne ryzyka dla zrównoważonego rozwoju;</w:t>
            </w:r>
          </w:p>
        </w:tc>
      </w:tr>
      <w:tr w:rsidR="00CE45E2" w:rsidRPr="00CE45E2" w14:paraId="234CEE56" w14:textId="77777777" w:rsidTr="006476FB">
        <w:trPr>
          <w:jc w:val="center"/>
        </w:trPr>
        <w:tc>
          <w:tcPr>
            <w:tcW w:w="4876" w:type="dxa"/>
            <w:tcBorders>
              <w:top w:val="nil"/>
              <w:left w:val="nil"/>
              <w:bottom w:val="nil"/>
              <w:right w:val="nil"/>
            </w:tcBorders>
          </w:tcPr>
          <w:p w14:paraId="5BE5AA37" w14:textId="77777777" w:rsidR="00CE45E2" w:rsidRPr="00CE45E2" w:rsidRDefault="00CE45E2" w:rsidP="006476FB">
            <w:pPr>
              <w:pStyle w:val="Normal6a"/>
            </w:pPr>
          </w:p>
        </w:tc>
        <w:tc>
          <w:tcPr>
            <w:tcW w:w="4876" w:type="dxa"/>
            <w:tcBorders>
              <w:top w:val="nil"/>
              <w:left w:val="nil"/>
              <w:bottom w:val="nil"/>
              <w:right w:val="nil"/>
            </w:tcBorders>
          </w:tcPr>
          <w:p w14:paraId="14BFF5FF" w14:textId="77777777" w:rsidR="00CE45E2" w:rsidRPr="00CE45E2" w:rsidRDefault="00CE45E2" w:rsidP="006476FB">
            <w:pPr>
              <w:pStyle w:val="Normal6a"/>
            </w:pPr>
            <w:r w:rsidRPr="00CE45E2">
              <w:rPr>
                <w:b/>
                <w:i/>
              </w:rPr>
              <w:t>ad) IORP unikają narażania się na ryzyko związane z aktywami alternatywnymi, w tym między innymi z rynkami kapitałowymi, rynkami kapitału wysokiego ryzyka i rynkami infrastrukturalnymi.”;</w:t>
            </w:r>
          </w:p>
        </w:tc>
      </w:tr>
    </w:tbl>
    <w:p w14:paraId="596023A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84458F1" w14:textId="77777777" w:rsidR="00CE45E2" w:rsidRPr="00CE45E2" w:rsidRDefault="00CE45E2" w:rsidP="00CE45E2">
      <w:r w:rsidRPr="00CE45E2">
        <w:rPr>
          <w:rStyle w:val="HideTWBExt"/>
        </w:rPr>
        <w:t>&lt;/Amend&gt;</w:t>
      </w:r>
    </w:p>
    <w:p w14:paraId="1E3E6A70" w14:textId="5C4D531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315</w:t>
      </w:r>
      <w:r w:rsidRPr="00CE45E2">
        <w:rPr>
          <w:rStyle w:val="HideTWBExt"/>
          <w:b w:val="0"/>
        </w:rPr>
        <w:t>&lt;/NumAm&gt;</w:t>
      </w:r>
    </w:p>
    <w:p w14:paraId="5B860D5F"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t xml:space="preserve">, </w:t>
      </w:r>
      <w:proofErr w:type="spellStart"/>
      <w:r w:rsidRPr="00CE45E2">
        <w:t>Mireia</w:t>
      </w:r>
      <w:proofErr w:type="spellEnd"/>
      <w:r w:rsidRPr="00CE45E2">
        <w:t xml:space="preserve"> </w:t>
      </w:r>
      <w:proofErr w:type="spellStart"/>
      <w:r w:rsidRPr="00CE45E2">
        <w:t>Borrás</w:t>
      </w:r>
      <w:proofErr w:type="spellEnd"/>
      <w:r w:rsidRPr="00CE45E2">
        <w:t xml:space="preserve"> </w:t>
      </w:r>
      <w:proofErr w:type="spellStart"/>
      <w:r w:rsidRPr="00CE45E2">
        <w:t>Pabón</w:t>
      </w:r>
      <w:proofErr w:type="spellEnd"/>
      <w:r w:rsidRPr="00CE45E2">
        <w:rPr>
          <w:rStyle w:val="HideTWBExt"/>
          <w:b w:val="0"/>
        </w:rPr>
        <w:t>&lt;/Members&gt;</w:t>
      </w:r>
    </w:p>
    <w:p w14:paraId="40BBE8AD" w14:textId="77777777" w:rsidR="00CE45E2" w:rsidRPr="00CE45E2" w:rsidRDefault="00CE45E2" w:rsidP="00CE45E2">
      <w:pPr>
        <w:pStyle w:val="NormalBold"/>
      </w:pPr>
      <w:r w:rsidRPr="00CE45E2">
        <w:rPr>
          <w:rStyle w:val="HideTWBExt"/>
          <w:b w:val="0"/>
        </w:rPr>
        <w:t>&lt;/RepeatBlock-By&gt;</w:t>
      </w:r>
    </w:p>
    <w:p w14:paraId="03DA15A9"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07D9B95" w14:textId="5BE1DDC3"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4DC67CE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2B227E5"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9CB1C3F" w14:textId="77777777" w:rsidTr="006476FB">
        <w:trPr>
          <w:trHeight w:hRule="exact" w:val="240"/>
          <w:jc w:val="center"/>
        </w:trPr>
        <w:tc>
          <w:tcPr>
            <w:tcW w:w="9752" w:type="dxa"/>
            <w:gridSpan w:val="2"/>
            <w:tcBorders>
              <w:top w:val="nil"/>
              <w:left w:val="nil"/>
              <w:bottom w:val="nil"/>
              <w:right w:val="nil"/>
            </w:tcBorders>
          </w:tcPr>
          <w:p w14:paraId="17B159B4" w14:textId="77777777" w:rsidR="00CE45E2" w:rsidRPr="00CE45E2" w:rsidRDefault="00CE45E2" w:rsidP="006476FB"/>
        </w:tc>
      </w:tr>
      <w:tr w:rsidR="00CE45E2" w:rsidRPr="00CE45E2" w14:paraId="1B81FC50" w14:textId="77777777" w:rsidTr="006476FB">
        <w:trPr>
          <w:trHeight w:val="240"/>
          <w:jc w:val="center"/>
        </w:trPr>
        <w:tc>
          <w:tcPr>
            <w:tcW w:w="4876" w:type="dxa"/>
            <w:tcBorders>
              <w:top w:val="nil"/>
              <w:left w:val="nil"/>
              <w:bottom w:val="nil"/>
              <w:right w:val="nil"/>
            </w:tcBorders>
          </w:tcPr>
          <w:p w14:paraId="500745CC"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20D83B1" w14:textId="77777777" w:rsidR="00CE45E2" w:rsidRPr="00CE45E2" w:rsidRDefault="00CE45E2" w:rsidP="006476FB">
            <w:pPr>
              <w:pStyle w:val="AmColumnHeading"/>
            </w:pPr>
            <w:r w:rsidRPr="00CE45E2">
              <w:t>Poprawka</w:t>
            </w:r>
          </w:p>
        </w:tc>
      </w:tr>
      <w:tr w:rsidR="00CE45E2" w:rsidRPr="00CE45E2" w14:paraId="2F08CD4C" w14:textId="77777777" w:rsidTr="006476FB">
        <w:trPr>
          <w:jc w:val="center"/>
        </w:trPr>
        <w:tc>
          <w:tcPr>
            <w:tcW w:w="4876" w:type="dxa"/>
            <w:tcBorders>
              <w:top w:val="nil"/>
              <w:left w:val="nil"/>
              <w:bottom w:val="nil"/>
              <w:right w:val="nil"/>
            </w:tcBorders>
          </w:tcPr>
          <w:p w14:paraId="64B948D3" w14:textId="77777777" w:rsidR="00CE45E2" w:rsidRPr="00CE45E2" w:rsidRDefault="00CE45E2" w:rsidP="006476FB">
            <w:pPr>
              <w:pStyle w:val="Normal6a"/>
            </w:pPr>
            <w:r w:rsidRPr="00CE45E2">
              <w:t>b)</w:t>
            </w:r>
            <w:r w:rsidRPr="00CE45E2">
              <w:tab/>
            </w:r>
            <w:r w:rsidRPr="00CE45E2">
              <w:rPr>
                <w:b/>
                <w:bCs/>
                <w:i/>
                <w:iCs/>
              </w:rPr>
              <w:t xml:space="preserve">w myśl </w:t>
            </w:r>
            <w:proofErr w:type="gramStart"/>
            <w:r w:rsidRPr="00CE45E2">
              <w:rPr>
                <w:b/>
                <w:bCs/>
                <w:i/>
                <w:iCs/>
              </w:rPr>
              <w:t>zasady »ostrożnego</w:t>
            </w:r>
            <w:proofErr w:type="gramEnd"/>
            <w:r w:rsidRPr="00CE45E2">
              <w:rPr>
                <w:b/>
                <w:bCs/>
                <w:i/>
                <w:iCs/>
              </w:rPr>
              <w:t xml:space="preserve"> inwestora« IORP uwzględniają w swoich decyzjach inwestycyjnych ryzyka dla zrównoważonego rozwoju zdefiniowane w art. 2 pkt 22 rozporządzenia Parlamentu Europejskiego i Rady (UE) 2019/2088* i w tym celu IORP uwzględniają potencjalny długoterminowy wpływ swojej strategii inwestycyjnej i swoich decyzji inwestycyjnych na czynniki zrównoważonego rozwoju zdefiniowane w art. 2 pkt 24 rozporządzenia (UE) 2019/2088.</w:t>
            </w:r>
            <w:r w:rsidRPr="00CE45E2">
              <w:rPr>
                <w:b/>
                <w:i/>
              </w:rPr>
              <w:t xml:space="preserve"> </w:t>
            </w:r>
            <w:r w:rsidRPr="00CE45E2">
              <w:rPr>
                <w:b/>
                <w:bCs/>
                <w:i/>
                <w:iCs/>
              </w:rPr>
              <w:t>Odbywa się to w sposób proporcjonalny,</w:t>
            </w:r>
            <w:r w:rsidRPr="00CE45E2">
              <w:t xml:space="preserve"> z uwzględnieniem charakteru</w:t>
            </w:r>
            <w:r w:rsidRPr="00CE45E2">
              <w:rPr>
                <w:b/>
                <w:bCs/>
                <w:i/>
                <w:iCs/>
              </w:rPr>
              <w:t>, skali i złożoności działalności IORP</w:t>
            </w:r>
            <w:r w:rsidRPr="00CE45E2">
              <w:t>.</w:t>
            </w:r>
            <w:r w:rsidRPr="00CE45E2">
              <w:rPr>
                <w:b/>
                <w:bCs/>
                <w:i/>
                <w:iCs/>
              </w:rPr>
              <w:t>”;</w:t>
            </w:r>
          </w:p>
        </w:tc>
        <w:tc>
          <w:tcPr>
            <w:tcW w:w="4876" w:type="dxa"/>
            <w:tcBorders>
              <w:top w:val="nil"/>
              <w:left w:val="nil"/>
              <w:bottom w:val="nil"/>
              <w:right w:val="nil"/>
            </w:tcBorders>
          </w:tcPr>
          <w:p w14:paraId="332BB699" w14:textId="77777777" w:rsidR="00CE45E2" w:rsidRPr="00CE45E2" w:rsidRDefault="00CE45E2" w:rsidP="006476FB">
            <w:pPr>
              <w:pStyle w:val="Normal6a"/>
            </w:pPr>
            <w:r w:rsidRPr="00CE45E2">
              <w:t>b)</w:t>
            </w:r>
            <w:r w:rsidRPr="00CE45E2">
              <w:tab/>
            </w:r>
            <w:r w:rsidRPr="00CE45E2">
              <w:rPr>
                <w:b/>
                <w:bCs/>
                <w:i/>
                <w:iCs/>
              </w:rPr>
              <w:t>aktywa powinny być inwestowane wyłącznie w najlepszym długoterminowym interesie uczestników i beneficjentów,</w:t>
            </w:r>
            <w:r w:rsidRPr="00CE45E2">
              <w:rPr>
                <w:b/>
                <w:bCs/>
              </w:rPr>
              <w:t xml:space="preserve"> </w:t>
            </w:r>
            <w:r w:rsidRPr="00CE45E2">
              <w:t xml:space="preserve">z uwzględnieniem </w:t>
            </w:r>
            <w:r w:rsidRPr="00CE45E2">
              <w:rPr>
                <w:b/>
                <w:bCs/>
                <w:i/>
                <w:iCs/>
              </w:rPr>
              <w:t>bezpieczeństwa, jakości, płynności, rentowności, dywersyfikacji oraz</w:t>
            </w:r>
            <w:r w:rsidRPr="00CE45E2">
              <w:t xml:space="preserve"> charakteru </w:t>
            </w:r>
            <w:r w:rsidRPr="00CE45E2">
              <w:rPr>
                <w:b/>
                <w:bCs/>
                <w:i/>
                <w:iCs/>
              </w:rPr>
              <w:t>i okresu trwania zobowiązań</w:t>
            </w:r>
            <w:r w:rsidRPr="00CE45E2">
              <w:t>.</w:t>
            </w:r>
          </w:p>
        </w:tc>
      </w:tr>
    </w:tbl>
    <w:p w14:paraId="7FB89B8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83439E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69D357F" w14:textId="77777777" w:rsidR="00CE45E2" w:rsidRPr="00CE45E2" w:rsidRDefault="00CE45E2" w:rsidP="00CE45E2">
      <w:pPr>
        <w:pStyle w:val="AmJustText"/>
      </w:pPr>
      <w:r w:rsidRPr="00CE45E2">
        <w:t>Proponowany obowiązek uwzględniania czynników zrównoważonego rozwoju powinien zostać zastąpiony jednoznacznym obowiązkiem powierniczym. Głównym kryterium musi być to, czy inwestycja służy długoterminowym interesom finansowym oszczędzających na emeryturę.</w:t>
      </w:r>
    </w:p>
    <w:p w14:paraId="481A0AEC" w14:textId="77777777" w:rsidR="00CE45E2" w:rsidRPr="00CE45E2" w:rsidRDefault="00CE45E2" w:rsidP="00CE45E2">
      <w:r w:rsidRPr="00CE45E2">
        <w:rPr>
          <w:rStyle w:val="HideTWBExt"/>
        </w:rPr>
        <w:t>&lt;/Amend&gt;</w:t>
      </w:r>
    </w:p>
    <w:p w14:paraId="63FCC0C5" w14:textId="6CCB7EE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316</w:t>
      </w:r>
      <w:r w:rsidRPr="00CE45E2">
        <w:rPr>
          <w:rStyle w:val="HideTWBExt"/>
          <w:b w:val="0"/>
        </w:rPr>
        <w:t>&lt;/NumAm&gt;</w:t>
      </w:r>
    </w:p>
    <w:p w14:paraId="727C271F"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1FF5BD23" w14:textId="77777777" w:rsidR="00CE45E2" w:rsidRPr="00CE45E2" w:rsidRDefault="00CE45E2" w:rsidP="00CE45E2">
      <w:pPr>
        <w:pStyle w:val="NormalBold"/>
      </w:pPr>
      <w:r w:rsidRPr="00CE45E2">
        <w:rPr>
          <w:rStyle w:val="HideTWBExt"/>
          <w:b w:val="0"/>
        </w:rPr>
        <w:t>&lt;/RepeatBlock-By&gt;</w:t>
      </w:r>
    </w:p>
    <w:p w14:paraId="3165985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1923D64" w14:textId="04693C89"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0249DB8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676A3DA"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384C5ED" w14:textId="77777777" w:rsidTr="006476FB">
        <w:trPr>
          <w:trHeight w:hRule="exact" w:val="240"/>
          <w:jc w:val="center"/>
        </w:trPr>
        <w:tc>
          <w:tcPr>
            <w:tcW w:w="9752" w:type="dxa"/>
            <w:gridSpan w:val="2"/>
            <w:tcBorders>
              <w:top w:val="nil"/>
              <w:left w:val="nil"/>
              <w:bottom w:val="nil"/>
              <w:right w:val="nil"/>
            </w:tcBorders>
          </w:tcPr>
          <w:p w14:paraId="7078C0AE" w14:textId="77777777" w:rsidR="00CE45E2" w:rsidRPr="00CE45E2" w:rsidRDefault="00CE45E2" w:rsidP="006476FB"/>
        </w:tc>
      </w:tr>
      <w:tr w:rsidR="00CE45E2" w:rsidRPr="00CE45E2" w14:paraId="61EC3236" w14:textId="77777777" w:rsidTr="006476FB">
        <w:trPr>
          <w:trHeight w:val="240"/>
          <w:jc w:val="center"/>
        </w:trPr>
        <w:tc>
          <w:tcPr>
            <w:tcW w:w="4876" w:type="dxa"/>
            <w:tcBorders>
              <w:top w:val="nil"/>
              <w:left w:val="nil"/>
              <w:bottom w:val="nil"/>
              <w:right w:val="nil"/>
            </w:tcBorders>
          </w:tcPr>
          <w:p w14:paraId="77A9F28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4DCA38A7" w14:textId="77777777" w:rsidR="00CE45E2" w:rsidRPr="00CE45E2" w:rsidRDefault="00CE45E2" w:rsidP="006476FB">
            <w:pPr>
              <w:pStyle w:val="AmColumnHeading"/>
            </w:pPr>
            <w:r w:rsidRPr="00CE45E2">
              <w:t>Poprawka</w:t>
            </w:r>
          </w:p>
        </w:tc>
      </w:tr>
      <w:tr w:rsidR="00CE45E2" w:rsidRPr="00CE45E2" w14:paraId="620B951B" w14:textId="77777777" w:rsidTr="006476FB">
        <w:trPr>
          <w:jc w:val="center"/>
        </w:trPr>
        <w:tc>
          <w:tcPr>
            <w:tcW w:w="4876" w:type="dxa"/>
            <w:tcBorders>
              <w:top w:val="nil"/>
              <w:left w:val="nil"/>
              <w:bottom w:val="nil"/>
              <w:right w:val="nil"/>
            </w:tcBorders>
          </w:tcPr>
          <w:p w14:paraId="3D4F2FC3"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w:t>
            </w:r>
            <w:r w:rsidRPr="00CE45E2">
              <w:rPr>
                <w:b/>
                <w:bCs/>
                <w:i/>
                <w:iCs/>
              </w:rPr>
              <w:t>uwzględniają w swoich decyzjach inwestycyjnych ryzyka dla zrównoważonego rozwoju zdefiniowane w art. 2 pkt 22 rozporządzenia Parlamentu Europejskiego i Rady (UE) 2019/2088* i w tym celu IORP uwzględniają potencjalny długoterminowy wpływ swojej strategii inwestycyjnej i swoich decyzji inwestycyjnych na czynniki zrównoważonego rozwoju zdefiniowane w art. 2 pkt 24 rozporządzenia (UE) 2019/2088.</w:t>
            </w:r>
            <w:r w:rsidRPr="00CE45E2">
              <w:rPr>
                <w:b/>
                <w:i/>
              </w:rPr>
              <w:t xml:space="preserve"> </w:t>
            </w:r>
            <w:r w:rsidRPr="00CE45E2">
              <w:rPr>
                <w:b/>
                <w:bCs/>
                <w:i/>
                <w:iCs/>
              </w:rPr>
              <w:t>Odbywa się to w sposób proporcjonalny, z uwzględnieniem charakteru, skali i złożoności działalności IORP.”</w:t>
            </w:r>
            <w:r w:rsidRPr="00CE45E2">
              <w:t>;</w:t>
            </w:r>
          </w:p>
        </w:tc>
        <w:tc>
          <w:tcPr>
            <w:tcW w:w="4876" w:type="dxa"/>
            <w:tcBorders>
              <w:top w:val="nil"/>
              <w:left w:val="nil"/>
              <w:bottom w:val="nil"/>
              <w:right w:val="nil"/>
            </w:tcBorders>
          </w:tcPr>
          <w:p w14:paraId="21E82621"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w:t>
            </w:r>
            <w:r w:rsidRPr="00CE45E2">
              <w:rPr>
                <w:b/>
                <w:bCs/>
                <w:i/>
                <w:iCs/>
              </w:rPr>
              <w:t>opierają swoje decyzje inwestycyjne wyłącznie na ocenie ryzyka finansowego oraz na celu maksymalizacji długoterminowych zwrotów skorygowanych o ryzyko, biorąc pod uwagę cykl życia oraz zróżnicowany w zależności od wieku profil ryzyka uczestników i beneficjentów;</w:t>
            </w:r>
          </w:p>
        </w:tc>
      </w:tr>
    </w:tbl>
    <w:p w14:paraId="716413D5"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759C938" w14:textId="77777777" w:rsidR="00CE45E2" w:rsidRPr="00CE45E2" w:rsidRDefault="00CE45E2" w:rsidP="00CE45E2">
      <w:r w:rsidRPr="00CE45E2">
        <w:rPr>
          <w:rStyle w:val="HideTWBExt"/>
        </w:rPr>
        <w:t>&lt;/Amend&gt;</w:t>
      </w:r>
    </w:p>
    <w:p w14:paraId="7B567A9A" w14:textId="4836206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317</w:t>
      </w:r>
      <w:r w:rsidRPr="00CE45E2">
        <w:rPr>
          <w:rStyle w:val="HideTWBExt"/>
          <w:b w:val="0"/>
        </w:rPr>
        <w:t>&lt;/NumAm&gt;</w:t>
      </w:r>
    </w:p>
    <w:p w14:paraId="3FAA7043" w14:textId="77777777" w:rsidR="00CE45E2" w:rsidRPr="00CE45E2" w:rsidRDefault="00CE45E2" w:rsidP="00CE45E2">
      <w:pPr>
        <w:pStyle w:val="NormalBold"/>
      </w:pPr>
      <w:r w:rsidRPr="00CE45E2">
        <w:rPr>
          <w:rStyle w:val="HideTWBExt"/>
          <w:b w:val="0"/>
        </w:rPr>
        <w:t>&lt;RepeatBlock-By&gt;&lt;Members&gt;</w:t>
      </w:r>
      <w:r w:rsidRPr="00CE45E2">
        <w:t xml:space="preserve">Martin </w:t>
      </w:r>
      <w:proofErr w:type="spellStart"/>
      <w:r w:rsidRPr="00CE45E2">
        <w:t>Schirdewan</w:t>
      </w:r>
      <w:proofErr w:type="spellEnd"/>
      <w:r w:rsidRPr="00CE45E2">
        <w:rPr>
          <w:rStyle w:val="HideTWBExt"/>
          <w:b w:val="0"/>
        </w:rPr>
        <w:t>&lt;/Members&gt;</w:t>
      </w:r>
    </w:p>
    <w:p w14:paraId="08A1A02C" w14:textId="77777777" w:rsidR="00CE45E2" w:rsidRPr="00CE45E2" w:rsidRDefault="00CE45E2" w:rsidP="00CE45E2">
      <w:pPr>
        <w:pStyle w:val="NormalBold"/>
      </w:pPr>
      <w:r w:rsidRPr="00CE45E2">
        <w:rPr>
          <w:rStyle w:val="HideTWBExt"/>
          <w:b w:val="0"/>
        </w:rPr>
        <w:t>&lt;/RepeatBlock-By&gt;</w:t>
      </w:r>
    </w:p>
    <w:p w14:paraId="3B8A65B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76C097F" w14:textId="50E823C7"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16B530F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023654B"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CDDF973" w14:textId="77777777" w:rsidTr="006476FB">
        <w:trPr>
          <w:trHeight w:hRule="exact" w:val="240"/>
          <w:jc w:val="center"/>
        </w:trPr>
        <w:tc>
          <w:tcPr>
            <w:tcW w:w="9752" w:type="dxa"/>
            <w:gridSpan w:val="2"/>
            <w:tcBorders>
              <w:top w:val="nil"/>
              <w:left w:val="nil"/>
              <w:bottom w:val="nil"/>
              <w:right w:val="nil"/>
            </w:tcBorders>
          </w:tcPr>
          <w:p w14:paraId="28F1BC9F" w14:textId="77777777" w:rsidR="00CE45E2" w:rsidRPr="00CE45E2" w:rsidRDefault="00CE45E2" w:rsidP="006476FB"/>
        </w:tc>
      </w:tr>
      <w:tr w:rsidR="00CE45E2" w:rsidRPr="00CE45E2" w14:paraId="7CD8CB33" w14:textId="77777777" w:rsidTr="006476FB">
        <w:trPr>
          <w:trHeight w:val="240"/>
          <w:jc w:val="center"/>
        </w:trPr>
        <w:tc>
          <w:tcPr>
            <w:tcW w:w="4876" w:type="dxa"/>
            <w:tcBorders>
              <w:top w:val="nil"/>
              <w:left w:val="nil"/>
              <w:bottom w:val="nil"/>
              <w:right w:val="nil"/>
            </w:tcBorders>
          </w:tcPr>
          <w:p w14:paraId="4AB79AE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0BD6503" w14:textId="77777777" w:rsidR="00CE45E2" w:rsidRPr="00CE45E2" w:rsidRDefault="00CE45E2" w:rsidP="006476FB">
            <w:pPr>
              <w:pStyle w:val="AmColumnHeading"/>
            </w:pPr>
            <w:r w:rsidRPr="00CE45E2">
              <w:t>Poprawka</w:t>
            </w:r>
          </w:p>
        </w:tc>
      </w:tr>
      <w:tr w:rsidR="00CE45E2" w:rsidRPr="00CE45E2" w14:paraId="08E393EF" w14:textId="77777777" w:rsidTr="006476FB">
        <w:trPr>
          <w:jc w:val="center"/>
        </w:trPr>
        <w:tc>
          <w:tcPr>
            <w:tcW w:w="4876" w:type="dxa"/>
            <w:tcBorders>
              <w:top w:val="nil"/>
              <w:left w:val="nil"/>
              <w:bottom w:val="nil"/>
              <w:right w:val="nil"/>
            </w:tcBorders>
          </w:tcPr>
          <w:p w14:paraId="23F85CB1"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w:t>
            </w:r>
            <w:r w:rsidRPr="00CE45E2">
              <w:rPr>
                <w:b/>
                <w:bCs/>
                <w:i/>
                <w:iCs/>
              </w:rPr>
              <w:t>ryzyka dla zrównoważonego rozwoju zdefiniowane w art. 2 pkt 22 rozporządzenia Parlamentu Europejskiego i Rady (UE) 2019/2088* i w tym celu IORP uwzględniają</w:t>
            </w:r>
            <w:r w:rsidRPr="00CE45E2">
              <w:t xml:space="preserve"> potencjalny długoterminowy wpływ</w:t>
            </w:r>
            <w:r w:rsidRPr="00CE45E2">
              <w:rPr>
                <w:b/>
                <w:bCs/>
                <w:i/>
                <w:iCs/>
              </w:rPr>
              <w:t xml:space="preserve"> swojej strategii inwestycyjnej i swoich decyzji inwestycyjnych na czynniki zrównoważonego rozwoju zdefiniowane w art. 2 pkt 24 rozporządzenia (UE) 2019/2088</w:t>
            </w:r>
            <w:r w:rsidRPr="00CE45E2">
              <w:t>. Odbywa się to w sposób proporcjonalny, z uwzględnieniem charakteru, skali i złożoności działalności IORP</w:t>
            </w:r>
            <w:r w:rsidRPr="00CE45E2">
              <w:rPr>
                <w:b/>
                <w:bCs/>
                <w:i/>
                <w:iCs/>
              </w:rPr>
              <w:t>.”</w:t>
            </w:r>
            <w:r w:rsidRPr="00CE45E2">
              <w:t>;</w:t>
            </w:r>
          </w:p>
        </w:tc>
        <w:tc>
          <w:tcPr>
            <w:tcW w:w="4876" w:type="dxa"/>
            <w:tcBorders>
              <w:top w:val="nil"/>
              <w:left w:val="nil"/>
              <w:bottom w:val="nil"/>
              <w:right w:val="nil"/>
            </w:tcBorders>
          </w:tcPr>
          <w:p w14:paraId="0A08A661"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potencjalny długoterminowy wpływ</w:t>
            </w:r>
            <w:r w:rsidRPr="00CE45E2">
              <w:rPr>
                <w:b/>
                <w:bCs/>
                <w:i/>
                <w:iCs/>
              </w:rPr>
              <w:t xml:space="preserve"> decyzji inwestycyjnych na czynniki środowiskowe, społeczne i związane z ładem korporacyjnym, w szczególności niekorzystny wpływ na zrównoważony rozwój, oraz ryzyko związane ze zrównoważonym rozwojem</w:t>
            </w:r>
            <w:r w:rsidRPr="00CE45E2">
              <w:t>. Odbywa się to w sposób proporcjonalny, z uwzględnieniem charakteru, skali i złożoności działalności IORP;</w:t>
            </w:r>
          </w:p>
        </w:tc>
      </w:tr>
    </w:tbl>
    <w:p w14:paraId="1DAEF03F"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B43721C" w14:textId="77777777" w:rsidR="00CE45E2" w:rsidRPr="00CE45E2" w:rsidRDefault="00CE45E2" w:rsidP="00CE45E2">
      <w:r w:rsidRPr="00CE45E2">
        <w:rPr>
          <w:rStyle w:val="HideTWBExt"/>
        </w:rPr>
        <w:t>&lt;/Amend&gt;</w:t>
      </w:r>
    </w:p>
    <w:p w14:paraId="3CC08349" w14:textId="57B029B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318</w:t>
      </w:r>
      <w:r w:rsidRPr="00CE45E2">
        <w:rPr>
          <w:rStyle w:val="HideTWBExt"/>
          <w:b w:val="0"/>
        </w:rPr>
        <w:t>&lt;/NumAm&gt;</w:t>
      </w:r>
    </w:p>
    <w:p w14:paraId="40794F73"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08E9D702" w14:textId="77777777" w:rsidR="00CE45E2" w:rsidRPr="00CE45E2" w:rsidRDefault="00CE45E2" w:rsidP="00CE45E2">
      <w:pPr>
        <w:pStyle w:val="NormalBold"/>
      </w:pPr>
      <w:r w:rsidRPr="00CE45E2">
        <w:rPr>
          <w:rStyle w:val="HideTWBExt"/>
          <w:b w:val="0"/>
        </w:rPr>
        <w:t>&lt;/RepeatBlock-By&gt;</w:t>
      </w:r>
    </w:p>
    <w:p w14:paraId="0DEA0E3E"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73121EF" w14:textId="2EEEA48E"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62EFBD9E"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24A308A"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6F4E1D54" w14:textId="77777777" w:rsidTr="006476FB">
        <w:trPr>
          <w:trHeight w:hRule="exact" w:val="240"/>
          <w:jc w:val="center"/>
        </w:trPr>
        <w:tc>
          <w:tcPr>
            <w:tcW w:w="9752" w:type="dxa"/>
            <w:gridSpan w:val="2"/>
            <w:tcBorders>
              <w:top w:val="nil"/>
              <w:left w:val="nil"/>
              <w:bottom w:val="nil"/>
              <w:right w:val="nil"/>
            </w:tcBorders>
          </w:tcPr>
          <w:p w14:paraId="1334E551" w14:textId="77777777" w:rsidR="00CE45E2" w:rsidRPr="00CE45E2" w:rsidRDefault="00CE45E2" w:rsidP="006476FB"/>
        </w:tc>
      </w:tr>
      <w:tr w:rsidR="00CE45E2" w:rsidRPr="00CE45E2" w14:paraId="7F867519" w14:textId="77777777" w:rsidTr="006476FB">
        <w:trPr>
          <w:trHeight w:val="240"/>
          <w:jc w:val="center"/>
        </w:trPr>
        <w:tc>
          <w:tcPr>
            <w:tcW w:w="4876" w:type="dxa"/>
            <w:tcBorders>
              <w:top w:val="nil"/>
              <w:left w:val="nil"/>
              <w:bottom w:val="nil"/>
              <w:right w:val="nil"/>
            </w:tcBorders>
          </w:tcPr>
          <w:p w14:paraId="22C8159B"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0F198F9" w14:textId="77777777" w:rsidR="00CE45E2" w:rsidRPr="00CE45E2" w:rsidRDefault="00CE45E2" w:rsidP="006476FB">
            <w:pPr>
              <w:pStyle w:val="AmColumnHeading"/>
            </w:pPr>
            <w:r w:rsidRPr="00CE45E2">
              <w:t>Poprawka</w:t>
            </w:r>
          </w:p>
        </w:tc>
      </w:tr>
      <w:tr w:rsidR="00CE45E2" w:rsidRPr="00CE45E2" w14:paraId="7D9EDDA1" w14:textId="77777777" w:rsidTr="006476FB">
        <w:trPr>
          <w:jc w:val="center"/>
        </w:trPr>
        <w:tc>
          <w:tcPr>
            <w:tcW w:w="4876" w:type="dxa"/>
            <w:tcBorders>
              <w:top w:val="nil"/>
              <w:left w:val="nil"/>
              <w:bottom w:val="nil"/>
              <w:right w:val="nil"/>
            </w:tcBorders>
          </w:tcPr>
          <w:p w14:paraId="64474EF8"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ryzyka dla zrównoważonego rozwoju zdefiniowane w art. 2 pkt 22 rozporządzenia Parlamentu Europejskiego i Rady (UE) 2019/2088*</w:t>
            </w:r>
            <w:r w:rsidRPr="00CE45E2">
              <w:rPr>
                <w:b/>
                <w:bCs/>
                <w:i/>
                <w:iCs/>
              </w:rPr>
              <w:t xml:space="preserve"> i w tym celu IORP uwzględniają potencjalny długoterminowy wpływ swojej strategii inwestycyjnej i swoich decyzji inwestycyjnych na czynniki zrównoważonego rozwoju zdefiniowane w art. 2 pkt 24 rozporządzenia (UE) 2019/2088</w:t>
            </w:r>
            <w:r w:rsidRPr="00CE45E2">
              <w:t>. Odbywa się to w sposób proporcjonalny, z uwzględnieniem charakteru, skali i złożoności działalności IORP.”;</w:t>
            </w:r>
          </w:p>
        </w:tc>
        <w:tc>
          <w:tcPr>
            <w:tcW w:w="4876" w:type="dxa"/>
            <w:tcBorders>
              <w:top w:val="nil"/>
              <w:left w:val="nil"/>
              <w:bottom w:val="nil"/>
              <w:right w:val="nil"/>
            </w:tcBorders>
          </w:tcPr>
          <w:p w14:paraId="1EAD68EC"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ryzyka dla zrównoważonego rozwoju zdefiniowane w art. 2 pkt 22 rozporządzenia Parlamentu Europejskiego i Rady (UE) 2019/2088*</w:t>
            </w:r>
            <w:r w:rsidRPr="00CE45E2">
              <w:rPr>
                <w:b/>
                <w:bCs/>
                <w:i/>
                <w:iCs/>
              </w:rPr>
              <w:t>, gdy ryzyka te mają istotne skutki finansowe dla wartości ich aktywów, charakteru i czasu trwania ich zobowiązań oraz długoterminowych interesów uczestników i beneficjentów.</w:t>
            </w:r>
            <w:r w:rsidRPr="00CE45E2">
              <w:rPr>
                <w:b/>
                <w:i/>
              </w:rPr>
              <w:t xml:space="preserve"> </w:t>
            </w:r>
            <w:r w:rsidRPr="00CE45E2">
              <w:rPr>
                <w:b/>
                <w:bCs/>
                <w:i/>
                <w:iCs/>
              </w:rPr>
              <w:t>Ryzyka te mogą obejmować, w stosownych przypadkach, ryzyko obniżenia wartości aktywów wynikające ze zmian regulacyjnych lub innych zmian rynkowych związanych ze zrównoważonym rozwojem</w:t>
            </w:r>
            <w:r w:rsidRPr="00CE45E2">
              <w:t>. Odbywa się to w sposób proporcjonalny, z uwzględnieniem charakteru, skali i złożoności działalności IORP.”;</w:t>
            </w:r>
          </w:p>
        </w:tc>
      </w:tr>
    </w:tbl>
    <w:p w14:paraId="52A956A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456E5DE5" w14:textId="77777777" w:rsidR="00CE45E2" w:rsidRPr="00CE45E2" w:rsidRDefault="00CE45E2" w:rsidP="00CE45E2">
      <w:r w:rsidRPr="00CE45E2">
        <w:rPr>
          <w:rStyle w:val="HideTWBExt"/>
        </w:rPr>
        <w:t>&lt;/Amend&gt;</w:t>
      </w:r>
    </w:p>
    <w:p w14:paraId="40F61A3C" w14:textId="7C16A2D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319</w:t>
      </w:r>
      <w:r w:rsidRPr="00CE45E2">
        <w:rPr>
          <w:rStyle w:val="HideTWBExt"/>
          <w:b w:val="0"/>
        </w:rPr>
        <w:t>&lt;/NumAm&gt;</w:t>
      </w:r>
    </w:p>
    <w:p w14:paraId="3C593CAD"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46797A43" w14:textId="77777777" w:rsidR="00CE45E2" w:rsidRPr="00CE45E2" w:rsidRDefault="00CE45E2" w:rsidP="00CE45E2">
      <w:pPr>
        <w:pStyle w:val="NormalBold"/>
      </w:pPr>
      <w:r w:rsidRPr="00CE45E2">
        <w:rPr>
          <w:rStyle w:val="HideTWBExt"/>
          <w:b w:val="0"/>
        </w:rPr>
        <w:t>&lt;/RepeatBlock-By&gt;</w:t>
      </w:r>
    </w:p>
    <w:p w14:paraId="3D5425C5"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039D0B4" w14:textId="6AED5300"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250876F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50C79E18"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DE4A915" w14:textId="77777777" w:rsidTr="006476FB">
        <w:trPr>
          <w:trHeight w:hRule="exact" w:val="240"/>
          <w:jc w:val="center"/>
        </w:trPr>
        <w:tc>
          <w:tcPr>
            <w:tcW w:w="9752" w:type="dxa"/>
            <w:gridSpan w:val="2"/>
            <w:tcBorders>
              <w:top w:val="nil"/>
              <w:left w:val="nil"/>
              <w:bottom w:val="nil"/>
              <w:right w:val="nil"/>
            </w:tcBorders>
          </w:tcPr>
          <w:p w14:paraId="1508CE72" w14:textId="77777777" w:rsidR="00CE45E2" w:rsidRPr="00CE45E2" w:rsidRDefault="00CE45E2" w:rsidP="006476FB"/>
        </w:tc>
      </w:tr>
      <w:tr w:rsidR="00CE45E2" w:rsidRPr="00CE45E2" w14:paraId="1E3D11A2" w14:textId="77777777" w:rsidTr="006476FB">
        <w:trPr>
          <w:trHeight w:val="240"/>
          <w:jc w:val="center"/>
        </w:trPr>
        <w:tc>
          <w:tcPr>
            <w:tcW w:w="4876" w:type="dxa"/>
            <w:tcBorders>
              <w:top w:val="nil"/>
              <w:left w:val="nil"/>
              <w:bottom w:val="nil"/>
              <w:right w:val="nil"/>
            </w:tcBorders>
          </w:tcPr>
          <w:p w14:paraId="183750E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D27E306" w14:textId="77777777" w:rsidR="00CE45E2" w:rsidRPr="00CE45E2" w:rsidRDefault="00CE45E2" w:rsidP="006476FB">
            <w:pPr>
              <w:pStyle w:val="AmColumnHeading"/>
            </w:pPr>
            <w:r w:rsidRPr="00CE45E2">
              <w:t>Poprawka</w:t>
            </w:r>
          </w:p>
        </w:tc>
      </w:tr>
      <w:tr w:rsidR="00CE45E2" w:rsidRPr="00CE45E2" w14:paraId="67B9E184" w14:textId="77777777" w:rsidTr="006476FB">
        <w:trPr>
          <w:jc w:val="center"/>
        </w:trPr>
        <w:tc>
          <w:tcPr>
            <w:tcW w:w="4876" w:type="dxa"/>
            <w:tcBorders>
              <w:top w:val="nil"/>
              <w:left w:val="nil"/>
              <w:bottom w:val="nil"/>
              <w:right w:val="nil"/>
            </w:tcBorders>
          </w:tcPr>
          <w:p w14:paraId="27DA2D06"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ryzyka dla zrównoważonego rozwoju </w:t>
            </w:r>
            <w:r w:rsidRPr="00CE45E2">
              <w:rPr>
                <w:b/>
                <w:bCs/>
                <w:i/>
                <w:iCs/>
              </w:rPr>
              <w:t>zdefiniowane w art. 2 pkt 22 rozporządzenia Parlamentu Europejskiego i Rady (UE) 2019/2088*</w:t>
            </w:r>
            <w:r w:rsidRPr="00CE45E2">
              <w:t xml:space="preserve"> i w tym celu IORP uwzględniają potencjalny długoterminowy wpływ swojej strategii inwestycyjnej i swoich decyzji inwestycyjnych na czynniki zrównoważonego rozwoju </w:t>
            </w:r>
            <w:r w:rsidRPr="00CE45E2">
              <w:rPr>
                <w:b/>
                <w:bCs/>
                <w:i/>
                <w:iCs/>
              </w:rPr>
              <w:t>zdefiniowane w art. 2 pkt 24 rozporządzenia (UE) 2019/2088</w:t>
            </w:r>
            <w:r w:rsidRPr="00CE45E2">
              <w:t>. Odbywa się to w sposób proporcjonalny, z uwzględnieniem charakteru, skali i złożoności działalności IORP.”;</w:t>
            </w:r>
          </w:p>
        </w:tc>
        <w:tc>
          <w:tcPr>
            <w:tcW w:w="4876" w:type="dxa"/>
            <w:tcBorders>
              <w:top w:val="nil"/>
              <w:left w:val="nil"/>
              <w:bottom w:val="nil"/>
              <w:right w:val="nil"/>
            </w:tcBorders>
          </w:tcPr>
          <w:p w14:paraId="77FE095B"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w:t>
            </w:r>
            <w:r w:rsidRPr="00CE45E2">
              <w:rPr>
                <w:b/>
                <w:bCs/>
                <w:i/>
                <w:iCs/>
              </w:rPr>
              <w:t>systematyczne, złożone i długoterminowe</w:t>
            </w:r>
            <w:r w:rsidRPr="00CE45E2">
              <w:t xml:space="preserve"> ryzyka dla zrównoważonego rozwoju</w:t>
            </w:r>
            <w:r w:rsidRPr="00CE45E2">
              <w:rPr>
                <w:b/>
                <w:bCs/>
                <w:i/>
                <w:iCs/>
              </w:rPr>
              <w:t>, a także ich skumulowane skutki,</w:t>
            </w:r>
            <w:r w:rsidRPr="00CE45E2">
              <w:t xml:space="preserve"> i w tym celu IORP uwzględniają potencjalny długoterminowy wpływ swojej strategii inwestycyjnej i swoich decyzji inwestycyjnych na</w:t>
            </w:r>
            <w:r w:rsidRPr="00CE45E2">
              <w:rPr>
                <w:b/>
                <w:bCs/>
                <w:i/>
                <w:iCs/>
              </w:rPr>
              <w:t xml:space="preserve"> oparte na naukowych podstawach</w:t>
            </w:r>
            <w:r w:rsidRPr="00CE45E2">
              <w:t xml:space="preserve"> czynniki zrównoważonego rozwoju. Odbywa się to w sposób proporcjonalny, z uwzględnieniem charakteru, skali i złożoności działalności IORP.”;</w:t>
            </w:r>
          </w:p>
        </w:tc>
      </w:tr>
    </w:tbl>
    <w:p w14:paraId="610D6FB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B840630" w14:textId="77777777" w:rsidR="00CE45E2" w:rsidRPr="00CE45E2" w:rsidRDefault="00CE45E2" w:rsidP="00CE45E2">
      <w:r w:rsidRPr="00CE45E2">
        <w:rPr>
          <w:rStyle w:val="HideTWBExt"/>
        </w:rPr>
        <w:t>&lt;/Amend&gt;</w:t>
      </w:r>
    </w:p>
    <w:p w14:paraId="1700A044" w14:textId="248AEFEA"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320</w:t>
      </w:r>
      <w:r w:rsidRPr="00CE45E2">
        <w:rPr>
          <w:rStyle w:val="HideTWBExt"/>
          <w:b w:val="0"/>
        </w:rPr>
        <w:t>&lt;/NumAm&gt;</w:t>
      </w:r>
    </w:p>
    <w:p w14:paraId="0E111544"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40698CE6" w14:textId="77777777" w:rsidR="00CE45E2" w:rsidRPr="00CE45E2" w:rsidRDefault="00CE45E2" w:rsidP="00CE45E2">
      <w:pPr>
        <w:pStyle w:val="NormalBold"/>
      </w:pPr>
      <w:r w:rsidRPr="00CE45E2">
        <w:rPr>
          <w:rStyle w:val="HideTWBExt"/>
          <w:b w:val="0"/>
        </w:rPr>
        <w:t>&lt;/RepeatBlock-By&gt;</w:t>
      </w:r>
    </w:p>
    <w:p w14:paraId="2C4F1A1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1A7AEBA" w14:textId="73DDEE0C"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48E70A6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2863255"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EDC2389" w14:textId="77777777" w:rsidTr="006476FB">
        <w:trPr>
          <w:trHeight w:hRule="exact" w:val="240"/>
          <w:jc w:val="center"/>
        </w:trPr>
        <w:tc>
          <w:tcPr>
            <w:tcW w:w="9752" w:type="dxa"/>
            <w:gridSpan w:val="2"/>
            <w:tcBorders>
              <w:top w:val="nil"/>
              <w:left w:val="nil"/>
              <w:bottom w:val="nil"/>
              <w:right w:val="nil"/>
            </w:tcBorders>
          </w:tcPr>
          <w:p w14:paraId="5145D3D3" w14:textId="77777777" w:rsidR="00CE45E2" w:rsidRPr="00CE45E2" w:rsidRDefault="00CE45E2" w:rsidP="006476FB"/>
        </w:tc>
      </w:tr>
      <w:tr w:rsidR="00CE45E2" w:rsidRPr="00CE45E2" w14:paraId="58073402" w14:textId="77777777" w:rsidTr="006476FB">
        <w:trPr>
          <w:trHeight w:val="240"/>
          <w:jc w:val="center"/>
        </w:trPr>
        <w:tc>
          <w:tcPr>
            <w:tcW w:w="4876" w:type="dxa"/>
            <w:tcBorders>
              <w:top w:val="nil"/>
              <w:left w:val="nil"/>
              <w:bottom w:val="nil"/>
              <w:right w:val="nil"/>
            </w:tcBorders>
          </w:tcPr>
          <w:p w14:paraId="5E4C2F76"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BC5A2E7" w14:textId="77777777" w:rsidR="00CE45E2" w:rsidRPr="00CE45E2" w:rsidRDefault="00CE45E2" w:rsidP="006476FB">
            <w:pPr>
              <w:pStyle w:val="AmColumnHeading"/>
            </w:pPr>
            <w:r w:rsidRPr="00CE45E2">
              <w:t>Poprawka</w:t>
            </w:r>
          </w:p>
        </w:tc>
      </w:tr>
      <w:tr w:rsidR="00CE45E2" w:rsidRPr="00CE45E2" w14:paraId="23BF03E5" w14:textId="77777777" w:rsidTr="006476FB">
        <w:trPr>
          <w:jc w:val="center"/>
        </w:trPr>
        <w:tc>
          <w:tcPr>
            <w:tcW w:w="4876" w:type="dxa"/>
            <w:tcBorders>
              <w:top w:val="nil"/>
              <w:left w:val="nil"/>
              <w:bottom w:val="nil"/>
              <w:right w:val="nil"/>
            </w:tcBorders>
          </w:tcPr>
          <w:p w14:paraId="2763247E"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w:t>
            </w:r>
            <w:r w:rsidRPr="00CE45E2">
              <w:rPr>
                <w:b/>
                <w:bCs/>
                <w:i/>
                <w:iCs/>
              </w:rPr>
              <w:t xml:space="preserve"> ryzyka dla zrównoważonego rozwoju zdefiniowane w art. 2 pkt 22 rozporządzenia Parlamentu Europejskiego i Rady (UE) 2019/2088*</w:t>
            </w:r>
            <w:r w:rsidRPr="00CE45E2">
              <w:t xml:space="preserve"> i w tym celu IORP uwzględniają potencjalny długoterminowy wpływ swojej strategii inwestycyjnej i swoich decyzji inwestycyjnych na czynniki </w:t>
            </w:r>
            <w:r w:rsidRPr="00CE45E2">
              <w:rPr>
                <w:b/>
                <w:bCs/>
                <w:i/>
                <w:iCs/>
              </w:rPr>
              <w:t>zrównoważonego rozwoju zdefiniowane w art. 2 pkt 24 rozporządzenia (UE) 2019/2088</w:t>
            </w:r>
            <w:r w:rsidRPr="00CE45E2">
              <w:t>. Odbywa się to w sposób proporcjonalny, z uwzględnieniem charakteru, skali i złożoności działalności IORP.</w:t>
            </w:r>
            <w:r w:rsidRPr="00CE45E2">
              <w:rPr>
                <w:b/>
                <w:bCs/>
                <w:i/>
                <w:iCs/>
              </w:rPr>
              <w:t>”;</w:t>
            </w:r>
          </w:p>
        </w:tc>
        <w:tc>
          <w:tcPr>
            <w:tcW w:w="4876" w:type="dxa"/>
            <w:tcBorders>
              <w:top w:val="nil"/>
              <w:left w:val="nil"/>
              <w:bottom w:val="nil"/>
              <w:right w:val="nil"/>
            </w:tcBorders>
          </w:tcPr>
          <w:p w14:paraId="217BC19A" w14:textId="77777777" w:rsidR="00CE45E2" w:rsidRPr="00CE45E2" w:rsidRDefault="00CE45E2" w:rsidP="006476FB">
            <w:pPr>
              <w:pStyle w:val="Normal6a"/>
            </w:pPr>
            <w:r w:rsidRPr="00CE45E2">
              <w:t>b)</w:t>
            </w:r>
            <w:r w:rsidRPr="00CE45E2">
              <w:tab/>
            </w:r>
            <w:r w:rsidRPr="00CE45E2">
              <w:rPr>
                <w:b/>
                <w:bCs/>
                <w:i/>
                <w:iCs/>
              </w:rPr>
              <w:t>a)</w:t>
            </w:r>
            <w:r w:rsidRPr="00CE45E2">
              <w:t xml:space="preserve"> w myśl </w:t>
            </w:r>
            <w:proofErr w:type="gramStart"/>
            <w:r w:rsidRPr="00CE45E2">
              <w:t>zasady »ostrożnego</w:t>
            </w:r>
            <w:proofErr w:type="gramEnd"/>
            <w:r w:rsidRPr="00CE45E2">
              <w:t xml:space="preserve"> inwestora« IORP uwzględniają w swoich decyzjach inwestycyjnych</w:t>
            </w:r>
            <w:r w:rsidRPr="00CE45E2">
              <w:rPr>
                <w:b/>
                <w:bCs/>
                <w:i/>
                <w:iCs/>
              </w:rPr>
              <w:t xml:space="preserve"> wpływ na zrównoważony rozwój</w:t>
            </w:r>
            <w:r w:rsidRPr="00CE45E2">
              <w:t xml:space="preserve"> i w tym celu IORP uwzględniają potencjalny długoterminowy wpływ swojej strategii inwestycyjnej i swoich decyzji inwestycyjnych na czynniki </w:t>
            </w:r>
            <w:r w:rsidRPr="00CE45E2">
              <w:rPr>
                <w:b/>
                <w:bCs/>
                <w:i/>
                <w:iCs/>
              </w:rPr>
              <w:t>środowiskowe, społeczne i związane z ładem korporacyjnym</w:t>
            </w:r>
            <w:r w:rsidRPr="00CE45E2">
              <w:t>. Odbywa się to w sposób proporcjonalny, z uwzględnieniem charakteru</w:t>
            </w:r>
            <w:r w:rsidRPr="00CE45E2">
              <w:rPr>
                <w:b/>
                <w:bCs/>
                <w:i/>
                <w:iCs/>
              </w:rPr>
              <w:t>, ryzyka</w:t>
            </w:r>
            <w:r w:rsidRPr="00CE45E2">
              <w:t xml:space="preserve">, skali i złożoności działalności IORP; </w:t>
            </w:r>
            <w:r w:rsidRPr="00CE45E2">
              <w:rPr>
                <w:b/>
                <w:i/>
              </w:rPr>
              <w:t>Ryzyko i czynniki związane ze zrównoważonym rozwojem można stosować zgodnie z definicją zawartą w rozporządzeniu (UE) 2019/2088.</w:t>
            </w:r>
          </w:p>
        </w:tc>
      </w:tr>
    </w:tbl>
    <w:p w14:paraId="72051E9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49735BC0"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6993A6F2" w14:textId="77777777" w:rsidR="00CE45E2" w:rsidRPr="00CE45E2" w:rsidRDefault="00CE45E2" w:rsidP="00CE45E2">
      <w:pPr>
        <w:pStyle w:val="AmJustText"/>
      </w:pPr>
      <w:r w:rsidRPr="00CE45E2">
        <w:t xml:space="preserve">As the SFDR </w:t>
      </w:r>
      <w:proofErr w:type="spellStart"/>
      <w:r w:rsidRPr="00CE45E2">
        <w:t>is</w:t>
      </w:r>
      <w:proofErr w:type="spellEnd"/>
      <w:r w:rsidRPr="00CE45E2">
        <w:t xml:space="preserve"> </w:t>
      </w:r>
      <w:proofErr w:type="spellStart"/>
      <w:r w:rsidRPr="00CE45E2">
        <w:t>currently</w:t>
      </w:r>
      <w:proofErr w:type="spellEnd"/>
      <w:r w:rsidRPr="00CE45E2">
        <w:t xml:space="preserve"> </w:t>
      </w:r>
      <w:proofErr w:type="spellStart"/>
      <w:r w:rsidRPr="00CE45E2">
        <w:t>being</w:t>
      </w:r>
      <w:proofErr w:type="spellEnd"/>
      <w:r w:rsidRPr="00CE45E2">
        <w:t xml:space="preserve"> </w:t>
      </w:r>
      <w:proofErr w:type="spellStart"/>
      <w:r w:rsidRPr="00CE45E2">
        <w:t>reviewed</w:t>
      </w:r>
      <w:proofErr w:type="spellEnd"/>
      <w:r w:rsidRPr="00CE45E2">
        <w:t xml:space="preserve">, </w:t>
      </w:r>
      <w:proofErr w:type="spellStart"/>
      <w:r w:rsidRPr="00CE45E2">
        <w:t>it</w:t>
      </w:r>
      <w:proofErr w:type="spellEnd"/>
      <w:r w:rsidRPr="00CE45E2">
        <w:t xml:space="preserve"> </w:t>
      </w:r>
      <w:proofErr w:type="spellStart"/>
      <w:r w:rsidRPr="00CE45E2">
        <w:t>would</w:t>
      </w:r>
      <w:proofErr w:type="spellEnd"/>
      <w:r w:rsidRPr="00CE45E2">
        <w:t xml:space="preserve"> be </w:t>
      </w:r>
      <w:proofErr w:type="spellStart"/>
      <w:r w:rsidRPr="00CE45E2">
        <w:t>risky</w:t>
      </w:r>
      <w:proofErr w:type="spellEnd"/>
      <w:r w:rsidRPr="00CE45E2">
        <w:t xml:space="preserve"> to </w:t>
      </w:r>
      <w:proofErr w:type="spellStart"/>
      <w:r w:rsidRPr="00CE45E2">
        <w:t>completely</w:t>
      </w:r>
      <w:proofErr w:type="spellEnd"/>
      <w:r w:rsidRPr="00CE45E2">
        <w:t xml:space="preserve"> link the </w:t>
      </w:r>
      <w:proofErr w:type="spellStart"/>
      <w:r w:rsidRPr="00CE45E2">
        <w:t>concepts</w:t>
      </w:r>
      <w:proofErr w:type="spellEnd"/>
      <w:r w:rsidRPr="00CE45E2">
        <w:t xml:space="preserve"> of </w:t>
      </w:r>
      <w:proofErr w:type="spellStart"/>
      <w:r w:rsidRPr="00CE45E2">
        <w:t>sustainability</w:t>
      </w:r>
      <w:proofErr w:type="spellEnd"/>
      <w:r w:rsidRPr="00CE45E2">
        <w:t xml:space="preserve"> </w:t>
      </w:r>
      <w:proofErr w:type="spellStart"/>
      <w:r w:rsidRPr="00CE45E2">
        <w:t>risk</w:t>
      </w:r>
      <w:proofErr w:type="spellEnd"/>
      <w:r w:rsidRPr="00CE45E2">
        <w:t xml:space="preserve"> and </w:t>
      </w:r>
      <w:proofErr w:type="spellStart"/>
      <w:r w:rsidRPr="00CE45E2">
        <w:t>sustainability</w:t>
      </w:r>
      <w:proofErr w:type="spellEnd"/>
      <w:r w:rsidRPr="00CE45E2">
        <w:t xml:space="preserve"> </w:t>
      </w:r>
      <w:proofErr w:type="spellStart"/>
      <w:r w:rsidRPr="00CE45E2">
        <w:t>factors</w:t>
      </w:r>
      <w:proofErr w:type="spellEnd"/>
      <w:r w:rsidRPr="00CE45E2">
        <w:t xml:space="preserve"> to </w:t>
      </w:r>
      <w:proofErr w:type="spellStart"/>
      <w:r w:rsidRPr="00CE45E2">
        <w:t>this</w:t>
      </w:r>
      <w:proofErr w:type="spellEnd"/>
      <w:r w:rsidRPr="00CE45E2">
        <w:t xml:space="preserve"> </w:t>
      </w:r>
      <w:proofErr w:type="spellStart"/>
      <w:r w:rsidRPr="00CE45E2">
        <w:t>regulation</w:t>
      </w:r>
      <w:proofErr w:type="spellEnd"/>
      <w:r w:rsidRPr="00CE45E2">
        <w:t xml:space="preserve"> </w:t>
      </w:r>
      <w:proofErr w:type="spellStart"/>
      <w:r w:rsidRPr="00CE45E2">
        <w:t>without</w:t>
      </w:r>
      <w:proofErr w:type="spellEnd"/>
      <w:r w:rsidRPr="00CE45E2">
        <w:t xml:space="preserve"> </w:t>
      </w:r>
      <w:proofErr w:type="spellStart"/>
      <w:r w:rsidRPr="00CE45E2">
        <w:t>knowing</w:t>
      </w:r>
      <w:proofErr w:type="spellEnd"/>
      <w:r w:rsidRPr="00CE45E2">
        <w:t xml:space="preserve"> the </w:t>
      </w:r>
      <w:proofErr w:type="spellStart"/>
      <w:r w:rsidRPr="00CE45E2">
        <w:t>final</w:t>
      </w:r>
      <w:proofErr w:type="spellEnd"/>
      <w:r w:rsidRPr="00CE45E2">
        <w:t xml:space="preserve"> </w:t>
      </w:r>
      <w:proofErr w:type="spellStart"/>
      <w:r w:rsidRPr="00CE45E2">
        <w:t>outcome</w:t>
      </w:r>
      <w:proofErr w:type="spellEnd"/>
      <w:r w:rsidRPr="00CE45E2">
        <w:t xml:space="preserve">. In </w:t>
      </w:r>
      <w:proofErr w:type="spellStart"/>
      <w:r w:rsidRPr="00CE45E2">
        <w:t>addition</w:t>
      </w:r>
      <w:proofErr w:type="spellEnd"/>
      <w:r w:rsidRPr="00CE45E2">
        <w:t xml:space="preserve">, </w:t>
      </w:r>
      <w:proofErr w:type="spellStart"/>
      <w:r w:rsidRPr="00CE45E2">
        <w:t>IORPs</w:t>
      </w:r>
      <w:proofErr w:type="spellEnd"/>
      <w:r w:rsidRPr="00CE45E2">
        <w:t xml:space="preserve"> </w:t>
      </w:r>
      <w:proofErr w:type="spellStart"/>
      <w:r w:rsidRPr="00CE45E2">
        <w:t>are</w:t>
      </w:r>
      <w:proofErr w:type="spellEnd"/>
      <w:r w:rsidRPr="00CE45E2">
        <w:t xml:space="preserve"> not </w:t>
      </w:r>
      <w:proofErr w:type="spellStart"/>
      <w:r w:rsidRPr="00CE45E2">
        <w:t>ordinary</w:t>
      </w:r>
      <w:proofErr w:type="spellEnd"/>
      <w:r w:rsidRPr="00CE45E2">
        <w:t xml:space="preserve"> </w:t>
      </w:r>
      <w:proofErr w:type="spellStart"/>
      <w:r w:rsidRPr="00CE45E2">
        <w:t>financial</w:t>
      </w:r>
      <w:proofErr w:type="spellEnd"/>
      <w:r w:rsidRPr="00CE45E2">
        <w:t xml:space="preserve"> market </w:t>
      </w:r>
      <w:proofErr w:type="spellStart"/>
      <w:r w:rsidRPr="00CE45E2">
        <w:t>participants</w:t>
      </w:r>
      <w:proofErr w:type="spellEnd"/>
      <w:r w:rsidRPr="00CE45E2">
        <w:t xml:space="preserve"> as </w:t>
      </w:r>
      <w:proofErr w:type="spellStart"/>
      <w:r w:rsidRPr="00CE45E2">
        <w:t>intended</w:t>
      </w:r>
      <w:proofErr w:type="spellEnd"/>
      <w:r w:rsidRPr="00CE45E2">
        <w:t xml:space="preserve"> </w:t>
      </w:r>
      <w:proofErr w:type="spellStart"/>
      <w:r w:rsidRPr="00CE45E2">
        <w:t>under</w:t>
      </w:r>
      <w:proofErr w:type="spellEnd"/>
      <w:r w:rsidRPr="00CE45E2">
        <w:t xml:space="preserve"> the SFDR, </w:t>
      </w:r>
      <w:proofErr w:type="spellStart"/>
      <w:r w:rsidRPr="00CE45E2">
        <w:t>offering</w:t>
      </w:r>
      <w:proofErr w:type="spellEnd"/>
      <w:r w:rsidRPr="00CE45E2">
        <w:t xml:space="preserve"> </w:t>
      </w:r>
      <w:proofErr w:type="spellStart"/>
      <w:r w:rsidRPr="00CE45E2">
        <w:t>financial</w:t>
      </w:r>
      <w:proofErr w:type="spellEnd"/>
      <w:r w:rsidRPr="00CE45E2">
        <w:t xml:space="preserve"> products to </w:t>
      </w:r>
      <w:proofErr w:type="spellStart"/>
      <w:r w:rsidRPr="00CE45E2">
        <w:t>investors</w:t>
      </w:r>
      <w:proofErr w:type="spellEnd"/>
      <w:r w:rsidRPr="00CE45E2">
        <w:t xml:space="preserve">. The </w:t>
      </w:r>
      <w:proofErr w:type="spellStart"/>
      <w:r w:rsidRPr="00CE45E2">
        <w:t>members</w:t>
      </w:r>
      <w:proofErr w:type="spellEnd"/>
      <w:r w:rsidRPr="00CE45E2">
        <w:t xml:space="preserve"> of </w:t>
      </w:r>
      <w:proofErr w:type="spellStart"/>
      <w:r w:rsidRPr="00CE45E2">
        <w:t>an</w:t>
      </w:r>
      <w:proofErr w:type="spellEnd"/>
      <w:r w:rsidRPr="00CE45E2">
        <w:t xml:space="preserve"> IORP in </w:t>
      </w:r>
      <w:proofErr w:type="spellStart"/>
      <w:r w:rsidRPr="00CE45E2">
        <w:t>many</w:t>
      </w:r>
      <w:proofErr w:type="spellEnd"/>
      <w:r w:rsidRPr="00CE45E2">
        <w:t xml:space="preserve"> </w:t>
      </w:r>
      <w:proofErr w:type="spellStart"/>
      <w:r w:rsidRPr="00CE45E2">
        <w:t>cases</w:t>
      </w:r>
      <w:proofErr w:type="spellEnd"/>
      <w:r w:rsidRPr="00CE45E2">
        <w:t xml:space="preserve"> do not </w:t>
      </w:r>
      <w:proofErr w:type="spellStart"/>
      <w:r w:rsidRPr="00CE45E2">
        <w:t>have</w:t>
      </w:r>
      <w:proofErr w:type="spellEnd"/>
      <w:r w:rsidRPr="00CE45E2">
        <w:t xml:space="preserve"> a choice, for </w:t>
      </w:r>
      <w:proofErr w:type="spellStart"/>
      <w:r w:rsidRPr="00CE45E2">
        <w:t>example</w:t>
      </w:r>
      <w:proofErr w:type="spellEnd"/>
      <w:r w:rsidRPr="00CE45E2">
        <w:t xml:space="preserve"> in the </w:t>
      </w:r>
      <w:proofErr w:type="spellStart"/>
      <w:r w:rsidRPr="00CE45E2">
        <w:t>case</w:t>
      </w:r>
      <w:proofErr w:type="spellEnd"/>
      <w:r w:rsidRPr="00CE45E2">
        <w:t xml:space="preserve"> of auto-</w:t>
      </w:r>
      <w:proofErr w:type="spellStart"/>
      <w:r w:rsidRPr="00CE45E2">
        <w:t>enrollment</w:t>
      </w:r>
      <w:proofErr w:type="spellEnd"/>
      <w:r w:rsidRPr="00CE45E2">
        <w:t xml:space="preserve">, and </w:t>
      </w:r>
      <w:proofErr w:type="spellStart"/>
      <w:r w:rsidRPr="00CE45E2">
        <w:t>IORPs</w:t>
      </w:r>
      <w:proofErr w:type="spellEnd"/>
      <w:r w:rsidRPr="00CE45E2">
        <w:t xml:space="preserve"> </w:t>
      </w:r>
      <w:proofErr w:type="spellStart"/>
      <w:r w:rsidRPr="00CE45E2">
        <w:t>work</w:t>
      </w:r>
      <w:proofErr w:type="spellEnd"/>
      <w:r w:rsidRPr="00CE45E2">
        <w:t xml:space="preserve"> on the </w:t>
      </w:r>
      <w:proofErr w:type="spellStart"/>
      <w:r w:rsidRPr="00CE45E2">
        <w:t>basis</w:t>
      </w:r>
      <w:proofErr w:type="spellEnd"/>
      <w:r w:rsidRPr="00CE45E2">
        <w:t xml:space="preserve"> of </w:t>
      </w:r>
      <w:proofErr w:type="spellStart"/>
      <w:r w:rsidRPr="00CE45E2">
        <w:t>social</w:t>
      </w:r>
      <w:proofErr w:type="spellEnd"/>
      <w:r w:rsidRPr="00CE45E2">
        <w:t xml:space="preserve"> </w:t>
      </w:r>
      <w:proofErr w:type="spellStart"/>
      <w:r w:rsidRPr="00CE45E2">
        <w:t>dialogue</w:t>
      </w:r>
      <w:proofErr w:type="spellEnd"/>
      <w:r w:rsidRPr="00CE45E2">
        <w:t xml:space="preserve"> and </w:t>
      </w:r>
      <w:proofErr w:type="spellStart"/>
      <w:r w:rsidRPr="00CE45E2">
        <w:t>collective</w:t>
      </w:r>
      <w:proofErr w:type="spellEnd"/>
      <w:r w:rsidRPr="00CE45E2">
        <w:t xml:space="preserve"> </w:t>
      </w:r>
      <w:proofErr w:type="spellStart"/>
      <w:r w:rsidRPr="00CE45E2">
        <w:t>bargaining</w:t>
      </w:r>
      <w:proofErr w:type="spellEnd"/>
      <w:r w:rsidRPr="00CE45E2">
        <w:t xml:space="preserve">. </w:t>
      </w:r>
      <w:proofErr w:type="spellStart"/>
      <w:r w:rsidRPr="00CE45E2">
        <w:t>Applying</w:t>
      </w:r>
      <w:proofErr w:type="spellEnd"/>
      <w:r w:rsidRPr="00CE45E2">
        <w:t xml:space="preserve"> the SFDR </w:t>
      </w:r>
      <w:proofErr w:type="spellStart"/>
      <w:r w:rsidRPr="00CE45E2">
        <w:t>definitions</w:t>
      </w:r>
      <w:proofErr w:type="spellEnd"/>
      <w:r w:rsidRPr="00CE45E2">
        <w:t xml:space="preserve"> </w:t>
      </w:r>
      <w:proofErr w:type="spellStart"/>
      <w:r w:rsidRPr="00CE45E2">
        <w:t>should</w:t>
      </w:r>
      <w:proofErr w:type="spellEnd"/>
      <w:r w:rsidRPr="00CE45E2">
        <w:t xml:space="preserve"> </w:t>
      </w:r>
      <w:proofErr w:type="spellStart"/>
      <w:r w:rsidRPr="00CE45E2">
        <w:t>therefore</w:t>
      </w:r>
      <w:proofErr w:type="spellEnd"/>
      <w:r w:rsidRPr="00CE45E2">
        <w:t xml:space="preserve"> be a choice for </w:t>
      </w:r>
      <w:proofErr w:type="spellStart"/>
      <w:r w:rsidRPr="00CE45E2">
        <w:t>IORPs</w:t>
      </w:r>
      <w:proofErr w:type="spellEnd"/>
      <w:r w:rsidRPr="00CE45E2">
        <w:t xml:space="preserve"> and not </w:t>
      </w:r>
      <w:proofErr w:type="spellStart"/>
      <w:r w:rsidRPr="00CE45E2">
        <w:t>an</w:t>
      </w:r>
      <w:proofErr w:type="spellEnd"/>
      <w:r w:rsidRPr="00CE45E2">
        <w:t xml:space="preserve"> </w:t>
      </w:r>
      <w:proofErr w:type="spellStart"/>
      <w:r w:rsidRPr="00CE45E2">
        <w:t>obligation</w:t>
      </w:r>
      <w:proofErr w:type="spellEnd"/>
      <w:r w:rsidRPr="00CE45E2">
        <w:t>.</w:t>
      </w:r>
    </w:p>
    <w:p w14:paraId="607875B8" w14:textId="77777777" w:rsidR="00CE45E2" w:rsidRPr="00CE45E2" w:rsidRDefault="00CE45E2" w:rsidP="00CE45E2">
      <w:r w:rsidRPr="00CE45E2">
        <w:rPr>
          <w:rStyle w:val="HideTWBExt"/>
        </w:rPr>
        <w:t>&lt;/Amend&gt;</w:t>
      </w:r>
    </w:p>
    <w:p w14:paraId="35AB6B32" w14:textId="2795DC2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321</w:t>
      </w:r>
      <w:r w:rsidRPr="00CE45E2">
        <w:rPr>
          <w:rStyle w:val="HideTWBExt"/>
          <w:b w:val="0"/>
        </w:rPr>
        <w:t>&lt;/NumAm&gt;</w:t>
      </w:r>
    </w:p>
    <w:p w14:paraId="0C3C2FBD"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7C001F94" w14:textId="77777777" w:rsidR="00CE45E2" w:rsidRPr="00CE45E2" w:rsidRDefault="00CE45E2" w:rsidP="00CE45E2">
      <w:pPr>
        <w:pStyle w:val="NormalBold"/>
      </w:pPr>
      <w:r w:rsidRPr="00CE45E2">
        <w:rPr>
          <w:rStyle w:val="HideTWBExt"/>
          <w:b w:val="0"/>
        </w:rPr>
        <w:t>&lt;/RepeatBlock-By&gt;</w:t>
      </w:r>
    </w:p>
    <w:p w14:paraId="2BC85A4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03BB2F4" w14:textId="038A199E"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w:t>
      </w:r>
      <w:r w:rsidRPr="00CE45E2">
        <w:rPr>
          <w:rStyle w:val="HideTWBExt"/>
          <w:b w:val="0"/>
        </w:rPr>
        <w:t>&lt;/Article&gt;</w:t>
      </w:r>
    </w:p>
    <w:p w14:paraId="4D4D02B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E6E4302" w14:textId="77777777" w:rsidR="00CE45E2" w:rsidRPr="00CE45E2" w:rsidRDefault="00CE45E2" w:rsidP="00CE45E2">
      <w:r w:rsidRPr="00CE45E2">
        <w:rPr>
          <w:rStyle w:val="HideTWBExt"/>
        </w:rPr>
        <w:t>&lt;Article2&gt;</w:t>
      </w:r>
      <w:r w:rsidRPr="00CE45E2">
        <w:t>Artykuł 19 – ustęp 1 – akapit 1 – litera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86979F3" w14:textId="77777777" w:rsidTr="006476FB">
        <w:trPr>
          <w:trHeight w:hRule="exact" w:val="240"/>
          <w:jc w:val="center"/>
        </w:trPr>
        <w:tc>
          <w:tcPr>
            <w:tcW w:w="9752" w:type="dxa"/>
            <w:gridSpan w:val="2"/>
            <w:tcBorders>
              <w:top w:val="nil"/>
              <w:left w:val="nil"/>
              <w:bottom w:val="nil"/>
              <w:right w:val="nil"/>
            </w:tcBorders>
          </w:tcPr>
          <w:p w14:paraId="070D685D" w14:textId="77777777" w:rsidR="00CE45E2" w:rsidRPr="00CE45E2" w:rsidRDefault="00CE45E2" w:rsidP="006476FB"/>
        </w:tc>
      </w:tr>
      <w:tr w:rsidR="00CE45E2" w:rsidRPr="00CE45E2" w14:paraId="0EAF13BB" w14:textId="77777777" w:rsidTr="006476FB">
        <w:trPr>
          <w:trHeight w:val="240"/>
          <w:jc w:val="center"/>
        </w:trPr>
        <w:tc>
          <w:tcPr>
            <w:tcW w:w="4876" w:type="dxa"/>
            <w:tcBorders>
              <w:top w:val="nil"/>
              <w:left w:val="nil"/>
              <w:bottom w:val="nil"/>
              <w:right w:val="nil"/>
            </w:tcBorders>
          </w:tcPr>
          <w:p w14:paraId="717821A9"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8B04E0D" w14:textId="77777777" w:rsidR="00CE45E2" w:rsidRPr="00CE45E2" w:rsidRDefault="00CE45E2" w:rsidP="006476FB">
            <w:pPr>
              <w:pStyle w:val="AmColumnHeading"/>
            </w:pPr>
            <w:r w:rsidRPr="00CE45E2">
              <w:t>Poprawka</w:t>
            </w:r>
          </w:p>
        </w:tc>
      </w:tr>
      <w:tr w:rsidR="00CE45E2" w:rsidRPr="00CE45E2" w14:paraId="22436058" w14:textId="77777777" w:rsidTr="006476FB">
        <w:trPr>
          <w:jc w:val="center"/>
        </w:trPr>
        <w:tc>
          <w:tcPr>
            <w:tcW w:w="4876" w:type="dxa"/>
            <w:tcBorders>
              <w:top w:val="nil"/>
              <w:left w:val="nil"/>
              <w:bottom w:val="nil"/>
              <w:right w:val="nil"/>
            </w:tcBorders>
          </w:tcPr>
          <w:p w14:paraId="6D949997" w14:textId="77777777" w:rsidR="00CE45E2" w:rsidRPr="00CE45E2" w:rsidRDefault="00CE45E2" w:rsidP="006476FB">
            <w:pPr>
              <w:pStyle w:val="Normal6a"/>
            </w:pPr>
            <w:r w:rsidRPr="00CE45E2">
              <w:t>b)</w:t>
            </w:r>
            <w:r w:rsidRPr="00CE45E2">
              <w:tab/>
              <w:t xml:space="preserve">w myśl </w:t>
            </w:r>
            <w:proofErr w:type="gramStart"/>
            <w:r w:rsidRPr="00CE45E2">
              <w:t>zasady »ostrożnego</w:t>
            </w:r>
            <w:proofErr w:type="gramEnd"/>
            <w:r w:rsidRPr="00CE45E2">
              <w:t xml:space="preserve"> inwestora« IORP uwzględniają w swoich decyzjach inwestycyjnych ryzyka dla zrównoważonego rozwoju zdefiniowane w art. 2 pkt 22 rozporządzenia Parlamentu Europejskiego i Rady (UE) 2019/2088</w:t>
            </w:r>
            <w:r w:rsidRPr="00CE45E2">
              <w:rPr>
                <w:b/>
                <w:bCs/>
                <w:i/>
                <w:iCs/>
              </w:rPr>
              <w:t>* i w tym celu IORP uwzględniają potencjalny długoterminowy wpływ swojej strategii inwestycyjnej i swoich decyzji inwestycyjnych na czynniki zrównoważonego rozwoju zdefiniowane w art. 2 pkt 24 rozporządzenia (UE) 2019/2088</w:t>
            </w:r>
            <w:r w:rsidRPr="00CE45E2">
              <w:t>. Odbywa się to w sposób proporcjonalny, z uwzględnieniem charakteru, skali i złożoności działalności IORP.</w:t>
            </w:r>
            <w:r w:rsidRPr="00CE45E2">
              <w:rPr>
                <w:b/>
                <w:bCs/>
                <w:i/>
                <w:iCs/>
              </w:rPr>
              <w:t>”</w:t>
            </w:r>
            <w:r w:rsidRPr="00CE45E2">
              <w:t>;</w:t>
            </w:r>
          </w:p>
        </w:tc>
        <w:tc>
          <w:tcPr>
            <w:tcW w:w="4876" w:type="dxa"/>
            <w:tcBorders>
              <w:top w:val="nil"/>
              <w:left w:val="nil"/>
              <w:bottom w:val="nil"/>
              <w:right w:val="nil"/>
            </w:tcBorders>
          </w:tcPr>
          <w:p w14:paraId="78D51995" w14:textId="77777777" w:rsidR="00CE45E2" w:rsidRPr="00CE45E2" w:rsidRDefault="00CE45E2" w:rsidP="006476FB">
            <w:pPr>
              <w:pStyle w:val="Normal6a"/>
            </w:pPr>
            <w:r w:rsidRPr="00CE45E2">
              <w:rPr>
                <w:b/>
                <w:bCs/>
                <w:i/>
                <w:iCs/>
              </w:rPr>
              <w:t>b)</w:t>
            </w:r>
            <w:r w:rsidRPr="00CE45E2">
              <w:tab/>
              <w:t xml:space="preserve">w myśl </w:t>
            </w:r>
            <w:proofErr w:type="gramStart"/>
            <w:r w:rsidRPr="00CE45E2">
              <w:t>zasady »ostrożnego</w:t>
            </w:r>
            <w:proofErr w:type="gramEnd"/>
            <w:r w:rsidRPr="00CE45E2">
              <w:t xml:space="preserve"> inwestora« IORP uwzględniają w swoich decyzjach inwestycyjnych ryzyka dla zrównoważonego rozwoju zdefiniowane w art. 2 pkt 22 rozporządzenia Parlamentu Europejskiego i Rady (UE) 2019/2088. Odbywa się to w sposób proporcjonalny, z uwzględnieniem charakteru, skali i złożoności działalności IORP. </w:t>
            </w:r>
            <w:r w:rsidRPr="00CE45E2">
              <w:rPr>
                <w:b/>
                <w:bCs/>
                <w:i/>
                <w:iCs/>
              </w:rPr>
              <w:t>Państwa członkowskie nie mogą nakładać na IORP wymogów związanych ze zrównoważonym rozwojem w odniesieniu do decyzji inwestycyjnych, które wykraczałyby poza wymogi mające zastosowanie na mocy prawa Unii do innych uczestników rynku finansowego o porównywalnej wielkości i profilu ryzyka</w:t>
            </w:r>
            <w:r w:rsidRPr="00CE45E2">
              <w:t>;</w:t>
            </w:r>
          </w:p>
        </w:tc>
      </w:tr>
    </w:tbl>
    <w:p w14:paraId="0DD3C32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0FF23E9B"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B5883D1" w14:textId="77777777" w:rsidR="00CE45E2" w:rsidRPr="00CE45E2" w:rsidRDefault="00CE45E2" w:rsidP="00CE45E2">
      <w:pPr>
        <w:pStyle w:val="AmJustText"/>
      </w:pPr>
      <w:r w:rsidRPr="00CE45E2">
        <w:t>Ostrożnościowe zasady inwestowania powinny uwzględniać ryzyko związane ze zrównoważonym rozwojem, które ma istotne znaczenie finansowe dla danego programu. Ogólny obowiązek oceny wpływu decyzji inwestycyjnych na czynniki zrównoważonego rozwoju jest nieproporcjonalny w przypadku małych IORP. Klauzula w sprawie równych szans zapobiega nadmiernej regulacji, która zakłócałaby funkcjonowanie rynku wewnętrznego.</w:t>
      </w:r>
    </w:p>
    <w:p w14:paraId="6DC5DC03" w14:textId="77777777" w:rsidR="00CE45E2" w:rsidRPr="00CE45E2" w:rsidRDefault="00CE45E2" w:rsidP="00CE45E2">
      <w:r w:rsidRPr="00CE45E2">
        <w:rPr>
          <w:rStyle w:val="HideTWBExt"/>
        </w:rPr>
        <w:t>&lt;/Amend&gt;</w:t>
      </w:r>
    </w:p>
    <w:p w14:paraId="0FCD5F3E" w14:textId="1B38953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322</w:t>
      </w:r>
      <w:r w:rsidRPr="00CE45E2">
        <w:rPr>
          <w:rStyle w:val="HideTWBExt"/>
          <w:b w:val="0"/>
        </w:rPr>
        <w:t>&lt;/NumAm&gt;</w:t>
      </w:r>
    </w:p>
    <w:p w14:paraId="54CB7888" w14:textId="77777777" w:rsidR="00CE45E2" w:rsidRPr="00CE45E2" w:rsidRDefault="00CE45E2" w:rsidP="00CE45E2">
      <w:pPr>
        <w:pStyle w:val="NormalBold"/>
      </w:pPr>
      <w:r w:rsidRPr="00CE45E2">
        <w:rPr>
          <w:rStyle w:val="HideTWBExt"/>
          <w:b w:val="0"/>
        </w:rPr>
        <w:t>&lt;RepeatBlock-By&gt;&lt;Members&gt;</w:t>
      </w:r>
      <w:proofErr w:type="spellStart"/>
      <w:r w:rsidRPr="00CE45E2">
        <w:t>Danuše</w:t>
      </w:r>
      <w:proofErr w:type="spellEnd"/>
      <w:r w:rsidRPr="00CE45E2">
        <w:t xml:space="preserve"> </w:t>
      </w:r>
      <w:proofErr w:type="spellStart"/>
      <w:r w:rsidRPr="00CE45E2">
        <w:t>Nerudová</w:t>
      </w:r>
      <w:proofErr w:type="spellEnd"/>
      <w:r w:rsidRPr="00CE45E2">
        <w:rPr>
          <w:rStyle w:val="HideTWBExt"/>
          <w:b w:val="0"/>
        </w:rPr>
        <w:t>&lt;/Members&gt;</w:t>
      </w:r>
    </w:p>
    <w:p w14:paraId="1CDBDD4A" w14:textId="77777777" w:rsidR="00CE45E2" w:rsidRPr="00CE45E2" w:rsidRDefault="00CE45E2" w:rsidP="00CE45E2">
      <w:pPr>
        <w:pStyle w:val="NormalBold"/>
      </w:pPr>
      <w:r w:rsidRPr="00CE45E2">
        <w:rPr>
          <w:rStyle w:val="HideTWBExt"/>
          <w:b w:val="0"/>
        </w:rPr>
        <w:t>&lt;/RepeatBlock-By&gt;</w:t>
      </w:r>
    </w:p>
    <w:p w14:paraId="39C5183B"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93F59B0" w14:textId="5288944B"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b a </w:t>
      </w:r>
      <w:r w:rsidR="0010594F">
        <w:t>(nowa)</w:t>
      </w:r>
      <w:r w:rsidRPr="00CE45E2">
        <w:rPr>
          <w:rStyle w:val="HideTWBExt"/>
          <w:b w:val="0"/>
        </w:rPr>
        <w:t>&lt;/Article&gt;</w:t>
      </w:r>
    </w:p>
    <w:p w14:paraId="6E608F0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095AD995" w14:textId="77777777" w:rsidR="00CE45E2" w:rsidRPr="00CE45E2" w:rsidRDefault="00CE45E2" w:rsidP="00CE45E2">
      <w:r w:rsidRPr="00CE45E2">
        <w:rPr>
          <w:rStyle w:val="HideTWBExt"/>
        </w:rPr>
        <w:t>&lt;Article2&gt;</w:t>
      </w:r>
      <w:r w:rsidRPr="00CE45E2">
        <w:t>Artykuł 19 – ustęp 1 – akapit 1 – litera b a (nowa)</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9884DF6" w14:textId="77777777" w:rsidTr="006476FB">
        <w:trPr>
          <w:trHeight w:hRule="exact" w:val="240"/>
          <w:jc w:val="center"/>
        </w:trPr>
        <w:tc>
          <w:tcPr>
            <w:tcW w:w="9752" w:type="dxa"/>
            <w:gridSpan w:val="2"/>
            <w:tcBorders>
              <w:top w:val="nil"/>
              <w:left w:val="nil"/>
              <w:bottom w:val="nil"/>
              <w:right w:val="nil"/>
            </w:tcBorders>
          </w:tcPr>
          <w:p w14:paraId="7D59CFDD" w14:textId="77777777" w:rsidR="00CE45E2" w:rsidRPr="00CE45E2" w:rsidRDefault="00CE45E2" w:rsidP="006476FB"/>
        </w:tc>
      </w:tr>
      <w:tr w:rsidR="00CE45E2" w:rsidRPr="00CE45E2" w14:paraId="2087A176" w14:textId="77777777" w:rsidTr="006476FB">
        <w:trPr>
          <w:trHeight w:val="240"/>
          <w:jc w:val="center"/>
        </w:trPr>
        <w:tc>
          <w:tcPr>
            <w:tcW w:w="4876" w:type="dxa"/>
            <w:tcBorders>
              <w:top w:val="nil"/>
              <w:left w:val="nil"/>
              <w:bottom w:val="nil"/>
              <w:right w:val="nil"/>
            </w:tcBorders>
          </w:tcPr>
          <w:p w14:paraId="7D23E028"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45B603B" w14:textId="77777777" w:rsidR="00CE45E2" w:rsidRPr="00CE45E2" w:rsidRDefault="00CE45E2" w:rsidP="006476FB">
            <w:pPr>
              <w:pStyle w:val="AmColumnHeading"/>
            </w:pPr>
            <w:r w:rsidRPr="00CE45E2">
              <w:t>Poprawka</w:t>
            </w:r>
          </w:p>
        </w:tc>
      </w:tr>
      <w:tr w:rsidR="00CE45E2" w:rsidRPr="00CE45E2" w14:paraId="2F676DC4" w14:textId="77777777" w:rsidTr="006476FB">
        <w:trPr>
          <w:jc w:val="center"/>
        </w:trPr>
        <w:tc>
          <w:tcPr>
            <w:tcW w:w="4876" w:type="dxa"/>
            <w:tcBorders>
              <w:top w:val="nil"/>
              <w:left w:val="nil"/>
              <w:bottom w:val="nil"/>
              <w:right w:val="nil"/>
            </w:tcBorders>
          </w:tcPr>
          <w:p w14:paraId="0E49E02C" w14:textId="77777777" w:rsidR="00CE45E2" w:rsidRPr="00CE45E2" w:rsidRDefault="00CE45E2" w:rsidP="006476FB">
            <w:pPr>
              <w:pStyle w:val="Normal6a"/>
            </w:pPr>
          </w:p>
        </w:tc>
        <w:tc>
          <w:tcPr>
            <w:tcW w:w="4876" w:type="dxa"/>
            <w:tcBorders>
              <w:top w:val="nil"/>
              <w:left w:val="nil"/>
              <w:bottom w:val="nil"/>
              <w:right w:val="nil"/>
            </w:tcBorders>
          </w:tcPr>
          <w:p w14:paraId="4329A338" w14:textId="77777777" w:rsidR="00CE45E2" w:rsidRPr="00CE45E2" w:rsidRDefault="00CE45E2" w:rsidP="006476FB">
            <w:pPr>
              <w:pStyle w:val="Normal6a"/>
            </w:pPr>
            <w:r w:rsidRPr="00CE45E2">
              <w:rPr>
                <w:b/>
                <w:i/>
              </w:rPr>
              <w:t>ba)</w:t>
            </w:r>
            <w:r w:rsidRPr="00CE45E2">
              <w:tab/>
            </w:r>
            <w:r w:rsidRPr="00CE45E2">
              <w:rPr>
                <w:b/>
                <w:i/>
              </w:rPr>
              <w:t>IORP, których aktywa podlegające zarządzaniu przekraczają 1 mld EUR, przeznaczają co najmniej 2% swoich aktywów na kapitał wysokiego ryzyka, zgodnie z zasadą „ostrożnego inwestora” oraz z interesami swoich uczestników i beneficjentów.</w:t>
            </w:r>
          </w:p>
        </w:tc>
      </w:tr>
    </w:tbl>
    <w:p w14:paraId="2DEACA8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3694E9A" w14:textId="77777777" w:rsidR="00CE45E2" w:rsidRPr="00CE45E2" w:rsidRDefault="00CE45E2" w:rsidP="00CE45E2">
      <w:r w:rsidRPr="00CE45E2">
        <w:rPr>
          <w:rStyle w:val="HideTWBExt"/>
        </w:rPr>
        <w:t>&lt;/Amend&gt;</w:t>
      </w:r>
    </w:p>
    <w:p w14:paraId="152E5A7C" w14:textId="0C506DEF"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323</w:t>
      </w:r>
      <w:r w:rsidRPr="00CE45E2">
        <w:rPr>
          <w:rStyle w:val="HideTWBExt"/>
          <w:b w:val="0"/>
        </w:rPr>
        <w:t>&lt;/NumAm&gt;</w:t>
      </w:r>
    </w:p>
    <w:p w14:paraId="2E5201B8" w14:textId="77777777" w:rsidR="00CE45E2" w:rsidRPr="00CE45E2" w:rsidRDefault="00CE45E2" w:rsidP="00CE45E2">
      <w:pPr>
        <w:pStyle w:val="NormalBold"/>
      </w:pPr>
      <w:r w:rsidRPr="00CE45E2">
        <w:rPr>
          <w:rStyle w:val="HideTWBExt"/>
          <w:b w:val="0"/>
        </w:rPr>
        <w:t>&lt;RepeatBlock-By&gt;&lt;Members&gt;</w:t>
      </w:r>
      <w:r w:rsidRPr="00CE45E2">
        <w:t xml:space="preserve">Arba </w:t>
      </w:r>
      <w:proofErr w:type="spellStart"/>
      <w:r w:rsidRPr="00CE45E2">
        <w:t>Kokalari</w:t>
      </w:r>
      <w:proofErr w:type="spellEnd"/>
      <w:r w:rsidRPr="00CE45E2">
        <w:rPr>
          <w:rStyle w:val="HideTWBExt"/>
          <w:b w:val="0"/>
        </w:rPr>
        <w:t>&lt;/Members&gt;</w:t>
      </w:r>
    </w:p>
    <w:p w14:paraId="1B18ABF0" w14:textId="77777777" w:rsidR="00CE45E2" w:rsidRPr="00CE45E2" w:rsidRDefault="00CE45E2" w:rsidP="00CE45E2">
      <w:pPr>
        <w:pStyle w:val="NormalBold"/>
      </w:pPr>
      <w:r w:rsidRPr="00CE45E2">
        <w:rPr>
          <w:rStyle w:val="HideTWBExt"/>
          <w:b w:val="0"/>
        </w:rPr>
        <w:t>&lt;/RepeatBlock-By&gt;</w:t>
      </w:r>
    </w:p>
    <w:p w14:paraId="1C88E397"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A8FE3AF" w14:textId="00C5867E" w:rsidR="00CE45E2" w:rsidRPr="00CE45E2" w:rsidRDefault="00CE45E2" w:rsidP="00CE45E2">
      <w:pPr>
        <w:pStyle w:val="NormalBold"/>
      </w:pPr>
      <w:r w:rsidRPr="00CE45E2">
        <w:rPr>
          <w:rStyle w:val="HideTWBExt"/>
          <w:b w:val="0"/>
        </w:rPr>
        <w:t>&lt;Article&gt;</w:t>
      </w:r>
      <w:r w:rsidRPr="00CE45E2">
        <w:t xml:space="preserve">Artykuł 1 – akapit 1 – punkt 22 – litera a – </w:t>
      </w:r>
      <w:r w:rsidR="0010594F">
        <w:t>litera</w:t>
      </w:r>
      <w:r w:rsidRPr="00CE45E2">
        <w:t xml:space="preserve"> c</w:t>
      </w:r>
      <w:r w:rsidRPr="00CE45E2">
        <w:rPr>
          <w:rStyle w:val="HideTWBExt"/>
          <w:b w:val="0"/>
        </w:rPr>
        <w:t>&lt;/Article&gt;</w:t>
      </w:r>
    </w:p>
    <w:p w14:paraId="0D1E838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6A86213" w14:textId="77777777" w:rsidR="00CE45E2" w:rsidRPr="00CE45E2" w:rsidRDefault="00CE45E2" w:rsidP="00CE45E2">
      <w:r w:rsidRPr="00CE45E2">
        <w:rPr>
          <w:rStyle w:val="HideTWBExt"/>
        </w:rPr>
        <w:t>&lt;Article2&gt;</w:t>
      </w:r>
      <w:r w:rsidRPr="00CE45E2">
        <w:t>Artykuł 19 – ustęp 1 – akapit 1 – litera d</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1D9ED04" w14:textId="77777777" w:rsidTr="006476FB">
        <w:trPr>
          <w:trHeight w:hRule="exact" w:val="240"/>
          <w:jc w:val="center"/>
        </w:trPr>
        <w:tc>
          <w:tcPr>
            <w:tcW w:w="9752" w:type="dxa"/>
            <w:gridSpan w:val="2"/>
            <w:tcBorders>
              <w:top w:val="nil"/>
              <w:left w:val="nil"/>
              <w:bottom w:val="nil"/>
              <w:right w:val="nil"/>
            </w:tcBorders>
          </w:tcPr>
          <w:p w14:paraId="64C76E28" w14:textId="77777777" w:rsidR="00CE45E2" w:rsidRPr="00CE45E2" w:rsidRDefault="00CE45E2" w:rsidP="006476FB"/>
        </w:tc>
      </w:tr>
      <w:tr w:rsidR="00CE45E2" w:rsidRPr="00CE45E2" w14:paraId="69E19E63" w14:textId="77777777" w:rsidTr="006476FB">
        <w:trPr>
          <w:trHeight w:val="240"/>
          <w:jc w:val="center"/>
        </w:trPr>
        <w:tc>
          <w:tcPr>
            <w:tcW w:w="4876" w:type="dxa"/>
            <w:tcBorders>
              <w:top w:val="nil"/>
              <w:left w:val="nil"/>
              <w:bottom w:val="nil"/>
              <w:right w:val="nil"/>
            </w:tcBorders>
          </w:tcPr>
          <w:p w14:paraId="30668F4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993E5BE" w14:textId="77777777" w:rsidR="00CE45E2" w:rsidRPr="00CE45E2" w:rsidRDefault="00CE45E2" w:rsidP="006476FB">
            <w:pPr>
              <w:pStyle w:val="AmColumnHeading"/>
            </w:pPr>
            <w:r w:rsidRPr="00CE45E2">
              <w:t>Poprawka</w:t>
            </w:r>
          </w:p>
        </w:tc>
      </w:tr>
      <w:tr w:rsidR="00CE45E2" w:rsidRPr="00CE45E2" w14:paraId="31475EB2" w14:textId="77777777" w:rsidTr="006476FB">
        <w:trPr>
          <w:jc w:val="center"/>
        </w:trPr>
        <w:tc>
          <w:tcPr>
            <w:tcW w:w="4876" w:type="dxa"/>
            <w:tcBorders>
              <w:top w:val="nil"/>
              <w:left w:val="nil"/>
              <w:bottom w:val="nil"/>
              <w:right w:val="nil"/>
            </w:tcBorders>
          </w:tcPr>
          <w:p w14:paraId="0F86192E" w14:textId="77777777" w:rsidR="00CE45E2" w:rsidRPr="00CE45E2" w:rsidRDefault="00CE45E2" w:rsidP="006476FB">
            <w:pPr>
              <w:pStyle w:val="Normal6a"/>
            </w:pPr>
            <w:r w:rsidRPr="00CE45E2">
              <w:t>d)</w:t>
            </w:r>
            <w:r w:rsidRPr="00CE45E2">
              <w:tab/>
              <w:t xml:space="preserve">aktywa są inwestowane </w:t>
            </w:r>
            <w:r w:rsidRPr="00CE45E2">
              <w:rPr>
                <w:b/>
                <w:bCs/>
                <w:i/>
                <w:iCs/>
              </w:rPr>
              <w:t>głównie na rynkach regulowanych, MTF lub OTF;”;</w:t>
            </w:r>
          </w:p>
        </w:tc>
        <w:tc>
          <w:tcPr>
            <w:tcW w:w="4876" w:type="dxa"/>
            <w:tcBorders>
              <w:top w:val="nil"/>
              <w:left w:val="nil"/>
              <w:bottom w:val="nil"/>
              <w:right w:val="nil"/>
            </w:tcBorders>
          </w:tcPr>
          <w:p w14:paraId="2680ABB1" w14:textId="77777777" w:rsidR="00CE45E2" w:rsidRPr="00CE45E2" w:rsidRDefault="00CE45E2" w:rsidP="006476FB">
            <w:pPr>
              <w:pStyle w:val="Normal6a"/>
            </w:pPr>
            <w:r w:rsidRPr="00CE45E2">
              <w:t>d)</w:t>
            </w:r>
            <w:r w:rsidRPr="00CE45E2">
              <w:tab/>
              <w:t>aktywa są inwestowane</w:t>
            </w:r>
            <w:r w:rsidRPr="00CE45E2">
              <w:rPr>
                <w:b/>
                <w:bCs/>
                <w:i/>
                <w:iCs/>
              </w:rPr>
              <w:t xml:space="preserve"> w sposób zdywersyfikowany, przy czym profil płynności aktywów jest rozpatrywany w odniesieniu do całego portfela IORP.</w:t>
            </w:r>
          </w:p>
        </w:tc>
      </w:tr>
    </w:tbl>
    <w:p w14:paraId="1A08B1C0"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A97D97B" w14:textId="77777777" w:rsidR="00CE45E2" w:rsidRPr="00CE45E2" w:rsidRDefault="00CE45E2" w:rsidP="00CE45E2">
      <w:r w:rsidRPr="00CE45E2">
        <w:rPr>
          <w:rStyle w:val="HideTWBExt"/>
        </w:rPr>
        <w:t>&lt;/Amend&gt;</w:t>
      </w:r>
    </w:p>
    <w:p w14:paraId="4EA90BCD" w14:textId="0F3F358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324</w:t>
      </w:r>
      <w:r w:rsidRPr="00CE45E2">
        <w:rPr>
          <w:rStyle w:val="HideTWBExt"/>
          <w:b w:val="0"/>
        </w:rPr>
        <w:t>&lt;/NumAm&gt;</w:t>
      </w:r>
    </w:p>
    <w:p w14:paraId="46369C67"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381AE898" w14:textId="77777777" w:rsidR="00CE45E2" w:rsidRPr="00CE45E2" w:rsidRDefault="00CE45E2" w:rsidP="00CE45E2">
      <w:pPr>
        <w:pStyle w:val="NormalBold"/>
      </w:pPr>
      <w:r w:rsidRPr="00CE45E2">
        <w:rPr>
          <w:rStyle w:val="HideTWBExt"/>
          <w:b w:val="0"/>
        </w:rPr>
        <w:t>&lt;/RepeatBlock-By&gt;</w:t>
      </w:r>
    </w:p>
    <w:p w14:paraId="7B59EC80"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43D2F02C"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0E54A3A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6015EA38" w14:textId="77777777" w:rsidR="00CE45E2" w:rsidRPr="00CE45E2" w:rsidRDefault="00CE45E2" w:rsidP="00CE45E2">
      <w:r w:rsidRPr="00CE45E2">
        <w:rPr>
          <w:rStyle w:val="HideTWBExt"/>
        </w:rPr>
        <w:t>&lt;Article2&gt;</w:t>
      </w:r>
      <w:r w:rsidRPr="00CE45E2">
        <w:t>Artykuł 19 – ustęp 1 b</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5051C196" w14:textId="77777777" w:rsidTr="006476FB">
        <w:trPr>
          <w:trHeight w:hRule="exact" w:val="240"/>
          <w:jc w:val="center"/>
        </w:trPr>
        <w:tc>
          <w:tcPr>
            <w:tcW w:w="9752" w:type="dxa"/>
            <w:gridSpan w:val="2"/>
            <w:tcBorders>
              <w:top w:val="nil"/>
              <w:left w:val="nil"/>
              <w:bottom w:val="nil"/>
              <w:right w:val="nil"/>
            </w:tcBorders>
          </w:tcPr>
          <w:p w14:paraId="43C74FEB" w14:textId="77777777" w:rsidR="00CE45E2" w:rsidRPr="00CE45E2" w:rsidRDefault="00CE45E2" w:rsidP="006476FB"/>
        </w:tc>
      </w:tr>
      <w:tr w:rsidR="00CE45E2" w:rsidRPr="00CE45E2" w14:paraId="162349B6" w14:textId="77777777" w:rsidTr="006476FB">
        <w:trPr>
          <w:trHeight w:val="240"/>
          <w:jc w:val="center"/>
        </w:trPr>
        <w:tc>
          <w:tcPr>
            <w:tcW w:w="4876" w:type="dxa"/>
            <w:tcBorders>
              <w:top w:val="nil"/>
              <w:left w:val="nil"/>
              <w:bottom w:val="nil"/>
              <w:right w:val="nil"/>
            </w:tcBorders>
          </w:tcPr>
          <w:p w14:paraId="6B7C81D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228CFF1A" w14:textId="77777777" w:rsidR="00CE45E2" w:rsidRPr="00CE45E2" w:rsidRDefault="00CE45E2" w:rsidP="006476FB">
            <w:pPr>
              <w:pStyle w:val="AmColumnHeading"/>
            </w:pPr>
            <w:r w:rsidRPr="00CE45E2">
              <w:t>Poprawka</w:t>
            </w:r>
          </w:p>
        </w:tc>
      </w:tr>
      <w:tr w:rsidR="00CE45E2" w:rsidRPr="00CE45E2" w14:paraId="1E0B6C85" w14:textId="77777777" w:rsidTr="006476FB">
        <w:trPr>
          <w:jc w:val="center"/>
        </w:trPr>
        <w:tc>
          <w:tcPr>
            <w:tcW w:w="4876" w:type="dxa"/>
            <w:tcBorders>
              <w:top w:val="nil"/>
              <w:left w:val="nil"/>
              <w:bottom w:val="nil"/>
              <w:right w:val="nil"/>
            </w:tcBorders>
          </w:tcPr>
          <w:p w14:paraId="62CF869C" w14:textId="77777777" w:rsidR="00CE45E2" w:rsidRPr="00CE45E2" w:rsidRDefault="00CE45E2" w:rsidP="006476FB">
            <w:pPr>
              <w:pStyle w:val="Normal6a"/>
            </w:pPr>
            <w:r w:rsidRPr="00CE45E2">
              <w:t>1b.</w:t>
            </w:r>
            <w:r w:rsidRPr="00CE45E2">
              <w:tab/>
              <w:t>Państwa członkowskie wymagają, aby aktywa utrzymywane w celu pokrycia rezerw techniczno-ubezpieczeniowych również były inwestowane w sposób odpowiedni do charakteru i czasu trwania zobowiązań zaciągniętych przez IORP.</w:t>
            </w:r>
          </w:p>
        </w:tc>
        <w:tc>
          <w:tcPr>
            <w:tcW w:w="4876" w:type="dxa"/>
            <w:tcBorders>
              <w:top w:val="nil"/>
              <w:left w:val="nil"/>
              <w:bottom w:val="nil"/>
              <w:right w:val="nil"/>
            </w:tcBorders>
          </w:tcPr>
          <w:p w14:paraId="4E6BF10D" w14:textId="77777777" w:rsidR="00CE45E2" w:rsidRPr="00CE45E2" w:rsidRDefault="00CE45E2" w:rsidP="006476FB">
            <w:pPr>
              <w:pStyle w:val="Normal6a"/>
            </w:pPr>
            <w:r w:rsidRPr="00CE45E2">
              <w:t>1b.</w:t>
            </w:r>
            <w:r w:rsidRPr="00CE45E2">
              <w:tab/>
              <w:t xml:space="preserve">Państwa członkowskie wymagają, aby aktywa utrzymywane w celu pokrycia rezerw techniczno-ubezpieczeniowych również były inwestowane w sposób </w:t>
            </w:r>
            <w:r w:rsidRPr="00CE45E2">
              <w:rPr>
                <w:b/>
                <w:bCs/>
                <w:i/>
                <w:iCs/>
              </w:rPr>
              <w:t>zróżnicowany i</w:t>
            </w:r>
            <w:r w:rsidRPr="00CE45E2">
              <w:t xml:space="preserve"> odpowiedni do charakteru i czasu trwania zobowiązań zaciągniętych przez IORP.</w:t>
            </w:r>
          </w:p>
        </w:tc>
      </w:tr>
    </w:tbl>
    <w:p w14:paraId="374EFA44"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BE3D546" w14:textId="77777777" w:rsidR="00CE45E2" w:rsidRPr="00CE45E2" w:rsidRDefault="00CE45E2" w:rsidP="00CE45E2">
      <w:r w:rsidRPr="00CE45E2">
        <w:rPr>
          <w:rStyle w:val="HideTWBExt"/>
        </w:rPr>
        <w:t>&lt;/Amend&gt;</w:t>
      </w:r>
    </w:p>
    <w:p w14:paraId="1A53CD76" w14:textId="78579DD3"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325</w:t>
      </w:r>
      <w:r w:rsidRPr="00CE45E2">
        <w:rPr>
          <w:rStyle w:val="HideTWBExt"/>
          <w:b w:val="0"/>
        </w:rPr>
        <w:t>&lt;/NumAm&gt;</w:t>
      </w:r>
    </w:p>
    <w:p w14:paraId="1BFDD8DF"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7475B4E8" w14:textId="77777777" w:rsidR="00CE45E2" w:rsidRPr="00CE45E2" w:rsidRDefault="00CE45E2" w:rsidP="00CE45E2">
      <w:pPr>
        <w:pStyle w:val="NormalBold"/>
      </w:pPr>
      <w:r w:rsidRPr="00CE45E2">
        <w:rPr>
          <w:rStyle w:val="HideTWBExt"/>
          <w:b w:val="0"/>
        </w:rPr>
        <w:t>&lt;/RepeatBlock-By&gt;</w:t>
      </w:r>
    </w:p>
    <w:p w14:paraId="62AA1693"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230EDA1"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1A19065E"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D16058F"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36E092A" w14:textId="77777777" w:rsidTr="006476FB">
        <w:trPr>
          <w:trHeight w:hRule="exact" w:val="240"/>
          <w:jc w:val="center"/>
        </w:trPr>
        <w:tc>
          <w:tcPr>
            <w:tcW w:w="9752" w:type="dxa"/>
            <w:gridSpan w:val="2"/>
            <w:tcBorders>
              <w:top w:val="nil"/>
              <w:left w:val="nil"/>
              <w:bottom w:val="nil"/>
              <w:right w:val="nil"/>
            </w:tcBorders>
          </w:tcPr>
          <w:p w14:paraId="60E02EBE" w14:textId="77777777" w:rsidR="00CE45E2" w:rsidRPr="00CE45E2" w:rsidRDefault="00CE45E2" w:rsidP="006476FB"/>
        </w:tc>
      </w:tr>
      <w:tr w:rsidR="00CE45E2" w:rsidRPr="00CE45E2" w14:paraId="659850CD" w14:textId="77777777" w:rsidTr="006476FB">
        <w:trPr>
          <w:trHeight w:val="240"/>
          <w:jc w:val="center"/>
        </w:trPr>
        <w:tc>
          <w:tcPr>
            <w:tcW w:w="4876" w:type="dxa"/>
            <w:tcBorders>
              <w:top w:val="nil"/>
              <w:left w:val="nil"/>
              <w:bottom w:val="nil"/>
              <w:right w:val="nil"/>
            </w:tcBorders>
          </w:tcPr>
          <w:p w14:paraId="7F62577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AC152F4" w14:textId="77777777" w:rsidR="00CE45E2" w:rsidRPr="00CE45E2" w:rsidRDefault="00CE45E2" w:rsidP="006476FB">
            <w:pPr>
              <w:pStyle w:val="AmColumnHeading"/>
            </w:pPr>
            <w:r w:rsidRPr="00CE45E2">
              <w:t>Poprawka</w:t>
            </w:r>
          </w:p>
        </w:tc>
      </w:tr>
      <w:tr w:rsidR="00CE45E2" w:rsidRPr="00CE45E2" w14:paraId="0D7C308B" w14:textId="77777777" w:rsidTr="006476FB">
        <w:trPr>
          <w:jc w:val="center"/>
        </w:trPr>
        <w:tc>
          <w:tcPr>
            <w:tcW w:w="4876" w:type="dxa"/>
            <w:tcBorders>
              <w:top w:val="nil"/>
              <w:left w:val="nil"/>
              <w:bottom w:val="nil"/>
              <w:right w:val="nil"/>
            </w:tcBorders>
          </w:tcPr>
          <w:p w14:paraId="1F60B38C" w14:textId="77777777" w:rsidR="00CE45E2" w:rsidRPr="00CE45E2" w:rsidRDefault="00CE45E2" w:rsidP="006476FB">
            <w:pPr>
              <w:pStyle w:val="Normal6a"/>
            </w:pPr>
            <w:r w:rsidRPr="00CE45E2">
              <w:rPr>
                <w:b/>
                <w:i/>
              </w:rPr>
              <w:t>1c.</w:t>
            </w:r>
            <w:r w:rsidRPr="00CE45E2">
              <w:tab/>
            </w:r>
            <w:r w:rsidRPr="00CE45E2">
              <w:rPr>
                <w:b/>
                <w:i/>
              </w:rPr>
              <w:t xml:space="preserve">Państwa członkowskie wymagają, aby decyzje inwestycyjne IORP odzwierciedlały preferencje uczestników i beneficjentów w zakresie zrównoważonego rozwoju, w </w:t>
            </w:r>
            <w:proofErr w:type="gramStart"/>
            <w:r w:rsidRPr="00CE45E2">
              <w:rPr>
                <w:b/>
                <w:i/>
              </w:rPr>
              <w:t>przypadku</w:t>
            </w:r>
            <w:proofErr w:type="gramEnd"/>
            <w:r w:rsidRPr="00CE45E2">
              <w:rPr>
                <w:b/>
                <w:i/>
              </w:rPr>
              <w:t xml:space="preserve"> gdy IORP są w stanie ocenić te preferencje uczestnictwa, oraz w zakresie, w jakim preferencje te są zgodne z zasadami inwestycyjnymi określonymi w ust. 1.</w:t>
            </w:r>
          </w:p>
        </w:tc>
        <w:tc>
          <w:tcPr>
            <w:tcW w:w="4876" w:type="dxa"/>
            <w:tcBorders>
              <w:top w:val="nil"/>
              <w:left w:val="nil"/>
              <w:bottom w:val="nil"/>
              <w:right w:val="nil"/>
            </w:tcBorders>
          </w:tcPr>
          <w:p w14:paraId="5BD4CAFD" w14:textId="77777777" w:rsidR="00CE45E2" w:rsidRPr="00CE45E2" w:rsidRDefault="00CE45E2" w:rsidP="006476FB">
            <w:pPr>
              <w:pStyle w:val="Normal6a"/>
            </w:pPr>
            <w:r w:rsidRPr="00CE45E2">
              <w:rPr>
                <w:b/>
                <w:i/>
              </w:rPr>
              <w:t>skreśla się</w:t>
            </w:r>
          </w:p>
        </w:tc>
      </w:tr>
    </w:tbl>
    <w:p w14:paraId="705EF5C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060880E2" w14:textId="77777777" w:rsidR="00CE45E2" w:rsidRPr="00CE45E2" w:rsidRDefault="00CE45E2" w:rsidP="00CE45E2">
      <w:r w:rsidRPr="00CE45E2">
        <w:rPr>
          <w:rStyle w:val="HideTWBExt"/>
        </w:rPr>
        <w:t>&lt;/Amend&gt;</w:t>
      </w:r>
    </w:p>
    <w:p w14:paraId="7ADE6A1B" w14:textId="67EC3557"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326</w:t>
      </w:r>
      <w:r w:rsidRPr="00CE45E2">
        <w:rPr>
          <w:rStyle w:val="HideTWBExt"/>
          <w:b w:val="0"/>
        </w:rPr>
        <w:t>&lt;/NumAm&gt;</w:t>
      </w:r>
    </w:p>
    <w:p w14:paraId="41997CED"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385A7853"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01C6D508" w14:textId="77777777" w:rsidR="00CE45E2" w:rsidRPr="00CE45E2" w:rsidRDefault="00CE45E2" w:rsidP="00CE45E2">
      <w:pPr>
        <w:pStyle w:val="NormalBold"/>
      </w:pPr>
      <w:r w:rsidRPr="00CE45E2">
        <w:rPr>
          <w:rStyle w:val="HideTWBExt"/>
          <w:b w:val="0"/>
        </w:rPr>
        <w:t>&lt;/RepeatBlock-By&gt;</w:t>
      </w:r>
    </w:p>
    <w:p w14:paraId="43E75552"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CC0F439"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3165F97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3020EE87"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0851CD95" w14:textId="77777777" w:rsidTr="006476FB">
        <w:trPr>
          <w:trHeight w:hRule="exact" w:val="240"/>
          <w:jc w:val="center"/>
        </w:trPr>
        <w:tc>
          <w:tcPr>
            <w:tcW w:w="9752" w:type="dxa"/>
            <w:gridSpan w:val="2"/>
            <w:tcBorders>
              <w:top w:val="nil"/>
              <w:left w:val="nil"/>
              <w:bottom w:val="nil"/>
              <w:right w:val="nil"/>
            </w:tcBorders>
          </w:tcPr>
          <w:p w14:paraId="7A6B7AC5" w14:textId="77777777" w:rsidR="00CE45E2" w:rsidRPr="00CE45E2" w:rsidRDefault="00CE45E2" w:rsidP="006476FB"/>
        </w:tc>
      </w:tr>
      <w:tr w:rsidR="00CE45E2" w:rsidRPr="00CE45E2" w14:paraId="317328C3" w14:textId="77777777" w:rsidTr="006476FB">
        <w:trPr>
          <w:trHeight w:val="240"/>
          <w:jc w:val="center"/>
        </w:trPr>
        <w:tc>
          <w:tcPr>
            <w:tcW w:w="4876" w:type="dxa"/>
            <w:tcBorders>
              <w:top w:val="nil"/>
              <w:left w:val="nil"/>
              <w:bottom w:val="nil"/>
              <w:right w:val="nil"/>
            </w:tcBorders>
          </w:tcPr>
          <w:p w14:paraId="454883E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9F9064B" w14:textId="77777777" w:rsidR="00CE45E2" w:rsidRPr="00CE45E2" w:rsidRDefault="00CE45E2" w:rsidP="006476FB">
            <w:pPr>
              <w:pStyle w:val="AmColumnHeading"/>
            </w:pPr>
            <w:r w:rsidRPr="00CE45E2">
              <w:t>Poprawka</w:t>
            </w:r>
          </w:p>
        </w:tc>
      </w:tr>
      <w:tr w:rsidR="00CE45E2" w:rsidRPr="00CE45E2" w14:paraId="75DA5862" w14:textId="77777777" w:rsidTr="006476FB">
        <w:trPr>
          <w:jc w:val="center"/>
        </w:trPr>
        <w:tc>
          <w:tcPr>
            <w:tcW w:w="4876" w:type="dxa"/>
            <w:tcBorders>
              <w:top w:val="nil"/>
              <w:left w:val="nil"/>
              <w:bottom w:val="nil"/>
              <w:right w:val="nil"/>
            </w:tcBorders>
          </w:tcPr>
          <w:p w14:paraId="29EF9F8D" w14:textId="77777777" w:rsidR="00CE45E2" w:rsidRPr="00CE45E2" w:rsidRDefault="00CE45E2" w:rsidP="006476FB">
            <w:pPr>
              <w:pStyle w:val="Normal6a"/>
            </w:pPr>
            <w:r w:rsidRPr="00CE45E2">
              <w:rPr>
                <w:b/>
                <w:i/>
              </w:rPr>
              <w:t>1c.</w:t>
            </w:r>
            <w:r w:rsidRPr="00CE45E2">
              <w:tab/>
            </w:r>
            <w:r w:rsidRPr="00CE45E2">
              <w:rPr>
                <w:b/>
                <w:i/>
              </w:rPr>
              <w:t xml:space="preserve">Państwa członkowskie wymagają, aby decyzje inwestycyjne IORP odzwierciedlały preferencje uczestników i beneficjentów w zakresie zrównoważonego rozwoju, w </w:t>
            </w:r>
            <w:proofErr w:type="gramStart"/>
            <w:r w:rsidRPr="00CE45E2">
              <w:rPr>
                <w:b/>
                <w:i/>
              </w:rPr>
              <w:t>przypadku</w:t>
            </w:r>
            <w:proofErr w:type="gramEnd"/>
            <w:r w:rsidRPr="00CE45E2">
              <w:rPr>
                <w:b/>
                <w:i/>
              </w:rPr>
              <w:t xml:space="preserve"> gdy IORP są w stanie ocenić te preferencje uczestnictwa, oraz w zakresie, w jakim preferencje te są zgodne z zasadami inwestycyjnymi określonymi w ust. 1.</w:t>
            </w:r>
          </w:p>
        </w:tc>
        <w:tc>
          <w:tcPr>
            <w:tcW w:w="4876" w:type="dxa"/>
            <w:tcBorders>
              <w:top w:val="nil"/>
              <w:left w:val="nil"/>
              <w:bottom w:val="nil"/>
              <w:right w:val="nil"/>
            </w:tcBorders>
          </w:tcPr>
          <w:p w14:paraId="68C8AE79" w14:textId="77777777" w:rsidR="00CE45E2" w:rsidRPr="00CE45E2" w:rsidRDefault="00CE45E2" w:rsidP="006476FB">
            <w:pPr>
              <w:pStyle w:val="Normal6a"/>
            </w:pPr>
            <w:r w:rsidRPr="00CE45E2">
              <w:rPr>
                <w:b/>
                <w:i/>
              </w:rPr>
              <w:t>skreśla się</w:t>
            </w:r>
          </w:p>
        </w:tc>
      </w:tr>
    </w:tbl>
    <w:p w14:paraId="547D8E2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FC447CF"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803CCE1" w14:textId="77777777" w:rsidR="00CE45E2" w:rsidRPr="00CE45E2" w:rsidRDefault="00CE45E2" w:rsidP="00CE45E2">
      <w:pPr>
        <w:pStyle w:val="AmJustText"/>
      </w:pPr>
      <w:r w:rsidRPr="00CE45E2">
        <w:t>Wymóg, aby państwa członkowskie zapewniły, że decyzje inwestycyjne IORP odzwierciedlają preferencje uczestników i beneficjentów w zakresie zrównoważonego rozwoju, jest nierealny.</w:t>
      </w:r>
    </w:p>
    <w:p w14:paraId="24D7B72C" w14:textId="77777777" w:rsidR="00CE45E2" w:rsidRPr="00CE45E2" w:rsidRDefault="00CE45E2" w:rsidP="00CE45E2">
      <w:r w:rsidRPr="00CE45E2">
        <w:rPr>
          <w:rStyle w:val="HideTWBExt"/>
        </w:rPr>
        <w:t>&lt;/Amend&gt;</w:t>
      </w:r>
    </w:p>
    <w:p w14:paraId="2AA733C9" w14:textId="56F55FB9"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327</w:t>
      </w:r>
      <w:r w:rsidRPr="00CE45E2">
        <w:rPr>
          <w:rStyle w:val="HideTWBExt"/>
          <w:b w:val="0"/>
        </w:rPr>
        <w:t>&lt;/NumAm&gt;</w:t>
      </w:r>
    </w:p>
    <w:p w14:paraId="6B7A78F6" w14:textId="77777777" w:rsidR="00CE45E2" w:rsidRPr="00CE45E2" w:rsidRDefault="00CE45E2" w:rsidP="00CE45E2">
      <w:pPr>
        <w:pStyle w:val="NormalBold"/>
      </w:pPr>
      <w:r w:rsidRPr="00CE45E2">
        <w:rPr>
          <w:rStyle w:val="HideTWBExt"/>
          <w:b w:val="0"/>
        </w:rPr>
        <w:t>&lt;RepeatBlock-By&gt;&lt;Members&gt;</w:t>
      </w:r>
      <w:r w:rsidRPr="00CE45E2">
        <w:t>Markus Ferber, Andrea Wechsler</w:t>
      </w:r>
      <w:r w:rsidRPr="00CE45E2">
        <w:rPr>
          <w:rStyle w:val="HideTWBExt"/>
          <w:b w:val="0"/>
        </w:rPr>
        <w:t>&lt;/Members&gt;</w:t>
      </w:r>
    </w:p>
    <w:p w14:paraId="547F787E" w14:textId="77777777" w:rsidR="00CE45E2" w:rsidRPr="00CE45E2" w:rsidRDefault="00CE45E2" w:rsidP="00CE45E2">
      <w:pPr>
        <w:pStyle w:val="NormalBold"/>
      </w:pPr>
      <w:r w:rsidRPr="00CE45E2">
        <w:rPr>
          <w:rStyle w:val="HideTWBExt"/>
          <w:b w:val="0"/>
        </w:rPr>
        <w:t>&lt;/RepeatBlock-By&gt;</w:t>
      </w:r>
    </w:p>
    <w:p w14:paraId="393E4ED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266287FC"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2D07A324"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90A78B1"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99BEF57" w14:textId="77777777" w:rsidTr="006476FB">
        <w:trPr>
          <w:trHeight w:hRule="exact" w:val="240"/>
          <w:jc w:val="center"/>
        </w:trPr>
        <w:tc>
          <w:tcPr>
            <w:tcW w:w="9752" w:type="dxa"/>
            <w:gridSpan w:val="2"/>
            <w:tcBorders>
              <w:top w:val="nil"/>
              <w:left w:val="nil"/>
              <w:bottom w:val="nil"/>
              <w:right w:val="nil"/>
            </w:tcBorders>
          </w:tcPr>
          <w:p w14:paraId="41C4E542" w14:textId="77777777" w:rsidR="00CE45E2" w:rsidRPr="00CE45E2" w:rsidRDefault="00CE45E2" w:rsidP="006476FB"/>
        </w:tc>
      </w:tr>
      <w:tr w:rsidR="00CE45E2" w:rsidRPr="00CE45E2" w14:paraId="02255F1B" w14:textId="77777777" w:rsidTr="006476FB">
        <w:trPr>
          <w:trHeight w:val="240"/>
          <w:jc w:val="center"/>
        </w:trPr>
        <w:tc>
          <w:tcPr>
            <w:tcW w:w="4876" w:type="dxa"/>
            <w:tcBorders>
              <w:top w:val="nil"/>
              <w:left w:val="nil"/>
              <w:bottom w:val="nil"/>
              <w:right w:val="nil"/>
            </w:tcBorders>
          </w:tcPr>
          <w:p w14:paraId="2E39B8B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76F4134" w14:textId="77777777" w:rsidR="00CE45E2" w:rsidRPr="00CE45E2" w:rsidRDefault="00CE45E2" w:rsidP="006476FB">
            <w:pPr>
              <w:pStyle w:val="AmColumnHeading"/>
            </w:pPr>
            <w:r w:rsidRPr="00CE45E2">
              <w:t>Poprawka</w:t>
            </w:r>
          </w:p>
        </w:tc>
      </w:tr>
      <w:tr w:rsidR="00CE45E2" w:rsidRPr="00CE45E2" w14:paraId="6883ECB4" w14:textId="77777777" w:rsidTr="006476FB">
        <w:trPr>
          <w:jc w:val="center"/>
        </w:trPr>
        <w:tc>
          <w:tcPr>
            <w:tcW w:w="4876" w:type="dxa"/>
            <w:tcBorders>
              <w:top w:val="nil"/>
              <w:left w:val="nil"/>
              <w:bottom w:val="nil"/>
              <w:right w:val="nil"/>
            </w:tcBorders>
          </w:tcPr>
          <w:p w14:paraId="6EBE41FB" w14:textId="77777777" w:rsidR="00CE45E2" w:rsidRPr="00CE45E2" w:rsidRDefault="00CE45E2" w:rsidP="006476FB">
            <w:pPr>
              <w:pStyle w:val="Normal6a"/>
            </w:pPr>
            <w:r w:rsidRPr="00CE45E2">
              <w:rPr>
                <w:b/>
                <w:i/>
              </w:rPr>
              <w:t>1c.</w:t>
            </w:r>
            <w:r w:rsidRPr="00CE45E2">
              <w:tab/>
            </w:r>
            <w:r w:rsidRPr="00CE45E2">
              <w:rPr>
                <w:b/>
                <w:i/>
              </w:rPr>
              <w:t xml:space="preserve">Państwa członkowskie wymagają, aby decyzje inwestycyjne IORP odzwierciedlały preferencje uczestników i beneficjentów w zakresie zrównoważonego rozwoju, w </w:t>
            </w:r>
            <w:proofErr w:type="gramStart"/>
            <w:r w:rsidRPr="00CE45E2">
              <w:rPr>
                <w:b/>
                <w:i/>
              </w:rPr>
              <w:t>przypadku</w:t>
            </w:r>
            <w:proofErr w:type="gramEnd"/>
            <w:r w:rsidRPr="00CE45E2">
              <w:rPr>
                <w:b/>
                <w:i/>
              </w:rPr>
              <w:t xml:space="preserve"> gdy IORP są w stanie ocenić te preferencje uczestnictwa, oraz w zakresie, w jakim preferencje te są zgodne z zasadami inwestycyjnymi określonymi w ust. 1.</w:t>
            </w:r>
          </w:p>
        </w:tc>
        <w:tc>
          <w:tcPr>
            <w:tcW w:w="4876" w:type="dxa"/>
            <w:tcBorders>
              <w:top w:val="nil"/>
              <w:left w:val="nil"/>
              <w:bottom w:val="nil"/>
              <w:right w:val="nil"/>
            </w:tcBorders>
          </w:tcPr>
          <w:p w14:paraId="13F63CB7" w14:textId="77777777" w:rsidR="00CE45E2" w:rsidRPr="00CE45E2" w:rsidRDefault="00CE45E2" w:rsidP="006476FB">
            <w:pPr>
              <w:pStyle w:val="Normal6a"/>
            </w:pPr>
            <w:r w:rsidRPr="00CE45E2">
              <w:rPr>
                <w:b/>
                <w:i/>
              </w:rPr>
              <w:t>skreśla się</w:t>
            </w:r>
          </w:p>
        </w:tc>
      </w:tr>
    </w:tbl>
    <w:p w14:paraId="281CA662"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E27D424"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0902616B" w14:textId="77777777" w:rsidR="00CE45E2" w:rsidRPr="00CE45E2" w:rsidRDefault="00CE45E2" w:rsidP="00CE45E2">
      <w:pPr>
        <w:pStyle w:val="AmJustText"/>
      </w:pPr>
      <w:r w:rsidRPr="00CE45E2">
        <w:t xml:space="preserve">Ust. 1c i 1d przenoszą ramy indywidualnej adekwatności z dyrektywy </w:t>
      </w:r>
      <w:proofErr w:type="spellStart"/>
      <w:r w:rsidRPr="00CE45E2">
        <w:t>MiFID</w:t>
      </w:r>
      <w:proofErr w:type="spellEnd"/>
      <w:r w:rsidRPr="00CE45E2">
        <w:t xml:space="preserve"> II do kontekstu zbiorowych pracowniczych programów emerytalnych, w którym ustalenie indywidualnych preferencji jest niemożliwe z operacyjnego punktu widzenia. Odzwierciedlenie zróżnicowanych preferencji uczestników w ramach zbiorowych programów emerytalnych typu DB jest sprzeczne z ich podstawową strukturą. Definicje te odwołują się do przepisów rozporządzenia w sprawie ujawniania informacji związanych ze zrównoważonym rozwojem w sektorze usług finansowych, które to przepisy są obecnie przedmiotem przeglądu, co powoduje niepewność prawa.</w:t>
      </w:r>
    </w:p>
    <w:p w14:paraId="3B5FEE8F" w14:textId="77777777" w:rsidR="00CE45E2" w:rsidRPr="00CE45E2" w:rsidRDefault="00CE45E2" w:rsidP="00CE45E2">
      <w:r w:rsidRPr="00CE45E2">
        <w:rPr>
          <w:rStyle w:val="HideTWBExt"/>
        </w:rPr>
        <w:t>&lt;/Amend&gt;</w:t>
      </w:r>
    </w:p>
    <w:p w14:paraId="3CFEBE3F" w14:textId="5156AEC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328</w:t>
      </w:r>
      <w:r w:rsidRPr="00CE45E2">
        <w:rPr>
          <w:rStyle w:val="HideTWBExt"/>
          <w:b w:val="0"/>
        </w:rPr>
        <w:t>&lt;/NumAm&gt;</w:t>
      </w:r>
    </w:p>
    <w:p w14:paraId="13D55839"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7AA6344E" w14:textId="77777777" w:rsidR="00CE45E2" w:rsidRPr="00CE45E2" w:rsidRDefault="00CE45E2" w:rsidP="00CE45E2">
      <w:pPr>
        <w:pStyle w:val="NormalBold"/>
      </w:pPr>
      <w:r w:rsidRPr="00CE45E2">
        <w:rPr>
          <w:rStyle w:val="HideTWBExt"/>
          <w:b w:val="0"/>
        </w:rPr>
        <w:t>&lt;/RepeatBlock-By&gt;</w:t>
      </w:r>
    </w:p>
    <w:p w14:paraId="55319DF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B867395"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200D0D52"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2FC4D5BC"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4E199658" w14:textId="77777777" w:rsidTr="006476FB">
        <w:trPr>
          <w:trHeight w:hRule="exact" w:val="240"/>
          <w:jc w:val="center"/>
        </w:trPr>
        <w:tc>
          <w:tcPr>
            <w:tcW w:w="9752" w:type="dxa"/>
            <w:gridSpan w:val="2"/>
            <w:tcBorders>
              <w:top w:val="nil"/>
              <w:left w:val="nil"/>
              <w:bottom w:val="nil"/>
              <w:right w:val="nil"/>
            </w:tcBorders>
          </w:tcPr>
          <w:p w14:paraId="2D486A0F" w14:textId="77777777" w:rsidR="00CE45E2" w:rsidRPr="00CE45E2" w:rsidRDefault="00CE45E2" w:rsidP="006476FB"/>
        </w:tc>
      </w:tr>
      <w:tr w:rsidR="00CE45E2" w:rsidRPr="00CE45E2" w14:paraId="7A5066A9" w14:textId="77777777" w:rsidTr="006476FB">
        <w:trPr>
          <w:trHeight w:val="240"/>
          <w:jc w:val="center"/>
        </w:trPr>
        <w:tc>
          <w:tcPr>
            <w:tcW w:w="4876" w:type="dxa"/>
            <w:tcBorders>
              <w:top w:val="nil"/>
              <w:left w:val="nil"/>
              <w:bottom w:val="nil"/>
              <w:right w:val="nil"/>
            </w:tcBorders>
          </w:tcPr>
          <w:p w14:paraId="46A9801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6FA3CF30" w14:textId="77777777" w:rsidR="00CE45E2" w:rsidRPr="00CE45E2" w:rsidRDefault="00CE45E2" w:rsidP="006476FB">
            <w:pPr>
              <w:pStyle w:val="AmColumnHeading"/>
            </w:pPr>
            <w:r w:rsidRPr="00CE45E2">
              <w:t>Poprawka</w:t>
            </w:r>
          </w:p>
        </w:tc>
      </w:tr>
      <w:tr w:rsidR="00CE45E2" w:rsidRPr="00CE45E2" w14:paraId="61277C01" w14:textId="77777777" w:rsidTr="006476FB">
        <w:trPr>
          <w:jc w:val="center"/>
        </w:trPr>
        <w:tc>
          <w:tcPr>
            <w:tcW w:w="4876" w:type="dxa"/>
            <w:tcBorders>
              <w:top w:val="nil"/>
              <w:left w:val="nil"/>
              <w:bottom w:val="nil"/>
              <w:right w:val="nil"/>
            </w:tcBorders>
          </w:tcPr>
          <w:p w14:paraId="797F55E8" w14:textId="77777777" w:rsidR="00CE45E2" w:rsidRPr="00CE45E2" w:rsidRDefault="00CE45E2" w:rsidP="006476FB">
            <w:pPr>
              <w:pStyle w:val="Normal6a"/>
            </w:pPr>
            <w:r w:rsidRPr="00CE45E2">
              <w:rPr>
                <w:b/>
                <w:i/>
              </w:rPr>
              <w:t>1c.</w:t>
            </w:r>
            <w:r w:rsidRPr="00CE45E2">
              <w:tab/>
            </w:r>
            <w:r w:rsidRPr="00CE45E2">
              <w:rPr>
                <w:b/>
                <w:i/>
              </w:rPr>
              <w:t xml:space="preserve">Państwa członkowskie wymagają, aby decyzje inwestycyjne IORP odzwierciedlały preferencje uczestników i beneficjentów w zakresie zrównoważonego rozwoju, w </w:t>
            </w:r>
            <w:proofErr w:type="gramStart"/>
            <w:r w:rsidRPr="00CE45E2">
              <w:rPr>
                <w:b/>
                <w:i/>
              </w:rPr>
              <w:t>przypadku</w:t>
            </w:r>
            <w:proofErr w:type="gramEnd"/>
            <w:r w:rsidRPr="00CE45E2">
              <w:rPr>
                <w:b/>
                <w:i/>
              </w:rPr>
              <w:t xml:space="preserve"> gdy IORP są w stanie ocenić te preferencje uczestnictwa, oraz w zakresie, w jakim preferencje te są zgodne z zasadami inwestycyjnymi określonymi w ust. 1.</w:t>
            </w:r>
          </w:p>
        </w:tc>
        <w:tc>
          <w:tcPr>
            <w:tcW w:w="4876" w:type="dxa"/>
            <w:tcBorders>
              <w:top w:val="nil"/>
              <w:left w:val="nil"/>
              <w:bottom w:val="nil"/>
              <w:right w:val="nil"/>
            </w:tcBorders>
          </w:tcPr>
          <w:p w14:paraId="250F9081" w14:textId="77777777" w:rsidR="00CE45E2" w:rsidRPr="00CE45E2" w:rsidRDefault="00CE45E2" w:rsidP="006476FB">
            <w:pPr>
              <w:pStyle w:val="Normal6a"/>
            </w:pPr>
            <w:r w:rsidRPr="00CE45E2">
              <w:rPr>
                <w:b/>
                <w:i/>
              </w:rPr>
              <w:t>skreśla się</w:t>
            </w:r>
          </w:p>
        </w:tc>
      </w:tr>
    </w:tbl>
    <w:p w14:paraId="42CD15B8"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0C70823" w14:textId="77777777" w:rsidR="00CE45E2" w:rsidRPr="00CE45E2" w:rsidRDefault="00CE45E2" w:rsidP="00CE45E2">
      <w:r w:rsidRPr="00CE45E2">
        <w:rPr>
          <w:rStyle w:val="HideTWBExt"/>
        </w:rPr>
        <w:t>&lt;/Amend&gt;</w:t>
      </w:r>
    </w:p>
    <w:p w14:paraId="16A63A03" w14:textId="6D9EB0C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329</w:t>
      </w:r>
      <w:r w:rsidRPr="00CE45E2">
        <w:rPr>
          <w:rStyle w:val="HideTWBExt"/>
          <w:b w:val="0"/>
        </w:rPr>
        <w:t>&lt;/NumAm&gt;</w:t>
      </w:r>
    </w:p>
    <w:p w14:paraId="020C55F1" w14:textId="77777777" w:rsidR="00CE45E2" w:rsidRPr="00CE45E2" w:rsidRDefault="00CE45E2" w:rsidP="00CE45E2">
      <w:pPr>
        <w:pStyle w:val="NormalBold"/>
      </w:pPr>
      <w:r w:rsidRPr="00CE45E2">
        <w:rPr>
          <w:rStyle w:val="HideTWBExt"/>
          <w:b w:val="0"/>
        </w:rPr>
        <w:t>&lt;RepeatBlock-By&gt;&lt;Members&gt;</w:t>
      </w:r>
      <w:proofErr w:type="spellStart"/>
      <w:r w:rsidRPr="00CE45E2">
        <w:t>Auke</w:t>
      </w:r>
      <w:proofErr w:type="spellEnd"/>
      <w:r w:rsidRPr="00CE45E2">
        <w:t xml:space="preserve"> </w:t>
      </w:r>
      <w:proofErr w:type="spellStart"/>
      <w:r w:rsidRPr="00CE45E2">
        <w:t>Zijlstra</w:t>
      </w:r>
      <w:proofErr w:type="spellEnd"/>
      <w:r w:rsidRPr="00CE45E2">
        <w:t xml:space="preserve">, </w:t>
      </w:r>
      <w:proofErr w:type="spellStart"/>
      <w:r w:rsidRPr="00CE45E2">
        <w:t>Mireia</w:t>
      </w:r>
      <w:proofErr w:type="spellEnd"/>
      <w:r w:rsidRPr="00CE45E2">
        <w:t xml:space="preserve"> </w:t>
      </w:r>
      <w:proofErr w:type="spellStart"/>
      <w:r w:rsidRPr="00CE45E2">
        <w:t>Borrás</w:t>
      </w:r>
      <w:proofErr w:type="spellEnd"/>
      <w:r w:rsidRPr="00CE45E2">
        <w:t xml:space="preserve"> </w:t>
      </w:r>
      <w:proofErr w:type="spellStart"/>
      <w:r w:rsidRPr="00CE45E2">
        <w:t>Pabón</w:t>
      </w:r>
      <w:proofErr w:type="spellEnd"/>
      <w:r w:rsidRPr="00CE45E2">
        <w:rPr>
          <w:rStyle w:val="HideTWBExt"/>
          <w:b w:val="0"/>
        </w:rPr>
        <w:t>&lt;/Members&gt;</w:t>
      </w:r>
    </w:p>
    <w:p w14:paraId="2E49B1A7" w14:textId="77777777" w:rsidR="00CE45E2" w:rsidRPr="00CE45E2" w:rsidRDefault="00CE45E2" w:rsidP="00CE45E2">
      <w:pPr>
        <w:pStyle w:val="NormalBold"/>
      </w:pPr>
      <w:r w:rsidRPr="00CE45E2">
        <w:rPr>
          <w:rStyle w:val="HideTWBExt"/>
          <w:b w:val="0"/>
        </w:rPr>
        <w:t>&lt;/RepeatBlock-By&gt;</w:t>
      </w:r>
    </w:p>
    <w:p w14:paraId="5C3128D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4F984EB"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536D150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ACC3F01"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EC8A071" w14:textId="77777777" w:rsidTr="006476FB">
        <w:trPr>
          <w:trHeight w:hRule="exact" w:val="240"/>
          <w:jc w:val="center"/>
        </w:trPr>
        <w:tc>
          <w:tcPr>
            <w:tcW w:w="9752" w:type="dxa"/>
            <w:gridSpan w:val="2"/>
            <w:tcBorders>
              <w:top w:val="nil"/>
              <w:left w:val="nil"/>
              <w:bottom w:val="nil"/>
              <w:right w:val="nil"/>
            </w:tcBorders>
          </w:tcPr>
          <w:p w14:paraId="2899C934" w14:textId="77777777" w:rsidR="00CE45E2" w:rsidRPr="00CE45E2" w:rsidRDefault="00CE45E2" w:rsidP="006476FB"/>
        </w:tc>
      </w:tr>
      <w:tr w:rsidR="00CE45E2" w:rsidRPr="00CE45E2" w14:paraId="14DCCB1D" w14:textId="77777777" w:rsidTr="006476FB">
        <w:trPr>
          <w:trHeight w:val="240"/>
          <w:jc w:val="center"/>
        </w:trPr>
        <w:tc>
          <w:tcPr>
            <w:tcW w:w="4876" w:type="dxa"/>
            <w:tcBorders>
              <w:top w:val="nil"/>
              <w:left w:val="nil"/>
              <w:bottom w:val="nil"/>
              <w:right w:val="nil"/>
            </w:tcBorders>
          </w:tcPr>
          <w:p w14:paraId="61BFCCA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161A9542" w14:textId="77777777" w:rsidR="00CE45E2" w:rsidRPr="00CE45E2" w:rsidRDefault="00CE45E2" w:rsidP="006476FB">
            <w:pPr>
              <w:pStyle w:val="AmColumnHeading"/>
            </w:pPr>
            <w:r w:rsidRPr="00CE45E2">
              <w:t>Poprawka</w:t>
            </w:r>
          </w:p>
        </w:tc>
      </w:tr>
      <w:tr w:rsidR="00CE45E2" w:rsidRPr="00CE45E2" w14:paraId="5B6D7881" w14:textId="77777777" w:rsidTr="006476FB">
        <w:trPr>
          <w:jc w:val="center"/>
        </w:trPr>
        <w:tc>
          <w:tcPr>
            <w:tcW w:w="4876" w:type="dxa"/>
            <w:tcBorders>
              <w:top w:val="nil"/>
              <w:left w:val="nil"/>
              <w:bottom w:val="nil"/>
              <w:right w:val="nil"/>
            </w:tcBorders>
          </w:tcPr>
          <w:p w14:paraId="7568CB9B" w14:textId="77777777" w:rsidR="00CE45E2" w:rsidRPr="00CE45E2" w:rsidRDefault="00CE45E2" w:rsidP="006476FB">
            <w:pPr>
              <w:pStyle w:val="Normal6a"/>
            </w:pPr>
            <w:r w:rsidRPr="00CE45E2">
              <w:t>1c.</w:t>
            </w:r>
            <w:r w:rsidRPr="00CE45E2">
              <w:tab/>
              <w:t>Państwa członkowskie wymagają</w:t>
            </w:r>
            <w:r w:rsidRPr="00CE45E2">
              <w:rPr>
                <w:b/>
                <w:bCs/>
                <w:i/>
                <w:iCs/>
              </w:rPr>
              <w:t>, aby decyzje inwestycyjne IORP odzwierciedlały preferencje</w:t>
            </w:r>
            <w:r w:rsidRPr="00CE45E2">
              <w:t xml:space="preserve"> uczestników i beneficjentów </w:t>
            </w:r>
            <w:r w:rsidRPr="00CE45E2">
              <w:rPr>
                <w:b/>
                <w:bCs/>
                <w:i/>
                <w:iCs/>
              </w:rPr>
              <w:t xml:space="preserve">w zakresie zrównoważonego rozwoju, w </w:t>
            </w:r>
            <w:proofErr w:type="gramStart"/>
            <w:r w:rsidRPr="00CE45E2">
              <w:rPr>
                <w:b/>
                <w:bCs/>
                <w:i/>
                <w:iCs/>
              </w:rPr>
              <w:t>przypadku</w:t>
            </w:r>
            <w:proofErr w:type="gramEnd"/>
            <w:r w:rsidRPr="00CE45E2">
              <w:rPr>
                <w:b/>
                <w:bCs/>
                <w:i/>
                <w:iCs/>
              </w:rPr>
              <w:t xml:space="preserve"> gdy IORP są w stanie ocenić te preferencje uczestnictwa, oraz w zakresie, w jakim preferencje te są zgodne z zasadami inwestycyjnymi określonymi w ust. 1</w:t>
            </w:r>
            <w:r w:rsidRPr="00CE45E2">
              <w:t>.</w:t>
            </w:r>
          </w:p>
        </w:tc>
        <w:tc>
          <w:tcPr>
            <w:tcW w:w="4876" w:type="dxa"/>
            <w:tcBorders>
              <w:top w:val="nil"/>
              <w:left w:val="nil"/>
              <w:bottom w:val="nil"/>
              <w:right w:val="nil"/>
            </w:tcBorders>
          </w:tcPr>
          <w:p w14:paraId="505802BA" w14:textId="77777777" w:rsidR="00CE45E2" w:rsidRPr="00CE45E2" w:rsidRDefault="00CE45E2" w:rsidP="006476FB">
            <w:pPr>
              <w:pStyle w:val="Normal6a"/>
            </w:pPr>
            <w:r w:rsidRPr="00CE45E2">
              <w:t>1c.</w:t>
            </w:r>
            <w:r w:rsidRPr="00CE45E2">
              <w:tab/>
            </w:r>
            <w:r w:rsidRPr="00CE45E2">
              <w:rPr>
                <w:b/>
                <w:bCs/>
                <w:i/>
                <w:iCs/>
              </w:rPr>
              <w:t>W przypadku gdy IORP inwestuje lub zamierza inwestować w aktywa wprowadzane do obrotu, oznaczone lub sklasyfikowane jako służące celom środowiskowym,</w:t>
            </w:r>
            <w:r w:rsidRPr="00CE45E2">
              <w:t xml:space="preserve"> państwa członkowskie wymagają od tej IORP </w:t>
            </w:r>
            <w:r w:rsidRPr="00CE45E2">
              <w:rPr>
                <w:b/>
                <w:bCs/>
                <w:i/>
                <w:iCs/>
              </w:rPr>
              <w:t>przeprowadzania ankiety wśród wszystkich swoich</w:t>
            </w:r>
            <w:r w:rsidRPr="00CE45E2">
              <w:t xml:space="preserve"> uczestników i beneficjentów </w:t>
            </w:r>
            <w:r w:rsidRPr="00CE45E2">
              <w:rPr>
                <w:b/>
                <w:bCs/>
                <w:i/>
                <w:iCs/>
              </w:rPr>
              <w:t>co najmniej co trzy lata oraz przed wprowadzeniem jakiejkolwiek istotnej zmiany w odpowiedniej polityce inwestycyjnej</w:t>
            </w:r>
            <w:r w:rsidRPr="00CE45E2">
              <w:t>.</w:t>
            </w:r>
            <w:r w:rsidRPr="00CE45E2">
              <w:rPr>
                <w:b/>
                <w:i/>
              </w:rPr>
              <w:t xml:space="preserve"> W ankiecie należy zapytać uczestników i beneficjentów:</w:t>
            </w:r>
          </w:p>
        </w:tc>
      </w:tr>
      <w:tr w:rsidR="00CE45E2" w:rsidRPr="00CE45E2" w14:paraId="0D4AD271" w14:textId="77777777" w:rsidTr="006476FB">
        <w:trPr>
          <w:jc w:val="center"/>
        </w:trPr>
        <w:tc>
          <w:tcPr>
            <w:tcW w:w="4876" w:type="dxa"/>
            <w:tcBorders>
              <w:top w:val="nil"/>
              <w:left w:val="nil"/>
              <w:bottom w:val="nil"/>
              <w:right w:val="nil"/>
            </w:tcBorders>
          </w:tcPr>
          <w:p w14:paraId="11B4CC06" w14:textId="77777777" w:rsidR="00CE45E2" w:rsidRPr="00CE45E2" w:rsidRDefault="00CE45E2" w:rsidP="006476FB">
            <w:pPr>
              <w:pStyle w:val="Normal6a"/>
            </w:pPr>
          </w:p>
        </w:tc>
        <w:tc>
          <w:tcPr>
            <w:tcW w:w="4876" w:type="dxa"/>
            <w:tcBorders>
              <w:top w:val="nil"/>
              <w:left w:val="nil"/>
              <w:bottom w:val="nil"/>
              <w:right w:val="nil"/>
            </w:tcBorders>
          </w:tcPr>
          <w:p w14:paraId="6003CFE1" w14:textId="77777777" w:rsidR="00CE45E2" w:rsidRPr="00CE45E2" w:rsidRDefault="00CE45E2" w:rsidP="006476FB">
            <w:pPr>
              <w:pStyle w:val="Normal6a"/>
            </w:pPr>
            <w:r w:rsidRPr="00CE45E2">
              <w:rPr>
                <w:b/>
                <w:i/>
              </w:rPr>
              <w:t>a) czy preferują, aby IORP dokonywała większej, mniejszej czy takiej samej liczby takich inwestycji; oraz</w:t>
            </w:r>
          </w:p>
        </w:tc>
      </w:tr>
      <w:tr w:rsidR="00CE45E2" w:rsidRPr="00CE45E2" w14:paraId="5A58A800" w14:textId="77777777" w:rsidTr="006476FB">
        <w:trPr>
          <w:jc w:val="center"/>
        </w:trPr>
        <w:tc>
          <w:tcPr>
            <w:tcW w:w="4876" w:type="dxa"/>
            <w:tcBorders>
              <w:top w:val="nil"/>
              <w:left w:val="nil"/>
              <w:bottom w:val="nil"/>
              <w:right w:val="nil"/>
            </w:tcBorders>
          </w:tcPr>
          <w:p w14:paraId="0A77FB84" w14:textId="77777777" w:rsidR="00CE45E2" w:rsidRPr="00CE45E2" w:rsidRDefault="00CE45E2" w:rsidP="006476FB">
            <w:pPr>
              <w:pStyle w:val="Normal6a"/>
            </w:pPr>
          </w:p>
        </w:tc>
        <w:tc>
          <w:tcPr>
            <w:tcW w:w="4876" w:type="dxa"/>
            <w:tcBorders>
              <w:top w:val="nil"/>
              <w:left w:val="nil"/>
              <w:bottom w:val="nil"/>
              <w:right w:val="nil"/>
            </w:tcBorders>
          </w:tcPr>
          <w:p w14:paraId="37F8AEDA" w14:textId="77777777" w:rsidR="00CE45E2" w:rsidRPr="00CE45E2" w:rsidRDefault="00CE45E2" w:rsidP="006476FB">
            <w:pPr>
              <w:pStyle w:val="Normal6a"/>
            </w:pPr>
            <w:r w:rsidRPr="00CE45E2">
              <w:rPr>
                <w:b/>
                <w:i/>
              </w:rPr>
              <w:t xml:space="preserve">b) </w:t>
            </w:r>
            <w:r w:rsidRPr="00CE45E2">
              <w:rPr>
                <w:b/>
                <w:bCs/>
                <w:i/>
                <w:iCs/>
              </w:rPr>
              <w:t>jaki minimalny i maksymalny odsetek odpowiedniego portfela można przeznaczyć na takie inwestycje</w:t>
            </w:r>
            <w:r w:rsidRPr="00CE45E2">
              <w:t>.</w:t>
            </w:r>
          </w:p>
        </w:tc>
      </w:tr>
    </w:tbl>
    <w:p w14:paraId="1631FACB"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66EFBB7"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3ABB5746" w14:textId="77777777" w:rsidR="00CE45E2" w:rsidRPr="00CE45E2" w:rsidRDefault="00CE45E2" w:rsidP="00CE45E2">
      <w:pPr>
        <w:pStyle w:val="AmJustText"/>
      </w:pPr>
      <w:r w:rsidRPr="00CE45E2">
        <w:t>To uczestnicy, a nie organy regulacyjne czy zarządzający IORP, powinni decydować, czy ich oszczędności emerytalne mogą być wykorzystywane na zielone inwestycje oraz jaki jest maksymalny dopuszczalny udział takich inwestycji. Podejście to respektuje wybór uczestników, nie wprowadzając przy tym obowiązkowego limitu inwestycji ekologicznych.</w:t>
      </w:r>
    </w:p>
    <w:p w14:paraId="400FF052" w14:textId="77777777" w:rsidR="00CE45E2" w:rsidRPr="00CE45E2" w:rsidRDefault="00CE45E2" w:rsidP="00CE45E2">
      <w:r w:rsidRPr="00CE45E2">
        <w:rPr>
          <w:rStyle w:val="HideTWBExt"/>
        </w:rPr>
        <w:t>&lt;/Amend&gt;</w:t>
      </w:r>
    </w:p>
    <w:p w14:paraId="26A735E3" w14:textId="7E06A771"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330</w:t>
      </w:r>
      <w:r w:rsidRPr="00CE45E2">
        <w:rPr>
          <w:rStyle w:val="HideTWBExt"/>
          <w:b w:val="0"/>
        </w:rPr>
        <w:t>&lt;/NumAm&gt;</w:t>
      </w:r>
    </w:p>
    <w:p w14:paraId="77CAFE8F" w14:textId="77777777" w:rsidR="00CE45E2" w:rsidRPr="00CE45E2" w:rsidRDefault="00CE45E2" w:rsidP="00CE45E2">
      <w:pPr>
        <w:pStyle w:val="NormalBold"/>
      </w:pPr>
      <w:r w:rsidRPr="00CE45E2">
        <w:rPr>
          <w:rStyle w:val="HideTWBExt"/>
          <w:b w:val="0"/>
        </w:rPr>
        <w:t>&lt;RepeatBlock-By&gt;&lt;Members&gt;</w:t>
      </w:r>
      <w:proofErr w:type="spellStart"/>
      <w:r w:rsidRPr="00CE45E2">
        <w:t>Jonás</w:t>
      </w:r>
      <w:proofErr w:type="spellEnd"/>
      <w:r w:rsidRPr="00CE45E2">
        <w:t xml:space="preserve"> </w:t>
      </w:r>
      <w:proofErr w:type="spellStart"/>
      <w:r w:rsidRPr="00CE45E2">
        <w:t>Fernández</w:t>
      </w:r>
      <w:proofErr w:type="spellEnd"/>
      <w:r w:rsidRPr="00CE45E2">
        <w:t xml:space="preserve">, </w:t>
      </w:r>
      <w:proofErr w:type="spellStart"/>
      <w:r w:rsidRPr="00CE45E2">
        <w:t>César</w:t>
      </w:r>
      <w:proofErr w:type="spellEnd"/>
      <w:r w:rsidRPr="00CE45E2">
        <w:t xml:space="preserve"> </w:t>
      </w:r>
      <w:proofErr w:type="spellStart"/>
      <w:r w:rsidRPr="00CE45E2">
        <w:t>Luena</w:t>
      </w:r>
      <w:proofErr w:type="spellEnd"/>
      <w:r w:rsidRPr="00CE45E2">
        <w:rPr>
          <w:rStyle w:val="HideTWBExt"/>
          <w:b w:val="0"/>
        </w:rPr>
        <w:t>&lt;/Members&gt;</w:t>
      </w:r>
    </w:p>
    <w:p w14:paraId="41949D86" w14:textId="77777777" w:rsidR="00CE45E2" w:rsidRPr="00CE45E2" w:rsidRDefault="00CE45E2" w:rsidP="00CE45E2">
      <w:pPr>
        <w:pStyle w:val="NormalBold"/>
      </w:pPr>
      <w:r w:rsidRPr="00CE45E2">
        <w:rPr>
          <w:rStyle w:val="HideTWBExt"/>
          <w:b w:val="0"/>
        </w:rPr>
        <w:t>&lt;/RepeatBlock-By&gt;</w:t>
      </w:r>
    </w:p>
    <w:p w14:paraId="7D6BF4F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31A1BF63"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25380505"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125524D"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7E6E464" w14:textId="77777777" w:rsidTr="006476FB">
        <w:trPr>
          <w:trHeight w:hRule="exact" w:val="240"/>
          <w:jc w:val="center"/>
        </w:trPr>
        <w:tc>
          <w:tcPr>
            <w:tcW w:w="9752" w:type="dxa"/>
            <w:gridSpan w:val="2"/>
            <w:tcBorders>
              <w:top w:val="nil"/>
              <w:left w:val="nil"/>
              <w:bottom w:val="nil"/>
              <w:right w:val="nil"/>
            </w:tcBorders>
          </w:tcPr>
          <w:p w14:paraId="3FD34ABC" w14:textId="77777777" w:rsidR="00CE45E2" w:rsidRPr="00CE45E2" w:rsidRDefault="00CE45E2" w:rsidP="006476FB"/>
        </w:tc>
      </w:tr>
      <w:tr w:rsidR="00CE45E2" w:rsidRPr="00CE45E2" w14:paraId="56FC7225" w14:textId="77777777" w:rsidTr="006476FB">
        <w:trPr>
          <w:trHeight w:val="240"/>
          <w:jc w:val="center"/>
        </w:trPr>
        <w:tc>
          <w:tcPr>
            <w:tcW w:w="4876" w:type="dxa"/>
            <w:tcBorders>
              <w:top w:val="nil"/>
              <w:left w:val="nil"/>
              <w:bottom w:val="nil"/>
              <w:right w:val="nil"/>
            </w:tcBorders>
          </w:tcPr>
          <w:p w14:paraId="5FD49EDA"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ADEF8D1" w14:textId="77777777" w:rsidR="00CE45E2" w:rsidRPr="00CE45E2" w:rsidRDefault="00CE45E2" w:rsidP="006476FB">
            <w:pPr>
              <w:pStyle w:val="AmColumnHeading"/>
            </w:pPr>
            <w:r w:rsidRPr="00CE45E2">
              <w:t>Poprawka</w:t>
            </w:r>
          </w:p>
        </w:tc>
      </w:tr>
      <w:tr w:rsidR="00CE45E2" w:rsidRPr="00CE45E2" w14:paraId="7EAA6FB8" w14:textId="77777777" w:rsidTr="006476FB">
        <w:trPr>
          <w:jc w:val="center"/>
        </w:trPr>
        <w:tc>
          <w:tcPr>
            <w:tcW w:w="4876" w:type="dxa"/>
            <w:tcBorders>
              <w:top w:val="nil"/>
              <w:left w:val="nil"/>
              <w:bottom w:val="nil"/>
              <w:right w:val="nil"/>
            </w:tcBorders>
          </w:tcPr>
          <w:p w14:paraId="2DB3D7F9" w14:textId="77777777" w:rsidR="00CE45E2" w:rsidRPr="00CE45E2" w:rsidRDefault="00CE45E2" w:rsidP="006476FB">
            <w:pPr>
              <w:pStyle w:val="Normal6a"/>
            </w:pPr>
            <w:r w:rsidRPr="00CE45E2">
              <w:t>1c.</w:t>
            </w:r>
            <w:r w:rsidRPr="00CE45E2">
              <w:tab/>
            </w:r>
            <w:r w:rsidRPr="00CE45E2">
              <w:rPr>
                <w:b/>
                <w:bCs/>
                <w:i/>
                <w:iCs/>
              </w:rPr>
              <w:t>Państwa członkowskie wymagają, aby decyzje inwestycyjne IORP odzwierciedlały</w:t>
            </w:r>
            <w:r w:rsidRPr="00CE45E2">
              <w:rPr>
                <w:b/>
                <w:bCs/>
              </w:rPr>
              <w:t xml:space="preserve"> </w:t>
            </w:r>
            <w:r w:rsidRPr="00CE45E2">
              <w:t xml:space="preserve">preferencje uczestników i beneficjentów w zakresie zrównoważonego rozwoju, </w:t>
            </w:r>
            <w:r w:rsidRPr="00CE45E2">
              <w:rPr>
                <w:b/>
                <w:bCs/>
                <w:i/>
                <w:iCs/>
              </w:rPr>
              <w:t xml:space="preserve">w </w:t>
            </w:r>
            <w:proofErr w:type="gramStart"/>
            <w:r w:rsidRPr="00CE45E2">
              <w:rPr>
                <w:b/>
                <w:bCs/>
                <w:i/>
                <w:iCs/>
              </w:rPr>
              <w:t>przypadku</w:t>
            </w:r>
            <w:proofErr w:type="gramEnd"/>
            <w:r w:rsidRPr="00CE45E2">
              <w:rPr>
                <w:b/>
                <w:bCs/>
                <w:i/>
                <w:iCs/>
              </w:rPr>
              <w:t xml:space="preserve"> gdy IORP są w stanie ocenić te preferencje uczestnictwa, oraz w zakresie, w jakim preferencje te są zgodne </w:t>
            </w:r>
            <w:r w:rsidRPr="00CE45E2">
              <w:t>z zasadami inwestycyjnymi określonymi w ust. 1.</w:t>
            </w:r>
          </w:p>
        </w:tc>
        <w:tc>
          <w:tcPr>
            <w:tcW w:w="4876" w:type="dxa"/>
            <w:tcBorders>
              <w:top w:val="nil"/>
              <w:left w:val="nil"/>
              <w:bottom w:val="nil"/>
              <w:right w:val="nil"/>
            </w:tcBorders>
          </w:tcPr>
          <w:p w14:paraId="67713FD3" w14:textId="77777777" w:rsidR="00CE45E2" w:rsidRPr="00CE45E2" w:rsidRDefault="00CE45E2" w:rsidP="006476FB">
            <w:pPr>
              <w:pStyle w:val="Normal6a"/>
            </w:pPr>
            <w:r w:rsidRPr="00CE45E2">
              <w:t>1c.</w:t>
            </w:r>
            <w:r w:rsidRPr="00CE45E2">
              <w:tab/>
            </w:r>
            <w:r w:rsidRPr="00CE45E2">
              <w:rPr>
                <w:b/>
                <w:bCs/>
                <w:i/>
                <w:iCs/>
              </w:rPr>
              <w:t>Dostawcy usług powinni w swoich strategiach inwestycyjnych odzwierciedlać</w:t>
            </w:r>
            <w:r w:rsidRPr="00CE45E2">
              <w:t xml:space="preserve"> preferencje uczestników i beneficjentów w zakresie zrównoważonego rozwoju, </w:t>
            </w:r>
            <w:r w:rsidRPr="00CE45E2">
              <w:rPr>
                <w:b/>
                <w:bCs/>
                <w:i/>
                <w:iCs/>
              </w:rPr>
              <w:t>zgodnie ze standardami ustanowionymi przez Unię Europejską oraz w zgodzie</w:t>
            </w:r>
            <w:r w:rsidRPr="00CE45E2">
              <w:rPr>
                <w:b/>
                <w:i/>
              </w:rPr>
              <w:t xml:space="preserve"> z zasadami inwestycyjnymi określonymi w ust. 1</w:t>
            </w:r>
            <w:r w:rsidRPr="00CE45E2">
              <w:rPr>
                <w:b/>
                <w:bCs/>
                <w:i/>
                <w:iCs/>
              </w:rPr>
              <w:t>, w celu uniknięcia pseudoekologicznego marketingu oraz zagwarantowania przejrzystości informacji przekazywanych uczestnikom i beneficjentom</w:t>
            </w:r>
            <w:r w:rsidRPr="00CE45E2">
              <w:t>.</w:t>
            </w:r>
          </w:p>
        </w:tc>
      </w:tr>
    </w:tbl>
    <w:p w14:paraId="6B8CDF8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6681749" w14:textId="77777777" w:rsidR="00CE45E2" w:rsidRPr="00CE45E2" w:rsidRDefault="00CE45E2" w:rsidP="00CE45E2">
      <w:r w:rsidRPr="00CE45E2">
        <w:rPr>
          <w:rStyle w:val="HideTWBExt"/>
        </w:rPr>
        <w:t>&lt;/Amend&gt;</w:t>
      </w:r>
    </w:p>
    <w:p w14:paraId="562F7538" w14:textId="58D56550"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331</w:t>
      </w:r>
      <w:r w:rsidRPr="00CE45E2">
        <w:rPr>
          <w:rStyle w:val="HideTWBExt"/>
          <w:b w:val="0"/>
        </w:rPr>
        <w:t>&lt;/NumAm&gt;</w:t>
      </w:r>
    </w:p>
    <w:p w14:paraId="75B0BBBC"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181F05B3" w14:textId="77777777" w:rsidR="00CE45E2" w:rsidRPr="00CE45E2" w:rsidRDefault="00CE45E2" w:rsidP="00CE45E2">
      <w:pPr>
        <w:pStyle w:val="NormalBold"/>
      </w:pPr>
      <w:r w:rsidRPr="00CE45E2">
        <w:rPr>
          <w:rStyle w:val="HideTWBExt"/>
          <w:b w:val="0"/>
        </w:rPr>
        <w:t>&lt;/RepeatBlock-By&gt;</w:t>
      </w:r>
    </w:p>
    <w:p w14:paraId="792A54CD"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68044630"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07059A40"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CFB318F"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34B6EB48" w14:textId="77777777" w:rsidTr="006476FB">
        <w:trPr>
          <w:trHeight w:hRule="exact" w:val="240"/>
          <w:jc w:val="center"/>
        </w:trPr>
        <w:tc>
          <w:tcPr>
            <w:tcW w:w="9752" w:type="dxa"/>
            <w:gridSpan w:val="2"/>
            <w:tcBorders>
              <w:top w:val="nil"/>
              <w:left w:val="nil"/>
              <w:bottom w:val="nil"/>
              <w:right w:val="nil"/>
            </w:tcBorders>
          </w:tcPr>
          <w:p w14:paraId="4BA93083" w14:textId="77777777" w:rsidR="00CE45E2" w:rsidRPr="00CE45E2" w:rsidRDefault="00CE45E2" w:rsidP="006476FB"/>
        </w:tc>
      </w:tr>
      <w:tr w:rsidR="00CE45E2" w:rsidRPr="00CE45E2" w14:paraId="72BF2457" w14:textId="77777777" w:rsidTr="006476FB">
        <w:trPr>
          <w:trHeight w:val="240"/>
          <w:jc w:val="center"/>
        </w:trPr>
        <w:tc>
          <w:tcPr>
            <w:tcW w:w="4876" w:type="dxa"/>
            <w:tcBorders>
              <w:top w:val="nil"/>
              <w:left w:val="nil"/>
              <w:bottom w:val="nil"/>
              <w:right w:val="nil"/>
            </w:tcBorders>
          </w:tcPr>
          <w:p w14:paraId="686CECE4"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5C8C876" w14:textId="77777777" w:rsidR="00CE45E2" w:rsidRPr="00CE45E2" w:rsidRDefault="00CE45E2" w:rsidP="006476FB">
            <w:pPr>
              <w:pStyle w:val="AmColumnHeading"/>
            </w:pPr>
            <w:r w:rsidRPr="00CE45E2">
              <w:t>Poprawka</w:t>
            </w:r>
          </w:p>
        </w:tc>
      </w:tr>
      <w:tr w:rsidR="00CE45E2" w:rsidRPr="00CE45E2" w14:paraId="72F8C58C" w14:textId="77777777" w:rsidTr="006476FB">
        <w:trPr>
          <w:jc w:val="center"/>
        </w:trPr>
        <w:tc>
          <w:tcPr>
            <w:tcW w:w="4876" w:type="dxa"/>
            <w:tcBorders>
              <w:top w:val="nil"/>
              <w:left w:val="nil"/>
              <w:bottom w:val="nil"/>
              <w:right w:val="nil"/>
            </w:tcBorders>
          </w:tcPr>
          <w:p w14:paraId="29E216C4" w14:textId="77777777" w:rsidR="00CE45E2" w:rsidRPr="00CE45E2" w:rsidRDefault="00CE45E2" w:rsidP="006476FB">
            <w:pPr>
              <w:pStyle w:val="Normal6a"/>
            </w:pPr>
            <w:r w:rsidRPr="00CE45E2">
              <w:t>1c.</w:t>
            </w:r>
            <w:r w:rsidRPr="00CE45E2">
              <w:tab/>
              <w:t xml:space="preserve">Państwa członkowskie wymagają, aby decyzje inwestycyjne IORP odzwierciedlały </w:t>
            </w:r>
            <w:r w:rsidRPr="00CE45E2">
              <w:rPr>
                <w:b/>
                <w:bCs/>
                <w:i/>
                <w:iCs/>
              </w:rPr>
              <w:t xml:space="preserve">preferencje uczestników i beneficjentów w zakresie zrównoważonego rozwoju, w </w:t>
            </w:r>
            <w:proofErr w:type="gramStart"/>
            <w:r w:rsidRPr="00CE45E2">
              <w:rPr>
                <w:b/>
                <w:bCs/>
                <w:i/>
                <w:iCs/>
              </w:rPr>
              <w:t>przypadku</w:t>
            </w:r>
            <w:proofErr w:type="gramEnd"/>
            <w:r w:rsidRPr="00CE45E2">
              <w:rPr>
                <w:b/>
                <w:bCs/>
                <w:i/>
                <w:iCs/>
              </w:rPr>
              <w:t xml:space="preserve"> gdy IORP są w stanie ocenić te preferencje uczestnictwa, oraz w zakresie, w jakim preferencje te są zgodne z zasadami inwestycyjnymi określonymi w ust. 1</w:t>
            </w:r>
            <w:r w:rsidRPr="00CE45E2">
              <w:t>.</w:t>
            </w:r>
          </w:p>
        </w:tc>
        <w:tc>
          <w:tcPr>
            <w:tcW w:w="4876" w:type="dxa"/>
            <w:tcBorders>
              <w:top w:val="nil"/>
              <w:left w:val="nil"/>
              <w:bottom w:val="nil"/>
              <w:right w:val="nil"/>
            </w:tcBorders>
          </w:tcPr>
          <w:p w14:paraId="61902C1A" w14:textId="77777777" w:rsidR="00CE45E2" w:rsidRPr="00CE45E2" w:rsidRDefault="00CE45E2" w:rsidP="006476FB">
            <w:pPr>
              <w:pStyle w:val="Normal6a"/>
            </w:pPr>
            <w:r w:rsidRPr="00CE45E2">
              <w:t>1c.</w:t>
            </w:r>
            <w:r w:rsidRPr="00CE45E2">
              <w:tab/>
              <w:t xml:space="preserve">Państwa członkowskie wymagają, aby decyzje inwestycyjne IORP odzwierciedlały </w:t>
            </w:r>
            <w:r w:rsidRPr="00CE45E2">
              <w:rPr>
                <w:b/>
                <w:bCs/>
                <w:i/>
                <w:iCs/>
              </w:rPr>
              <w:t>zasadę „nie czyń poważnych szkód”, a także uwzględniały wiele różnych rodzajów ryzyka, w tym systematyczne, złożone i długoterminowe ryzyka związane ze zrównoważonym rozwojem, jak również ich skumulowane skutki</w:t>
            </w:r>
            <w:r w:rsidRPr="00CE45E2">
              <w:t>.</w:t>
            </w:r>
          </w:p>
        </w:tc>
      </w:tr>
    </w:tbl>
    <w:p w14:paraId="4CBF7F7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698A2949" w14:textId="77777777" w:rsidR="00CE45E2" w:rsidRPr="00CE45E2" w:rsidRDefault="00CE45E2" w:rsidP="00CE45E2">
      <w:r w:rsidRPr="00CE45E2">
        <w:rPr>
          <w:rStyle w:val="HideTWBExt"/>
        </w:rPr>
        <w:t>&lt;/Amend&gt;</w:t>
      </w:r>
    </w:p>
    <w:p w14:paraId="2476A1E6" w14:textId="49475864"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332</w:t>
      </w:r>
      <w:r w:rsidRPr="00CE45E2">
        <w:rPr>
          <w:rStyle w:val="HideTWBExt"/>
          <w:b w:val="0"/>
        </w:rPr>
        <w:t>&lt;/NumAm&gt;</w:t>
      </w:r>
    </w:p>
    <w:p w14:paraId="762DC195" w14:textId="77777777" w:rsidR="00CE45E2" w:rsidRPr="00CE45E2" w:rsidRDefault="00CE45E2" w:rsidP="00CE45E2">
      <w:pPr>
        <w:pStyle w:val="NormalBold"/>
      </w:pPr>
      <w:r w:rsidRPr="00CE45E2">
        <w:rPr>
          <w:rStyle w:val="HideTWBExt"/>
          <w:b w:val="0"/>
        </w:rPr>
        <w:t>&lt;RepeatBlock-By&gt;&lt;Members&gt;</w:t>
      </w:r>
      <w:proofErr w:type="spellStart"/>
      <w:r w:rsidRPr="00CE45E2">
        <w:t>Dirk</w:t>
      </w:r>
      <w:proofErr w:type="spellEnd"/>
      <w:r w:rsidRPr="00CE45E2">
        <w:t xml:space="preserve"> </w:t>
      </w:r>
      <w:proofErr w:type="spellStart"/>
      <w:r w:rsidRPr="00CE45E2">
        <w:t>Gotink</w:t>
      </w:r>
      <w:proofErr w:type="spellEnd"/>
      <w:r w:rsidRPr="00CE45E2">
        <w:rPr>
          <w:rStyle w:val="HideTWBExt"/>
          <w:b w:val="0"/>
        </w:rPr>
        <w:t>&lt;/Members&gt;</w:t>
      </w:r>
    </w:p>
    <w:p w14:paraId="5468577B" w14:textId="77777777" w:rsidR="00CE45E2" w:rsidRPr="00CE45E2" w:rsidRDefault="00CE45E2" w:rsidP="00CE45E2">
      <w:pPr>
        <w:pStyle w:val="NormalBold"/>
      </w:pPr>
      <w:r w:rsidRPr="00CE45E2">
        <w:rPr>
          <w:rStyle w:val="HideTWBExt"/>
          <w:b w:val="0"/>
        </w:rPr>
        <w:t>&lt;/RepeatBlock-By&gt;</w:t>
      </w:r>
    </w:p>
    <w:p w14:paraId="41F0E851"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20D5513"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64859816"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74286A31" w14:textId="77777777" w:rsidR="00CE45E2" w:rsidRPr="00CE45E2" w:rsidRDefault="00CE45E2" w:rsidP="00CE45E2">
      <w:r w:rsidRPr="00CE45E2">
        <w:rPr>
          <w:rStyle w:val="HideTWBExt"/>
        </w:rPr>
        <w:t>&lt;Article2&gt;</w:t>
      </w:r>
      <w:r w:rsidRPr="00CE45E2">
        <w:t>Artykuł 19 – ustęp 1 c</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519BA26" w14:textId="77777777" w:rsidTr="006476FB">
        <w:trPr>
          <w:trHeight w:hRule="exact" w:val="240"/>
          <w:jc w:val="center"/>
        </w:trPr>
        <w:tc>
          <w:tcPr>
            <w:tcW w:w="9752" w:type="dxa"/>
            <w:gridSpan w:val="2"/>
            <w:tcBorders>
              <w:top w:val="nil"/>
              <w:left w:val="nil"/>
              <w:bottom w:val="nil"/>
              <w:right w:val="nil"/>
            </w:tcBorders>
          </w:tcPr>
          <w:p w14:paraId="4D7ED0B6" w14:textId="77777777" w:rsidR="00CE45E2" w:rsidRPr="00CE45E2" w:rsidRDefault="00CE45E2" w:rsidP="006476FB"/>
        </w:tc>
      </w:tr>
      <w:tr w:rsidR="00CE45E2" w:rsidRPr="00CE45E2" w14:paraId="149EAEF7" w14:textId="77777777" w:rsidTr="006476FB">
        <w:trPr>
          <w:trHeight w:val="240"/>
          <w:jc w:val="center"/>
        </w:trPr>
        <w:tc>
          <w:tcPr>
            <w:tcW w:w="4876" w:type="dxa"/>
            <w:tcBorders>
              <w:top w:val="nil"/>
              <w:left w:val="nil"/>
              <w:bottom w:val="nil"/>
              <w:right w:val="nil"/>
            </w:tcBorders>
          </w:tcPr>
          <w:p w14:paraId="17070A17"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41AD65F" w14:textId="77777777" w:rsidR="00CE45E2" w:rsidRPr="00CE45E2" w:rsidRDefault="00CE45E2" w:rsidP="006476FB">
            <w:pPr>
              <w:pStyle w:val="AmColumnHeading"/>
            </w:pPr>
            <w:r w:rsidRPr="00CE45E2">
              <w:t>Poprawka</w:t>
            </w:r>
          </w:p>
        </w:tc>
      </w:tr>
      <w:tr w:rsidR="00CE45E2" w:rsidRPr="00CE45E2" w14:paraId="239B5C2E" w14:textId="77777777" w:rsidTr="006476FB">
        <w:trPr>
          <w:jc w:val="center"/>
        </w:trPr>
        <w:tc>
          <w:tcPr>
            <w:tcW w:w="4876" w:type="dxa"/>
            <w:tcBorders>
              <w:top w:val="nil"/>
              <w:left w:val="nil"/>
              <w:bottom w:val="nil"/>
              <w:right w:val="nil"/>
            </w:tcBorders>
          </w:tcPr>
          <w:p w14:paraId="26AAF2E7" w14:textId="77777777" w:rsidR="00CE45E2" w:rsidRPr="00CE45E2" w:rsidRDefault="00CE45E2" w:rsidP="006476FB">
            <w:pPr>
              <w:pStyle w:val="Normal6a"/>
            </w:pPr>
            <w:r w:rsidRPr="00CE45E2">
              <w:t>1c.</w:t>
            </w:r>
            <w:r w:rsidRPr="00CE45E2">
              <w:tab/>
              <w:t xml:space="preserve">Państwa członkowskie wymagają, aby decyzje inwestycyjne IORP odzwierciedlały preferencje uczestników i beneficjentów w zakresie zrównoważonego rozwoju, w </w:t>
            </w:r>
            <w:proofErr w:type="gramStart"/>
            <w:r w:rsidRPr="00CE45E2">
              <w:t>przypadku</w:t>
            </w:r>
            <w:proofErr w:type="gramEnd"/>
            <w:r w:rsidRPr="00CE45E2">
              <w:t xml:space="preserve"> gdy IORP są w stanie ocenić te preferencje uczestnictwa, oraz w zakresie, w jakim preferencje te są zgodne z zasadami inwestycyjnymi określonymi w ust. 1.</w:t>
            </w:r>
          </w:p>
        </w:tc>
        <w:tc>
          <w:tcPr>
            <w:tcW w:w="4876" w:type="dxa"/>
            <w:tcBorders>
              <w:top w:val="nil"/>
              <w:left w:val="nil"/>
              <w:bottom w:val="nil"/>
              <w:right w:val="nil"/>
            </w:tcBorders>
          </w:tcPr>
          <w:p w14:paraId="0735521A" w14:textId="77777777" w:rsidR="00CE45E2" w:rsidRPr="00CE45E2" w:rsidRDefault="00CE45E2" w:rsidP="006476FB">
            <w:pPr>
              <w:pStyle w:val="Normal6a"/>
            </w:pPr>
            <w:r w:rsidRPr="00CE45E2">
              <w:t>1c.</w:t>
            </w:r>
            <w:r w:rsidRPr="00CE45E2">
              <w:tab/>
              <w:t xml:space="preserve">Państwa członkowskie wymagają, aby decyzje inwestycyjne IORP odzwierciedlały preferencje uczestników i beneficjentów w zakresie zrównoważonego rozwoju, w przypadku gdy IORP są w stanie ocenić te preferencje uczestnictwa, oraz w zakresie, w jakim preferencje te są zgodne z zasadami inwestycyjnymi określonymi w ust. 1. </w:t>
            </w:r>
            <w:r w:rsidRPr="00CE45E2">
              <w:rPr>
                <w:b/>
                <w:i/>
              </w:rPr>
              <w:t>IORP mają swobodę w określaniu, w jaki sposób najlepiej można ocenić te preferencje, w tym poprzez ankiety lub udział uczestników i beneficjentów w określonych strukturach zarządzania.</w:t>
            </w:r>
          </w:p>
        </w:tc>
      </w:tr>
    </w:tbl>
    <w:p w14:paraId="1A2C150C"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8303A03"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5D2E57F6" w14:textId="77777777" w:rsidR="00CE45E2" w:rsidRPr="00CE45E2" w:rsidRDefault="00CE45E2" w:rsidP="00CE45E2">
      <w:pPr>
        <w:pStyle w:val="AmJustText"/>
      </w:pPr>
      <w:r w:rsidRPr="00CE45E2">
        <w:t>IORP powinny zachować swobodę decydowania o tym, w jaki sposób oceniać preferencje dotyczące zrównoważonego rozwoju, ponieważ nie zawsze chodzi tu o indywidualne wybory inwestycyjne (mogą to być również wybory zbiorowe).</w:t>
      </w:r>
    </w:p>
    <w:p w14:paraId="55F14E29" w14:textId="77777777" w:rsidR="00CE45E2" w:rsidRPr="00CE45E2" w:rsidRDefault="00CE45E2" w:rsidP="00CE45E2">
      <w:r w:rsidRPr="00CE45E2">
        <w:rPr>
          <w:rStyle w:val="HideTWBExt"/>
        </w:rPr>
        <w:t>&lt;/Amend&gt;</w:t>
      </w:r>
    </w:p>
    <w:p w14:paraId="2AE2916F" w14:textId="73DEAE8E"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333</w:t>
      </w:r>
      <w:r w:rsidRPr="00CE45E2">
        <w:rPr>
          <w:rStyle w:val="HideTWBExt"/>
          <w:b w:val="0"/>
        </w:rPr>
        <w:t>&lt;/NumAm&gt;</w:t>
      </w:r>
    </w:p>
    <w:p w14:paraId="50F21A7A" w14:textId="77777777" w:rsidR="00CE45E2" w:rsidRPr="00CE45E2" w:rsidRDefault="00CE45E2" w:rsidP="00CE45E2">
      <w:pPr>
        <w:pStyle w:val="NormalBold"/>
      </w:pPr>
      <w:r w:rsidRPr="00CE45E2">
        <w:rPr>
          <w:rStyle w:val="HideTWBExt"/>
          <w:b w:val="0"/>
        </w:rPr>
        <w:t>&lt;RepeatBlock-By&gt;&lt;Members&gt;</w:t>
      </w:r>
      <w:r w:rsidRPr="00CE45E2">
        <w:t xml:space="preserve">Isabel </w:t>
      </w:r>
      <w:proofErr w:type="spellStart"/>
      <w:r w:rsidRPr="00CE45E2">
        <w:t>Benjumea</w:t>
      </w:r>
      <w:proofErr w:type="spellEnd"/>
      <w:r w:rsidRPr="00CE45E2">
        <w:t xml:space="preserve"> </w:t>
      </w:r>
      <w:proofErr w:type="spellStart"/>
      <w:r w:rsidRPr="00CE45E2">
        <w:t>Benjumea</w:t>
      </w:r>
      <w:proofErr w:type="spellEnd"/>
      <w:r w:rsidRPr="00CE45E2">
        <w:rPr>
          <w:rStyle w:val="HideTWBExt"/>
          <w:b w:val="0"/>
        </w:rPr>
        <w:t>&lt;/Members&gt;</w:t>
      </w:r>
    </w:p>
    <w:p w14:paraId="72EE9B46" w14:textId="77777777" w:rsidR="00CE45E2" w:rsidRPr="00CE45E2" w:rsidRDefault="00CE45E2" w:rsidP="00CE45E2">
      <w:pPr>
        <w:pStyle w:val="NormalBold"/>
      </w:pPr>
      <w:r w:rsidRPr="00CE45E2">
        <w:rPr>
          <w:rStyle w:val="HideTWBExt"/>
          <w:b w:val="0"/>
        </w:rPr>
        <w:t>&lt;/RepeatBlock-By&gt;</w:t>
      </w:r>
    </w:p>
    <w:p w14:paraId="46C7CE48"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7A4171C0"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3BB5CB89"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84E191E" w14:textId="77777777" w:rsidR="00CE45E2" w:rsidRPr="00CE45E2" w:rsidRDefault="00CE45E2" w:rsidP="00CE45E2">
      <w:r w:rsidRPr="00CE45E2">
        <w:rPr>
          <w:rStyle w:val="HideTWBExt"/>
        </w:rPr>
        <w:t>&lt;Article2&gt;</w:t>
      </w:r>
      <w:r w:rsidRPr="00CE45E2">
        <w:t>Artykuł 19 – ustęp 1 d</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621F64B" w14:textId="77777777" w:rsidTr="006476FB">
        <w:trPr>
          <w:trHeight w:hRule="exact" w:val="240"/>
          <w:jc w:val="center"/>
        </w:trPr>
        <w:tc>
          <w:tcPr>
            <w:tcW w:w="9752" w:type="dxa"/>
            <w:gridSpan w:val="2"/>
            <w:tcBorders>
              <w:top w:val="nil"/>
              <w:left w:val="nil"/>
              <w:bottom w:val="nil"/>
              <w:right w:val="nil"/>
            </w:tcBorders>
          </w:tcPr>
          <w:p w14:paraId="77265F46" w14:textId="77777777" w:rsidR="00CE45E2" w:rsidRPr="00CE45E2" w:rsidRDefault="00CE45E2" w:rsidP="006476FB"/>
        </w:tc>
      </w:tr>
      <w:tr w:rsidR="00CE45E2" w:rsidRPr="00CE45E2" w14:paraId="19FEFCAD" w14:textId="77777777" w:rsidTr="006476FB">
        <w:trPr>
          <w:trHeight w:val="240"/>
          <w:jc w:val="center"/>
        </w:trPr>
        <w:tc>
          <w:tcPr>
            <w:tcW w:w="4876" w:type="dxa"/>
            <w:tcBorders>
              <w:top w:val="nil"/>
              <w:left w:val="nil"/>
              <w:bottom w:val="nil"/>
              <w:right w:val="nil"/>
            </w:tcBorders>
          </w:tcPr>
          <w:p w14:paraId="2FF26A72"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01EA7108" w14:textId="77777777" w:rsidR="00CE45E2" w:rsidRPr="00CE45E2" w:rsidRDefault="00CE45E2" w:rsidP="006476FB">
            <w:pPr>
              <w:pStyle w:val="AmColumnHeading"/>
            </w:pPr>
            <w:r w:rsidRPr="00CE45E2">
              <w:t>Poprawka</w:t>
            </w:r>
          </w:p>
        </w:tc>
      </w:tr>
      <w:tr w:rsidR="00CE45E2" w:rsidRPr="00CE45E2" w14:paraId="547BDDF4" w14:textId="77777777" w:rsidTr="006476FB">
        <w:trPr>
          <w:jc w:val="center"/>
        </w:trPr>
        <w:tc>
          <w:tcPr>
            <w:tcW w:w="4876" w:type="dxa"/>
            <w:tcBorders>
              <w:top w:val="nil"/>
              <w:left w:val="nil"/>
              <w:bottom w:val="nil"/>
              <w:right w:val="nil"/>
            </w:tcBorders>
          </w:tcPr>
          <w:p w14:paraId="6630383D" w14:textId="77777777" w:rsidR="00CE45E2" w:rsidRPr="00CE45E2" w:rsidRDefault="00CE45E2" w:rsidP="006476FB">
            <w:pPr>
              <w:pStyle w:val="Normal6a"/>
            </w:pPr>
            <w:r w:rsidRPr="00CE45E2">
              <w:rPr>
                <w:b/>
                <w:i/>
              </w:rPr>
              <w:t>1d.</w:t>
            </w:r>
            <w:r w:rsidRPr="00CE45E2">
              <w:tab/>
            </w:r>
            <w:r w:rsidRPr="00CE45E2">
              <w:rPr>
                <w:b/>
                <w:i/>
              </w:rPr>
              <w:t>Do celów ust. 1c preferencje w zakresie zrównoważonego rozwoju oznaczają wybór uczestnika, beneficjenta lub potencjalnego uczestnika dotyczący tego, czy – i w jakim zakresie – do jego inwestycji należy włączyć co najmniej jeden z następujących instrumentów finansowych:</w:t>
            </w:r>
          </w:p>
        </w:tc>
        <w:tc>
          <w:tcPr>
            <w:tcW w:w="4876" w:type="dxa"/>
            <w:tcBorders>
              <w:top w:val="nil"/>
              <w:left w:val="nil"/>
              <w:bottom w:val="nil"/>
              <w:right w:val="nil"/>
            </w:tcBorders>
          </w:tcPr>
          <w:p w14:paraId="62EA6043" w14:textId="77777777" w:rsidR="00CE45E2" w:rsidRPr="00CE45E2" w:rsidRDefault="00CE45E2" w:rsidP="006476FB">
            <w:pPr>
              <w:pStyle w:val="Normal6a"/>
            </w:pPr>
            <w:r w:rsidRPr="00CE45E2">
              <w:rPr>
                <w:b/>
                <w:i/>
              </w:rPr>
              <w:t>skreśla się</w:t>
            </w:r>
          </w:p>
        </w:tc>
      </w:tr>
      <w:tr w:rsidR="00CE45E2" w:rsidRPr="00CE45E2" w14:paraId="7651C63F" w14:textId="77777777" w:rsidTr="006476FB">
        <w:trPr>
          <w:jc w:val="center"/>
        </w:trPr>
        <w:tc>
          <w:tcPr>
            <w:tcW w:w="4876" w:type="dxa"/>
            <w:tcBorders>
              <w:top w:val="nil"/>
              <w:left w:val="nil"/>
              <w:bottom w:val="nil"/>
              <w:right w:val="nil"/>
            </w:tcBorders>
          </w:tcPr>
          <w:p w14:paraId="2EFEBDE5" w14:textId="77777777" w:rsidR="00CE45E2" w:rsidRPr="00CE45E2" w:rsidRDefault="00CE45E2" w:rsidP="006476FB">
            <w:pPr>
              <w:pStyle w:val="Normal6a"/>
            </w:pPr>
            <w:r w:rsidRPr="00CE45E2">
              <w:rPr>
                <w:b/>
                <w:i/>
              </w:rPr>
              <w:t>a)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środowiskowo inwestycje w rozumieniu w art. 2 pkt 1 rozporządzenia Parlamentu Europejskiego i Rady (UE) 2020/852**;</w:t>
            </w:r>
          </w:p>
        </w:tc>
        <w:tc>
          <w:tcPr>
            <w:tcW w:w="4876" w:type="dxa"/>
            <w:tcBorders>
              <w:top w:val="nil"/>
              <w:left w:val="nil"/>
              <w:bottom w:val="nil"/>
              <w:right w:val="nil"/>
            </w:tcBorders>
          </w:tcPr>
          <w:p w14:paraId="7DC7D560" w14:textId="77777777" w:rsidR="00CE45E2" w:rsidRPr="00CE45E2" w:rsidRDefault="00CE45E2" w:rsidP="006476FB">
            <w:pPr>
              <w:pStyle w:val="Normal6a"/>
            </w:pPr>
          </w:p>
        </w:tc>
      </w:tr>
      <w:tr w:rsidR="00CE45E2" w:rsidRPr="00CE45E2" w14:paraId="7319A5BD" w14:textId="77777777" w:rsidTr="006476FB">
        <w:trPr>
          <w:jc w:val="center"/>
        </w:trPr>
        <w:tc>
          <w:tcPr>
            <w:tcW w:w="4876" w:type="dxa"/>
            <w:tcBorders>
              <w:top w:val="nil"/>
              <w:left w:val="nil"/>
              <w:bottom w:val="nil"/>
              <w:right w:val="nil"/>
            </w:tcBorders>
          </w:tcPr>
          <w:p w14:paraId="3A2F6130" w14:textId="77777777" w:rsidR="00CE45E2" w:rsidRPr="00CE45E2" w:rsidRDefault="00CE45E2" w:rsidP="006476FB">
            <w:pPr>
              <w:pStyle w:val="Normal6a"/>
            </w:pPr>
            <w:r w:rsidRPr="00CE45E2">
              <w:rPr>
                <w:b/>
                <w:i/>
              </w:rPr>
              <w:t>b)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inwestycje w rozumieniu art. 2 pkt 17 rozporządzenia (UE) 2019/2088;</w:t>
            </w:r>
          </w:p>
        </w:tc>
        <w:tc>
          <w:tcPr>
            <w:tcW w:w="4876" w:type="dxa"/>
            <w:tcBorders>
              <w:top w:val="nil"/>
              <w:left w:val="nil"/>
              <w:bottom w:val="nil"/>
              <w:right w:val="nil"/>
            </w:tcBorders>
          </w:tcPr>
          <w:p w14:paraId="46B0437B" w14:textId="77777777" w:rsidR="00CE45E2" w:rsidRPr="00CE45E2" w:rsidRDefault="00CE45E2" w:rsidP="006476FB">
            <w:pPr>
              <w:pStyle w:val="Normal6a"/>
            </w:pPr>
          </w:p>
        </w:tc>
      </w:tr>
      <w:tr w:rsidR="00CE45E2" w:rsidRPr="00CE45E2" w14:paraId="6F80E9EA" w14:textId="77777777" w:rsidTr="006476FB">
        <w:trPr>
          <w:jc w:val="center"/>
        </w:trPr>
        <w:tc>
          <w:tcPr>
            <w:tcW w:w="4876" w:type="dxa"/>
            <w:tcBorders>
              <w:top w:val="nil"/>
              <w:left w:val="nil"/>
              <w:bottom w:val="nil"/>
              <w:right w:val="nil"/>
            </w:tcBorders>
          </w:tcPr>
          <w:p w14:paraId="39F83E9E" w14:textId="77777777" w:rsidR="00CE45E2" w:rsidRPr="00CE45E2" w:rsidRDefault="00CE45E2" w:rsidP="006476FB">
            <w:pPr>
              <w:pStyle w:val="Normal6a"/>
            </w:pPr>
            <w:r w:rsidRPr="00CE45E2">
              <w:rPr>
                <w:b/>
                <w:i/>
              </w:rPr>
              <w:t xml:space="preserve">c) instrument finansowy, który uwzględnia główne niekorzystne skutki dla czynników zrównoważonego rozwoju zgodnie z definicją w art. 2 pkt 24 rozporządzenia (UE) 2019/2088, w </w:t>
            </w:r>
            <w:proofErr w:type="gramStart"/>
            <w:r w:rsidRPr="00CE45E2">
              <w:rPr>
                <w:b/>
                <w:i/>
              </w:rPr>
              <w:t>przypadku</w:t>
            </w:r>
            <w:proofErr w:type="gramEnd"/>
            <w:r w:rsidRPr="00CE45E2">
              <w:rPr>
                <w:b/>
                <w:i/>
              </w:rPr>
              <w:t xml:space="preserve"> gdy elementy jakościowe lub ilościowe wskazujące na to uwzględnienie są ustalane przez klienta lub potencjalnego klienta.”;</w:t>
            </w:r>
          </w:p>
        </w:tc>
        <w:tc>
          <w:tcPr>
            <w:tcW w:w="4876" w:type="dxa"/>
            <w:tcBorders>
              <w:top w:val="nil"/>
              <w:left w:val="nil"/>
              <w:bottom w:val="nil"/>
              <w:right w:val="nil"/>
            </w:tcBorders>
          </w:tcPr>
          <w:p w14:paraId="03871017" w14:textId="77777777" w:rsidR="00CE45E2" w:rsidRPr="00CE45E2" w:rsidRDefault="00CE45E2" w:rsidP="006476FB">
            <w:pPr>
              <w:pStyle w:val="Normal6a"/>
            </w:pPr>
          </w:p>
        </w:tc>
      </w:tr>
    </w:tbl>
    <w:p w14:paraId="3F9AB29D"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{ES}</w:t>
      </w:r>
      <w:r w:rsidRPr="00CE45E2">
        <w:t>es</w:t>
      </w:r>
      <w:r w:rsidRPr="00CE45E2">
        <w:rPr>
          <w:rStyle w:val="HideTWBExt"/>
        </w:rPr>
        <w:t>&lt;/Original&gt;</w:t>
      </w:r>
    </w:p>
    <w:p w14:paraId="2CC30D93" w14:textId="77777777" w:rsidR="00CE45E2" w:rsidRPr="00CE45E2" w:rsidRDefault="00CE45E2" w:rsidP="00CE45E2">
      <w:r w:rsidRPr="00CE45E2">
        <w:rPr>
          <w:rStyle w:val="HideTWBExt"/>
        </w:rPr>
        <w:t>&lt;/Amend&gt;</w:t>
      </w:r>
    </w:p>
    <w:p w14:paraId="348CD0B8" w14:textId="3FDFDB45"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334</w:t>
      </w:r>
      <w:r w:rsidRPr="00CE45E2">
        <w:rPr>
          <w:rStyle w:val="HideTWBExt"/>
          <w:b w:val="0"/>
        </w:rPr>
        <w:t>&lt;/NumAm&gt;</w:t>
      </w:r>
    </w:p>
    <w:p w14:paraId="192FED1A" w14:textId="77777777" w:rsidR="00CE45E2" w:rsidRPr="00CE45E2" w:rsidRDefault="00CE45E2" w:rsidP="00CE45E2">
      <w:pPr>
        <w:pStyle w:val="NormalBold"/>
      </w:pPr>
      <w:r w:rsidRPr="00CE45E2">
        <w:rPr>
          <w:rStyle w:val="HideTWBExt"/>
          <w:b w:val="0"/>
        </w:rPr>
        <w:t>&lt;RepeatBlock-By&gt;&lt;Members&gt;</w:t>
      </w:r>
      <w:proofErr w:type="spellStart"/>
      <w:r w:rsidRPr="00CE45E2">
        <w:t>Sirpa</w:t>
      </w:r>
      <w:proofErr w:type="spellEnd"/>
      <w:r w:rsidRPr="00CE45E2">
        <w:t xml:space="preserve"> </w:t>
      </w:r>
      <w:proofErr w:type="spellStart"/>
      <w:r w:rsidRPr="00CE45E2">
        <w:t>Pietikäinen</w:t>
      </w:r>
      <w:proofErr w:type="spellEnd"/>
      <w:r w:rsidRPr="00CE45E2">
        <w:rPr>
          <w:rStyle w:val="HideTWBExt"/>
          <w:b w:val="0"/>
        </w:rPr>
        <w:t>&lt;/Members&gt;</w:t>
      </w:r>
    </w:p>
    <w:p w14:paraId="5EA7B225" w14:textId="77777777" w:rsidR="00CE45E2" w:rsidRPr="00CE45E2" w:rsidRDefault="00CE45E2" w:rsidP="00CE45E2">
      <w:pPr>
        <w:pStyle w:val="NormalBold"/>
      </w:pPr>
      <w:r w:rsidRPr="00CE45E2">
        <w:rPr>
          <w:rStyle w:val="HideTWBExt"/>
          <w:b w:val="0"/>
        </w:rPr>
        <w:t>&lt;/RepeatBlock-By&gt;</w:t>
      </w:r>
    </w:p>
    <w:p w14:paraId="626A1C0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1BC1B8D8"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71DD05D1"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7350A7A" w14:textId="77777777" w:rsidR="00CE45E2" w:rsidRPr="00CE45E2" w:rsidRDefault="00CE45E2" w:rsidP="00CE45E2">
      <w:r w:rsidRPr="00CE45E2">
        <w:rPr>
          <w:rStyle w:val="HideTWBExt"/>
        </w:rPr>
        <w:t>&lt;Article2&gt;</w:t>
      </w:r>
      <w:r w:rsidRPr="00CE45E2">
        <w:t>Artykuł 19 – ustęp 1 d</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1BA32880" w14:textId="77777777" w:rsidTr="006476FB">
        <w:trPr>
          <w:trHeight w:hRule="exact" w:val="240"/>
          <w:jc w:val="center"/>
        </w:trPr>
        <w:tc>
          <w:tcPr>
            <w:tcW w:w="9752" w:type="dxa"/>
            <w:gridSpan w:val="2"/>
            <w:tcBorders>
              <w:top w:val="nil"/>
              <w:left w:val="nil"/>
              <w:bottom w:val="nil"/>
              <w:right w:val="nil"/>
            </w:tcBorders>
          </w:tcPr>
          <w:p w14:paraId="58DFC55B" w14:textId="77777777" w:rsidR="00CE45E2" w:rsidRPr="00CE45E2" w:rsidRDefault="00CE45E2" w:rsidP="006476FB"/>
        </w:tc>
      </w:tr>
      <w:tr w:rsidR="00CE45E2" w:rsidRPr="00CE45E2" w14:paraId="129D6914" w14:textId="77777777" w:rsidTr="006476FB">
        <w:trPr>
          <w:trHeight w:val="240"/>
          <w:jc w:val="center"/>
        </w:trPr>
        <w:tc>
          <w:tcPr>
            <w:tcW w:w="4876" w:type="dxa"/>
            <w:tcBorders>
              <w:top w:val="nil"/>
              <w:left w:val="nil"/>
              <w:bottom w:val="nil"/>
              <w:right w:val="nil"/>
            </w:tcBorders>
          </w:tcPr>
          <w:p w14:paraId="5D557450"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325C1BA5" w14:textId="77777777" w:rsidR="00CE45E2" w:rsidRPr="00CE45E2" w:rsidRDefault="00CE45E2" w:rsidP="006476FB">
            <w:pPr>
              <w:pStyle w:val="AmColumnHeading"/>
            </w:pPr>
            <w:r w:rsidRPr="00CE45E2">
              <w:t>Poprawka</w:t>
            </w:r>
          </w:p>
        </w:tc>
      </w:tr>
      <w:tr w:rsidR="00CE45E2" w:rsidRPr="00CE45E2" w14:paraId="084EBA8B" w14:textId="77777777" w:rsidTr="006476FB">
        <w:trPr>
          <w:jc w:val="center"/>
        </w:trPr>
        <w:tc>
          <w:tcPr>
            <w:tcW w:w="4876" w:type="dxa"/>
            <w:tcBorders>
              <w:top w:val="nil"/>
              <w:left w:val="nil"/>
              <w:bottom w:val="nil"/>
              <w:right w:val="nil"/>
            </w:tcBorders>
          </w:tcPr>
          <w:p w14:paraId="3BD4D977" w14:textId="77777777" w:rsidR="00CE45E2" w:rsidRPr="00CE45E2" w:rsidRDefault="00CE45E2" w:rsidP="006476FB">
            <w:pPr>
              <w:pStyle w:val="Normal6a"/>
            </w:pPr>
            <w:r w:rsidRPr="00CE45E2">
              <w:rPr>
                <w:b/>
                <w:i/>
              </w:rPr>
              <w:t>1d.</w:t>
            </w:r>
            <w:r w:rsidRPr="00CE45E2">
              <w:tab/>
            </w:r>
            <w:r w:rsidRPr="00CE45E2">
              <w:rPr>
                <w:b/>
                <w:i/>
              </w:rPr>
              <w:t>Do celów ust. 1c preferencje w zakresie zrównoważonego rozwoju oznaczają wybór uczestnika, beneficjenta lub potencjalnego uczestnika dotyczący tego, czy – i w jakim zakresie – do jego inwestycji należy włączyć co najmniej jeden z następujących instrumentów finansowych:</w:t>
            </w:r>
          </w:p>
        </w:tc>
        <w:tc>
          <w:tcPr>
            <w:tcW w:w="4876" w:type="dxa"/>
            <w:tcBorders>
              <w:top w:val="nil"/>
              <w:left w:val="nil"/>
              <w:bottom w:val="nil"/>
              <w:right w:val="nil"/>
            </w:tcBorders>
          </w:tcPr>
          <w:p w14:paraId="6FA782B8" w14:textId="77777777" w:rsidR="00CE45E2" w:rsidRPr="00CE45E2" w:rsidRDefault="00CE45E2" w:rsidP="006476FB">
            <w:pPr>
              <w:pStyle w:val="Normal6a"/>
            </w:pPr>
            <w:r w:rsidRPr="00CE45E2">
              <w:rPr>
                <w:b/>
                <w:i/>
              </w:rPr>
              <w:t>skreśla się</w:t>
            </w:r>
          </w:p>
        </w:tc>
      </w:tr>
      <w:tr w:rsidR="00CE45E2" w:rsidRPr="00CE45E2" w14:paraId="722B3AC0" w14:textId="77777777" w:rsidTr="006476FB">
        <w:trPr>
          <w:jc w:val="center"/>
        </w:trPr>
        <w:tc>
          <w:tcPr>
            <w:tcW w:w="4876" w:type="dxa"/>
            <w:tcBorders>
              <w:top w:val="nil"/>
              <w:left w:val="nil"/>
              <w:bottom w:val="nil"/>
              <w:right w:val="nil"/>
            </w:tcBorders>
          </w:tcPr>
          <w:p w14:paraId="4F5716F9" w14:textId="77777777" w:rsidR="00CE45E2" w:rsidRPr="00CE45E2" w:rsidRDefault="00CE45E2" w:rsidP="006476FB">
            <w:pPr>
              <w:pStyle w:val="Normal6a"/>
            </w:pPr>
            <w:r w:rsidRPr="00CE45E2">
              <w:rPr>
                <w:b/>
                <w:i/>
              </w:rPr>
              <w:t xml:space="preserve">a)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środowiskowo inwestycje w rozumieniu w art. 2 pkt 1 rozporządzenia Parlamentu Europejskiego i Rady (UE) 2020/852**;</w:t>
            </w:r>
          </w:p>
        </w:tc>
        <w:tc>
          <w:tcPr>
            <w:tcW w:w="4876" w:type="dxa"/>
            <w:tcBorders>
              <w:top w:val="nil"/>
              <w:left w:val="nil"/>
              <w:bottom w:val="nil"/>
              <w:right w:val="nil"/>
            </w:tcBorders>
          </w:tcPr>
          <w:p w14:paraId="5B193C4D" w14:textId="77777777" w:rsidR="00CE45E2" w:rsidRPr="00CE45E2" w:rsidRDefault="00CE45E2" w:rsidP="006476FB">
            <w:pPr>
              <w:pStyle w:val="Normal6a"/>
            </w:pPr>
          </w:p>
        </w:tc>
      </w:tr>
      <w:tr w:rsidR="00CE45E2" w:rsidRPr="00CE45E2" w14:paraId="58556857" w14:textId="77777777" w:rsidTr="006476FB">
        <w:trPr>
          <w:jc w:val="center"/>
        </w:trPr>
        <w:tc>
          <w:tcPr>
            <w:tcW w:w="4876" w:type="dxa"/>
            <w:tcBorders>
              <w:top w:val="nil"/>
              <w:left w:val="nil"/>
              <w:bottom w:val="nil"/>
              <w:right w:val="nil"/>
            </w:tcBorders>
          </w:tcPr>
          <w:p w14:paraId="7F79BD59" w14:textId="77777777" w:rsidR="00CE45E2" w:rsidRPr="00CE45E2" w:rsidRDefault="00CE45E2" w:rsidP="006476FB">
            <w:pPr>
              <w:pStyle w:val="Normal6a"/>
            </w:pPr>
            <w:r w:rsidRPr="00CE45E2">
              <w:rPr>
                <w:b/>
                <w:bCs/>
                <w:i/>
                <w:iCs/>
              </w:rPr>
              <w:t>b)</w:t>
            </w:r>
            <w:r w:rsidRPr="00CE45E2">
              <w:rPr>
                <w:b/>
                <w:i/>
              </w:rPr>
              <w:t xml:space="preserve">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inwestycje w rozumieniu art. 2 pkt 17 rozporządzenia (UE) 2019/2088;</w:t>
            </w:r>
          </w:p>
        </w:tc>
        <w:tc>
          <w:tcPr>
            <w:tcW w:w="4876" w:type="dxa"/>
            <w:tcBorders>
              <w:top w:val="nil"/>
              <w:left w:val="nil"/>
              <w:bottom w:val="nil"/>
              <w:right w:val="nil"/>
            </w:tcBorders>
          </w:tcPr>
          <w:p w14:paraId="7C620B38" w14:textId="77777777" w:rsidR="00CE45E2" w:rsidRPr="00CE45E2" w:rsidRDefault="00CE45E2" w:rsidP="006476FB">
            <w:pPr>
              <w:pStyle w:val="Normal6a"/>
            </w:pPr>
          </w:p>
        </w:tc>
      </w:tr>
      <w:tr w:rsidR="00CE45E2" w:rsidRPr="00CE45E2" w14:paraId="235C0434" w14:textId="77777777" w:rsidTr="006476FB">
        <w:trPr>
          <w:jc w:val="center"/>
        </w:trPr>
        <w:tc>
          <w:tcPr>
            <w:tcW w:w="4876" w:type="dxa"/>
            <w:tcBorders>
              <w:top w:val="nil"/>
              <w:left w:val="nil"/>
              <w:bottom w:val="nil"/>
              <w:right w:val="nil"/>
            </w:tcBorders>
          </w:tcPr>
          <w:p w14:paraId="5F90BB54" w14:textId="77777777" w:rsidR="00CE45E2" w:rsidRPr="00CE45E2" w:rsidRDefault="00CE45E2" w:rsidP="006476FB">
            <w:pPr>
              <w:pStyle w:val="Normal6a"/>
            </w:pPr>
            <w:r w:rsidRPr="00CE45E2">
              <w:rPr>
                <w:b/>
                <w:i/>
              </w:rPr>
              <w:t xml:space="preserve">c) instrument finansowy, który uwzględnia główne niekorzystne skutki dla czynników zrównoważonego rozwoju zgodnie z definicją w art. 2 pkt 24 rozporządzenia (UE) 2019/2088, w </w:t>
            </w:r>
            <w:proofErr w:type="gramStart"/>
            <w:r w:rsidRPr="00CE45E2">
              <w:rPr>
                <w:b/>
                <w:i/>
              </w:rPr>
              <w:t>przypadku</w:t>
            </w:r>
            <w:proofErr w:type="gramEnd"/>
            <w:r w:rsidRPr="00CE45E2">
              <w:rPr>
                <w:b/>
                <w:i/>
              </w:rPr>
              <w:t xml:space="preserve"> gdy elementy jakościowe lub ilościowe wskazujące na to uwzględnienie są ustalane przez klienta lub potencjalnego klienta.”;</w:t>
            </w:r>
          </w:p>
        </w:tc>
        <w:tc>
          <w:tcPr>
            <w:tcW w:w="4876" w:type="dxa"/>
            <w:tcBorders>
              <w:top w:val="nil"/>
              <w:left w:val="nil"/>
              <w:bottom w:val="nil"/>
              <w:right w:val="nil"/>
            </w:tcBorders>
          </w:tcPr>
          <w:p w14:paraId="4E6F6AAB" w14:textId="77777777" w:rsidR="00CE45E2" w:rsidRPr="00CE45E2" w:rsidRDefault="00CE45E2" w:rsidP="006476FB">
            <w:pPr>
              <w:pStyle w:val="Normal6a"/>
            </w:pPr>
          </w:p>
        </w:tc>
      </w:tr>
    </w:tbl>
    <w:p w14:paraId="1C1A0FD1"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2EDD7EFF" w14:textId="77777777" w:rsidR="00CE45E2" w:rsidRPr="00CE45E2" w:rsidRDefault="00CE45E2" w:rsidP="00CE45E2">
      <w:r w:rsidRPr="00CE45E2">
        <w:rPr>
          <w:rStyle w:val="HideTWBExt"/>
        </w:rPr>
        <w:t>&lt;/Amend&gt;</w:t>
      </w:r>
    </w:p>
    <w:p w14:paraId="7E6A1EB2" w14:textId="3442180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335</w:t>
      </w:r>
      <w:r w:rsidRPr="00CE45E2">
        <w:rPr>
          <w:rStyle w:val="HideTWBExt"/>
          <w:b w:val="0"/>
        </w:rPr>
        <w:t>&lt;/NumAm&gt;</w:t>
      </w:r>
    </w:p>
    <w:p w14:paraId="48287BCA" w14:textId="77777777" w:rsidR="00CE45E2" w:rsidRPr="00CE45E2" w:rsidRDefault="00CE45E2" w:rsidP="00CE45E2">
      <w:pPr>
        <w:pStyle w:val="NormalBold"/>
      </w:pPr>
      <w:r w:rsidRPr="00CE45E2">
        <w:rPr>
          <w:rStyle w:val="HideTWBExt"/>
          <w:b w:val="0"/>
        </w:rPr>
        <w:t>&lt;RepeatBlock-By&gt;&lt;Members&gt;</w:t>
      </w:r>
      <w:r w:rsidRPr="00CE45E2">
        <w:t xml:space="preserve">Fernando </w:t>
      </w:r>
      <w:proofErr w:type="spellStart"/>
      <w:r w:rsidRPr="00CE45E2">
        <w:t>Navarrete</w:t>
      </w:r>
      <w:proofErr w:type="spellEnd"/>
      <w:r w:rsidRPr="00CE45E2">
        <w:t xml:space="preserve"> </w:t>
      </w:r>
      <w:proofErr w:type="spellStart"/>
      <w:r w:rsidRPr="00CE45E2">
        <w:t>Rojas</w:t>
      </w:r>
      <w:proofErr w:type="spellEnd"/>
      <w:r w:rsidRPr="00CE45E2">
        <w:rPr>
          <w:rStyle w:val="HideTWBExt"/>
          <w:b w:val="0"/>
        </w:rPr>
        <w:t>&lt;/Members&gt;</w:t>
      </w:r>
    </w:p>
    <w:p w14:paraId="5421C83A" w14:textId="77777777" w:rsidR="00CE45E2" w:rsidRPr="00CE45E2" w:rsidRDefault="00CE45E2" w:rsidP="00CE45E2">
      <w:pPr>
        <w:pStyle w:val="NormalBold"/>
      </w:pPr>
      <w:r w:rsidRPr="00CE45E2">
        <w:rPr>
          <w:rStyle w:val="HideTWBExt"/>
          <w:b w:val="0"/>
        </w:rPr>
        <w:t>&lt;/RepeatBlock-By&gt;</w:t>
      </w:r>
    </w:p>
    <w:p w14:paraId="2F0B3CBA"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5D257560"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0114BA7F"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13434CB7" w14:textId="77777777" w:rsidR="00CE45E2" w:rsidRPr="00CE45E2" w:rsidRDefault="00CE45E2" w:rsidP="00CE45E2">
      <w:r w:rsidRPr="00CE45E2">
        <w:rPr>
          <w:rStyle w:val="HideTWBExt"/>
        </w:rPr>
        <w:t>&lt;Article2&gt;</w:t>
      </w:r>
      <w:r w:rsidRPr="00CE45E2">
        <w:t>Artykuł 19 – ustęp 1 d</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73CF7AF4" w14:textId="77777777" w:rsidTr="006476FB">
        <w:trPr>
          <w:trHeight w:hRule="exact" w:val="240"/>
          <w:jc w:val="center"/>
        </w:trPr>
        <w:tc>
          <w:tcPr>
            <w:tcW w:w="9752" w:type="dxa"/>
            <w:gridSpan w:val="2"/>
            <w:tcBorders>
              <w:top w:val="nil"/>
              <w:left w:val="nil"/>
              <w:bottom w:val="nil"/>
              <w:right w:val="nil"/>
            </w:tcBorders>
          </w:tcPr>
          <w:p w14:paraId="17E2D343" w14:textId="77777777" w:rsidR="00CE45E2" w:rsidRPr="00CE45E2" w:rsidRDefault="00CE45E2" w:rsidP="006476FB"/>
        </w:tc>
      </w:tr>
      <w:tr w:rsidR="00CE45E2" w:rsidRPr="00CE45E2" w14:paraId="12D87F9D" w14:textId="77777777" w:rsidTr="006476FB">
        <w:trPr>
          <w:trHeight w:val="240"/>
          <w:jc w:val="center"/>
        </w:trPr>
        <w:tc>
          <w:tcPr>
            <w:tcW w:w="4876" w:type="dxa"/>
            <w:tcBorders>
              <w:top w:val="nil"/>
              <w:left w:val="nil"/>
              <w:bottom w:val="nil"/>
              <w:right w:val="nil"/>
            </w:tcBorders>
          </w:tcPr>
          <w:p w14:paraId="79ACE161"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784F3CB2" w14:textId="77777777" w:rsidR="00CE45E2" w:rsidRPr="00CE45E2" w:rsidRDefault="00CE45E2" w:rsidP="006476FB">
            <w:pPr>
              <w:pStyle w:val="AmColumnHeading"/>
            </w:pPr>
            <w:r w:rsidRPr="00CE45E2">
              <w:t>Poprawka</w:t>
            </w:r>
          </w:p>
        </w:tc>
      </w:tr>
      <w:tr w:rsidR="00CE45E2" w:rsidRPr="00CE45E2" w14:paraId="70E9A413" w14:textId="77777777" w:rsidTr="006476FB">
        <w:trPr>
          <w:jc w:val="center"/>
        </w:trPr>
        <w:tc>
          <w:tcPr>
            <w:tcW w:w="4876" w:type="dxa"/>
            <w:tcBorders>
              <w:top w:val="nil"/>
              <w:left w:val="nil"/>
              <w:bottom w:val="nil"/>
              <w:right w:val="nil"/>
            </w:tcBorders>
          </w:tcPr>
          <w:p w14:paraId="16A462C2" w14:textId="77777777" w:rsidR="00CE45E2" w:rsidRPr="00CE45E2" w:rsidRDefault="00CE45E2" w:rsidP="006476FB">
            <w:pPr>
              <w:pStyle w:val="Normal6a"/>
            </w:pPr>
            <w:r w:rsidRPr="00CE45E2">
              <w:rPr>
                <w:b/>
                <w:i/>
              </w:rPr>
              <w:t>1d.</w:t>
            </w:r>
            <w:r w:rsidRPr="00CE45E2">
              <w:tab/>
            </w:r>
            <w:r w:rsidRPr="00CE45E2">
              <w:rPr>
                <w:b/>
                <w:i/>
              </w:rPr>
              <w:t>Do celów ust. 1c preferencje w zakresie zrównoważonego rozwoju oznaczają wybór uczestnika, beneficjenta lub potencjalnego uczestnika dotyczący tego, czy – i w jakim zakresie – do jego inwestycji należy włączyć co najmniej jeden z następujących instrumentów finansowych:</w:t>
            </w:r>
          </w:p>
        </w:tc>
        <w:tc>
          <w:tcPr>
            <w:tcW w:w="4876" w:type="dxa"/>
            <w:tcBorders>
              <w:top w:val="nil"/>
              <w:left w:val="nil"/>
              <w:bottom w:val="nil"/>
              <w:right w:val="nil"/>
            </w:tcBorders>
          </w:tcPr>
          <w:p w14:paraId="3B6D7336" w14:textId="77777777" w:rsidR="00CE45E2" w:rsidRPr="00CE45E2" w:rsidRDefault="00CE45E2" w:rsidP="006476FB">
            <w:pPr>
              <w:pStyle w:val="Normal6a"/>
            </w:pPr>
            <w:r w:rsidRPr="00CE45E2">
              <w:rPr>
                <w:b/>
                <w:i/>
              </w:rPr>
              <w:t>skreśla się</w:t>
            </w:r>
          </w:p>
        </w:tc>
      </w:tr>
      <w:tr w:rsidR="00CE45E2" w:rsidRPr="00CE45E2" w14:paraId="2638C67A" w14:textId="77777777" w:rsidTr="006476FB">
        <w:trPr>
          <w:jc w:val="center"/>
        </w:trPr>
        <w:tc>
          <w:tcPr>
            <w:tcW w:w="4876" w:type="dxa"/>
            <w:tcBorders>
              <w:top w:val="nil"/>
              <w:left w:val="nil"/>
              <w:bottom w:val="nil"/>
              <w:right w:val="nil"/>
            </w:tcBorders>
          </w:tcPr>
          <w:p w14:paraId="4E48555A" w14:textId="77777777" w:rsidR="00CE45E2" w:rsidRPr="00CE45E2" w:rsidRDefault="00CE45E2" w:rsidP="006476FB">
            <w:pPr>
              <w:pStyle w:val="Normal6a"/>
            </w:pPr>
            <w:r w:rsidRPr="00CE45E2">
              <w:rPr>
                <w:b/>
                <w:i/>
              </w:rPr>
              <w:t xml:space="preserve">a)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środowiskowo inwestycje w rozumieniu w art. 2 pkt 1 rozporządzenia Parlamentu Europejskiego i Rady (UE) 2020/852**;</w:t>
            </w:r>
          </w:p>
        </w:tc>
        <w:tc>
          <w:tcPr>
            <w:tcW w:w="4876" w:type="dxa"/>
            <w:tcBorders>
              <w:top w:val="nil"/>
              <w:left w:val="nil"/>
              <w:bottom w:val="nil"/>
              <w:right w:val="nil"/>
            </w:tcBorders>
          </w:tcPr>
          <w:p w14:paraId="47FF3FA0" w14:textId="77777777" w:rsidR="00CE45E2" w:rsidRPr="00CE45E2" w:rsidRDefault="00CE45E2" w:rsidP="006476FB">
            <w:pPr>
              <w:pStyle w:val="Normal6a"/>
            </w:pPr>
          </w:p>
        </w:tc>
      </w:tr>
      <w:tr w:rsidR="00CE45E2" w:rsidRPr="00CE45E2" w14:paraId="7083A065" w14:textId="77777777" w:rsidTr="006476FB">
        <w:trPr>
          <w:jc w:val="center"/>
        </w:trPr>
        <w:tc>
          <w:tcPr>
            <w:tcW w:w="4876" w:type="dxa"/>
            <w:tcBorders>
              <w:top w:val="nil"/>
              <w:left w:val="nil"/>
              <w:bottom w:val="nil"/>
              <w:right w:val="nil"/>
            </w:tcBorders>
          </w:tcPr>
          <w:p w14:paraId="6B22F8A1" w14:textId="77777777" w:rsidR="00CE45E2" w:rsidRPr="00CE45E2" w:rsidRDefault="00CE45E2" w:rsidP="006476FB">
            <w:pPr>
              <w:pStyle w:val="Normal6a"/>
            </w:pPr>
            <w:r w:rsidRPr="00CE45E2">
              <w:rPr>
                <w:b/>
                <w:bCs/>
                <w:i/>
                <w:iCs/>
              </w:rPr>
              <w:t>b)</w:t>
            </w:r>
            <w:r w:rsidRPr="00CE45E2">
              <w:rPr>
                <w:b/>
                <w:i/>
              </w:rPr>
              <w:t xml:space="preserve">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inwestycje w rozumieniu art. 2 pkt 17 rozporządzenia (UE) 2019/2088;</w:t>
            </w:r>
          </w:p>
        </w:tc>
        <w:tc>
          <w:tcPr>
            <w:tcW w:w="4876" w:type="dxa"/>
            <w:tcBorders>
              <w:top w:val="nil"/>
              <w:left w:val="nil"/>
              <w:bottom w:val="nil"/>
              <w:right w:val="nil"/>
            </w:tcBorders>
          </w:tcPr>
          <w:p w14:paraId="37A92F2D" w14:textId="77777777" w:rsidR="00CE45E2" w:rsidRPr="00CE45E2" w:rsidRDefault="00CE45E2" w:rsidP="006476FB">
            <w:pPr>
              <w:pStyle w:val="Normal6a"/>
            </w:pPr>
          </w:p>
        </w:tc>
      </w:tr>
      <w:tr w:rsidR="00CE45E2" w:rsidRPr="00CE45E2" w14:paraId="6425B614" w14:textId="77777777" w:rsidTr="006476FB">
        <w:trPr>
          <w:jc w:val="center"/>
        </w:trPr>
        <w:tc>
          <w:tcPr>
            <w:tcW w:w="4876" w:type="dxa"/>
            <w:tcBorders>
              <w:top w:val="nil"/>
              <w:left w:val="nil"/>
              <w:bottom w:val="nil"/>
              <w:right w:val="nil"/>
            </w:tcBorders>
          </w:tcPr>
          <w:p w14:paraId="04AD34BC" w14:textId="77777777" w:rsidR="00CE45E2" w:rsidRPr="00CE45E2" w:rsidRDefault="00CE45E2" w:rsidP="006476FB">
            <w:pPr>
              <w:pStyle w:val="Normal6a"/>
            </w:pPr>
            <w:r w:rsidRPr="00CE45E2">
              <w:rPr>
                <w:b/>
                <w:i/>
              </w:rPr>
              <w:t xml:space="preserve">c) instrument finansowy, który uwzględnia główne niekorzystne skutki dla czynników zrównoważonego rozwoju zgodnie z definicją w art. 2 pkt 24 rozporządzenia (UE) 2019/2088, w </w:t>
            </w:r>
            <w:proofErr w:type="gramStart"/>
            <w:r w:rsidRPr="00CE45E2">
              <w:rPr>
                <w:b/>
                <w:i/>
              </w:rPr>
              <w:t>przypadku</w:t>
            </w:r>
            <w:proofErr w:type="gramEnd"/>
            <w:r w:rsidRPr="00CE45E2">
              <w:rPr>
                <w:b/>
                <w:i/>
              </w:rPr>
              <w:t xml:space="preserve"> gdy elementy jakościowe lub ilościowe wskazujące na to uwzględnienie są ustalane przez klienta lub potencjalnego klienta.”;</w:t>
            </w:r>
          </w:p>
        </w:tc>
        <w:tc>
          <w:tcPr>
            <w:tcW w:w="4876" w:type="dxa"/>
            <w:tcBorders>
              <w:top w:val="nil"/>
              <w:left w:val="nil"/>
              <w:bottom w:val="nil"/>
              <w:right w:val="nil"/>
            </w:tcBorders>
          </w:tcPr>
          <w:p w14:paraId="03CCD576" w14:textId="77777777" w:rsidR="00CE45E2" w:rsidRPr="00CE45E2" w:rsidRDefault="00CE45E2" w:rsidP="006476FB">
            <w:pPr>
              <w:pStyle w:val="Normal6a"/>
            </w:pPr>
          </w:p>
        </w:tc>
      </w:tr>
    </w:tbl>
    <w:p w14:paraId="15C70F89"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10ABAE53" w14:textId="77777777" w:rsidR="00CE45E2" w:rsidRPr="00CE45E2" w:rsidRDefault="00CE45E2" w:rsidP="00CE45E2">
      <w:r w:rsidRPr="00CE45E2">
        <w:rPr>
          <w:rStyle w:val="HideTWBExt"/>
        </w:rPr>
        <w:t>&lt;/Amend&gt;</w:t>
      </w:r>
    </w:p>
    <w:p w14:paraId="7CFA453F" w14:textId="59036C8D" w:rsidR="00CE45E2" w:rsidRPr="00CE45E2" w:rsidRDefault="00CE45E2" w:rsidP="00CE45E2">
      <w:pPr>
        <w:pStyle w:val="AmNumberTabs"/>
      </w:pPr>
      <w:r w:rsidRPr="00CE45E2">
        <w:rPr>
          <w:rStyle w:val="HideTWBExt"/>
          <w:b w:val="0"/>
        </w:rPr>
        <w:t>&lt;Amend&gt;</w:t>
      </w:r>
      <w:r w:rsidRPr="00CE45E2">
        <w:t>Poprawka</w:t>
      </w:r>
      <w:r w:rsidRPr="00CE45E2">
        <w:tab/>
      </w:r>
      <w:r w:rsidRPr="00CE45E2">
        <w:tab/>
      </w:r>
      <w:r w:rsidRPr="00CE45E2">
        <w:rPr>
          <w:rStyle w:val="HideTWBExt"/>
          <w:b w:val="0"/>
        </w:rPr>
        <w:t>&lt;NumAm&gt;</w:t>
      </w:r>
      <w:r w:rsidR="00430CF1" w:rsidRPr="00430CF1">
        <w:t>336</w:t>
      </w:r>
      <w:r w:rsidRPr="00CE45E2">
        <w:rPr>
          <w:rStyle w:val="HideTWBExt"/>
          <w:b w:val="0"/>
        </w:rPr>
        <w:t>&lt;/NumAm&gt;</w:t>
      </w:r>
    </w:p>
    <w:p w14:paraId="283F8670" w14:textId="77777777" w:rsidR="00CE45E2" w:rsidRPr="00CE45E2" w:rsidRDefault="00CE45E2" w:rsidP="00CE45E2">
      <w:pPr>
        <w:pStyle w:val="NormalBold"/>
      </w:pPr>
      <w:r w:rsidRPr="00CE45E2">
        <w:rPr>
          <w:rStyle w:val="HideTWBExt"/>
          <w:b w:val="0"/>
        </w:rPr>
        <w:t>&lt;RepeatBlock-By&gt;&lt;Members&gt;</w:t>
      </w:r>
      <w:r w:rsidRPr="00CE45E2">
        <w:t xml:space="preserve">Marlena </w:t>
      </w:r>
      <w:proofErr w:type="spellStart"/>
      <w:r w:rsidRPr="00CE45E2">
        <w:t>Maląg</w:t>
      </w:r>
      <w:proofErr w:type="spellEnd"/>
      <w:r w:rsidRPr="00CE45E2">
        <w:rPr>
          <w:rStyle w:val="HideTWBExt"/>
          <w:b w:val="0"/>
        </w:rPr>
        <w:t>&lt;/Members&gt;</w:t>
      </w:r>
    </w:p>
    <w:p w14:paraId="2815369A" w14:textId="77777777" w:rsidR="00CE45E2" w:rsidRPr="00CE45E2" w:rsidRDefault="00CE45E2" w:rsidP="00CE45E2">
      <w:r w:rsidRPr="00CE45E2">
        <w:rPr>
          <w:rStyle w:val="HideTWBExt"/>
        </w:rPr>
        <w:t>&lt;AuNomDe&gt;</w:t>
      </w:r>
      <w:r w:rsidRPr="00CE45E2">
        <w:rPr>
          <w:rStyle w:val="HideTWBInt"/>
        </w:rPr>
        <w:t>{ECR}</w:t>
      </w:r>
      <w:r w:rsidRPr="00CE45E2">
        <w:t>w imieniu grupy ECR</w:t>
      </w:r>
      <w:r w:rsidRPr="00CE45E2">
        <w:rPr>
          <w:rStyle w:val="HideTWBExt"/>
        </w:rPr>
        <w:t>&lt;/AuNomDe&gt;</w:t>
      </w:r>
    </w:p>
    <w:p w14:paraId="50DC8976" w14:textId="77777777" w:rsidR="00CE45E2" w:rsidRPr="00CE45E2" w:rsidRDefault="00CE45E2" w:rsidP="00CE45E2">
      <w:pPr>
        <w:pStyle w:val="NormalBold"/>
      </w:pPr>
      <w:r w:rsidRPr="00CE45E2">
        <w:rPr>
          <w:rStyle w:val="HideTWBExt"/>
          <w:b w:val="0"/>
        </w:rPr>
        <w:t>&lt;/RepeatBlock-By&gt;</w:t>
      </w:r>
    </w:p>
    <w:p w14:paraId="379253B4" w14:textId="77777777" w:rsidR="00CE45E2" w:rsidRPr="00CE45E2" w:rsidRDefault="00CE45E2" w:rsidP="00CE45E2">
      <w:pPr>
        <w:pStyle w:val="NormalBold"/>
      </w:pPr>
      <w:r w:rsidRPr="00CE45E2">
        <w:rPr>
          <w:rStyle w:val="HideTWBExt"/>
          <w:b w:val="0"/>
        </w:rPr>
        <w:t>&lt;DocAmend&gt;</w:t>
      </w:r>
      <w:r w:rsidRPr="00CE45E2">
        <w:t>Wniosek dotyczący dyrektywy</w:t>
      </w:r>
      <w:r w:rsidRPr="00CE45E2">
        <w:rPr>
          <w:rStyle w:val="HideTWBExt"/>
          <w:b w:val="0"/>
        </w:rPr>
        <w:t>&lt;/DocAmend&gt;</w:t>
      </w:r>
    </w:p>
    <w:p w14:paraId="03A1E015" w14:textId="77777777" w:rsidR="00CE45E2" w:rsidRPr="00CE45E2" w:rsidRDefault="00CE45E2" w:rsidP="00CE45E2">
      <w:pPr>
        <w:pStyle w:val="NormalBold"/>
      </w:pPr>
      <w:r w:rsidRPr="00CE45E2">
        <w:rPr>
          <w:rStyle w:val="HideTWBExt"/>
          <w:b w:val="0"/>
        </w:rPr>
        <w:t>&lt;Article&gt;</w:t>
      </w:r>
      <w:r w:rsidRPr="00CE45E2">
        <w:t>Artykuł 1 – akapit 1 – punkt 22 – litera b</w:t>
      </w:r>
      <w:r w:rsidRPr="00CE45E2">
        <w:rPr>
          <w:rStyle w:val="HideTWBExt"/>
          <w:b w:val="0"/>
        </w:rPr>
        <w:t>&lt;/Article&gt;</w:t>
      </w:r>
    </w:p>
    <w:p w14:paraId="741E483D" w14:textId="77777777" w:rsidR="00CE45E2" w:rsidRPr="00CE45E2" w:rsidRDefault="00CE45E2" w:rsidP="00CE45E2">
      <w:r w:rsidRPr="00CE45E2">
        <w:rPr>
          <w:rStyle w:val="HideTWBExt"/>
        </w:rPr>
        <w:t>&lt;DocAmend2&gt;</w:t>
      </w:r>
      <w:r w:rsidRPr="00CE45E2">
        <w:t>Dyrektywa (UE) 2016/2341</w:t>
      </w:r>
      <w:r w:rsidRPr="00CE45E2">
        <w:rPr>
          <w:rStyle w:val="HideTWBExt"/>
        </w:rPr>
        <w:t>&lt;/DocAmend2&gt;</w:t>
      </w:r>
    </w:p>
    <w:p w14:paraId="48C6385B" w14:textId="77777777" w:rsidR="00CE45E2" w:rsidRPr="00CE45E2" w:rsidRDefault="00CE45E2" w:rsidP="00CE45E2">
      <w:r w:rsidRPr="00CE45E2">
        <w:rPr>
          <w:rStyle w:val="HideTWBExt"/>
        </w:rPr>
        <w:t>&lt;Article2&gt;</w:t>
      </w:r>
      <w:r w:rsidRPr="00CE45E2">
        <w:t>Artykuł 19 – ustęp 1 d</w:t>
      </w:r>
      <w:r w:rsidRPr="00CE45E2">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45E2" w:rsidRPr="00CE45E2" w14:paraId="26D9BA17" w14:textId="77777777" w:rsidTr="006476FB">
        <w:trPr>
          <w:trHeight w:hRule="exact" w:val="240"/>
          <w:jc w:val="center"/>
        </w:trPr>
        <w:tc>
          <w:tcPr>
            <w:tcW w:w="9752" w:type="dxa"/>
            <w:gridSpan w:val="2"/>
            <w:tcBorders>
              <w:top w:val="nil"/>
              <w:left w:val="nil"/>
              <w:bottom w:val="nil"/>
              <w:right w:val="nil"/>
            </w:tcBorders>
          </w:tcPr>
          <w:p w14:paraId="776CDFFC" w14:textId="77777777" w:rsidR="00CE45E2" w:rsidRPr="00CE45E2" w:rsidRDefault="00CE45E2" w:rsidP="006476FB"/>
        </w:tc>
      </w:tr>
      <w:tr w:rsidR="00CE45E2" w:rsidRPr="00CE45E2" w14:paraId="3B1FFEDD" w14:textId="77777777" w:rsidTr="006476FB">
        <w:trPr>
          <w:trHeight w:val="240"/>
          <w:jc w:val="center"/>
        </w:trPr>
        <w:tc>
          <w:tcPr>
            <w:tcW w:w="4876" w:type="dxa"/>
            <w:tcBorders>
              <w:top w:val="nil"/>
              <w:left w:val="nil"/>
              <w:bottom w:val="nil"/>
              <w:right w:val="nil"/>
            </w:tcBorders>
          </w:tcPr>
          <w:p w14:paraId="09C4BB6E" w14:textId="77777777" w:rsidR="00CE45E2" w:rsidRPr="00CE45E2" w:rsidRDefault="00CE45E2" w:rsidP="006476FB">
            <w:pPr>
              <w:pStyle w:val="AmColumnHeading"/>
            </w:pPr>
            <w:r w:rsidRPr="00CE45E2">
              <w:t>Tekst proponowany przez Komisję</w:t>
            </w:r>
          </w:p>
        </w:tc>
        <w:tc>
          <w:tcPr>
            <w:tcW w:w="4876" w:type="dxa"/>
            <w:tcBorders>
              <w:top w:val="nil"/>
              <w:left w:val="nil"/>
              <w:bottom w:val="nil"/>
              <w:right w:val="nil"/>
            </w:tcBorders>
          </w:tcPr>
          <w:p w14:paraId="5B5731D7" w14:textId="77777777" w:rsidR="00CE45E2" w:rsidRPr="00CE45E2" w:rsidRDefault="00CE45E2" w:rsidP="006476FB">
            <w:pPr>
              <w:pStyle w:val="AmColumnHeading"/>
            </w:pPr>
            <w:r w:rsidRPr="00CE45E2">
              <w:t>Poprawka</w:t>
            </w:r>
          </w:p>
        </w:tc>
      </w:tr>
      <w:tr w:rsidR="00CE45E2" w:rsidRPr="00CE45E2" w14:paraId="7A6D1CB4" w14:textId="77777777" w:rsidTr="006476FB">
        <w:trPr>
          <w:jc w:val="center"/>
        </w:trPr>
        <w:tc>
          <w:tcPr>
            <w:tcW w:w="4876" w:type="dxa"/>
            <w:tcBorders>
              <w:top w:val="nil"/>
              <w:left w:val="nil"/>
              <w:bottom w:val="nil"/>
              <w:right w:val="nil"/>
            </w:tcBorders>
          </w:tcPr>
          <w:p w14:paraId="5581447E" w14:textId="77777777" w:rsidR="00CE45E2" w:rsidRPr="00CE45E2" w:rsidRDefault="00CE45E2" w:rsidP="006476FB">
            <w:pPr>
              <w:pStyle w:val="Normal6a"/>
            </w:pPr>
            <w:r w:rsidRPr="00CE45E2">
              <w:rPr>
                <w:b/>
                <w:i/>
              </w:rPr>
              <w:t>1d.</w:t>
            </w:r>
            <w:r w:rsidRPr="00CE45E2">
              <w:tab/>
            </w:r>
            <w:r w:rsidRPr="00CE45E2">
              <w:rPr>
                <w:b/>
                <w:i/>
              </w:rPr>
              <w:t>Do celów ust. 1c preferencje w zakresie zrównoważonego rozwoju oznaczają wybór uczestnika, beneficjenta lub potencjalnego uczestnika dotyczący tego, czy – i w jakim zakresie – do jego inwestycji należy włączyć co najmniej jeden z następujących instrumentów finansowych:</w:t>
            </w:r>
          </w:p>
        </w:tc>
        <w:tc>
          <w:tcPr>
            <w:tcW w:w="4876" w:type="dxa"/>
            <w:tcBorders>
              <w:top w:val="nil"/>
              <w:left w:val="nil"/>
              <w:bottom w:val="nil"/>
              <w:right w:val="nil"/>
            </w:tcBorders>
          </w:tcPr>
          <w:p w14:paraId="5B2D784E" w14:textId="77777777" w:rsidR="00CE45E2" w:rsidRPr="00CE45E2" w:rsidRDefault="00CE45E2" w:rsidP="006476FB">
            <w:pPr>
              <w:pStyle w:val="Normal6a"/>
            </w:pPr>
            <w:r w:rsidRPr="00CE45E2">
              <w:rPr>
                <w:b/>
                <w:i/>
              </w:rPr>
              <w:t>skreśla się</w:t>
            </w:r>
          </w:p>
        </w:tc>
      </w:tr>
      <w:tr w:rsidR="00CE45E2" w:rsidRPr="00CE45E2" w14:paraId="53590F8C" w14:textId="77777777" w:rsidTr="006476FB">
        <w:trPr>
          <w:jc w:val="center"/>
        </w:trPr>
        <w:tc>
          <w:tcPr>
            <w:tcW w:w="4876" w:type="dxa"/>
            <w:tcBorders>
              <w:top w:val="nil"/>
              <w:left w:val="nil"/>
              <w:bottom w:val="nil"/>
              <w:right w:val="nil"/>
            </w:tcBorders>
          </w:tcPr>
          <w:p w14:paraId="46F31376" w14:textId="77777777" w:rsidR="00CE45E2" w:rsidRPr="00CE45E2" w:rsidRDefault="00CE45E2" w:rsidP="006476FB">
            <w:pPr>
              <w:pStyle w:val="Normal6a"/>
            </w:pPr>
            <w:r w:rsidRPr="00CE45E2">
              <w:rPr>
                <w:b/>
                <w:i/>
              </w:rPr>
              <w:t xml:space="preserve">a)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środowiskowo inwestycje w rozumieniu w art. 2 pkt 1 rozporządzenia Parlamentu Europejskiego i Rady (UE) 2020/852**;</w:t>
            </w:r>
          </w:p>
        </w:tc>
        <w:tc>
          <w:tcPr>
            <w:tcW w:w="4876" w:type="dxa"/>
            <w:tcBorders>
              <w:top w:val="nil"/>
              <w:left w:val="nil"/>
              <w:bottom w:val="nil"/>
              <w:right w:val="nil"/>
            </w:tcBorders>
          </w:tcPr>
          <w:p w14:paraId="763E6942" w14:textId="77777777" w:rsidR="00CE45E2" w:rsidRPr="00CE45E2" w:rsidRDefault="00CE45E2" w:rsidP="006476FB">
            <w:pPr>
              <w:pStyle w:val="Normal6a"/>
            </w:pPr>
          </w:p>
        </w:tc>
      </w:tr>
      <w:tr w:rsidR="00CE45E2" w:rsidRPr="00CE45E2" w14:paraId="5756FABC" w14:textId="77777777" w:rsidTr="006476FB">
        <w:trPr>
          <w:jc w:val="center"/>
        </w:trPr>
        <w:tc>
          <w:tcPr>
            <w:tcW w:w="4876" w:type="dxa"/>
            <w:tcBorders>
              <w:top w:val="nil"/>
              <w:left w:val="nil"/>
              <w:bottom w:val="nil"/>
              <w:right w:val="nil"/>
            </w:tcBorders>
          </w:tcPr>
          <w:p w14:paraId="1AB65065" w14:textId="77777777" w:rsidR="00CE45E2" w:rsidRPr="00CE45E2" w:rsidRDefault="00CE45E2" w:rsidP="006476FB">
            <w:pPr>
              <w:pStyle w:val="Normal6a"/>
            </w:pPr>
            <w:r w:rsidRPr="00CE45E2">
              <w:rPr>
                <w:b/>
                <w:bCs/>
                <w:i/>
                <w:iCs/>
              </w:rPr>
              <w:t>b)</w:t>
            </w:r>
            <w:r w:rsidRPr="00CE45E2">
              <w:rPr>
                <w:b/>
                <w:i/>
              </w:rPr>
              <w:t xml:space="preserve"> instrument finansowy, w </w:t>
            </w:r>
            <w:proofErr w:type="gramStart"/>
            <w:r w:rsidRPr="00CE45E2">
              <w:rPr>
                <w:b/>
                <w:i/>
              </w:rPr>
              <w:t>odniesieniu</w:t>
            </w:r>
            <w:proofErr w:type="gramEnd"/>
            <w:r w:rsidRPr="00CE45E2">
              <w:rPr>
                <w:b/>
                <w:i/>
              </w:rPr>
              <w:t xml:space="preserve"> do którego klient lub potencjalny klient określa, że określona minimalna część ma zostać zainwestowana w zrównoważone inwestycje w rozumieniu art. 2 pkt 17 rozporządzenia (UE) 2019/2088;</w:t>
            </w:r>
          </w:p>
        </w:tc>
        <w:tc>
          <w:tcPr>
            <w:tcW w:w="4876" w:type="dxa"/>
            <w:tcBorders>
              <w:top w:val="nil"/>
              <w:left w:val="nil"/>
              <w:bottom w:val="nil"/>
              <w:right w:val="nil"/>
            </w:tcBorders>
          </w:tcPr>
          <w:p w14:paraId="5F36E0B2" w14:textId="77777777" w:rsidR="00CE45E2" w:rsidRPr="00CE45E2" w:rsidRDefault="00CE45E2" w:rsidP="006476FB">
            <w:pPr>
              <w:pStyle w:val="Normal6a"/>
            </w:pPr>
          </w:p>
        </w:tc>
      </w:tr>
      <w:tr w:rsidR="00CE45E2" w:rsidRPr="00CE45E2" w14:paraId="71C41ADD" w14:textId="77777777" w:rsidTr="006476FB">
        <w:trPr>
          <w:jc w:val="center"/>
        </w:trPr>
        <w:tc>
          <w:tcPr>
            <w:tcW w:w="4876" w:type="dxa"/>
            <w:tcBorders>
              <w:top w:val="nil"/>
              <w:left w:val="nil"/>
              <w:bottom w:val="nil"/>
              <w:right w:val="nil"/>
            </w:tcBorders>
          </w:tcPr>
          <w:p w14:paraId="3EDDD19E" w14:textId="77777777" w:rsidR="00CE45E2" w:rsidRPr="00CE45E2" w:rsidRDefault="00CE45E2" w:rsidP="006476FB">
            <w:pPr>
              <w:pStyle w:val="Normal6a"/>
            </w:pPr>
            <w:r w:rsidRPr="00CE45E2">
              <w:rPr>
                <w:b/>
                <w:i/>
              </w:rPr>
              <w:t xml:space="preserve">c) instrument finansowy, który uwzględnia główne niekorzystne skutki dla czynników zrównoważonego rozwoju zgodnie z definicją w art. 2 pkt 24 rozporządzenia (UE) 2019/2088, w </w:t>
            </w:r>
            <w:proofErr w:type="gramStart"/>
            <w:r w:rsidRPr="00CE45E2">
              <w:rPr>
                <w:b/>
                <w:i/>
              </w:rPr>
              <w:t>przypadku</w:t>
            </w:r>
            <w:proofErr w:type="gramEnd"/>
            <w:r w:rsidRPr="00CE45E2">
              <w:rPr>
                <w:b/>
                <w:i/>
              </w:rPr>
              <w:t xml:space="preserve"> gdy elementy jakościowe lub ilościowe wskazujące na to uwzględnienie są ustalane przez klienta lub potencjalnego klienta.”;</w:t>
            </w:r>
          </w:p>
        </w:tc>
        <w:tc>
          <w:tcPr>
            <w:tcW w:w="4876" w:type="dxa"/>
            <w:tcBorders>
              <w:top w:val="nil"/>
              <w:left w:val="nil"/>
              <w:bottom w:val="nil"/>
              <w:right w:val="nil"/>
            </w:tcBorders>
          </w:tcPr>
          <w:p w14:paraId="5EBF73A3" w14:textId="77777777" w:rsidR="00CE45E2" w:rsidRPr="00CE45E2" w:rsidRDefault="00CE45E2" w:rsidP="006476FB">
            <w:pPr>
              <w:pStyle w:val="Normal6a"/>
            </w:pPr>
          </w:p>
        </w:tc>
      </w:tr>
    </w:tbl>
    <w:p w14:paraId="0B478AA6" w14:textId="77777777" w:rsidR="00CE45E2" w:rsidRPr="00CE45E2" w:rsidRDefault="00CE45E2" w:rsidP="00CE45E2">
      <w:pPr>
        <w:pStyle w:val="AmOrLang"/>
      </w:pPr>
      <w:r w:rsidRPr="00CE45E2">
        <w:t xml:space="preserve">Or. </w:t>
      </w:r>
      <w:r w:rsidRPr="00CE45E2">
        <w:rPr>
          <w:rStyle w:val="HideTWBExt"/>
        </w:rPr>
        <w:t>&lt;Original&gt;</w:t>
      </w:r>
      <w:r w:rsidRPr="00CE45E2">
        <w:rPr>
          <w:rStyle w:val="HideTWBInt"/>
        </w:rPr>
        <w:t>{EN}</w:t>
      </w:r>
      <w:r w:rsidRPr="00CE45E2">
        <w:t>en</w:t>
      </w:r>
      <w:r w:rsidRPr="00CE45E2">
        <w:rPr>
          <w:rStyle w:val="HideTWBExt"/>
        </w:rPr>
        <w:t>&lt;/Original&gt;</w:t>
      </w:r>
    </w:p>
    <w:p w14:paraId="529EA73E" w14:textId="77777777" w:rsidR="00CE45E2" w:rsidRPr="00CE45E2" w:rsidRDefault="00CE45E2" w:rsidP="00CE45E2">
      <w:pPr>
        <w:pStyle w:val="AmJustTitle"/>
      </w:pPr>
      <w:r w:rsidRPr="00CE45E2">
        <w:rPr>
          <w:rStyle w:val="HideTWBExt"/>
          <w:i w:val="0"/>
        </w:rPr>
        <w:t>&lt;TitreJust&gt;</w:t>
      </w:r>
      <w:r w:rsidRPr="00CE45E2">
        <w:t>Uzasadnienie</w:t>
      </w:r>
      <w:r w:rsidRPr="00CE45E2">
        <w:rPr>
          <w:rStyle w:val="HideTWBExt"/>
          <w:i w:val="0"/>
        </w:rPr>
        <w:t>&lt;/TitreJust&gt;</w:t>
      </w:r>
    </w:p>
    <w:p w14:paraId="2B82E46B" w14:textId="77777777" w:rsidR="00CE45E2" w:rsidRPr="00CE45E2" w:rsidRDefault="00CE45E2" w:rsidP="00CE45E2">
      <w:pPr>
        <w:pStyle w:val="AmJustText"/>
      </w:pPr>
      <w:r w:rsidRPr="00CE45E2">
        <w:t>Nierealistyczne jest wymaganie, aby decyzje inwestycyjne IORP odzwierciedlały i uwzględniały preferencje ich uczestników w zakresie zrównoważonego rozwoju.</w:t>
      </w:r>
    </w:p>
    <w:p w14:paraId="5781B01E" w14:textId="3061FA3E" w:rsidR="00CE45E2" w:rsidRPr="00CE45E2" w:rsidRDefault="00CE45E2" w:rsidP="00CE45E2">
      <w:r w:rsidRPr="00CE45E2">
        <w:rPr>
          <w:rStyle w:val="HideTWBExt"/>
        </w:rPr>
        <w:t>&lt;/Amend&gt;&lt;/RepeatBlock-Amend&gt;</w:t>
      </w:r>
    </w:p>
    <w:p w14:paraId="602AE033" w14:textId="3A9D237B" w:rsidR="00C03054" w:rsidRPr="00CE45E2" w:rsidRDefault="00C03054" w:rsidP="00CE45E2"/>
    <w:sectPr w:rsidR="00C03054" w:rsidRPr="00CE45E2" w:rsidSect="00432EA8">
      <w:headerReference w:type="even" r:id="rId9"/>
      <w:headerReference w:type="default" r:id="rId10"/>
      <w:footerReference w:type="even" r:id="rId11"/>
      <w:footerReference w:type="default" r:id="rId12"/>
      <w:headerReference w:type="first" r:id="rId13"/>
      <w:footerReference w:type="first" r:id="rId14"/>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F6F17" w14:textId="77777777" w:rsidR="00965B58" w:rsidRPr="00293107" w:rsidRDefault="00965B58">
      <w:r w:rsidRPr="00293107">
        <w:separator/>
      </w:r>
    </w:p>
  </w:endnote>
  <w:endnote w:type="continuationSeparator" w:id="0">
    <w:p w14:paraId="74BFBCAE" w14:textId="77777777" w:rsidR="00965B58" w:rsidRPr="00293107" w:rsidRDefault="00965B58">
      <w:r w:rsidRPr="002931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uropea">
    <w:panose1 w:val="00000000000000000000"/>
    <w:charset w:val="00"/>
    <w:family w:val="auto"/>
    <w:pitch w:val="variable"/>
    <w:sig w:usb0="A00002FF" w:usb1="5001E47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B3537" w14:textId="77777777" w:rsidR="00432EA8" w:rsidRPr="00293107" w:rsidRDefault="00432EA8" w:rsidP="00432EA8">
    <w:pPr>
      <w:pStyle w:val="EPFooter"/>
    </w:pPr>
    <w:r w:rsidRPr="00293107">
      <w:t>PE</w:t>
    </w:r>
    <w:r w:rsidRPr="00CE45E2">
      <w:rPr>
        <w:rStyle w:val="HideTWBExt"/>
      </w:rPr>
      <w:t>&lt;NoPE&gt;</w:t>
    </w:r>
    <w:r w:rsidRPr="00293107">
      <w:t>789.865</w:t>
    </w:r>
    <w:r w:rsidRPr="00CE45E2">
      <w:rPr>
        <w:rStyle w:val="HideTWBExt"/>
      </w:rPr>
      <w:t>&lt;/NoPE&gt;&lt;Version&gt;</w:t>
    </w:r>
    <w:r w:rsidRPr="00293107">
      <w:t>v01-00</w:t>
    </w:r>
    <w:r w:rsidRPr="00CE45E2">
      <w:rPr>
        <w:rStyle w:val="HideTWBExt"/>
      </w:rPr>
      <w:t>&lt;/Version&gt;</w:t>
    </w:r>
    <w:r w:rsidRPr="00293107">
      <w:tab/>
    </w:r>
    <w:r w:rsidRPr="00293107">
      <w:fldChar w:fldCharType="begin"/>
    </w:r>
    <w:r w:rsidRPr="00293107">
      <w:instrText xml:space="preserve"> PAGE  \* MERGEFORMAT </w:instrText>
    </w:r>
    <w:r w:rsidRPr="00293107">
      <w:fldChar w:fldCharType="separate"/>
    </w:r>
    <w:r w:rsidRPr="00293107">
      <w:rPr>
        <w:noProof/>
      </w:rPr>
      <w:t>2</w:t>
    </w:r>
    <w:r w:rsidRPr="00293107">
      <w:fldChar w:fldCharType="end"/>
    </w:r>
    <w:r w:rsidRPr="00293107">
      <w:t>/</w:t>
    </w:r>
    <w:fldSimple w:instr=" NUMPAGES  \* MERGEFORMAT ">
      <w:r w:rsidRPr="00293107">
        <w:rPr>
          <w:noProof/>
        </w:rPr>
        <w:t>170</w:t>
      </w:r>
    </w:fldSimple>
    <w:r w:rsidRPr="00293107">
      <w:tab/>
    </w:r>
    <w:r w:rsidRPr="00CE45E2">
      <w:rPr>
        <w:rStyle w:val="HideTWBExt"/>
      </w:rPr>
      <w:t>&lt;PathFdR&gt;</w:t>
    </w:r>
    <w:r w:rsidRPr="00293107">
      <w:t>AM\1345189PL.docx</w:t>
    </w:r>
    <w:r w:rsidRPr="00CE45E2">
      <w:rPr>
        <w:rStyle w:val="HideTWBExt"/>
      </w:rPr>
      <w:t>&lt;/PathFdR&gt;</w:t>
    </w:r>
  </w:p>
  <w:p w14:paraId="743DB545" w14:textId="11779BDC" w:rsidR="00C03054" w:rsidRPr="00293107" w:rsidRDefault="00432EA8" w:rsidP="00432EA8">
    <w:pPr>
      <w:pStyle w:val="EPFooter2"/>
    </w:pPr>
    <w:r w:rsidRPr="00293107">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46545" w14:textId="77777777" w:rsidR="00432EA8" w:rsidRPr="00293107" w:rsidRDefault="00432EA8" w:rsidP="00432EA8">
    <w:pPr>
      <w:pStyle w:val="EPFooter"/>
    </w:pPr>
    <w:r w:rsidRPr="00CE45E2">
      <w:rPr>
        <w:rStyle w:val="HideTWBExt"/>
      </w:rPr>
      <w:t>&lt;PathFdR&gt;</w:t>
    </w:r>
    <w:r w:rsidRPr="00293107">
      <w:t>AM\1345189PL.docx</w:t>
    </w:r>
    <w:r w:rsidRPr="00CE45E2">
      <w:rPr>
        <w:rStyle w:val="HideTWBExt"/>
      </w:rPr>
      <w:t>&lt;/PathFdR&gt;</w:t>
    </w:r>
    <w:r w:rsidRPr="00293107">
      <w:tab/>
    </w:r>
    <w:r w:rsidRPr="00293107">
      <w:fldChar w:fldCharType="begin"/>
    </w:r>
    <w:r w:rsidRPr="00293107">
      <w:instrText xml:space="preserve"> PAGE  \* MERGEFORMAT </w:instrText>
    </w:r>
    <w:r w:rsidRPr="00293107">
      <w:fldChar w:fldCharType="separate"/>
    </w:r>
    <w:r w:rsidRPr="00293107">
      <w:rPr>
        <w:noProof/>
      </w:rPr>
      <w:t>3</w:t>
    </w:r>
    <w:r w:rsidRPr="00293107">
      <w:fldChar w:fldCharType="end"/>
    </w:r>
    <w:r w:rsidRPr="00293107">
      <w:t>/</w:t>
    </w:r>
    <w:fldSimple w:instr=" NUMPAGES  \* MERGEFORMAT ">
      <w:r w:rsidRPr="00293107">
        <w:rPr>
          <w:noProof/>
        </w:rPr>
        <w:t>170</w:t>
      </w:r>
    </w:fldSimple>
    <w:r w:rsidRPr="00293107">
      <w:tab/>
      <w:t>PE</w:t>
    </w:r>
    <w:r w:rsidRPr="00CE45E2">
      <w:rPr>
        <w:rStyle w:val="HideTWBExt"/>
      </w:rPr>
      <w:t>&lt;NoPE&gt;</w:t>
    </w:r>
    <w:r w:rsidRPr="00293107">
      <w:t>789.865</w:t>
    </w:r>
    <w:r w:rsidRPr="00CE45E2">
      <w:rPr>
        <w:rStyle w:val="HideTWBExt"/>
      </w:rPr>
      <w:t>&lt;/NoPE&gt;&lt;Version&gt;</w:t>
    </w:r>
    <w:r w:rsidRPr="00293107">
      <w:t>v01-00</w:t>
    </w:r>
    <w:r w:rsidRPr="00CE45E2">
      <w:rPr>
        <w:rStyle w:val="HideTWBExt"/>
      </w:rPr>
      <w:t>&lt;/Version&gt;</w:t>
    </w:r>
  </w:p>
  <w:p w14:paraId="5E3F49D2" w14:textId="695B9CBF" w:rsidR="00C03054" w:rsidRPr="00293107" w:rsidRDefault="00432EA8" w:rsidP="00432EA8">
    <w:pPr>
      <w:pStyle w:val="EPFooter2"/>
    </w:pPr>
    <w:r w:rsidRPr="00293107">
      <w:tab/>
    </w:r>
    <w:r w:rsidRPr="00293107">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1FAF9" w14:textId="77777777" w:rsidR="00432EA8" w:rsidRPr="00293107" w:rsidRDefault="00432EA8" w:rsidP="00432EA8">
    <w:pPr>
      <w:pStyle w:val="EPFooter"/>
    </w:pPr>
    <w:r w:rsidRPr="00CE45E2">
      <w:rPr>
        <w:rStyle w:val="HideTWBExt"/>
      </w:rPr>
      <w:t>&lt;PathFdR&gt;</w:t>
    </w:r>
    <w:r w:rsidRPr="00293107">
      <w:t>AM\1345189PL.docx</w:t>
    </w:r>
    <w:r w:rsidRPr="00CE45E2">
      <w:rPr>
        <w:rStyle w:val="HideTWBExt"/>
      </w:rPr>
      <w:t>&lt;/PathFdR&gt;</w:t>
    </w:r>
    <w:r w:rsidRPr="00293107">
      <w:tab/>
    </w:r>
    <w:r w:rsidRPr="00293107">
      <w:tab/>
      <w:t>PE</w:t>
    </w:r>
    <w:r w:rsidRPr="00CE45E2">
      <w:rPr>
        <w:rStyle w:val="HideTWBExt"/>
      </w:rPr>
      <w:t>&lt;NoPE&gt;</w:t>
    </w:r>
    <w:r w:rsidRPr="00293107">
      <w:t>789.865</w:t>
    </w:r>
    <w:r w:rsidRPr="00CE45E2">
      <w:rPr>
        <w:rStyle w:val="HideTWBExt"/>
      </w:rPr>
      <w:t>&lt;/NoPE&gt;&lt;Version&gt;</w:t>
    </w:r>
    <w:r w:rsidRPr="00293107">
      <w:t>v01-00</w:t>
    </w:r>
    <w:r w:rsidRPr="00CE45E2">
      <w:rPr>
        <w:rStyle w:val="HideTWBExt"/>
      </w:rPr>
      <w:t>&lt;/Version&gt;</w:t>
    </w:r>
  </w:p>
  <w:p w14:paraId="77A87233" w14:textId="0452B3E4" w:rsidR="00C03054" w:rsidRPr="00293107" w:rsidRDefault="00432EA8" w:rsidP="00432EA8">
    <w:pPr>
      <w:pStyle w:val="EPFooter2"/>
    </w:pPr>
    <w:r w:rsidRPr="00293107">
      <w:t>PL</w:t>
    </w:r>
    <w:r w:rsidRPr="00293107">
      <w:tab/>
    </w:r>
    <w:r w:rsidRPr="00293107">
      <w:rPr>
        <w:b w:val="0"/>
        <w:i/>
        <w:color w:val="C0C0C0"/>
        <w:sz w:val="22"/>
      </w:rPr>
      <w:t>Zjednoczona w różnorodności</w:t>
    </w:r>
    <w:r w:rsidRPr="00293107">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956ED" w14:textId="77777777" w:rsidR="00965B58" w:rsidRPr="00293107" w:rsidRDefault="00965B58">
      <w:r w:rsidRPr="00293107">
        <w:separator/>
      </w:r>
    </w:p>
  </w:footnote>
  <w:footnote w:type="continuationSeparator" w:id="0">
    <w:p w14:paraId="1BFFBFDD" w14:textId="77777777" w:rsidR="00965B58" w:rsidRPr="00293107" w:rsidRDefault="00965B58">
      <w:r w:rsidRPr="002931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EFEE" w14:textId="77777777" w:rsidR="00CE45E2" w:rsidRDefault="00CE4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F1DF5" w14:textId="77777777" w:rsidR="00CE45E2" w:rsidRDefault="00CE45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DA76" w14:textId="77777777" w:rsidR="00CE45E2" w:rsidRDefault="00CE45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913D5"/>
    <w:multiLevelType w:val="hybridMultilevel"/>
    <w:tmpl w:val="2E2A6D32"/>
    <w:lvl w:ilvl="0" w:tplc="751E660A">
      <w:start w:val="1"/>
      <w:numFmt w:val="decimal"/>
      <w:lvlText w:val="%1."/>
      <w:lvlJc w:val="left"/>
      <w:pPr>
        <w:ind w:left="720" w:hanging="360"/>
      </w:pPr>
      <w:rPr>
        <w:rFonts w:hint="default"/>
      </w:rPr>
    </w:lvl>
    <w:lvl w:ilvl="1" w:tplc="F836B546" w:tentative="1">
      <w:start w:val="1"/>
      <w:numFmt w:val="lowerLetter"/>
      <w:lvlText w:val="%2."/>
      <w:lvlJc w:val="left"/>
      <w:pPr>
        <w:ind w:left="1440" w:hanging="360"/>
      </w:pPr>
    </w:lvl>
    <w:lvl w:ilvl="2" w:tplc="F5FEB20C" w:tentative="1">
      <w:start w:val="1"/>
      <w:numFmt w:val="lowerRoman"/>
      <w:lvlText w:val="%3."/>
      <w:lvlJc w:val="right"/>
      <w:pPr>
        <w:ind w:left="2160" w:hanging="180"/>
      </w:pPr>
    </w:lvl>
    <w:lvl w:ilvl="3" w:tplc="E5988B62" w:tentative="1">
      <w:start w:val="1"/>
      <w:numFmt w:val="decimal"/>
      <w:lvlText w:val="%4."/>
      <w:lvlJc w:val="left"/>
      <w:pPr>
        <w:ind w:left="2880" w:hanging="360"/>
      </w:pPr>
    </w:lvl>
    <w:lvl w:ilvl="4" w:tplc="A344FF98" w:tentative="1">
      <w:start w:val="1"/>
      <w:numFmt w:val="lowerLetter"/>
      <w:lvlText w:val="%5."/>
      <w:lvlJc w:val="left"/>
      <w:pPr>
        <w:ind w:left="3600" w:hanging="360"/>
      </w:pPr>
    </w:lvl>
    <w:lvl w:ilvl="5" w:tplc="1E54BBCE" w:tentative="1">
      <w:start w:val="1"/>
      <w:numFmt w:val="lowerRoman"/>
      <w:lvlText w:val="%6."/>
      <w:lvlJc w:val="right"/>
      <w:pPr>
        <w:ind w:left="4320" w:hanging="180"/>
      </w:pPr>
    </w:lvl>
    <w:lvl w:ilvl="6" w:tplc="7CFC6EB2" w:tentative="1">
      <w:start w:val="1"/>
      <w:numFmt w:val="decimal"/>
      <w:lvlText w:val="%7."/>
      <w:lvlJc w:val="left"/>
      <w:pPr>
        <w:ind w:left="5040" w:hanging="360"/>
      </w:pPr>
    </w:lvl>
    <w:lvl w:ilvl="7" w:tplc="0336ABAC" w:tentative="1">
      <w:start w:val="1"/>
      <w:numFmt w:val="lowerLetter"/>
      <w:lvlText w:val="%8."/>
      <w:lvlJc w:val="left"/>
      <w:pPr>
        <w:ind w:left="5760" w:hanging="360"/>
      </w:pPr>
    </w:lvl>
    <w:lvl w:ilvl="8" w:tplc="80047EAA" w:tentative="1">
      <w:start w:val="1"/>
      <w:numFmt w:val="lowerRoman"/>
      <w:lvlText w:val="%9."/>
      <w:lvlJc w:val="right"/>
      <w:pPr>
        <w:ind w:left="6480" w:hanging="180"/>
      </w:pPr>
    </w:lvl>
  </w:abstractNum>
  <w:abstractNum w:abstractNumId="1" w15:restartNumberingAfterBreak="0">
    <w:nsid w:val="58463278"/>
    <w:multiLevelType w:val="hybridMultilevel"/>
    <w:tmpl w:val="28222A36"/>
    <w:lvl w:ilvl="0" w:tplc="27EA9204">
      <w:start w:val="1"/>
      <w:numFmt w:val="bullet"/>
      <w:lvlText w:val="-"/>
      <w:lvlJc w:val="left"/>
      <w:pPr>
        <w:ind w:left="720" w:hanging="360"/>
      </w:pPr>
      <w:rPr>
        <w:rFonts w:ascii="Europea" w:eastAsia="Aptos" w:hAnsi="Europea" w:cs="Aptos" w:hint="default"/>
        <w:b w:val="0"/>
        <w:i w:val="0"/>
      </w:rPr>
    </w:lvl>
    <w:lvl w:ilvl="1" w:tplc="40FC5BE2">
      <w:start w:val="1"/>
      <w:numFmt w:val="bullet"/>
      <w:lvlText w:val="o"/>
      <w:lvlJc w:val="left"/>
      <w:pPr>
        <w:ind w:left="1440" w:hanging="360"/>
      </w:pPr>
      <w:rPr>
        <w:rFonts w:ascii="Courier New" w:hAnsi="Courier New" w:cs="Courier New" w:hint="default"/>
      </w:rPr>
    </w:lvl>
    <w:lvl w:ilvl="2" w:tplc="545A88EE">
      <w:start w:val="1"/>
      <w:numFmt w:val="bullet"/>
      <w:lvlText w:val=""/>
      <w:lvlJc w:val="left"/>
      <w:pPr>
        <w:ind w:left="2160" w:hanging="360"/>
      </w:pPr>
      <w:rPr>
        <w:rFonts w:ascii="Wingdings" w:hAnsi="Wingdings" w:hint="default"/>
      </w:rPr>
    </w:lvl>
    <w:lvl w:ilvl="3" w:tplc="BDD40108">
      <w:start w:val="1"/>
      <w:numFmt w:val="bullet"/>
      <w:lvlText w:val=""/>
      <w:lvlJc w:val="left"/>
      <w:pPr>
        <w:ind w:left="2880" w:hanging="360"/>
      </w:pPr>
      <w:rPr>
        <w:rFonts w:ascii="Symbol" w:hAnsi="Symbol" w:hint="default"/>
      </w:rPr>
    </w:lvl>
    <w:lvl w:ilvl="4" w:tplc="CC5EE1A4">
      <w:start w:val="1"/>
      <w:numFmt w:val="bullet"/>
      <w:lvlText w:val="o"/>
      <w:lvlJc w:val="left"/>
      <w:pPr>
        <w:ind w:left="3600" w:hanging="360"/>
      </w:pPr>
      <w:rPr>
        <w:rFonts w:ascii="Courier New" w:hAnsi="Courier New" w:cs="Courier New" w:hint="default"/>
      </w:rPr>
    </w:lvl>
    <w:lvl w:ilvl="5" w:tplc="F3C0CDFE">
      <w:start w:val="1"/>
      <w:numFmt w:val="bullet"/>
      <w:lvlText w:val=""/>
      <w:lvlJc w:val="left"/>
      <w:pPr>
        <w:ind w:left="4320" w:hanging="360"/>
      </w:pPr>
      <w:rPr>
        <w:rFonts w:ascii="Wingdings" w:hAnsi="Wingdings" w:hint="default"/>
      </w:rPr>
    </w:lvl>
    <w:lvl w:ilvl="6" w:tplc="0B262E66">
      <w:start w:val="1"/>
      <w:numFmt w:val="bullet"/>
      <w:lvlText w:val=""/>
      <w:lvlJc w:val="left"/>
      <w:pPr>
        <w:ind w:left="5040" w:hanging="360"/>
      </w:pPr>
      <w:rPr>
        <w:rFonts w:ascii="Symbol" w:hAnsi="Symbol" w:hint="default"/>
      </w:rPr>
    </w:lvl>
    <w:lvl w:ilvl="7" w:tplc="87B25156">
      <w:start w:val="1"/>
      <w:numFmt w:val="bullet"/>
      <w:lvlText w:val="o"/>
      <w:lvlJc w:val="left"/>
      <w:pPr>
        <w:ind w:left="5760" w:hanging="360"/>
      </w:pPr>
      <w:rPr>
        <w:rFonts w:ascii="Courier New" w:hAnsi="Courier New" w:cs="Courier New" w:hint="default"/>
      </w:rPr>
    </w:lvl>
    <w:lvl w:ilvl="8" w:tplc="AB5A12A0">
      <w:start w:val="1"/>
      <w:numFmt w:val="bullet"/>
      <w:lvlText w:val=""/>
      <w:lvlJc w:val="left"/>
      <w:pPr>
        <w:ind w:left="6480" w:hanging="360"/>
      </w:pPr>
      <w:rPr>
        <w:rFonts w:ascii="Wingdings" w:hAnsi="Wingdings" w:hint="default"/>
      </w:rPr>
    </w:lvl>
  </w:abstractNum>
  <w:abstractNum w:abstractNumId="2" w15:restartNumberingAfterBreak="0">
    <w:nsid w:val="756A3318"/>
    <w:multiLevelType w:val="hybridMultilevel"/>
    <w:tmpl w:val="845430FE"/>
    <w:lvl w:ilvl="0" w:tplc="9D3A346A">
      <w:start w:val="1"/>
      <w:numFmt w:val="lowerLetter"/>
      <w:lvlText w:val="(%1)"/>
      <w:lvlJc w:val="left"/>
      <w:pPr>
        <w:ind w:left="1080" w:hanging="720"/>
      </w:pPr>
      <w:rPr>
        <w:rFonts w:hint="default"/>
      </w:rPr>
    </w:lvl>
    <w:lvl w:ilvl="1" w:tplc="11CC1720" w:tentative="1">
      <w:start w:val="1"/>
      <w:numFmt w:val="lowerLetter"/>
      <w:lvlText w:val="%2."/>
      <w:lvlJc w:val="left"/>
      <w:pPr>
        <w:ind w:left="1440" w:hanging="360"/>
      </w:pPr>
    </w:lvl>
    <w:lvl w:ilvl="2" w:tplc="A5A65816" w:tentative="1">
      <w:start w:val="1"/>
      <w:numFmt w:val="lowerRoman"/>
      <w:lvlText w:val="%3."/>
      <w:lvlJc w:val="right"/>
      <w:pPr>
        <w:ind w:left="2160" w:hanging="180"/>
      </w:pPr>
    </w:lvl>
    <w:lvl w:ilvl="3" w:tplc="CF0E065C" w:tentative="1">
      <w:start w:val="1"/>
      <w:numFmt w:val="decimal"/>
      <w:lvlText w:val="%4."/>
      <w:lvlJc w:val="left"/>
      <w:pPr>
        <w:ind w:left="2880" w:hanging="360"/>
      </w:pPr>
    </w:lvl>
    <w:lvl w:ilvl="4" w:tplc="75ACB548" w:tentative="1">
      <w:start w:val="1"/>
      <w:numFmt w:val="lowerLetter"/>
      <w:lvlText w:val="%5."/>
      <w:lvlJc w:val="left"/>
      <w:pPr>
        <w:ind w:left="3600" w:hanging="360"/>
      </w:pPr>
    </w:lvl>
    <w:lvl w:ilvl="5" w:tplc="114A8602" w:tentative="1">
      <w:start w:val="1"/>
      <w:numFmt w:val="lowerRoman"/>
      <w:lvlText w:val="%6."/>
      <w:lvlJc w:val="right"/>
      <w:pPr>
        <w:ind w:left="4320" w:hanging="180"/>
      </w:pPr>
    </w:lvl>
    <w:lvl w:ilvl="6" w:tplc="73ACEDF4" w:tentative="1">
      <w:start w:val="1"/>
      <w:numFmt w:val="decimal"/>
      <w:lvlText w:val="%7."/>
      <w:lvlJc w:val="left"/>
      <w:pPr>
        <w:ind w:left="5040" w:hanging="360"/>
      </w:pPr>
    </w:lvl>
    <w:lvl w:ilvl="7" w:tplc="4C9679FC" w:tentative="1">
      <w:start w:val="1"/>
      <w:numFmt w:val="lowerLetter"/>
      <w:lvlText w:val="%8."/>
      <w:lvlJc w:val="left"/>
      <w:pPr>
        <w:ind w:left="5760" w:hanging="360"/>
      </w:pPr>
    </w:lvl>
    <w:lvl w:ilvl="8" w:tplc="46EAE2B6" w:tentative="1">
      <w:start w:val="1"/>
      <w:numFmt w:val="lowerRoman"/>
      <w:lvlText w:val="%9."/>
      <w:lvlJc w:val="right"/>
      <w:pPr>
        <w:ind w:left="6480" w:hanging="180"/>
      </w:pPr>
    </w:lvl>
  </w:abstractNum>
  <w:num w:numId="1" w16cid:durableId="1375539744">
    <w:abstractNumId w:val="2"/>
  </w:num>
  <w:num w:numId="2" w16cid:durableId="661007963">
    <w:abstractNumId w:val="0"/>
  </w:num>
  <w:num w:numId="3" w16cid:durableId="958872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PL"/>
    <w:docVar w:name="TXTLANGUEMIN" w:val="pl"/>
    <w:docVar w:name="TXTNRFIRSTAM" w:val="104"/>
    <w:docVar w:name="TXTNRLASTAM" w:val="336"/>
    <w:docVar w:name="TXTNRPE" w:val="789.865"/>
    <w:docVar w:name="TXTPEorAP" w:val="PE"/>
    <w:docVar w:name="TXTROUTE" w:val="AM\1345189PL.docx"/>
    <w:docVar w:name="TXTVERSION" w:val="01-00"/>
  </w:docVars>
  <w:rsids>
    <w:rsidRoot w:val="00A77B3E"/>
    <w:rsid w:val="000161E4"/>
    <w:rsid w:val="00086E3F"/>
    <w:rsid w:val="000E2C53"/>
    <w:rsid w:val="000F7F29"/>
    <w:rsid w:val="0010594F"/>
    <w:rsid w:val="00120AC3"/>
    <w:rsid w:val="00220C00"/>
    <w:rsid w:val="00293107"/>
    <w:rsid w:val="003056C7"/>
    <w:rsid w:val="00315971"/>
    <w:rsid w:val="00371744"/>
    <w:rsid w:val="003811EA"/>
    <w:rsid w:val="003A5646"/>
    <w:rsid w:val="00430CF1"/>
    <w:rsid w:val="00432EA8"/>
    <w:rsid w:val="00466E0C"/>
    <w:rsid w:val="004B67EF"/>
    <w:rsid w:val="00556769"/>
    <w:rsid w:val="00655687"/>
    <w:rsid w:val="006E4600"/>
    <w:rsid w:val="00785223"/>
    <w:rsid w:val="007A69FB"/>
    <w:rsid w:val="007F51E4"/>
    <w:rsid w:val="008163F2"/>
    <w:rsid w:val="0082569E"/>
    <w:rsid w:val="00911015"/>
    <w:rsid w:val="00957895"/>
    <w:rsid w:val="00965B58"/>
    <w:rsid w:val="009A5C15"/>
    <w:rsid w:val="009B785B"/>
    <w:rsid w:val="00A77B3E"/>
    <w:rsid w:val="00AC6F38"/>
    <w:rsid w:val="00B52991"/>
    <w:rsid w:val="00B86892"/>
    <w:rsid w:val="00C03054"/>
    <w:rsid w:val="00CA2A55"/>
    <w:rsid w:val="00CA33AC"/>
    <w:rsid w:val="00CD2FB8"/>
    <w:rsid w:val="00CE3AA7"/>
    <w:rsid w:val="00CE45E2"/>
    <w:rsid w:val="00D24779"/>
    <w:rsid w:val="00D44B88"/>
    <w:rsid w:val="00D871BE"/>
    <w:rsid w:val="00D975AC"/>
    <w:rsid w:val="00DA413A"/>
    <w:rsid w:val="00DC310D"/>
    <w:rsid w:val="00E73C63"/>
    <w:rsid w:val="00ED001A"/>
    <w:rsid w:val="00F67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A5275D"/>
  <w15:docId w15:val="{8206C75C-970B-426F-8280-24F6A520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7895"/>
    <w:pPr>
      <w:tabs>
        <w:tab w:val="center" w:pos="4513"/>
        <w:tab w:val="right" w:pos="9026"/>
      </w:tabs>
    </w:pPr>
  </w:style>
  <w:style w:type="character" w:customStyle="1" w:styleId="HeaderChar">
    <w:name w:val="Header Char"/>
    <w:basedOn w:val="DefaultParagraphFont"/>
    <w:link w:val="Header"/>
    <w:rsid w:val="00957895"/>
    <w:rPr>
      <w:sz w:val="24"/>
      <w:szCs w:val="24"/>
    </w:rPr>
  </w:style>
  <w:style w:type="character" w:styleId="CommentReference">
    <w:name w:val="annotation reference"/>
    <w:basedOn w:val="DefaultParagraphFont"/>
    <w:rsid w:val="00957895"/>
    <w:rPr>
      <w:sz w:val="16"/>
      <w:szCs w:val="16"/>
    </w:rPr>
  </w:style>
  <w:style w:type="paragraph" w:styleId="CommentText">
    <w:name w:val="annotation text"/>
    <w:basedOn w:val="Normal"/>
    <w:link w:val="CommentTextChar"/>
    <w:rsid w:val="00957895"/>
    <w:rPr>
      <w:sz w:val="20"/>
      <w:szCs w:val="20"/>
    </w:rPr>
  </w:style>
  <w:style w:type="character" w:customStyle="1" w:styleId="CommentTextChar">
    <w:name w:val="Comment Text Char"/>
    <w:basedOn w:val="DefaultParagraphFont"/>
    <w:link w:val="CommentText"/>
    <w:rsid w:val="00957895"/>
  </w:style>
  <w:style w:type="paragraph" w:styleId="CommentSubject">
    <w:name w:val="annotation subject"/>
    <w:basedOn w:val="CommentText"/>
    <w:next w:val="CommentText"/>
    <w:link w:val="CommentSubjectChar"/>
    <w:rsid w:val="00957895"/>
    <w:rPr>
      <w:b/>
      <w:bCs/>
    </w:rPr>
  </w:style>
  <w:style w:type="character" w:customStyle="1" w:styleId="CommentSubjectChar">
    <w:name w:val="Comment Subject Char"/>
    <w:basedOn w:val="CommentTextChar"/>
    <w:link w:val="CommentSubject"/>
    <w:rsid w:val="00957895"/>
    <w:rPr>
      <w:b/>
      <w:bCs/>
    </w:rPr>
  </w:style>
  <w:style w:type="paragraph" w:styleId="Footer">
    <w:name w:val="footer"/>
    <w:basedOn w:val="Normal"/>
    <w:link w:val="FooterChar"/>
    <w:rsid w:val="00957895"/>
    <w:pPr>
      <w:tabs>
        <w:tab w:val="center" w:pos="4513"/>
        <w:tab w:val="right" w:pos="9026"/>
      </w:tabs>
    </w:pPr>
  </w:style>
  <w:style w:type="character" w:customStyle="1" w:styleId="FooterChar">
    <w:name w:val="Footer Char"/>
    <w:basedOn w:val="DefaultParagraphFont"/>
    <w:link w:val="Footer"/>
    <w:rsid w:val="00957895"/>
    <w:rPr>
      <w:sz w:val="24"/>
      <w:szCs w:val="24"/>
    </w:rPr>
  </w:style>
  <w:style w:type="paragraph" w:styleId="Revision">
    <w:name w:val="Revision"/>
    <w:hidden/>
    <w:uiPriority w:val="99"/>
    <w:semiHidden/>
    <w:rsid w:val="00ED001A"/>
    <w:rPr>
      <w:sz w:val="24"/>
      <w:szCs w:val="24"/>
    </w:rPr>
  </w:style>
  <w:style w:type="paragraph" w:customStyle="1" w:styleId="Normalny1">
    <w:name w:val="Normalny1"/>
    <w:basedOn w:val="EPName"/>
    <w:link w:val="NormalZnak"/>
    <w:rsid w:val="00432EA8"/>
    <w:rPr>
      <w:rFonts w:ascii="Times New Roman" w:hAnsi="Times New Roman" w:cs="Times New Roman"/>
      <w:sz w:val="24"/>
    </w:rPr>
  </w:style>
  <w:style w:type="character" w:customStyle="1" w:styleId="EPNameZnak">
    <w:name w:val="EPName Znak"/>
    <w:basedOn w:val="DefaultParagraphFont"/>
    <w:link w:val="EPName"/>
    <w:rsid w:val="00432EA8"/>
    <w:rPr>
      <w:rFonts w:ascii="Arial Narrow" w:eastAsia="Arial" w:hAnsi="Arial Narrow" w:cs="Arial"/>
      <w:b/>
      <w:sz w:val="32"/>
      <w:szCs w:val="24"/>
    </w:rPr>
  </w:style>
  <w:style w:type="character" w:customStyle="1" w:styleId="NormalZnak">
    <w:name w:val="Normal Znak"/>
    <w:basedOn w:val="EPNameZnak"/>
    <w:link w:val="Normalny1"/>
    <w:rsid w:val="00432EA8"/>
    <w:rPr>
      <w:rFonts w:ascii="Arial Narrow" w:eastAsia="Arial" w:hAnsi="Arial Narrow"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DA6A-45C3-42C5-A4BE-DEF1FFFE0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185</Pages>
  <Words>38869</Words>
  <Characters>262437</Characters>
  <Application>Microsoft Office Word</Application>
  <DocSecurity>0</DocSecurity>
  <Lines>10041</Lines>
  <Paragraphs>2727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2026-07-22T14:06:00Z</dcterms:created>
  <dcterms:modified xsi:type="dcterms:W3CDTF">2026-07-22T14:06:00Z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1345189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557008</vt:lpwstr>
  </property>
  <property fmtid="{D5CDD505-2E9C-101B-9397-08002B2CF9AE}" pid="7" name="dmxml.render.traceId">
    <vt:lpwstr>6a4b7974b3ff8e9003ce56633b70e791</vt:lpwstr>
  </property>
  <property fmtid="{D5CDD505-2E9C-101B-9397-08002B2CF9AE}" pid="8" name="FooterPath">
    <vt:lpwstr>AM\1345189PL.docx</vt:lpwstr>
  </property>
  <property fmtid="{D5CDD505-2E9C-101B-9397-08002B2CF9AE}" pid="9" name="LastEdited with">
    <vt:lpwstr>10.3.1 Build [20260701]</vt:lpwstr>
  </property>
  <property fmtid="{D5CDD505-2E9C-101B-9397-08002B2CF9AE}" pid="10" name="PE Number">
    <vt:lpwstr>789.865</vt:lpwstr>
  </property>
  <property fmtid="{D5CDD505-2E9C-101B-9397-08002B2CF9AE}" pid="11" name="RegistreCheck">
    <vt:lpwstr>OK</vt:lpwstr>
  </property>
  <property fmtid="{D5CDD505-2E9C-101B-9397-08002B2CF9AE}" pid="12" name="SendToEpades">
    <vt:lpwstr>OK(AMNUM) - 2026/07/07 15:51</vt:lpwstr>
  </property>
  <property fmtid="{D5CDD505-2E9C-101B-9397-08002B2CF9AE}" pid="13" name="UID">
    <vt:lpwstr>eu.europa.europarl-TMP1-0000-0000000231_00.00-xm-00.00_text-xml</vt:lpwstr>
  </property>
  <property fmtid="{D5CDD505-2E9C-101B-9397-08002B2CF9AE}" pid="14" name="Bookout">
    <vt:lpwstr>OK - 2026/07/22 16:05</vt:lpwstr>
  </property>
</Properties>
</file>