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Hospodářský a měnový výbor</w:t>
      </w:r>
      <w:r>
        <w:rPr>
          <w:rStyle w:val="HideTWBExt"/>
        </w:rPr>
        <w:t>&lt;/Commission&gt;</w:t>
      </w:r>
    </w:p>
    <w:p>
      <w:pPr>
        <w:pStyle w:val="LineBottom"/>
      </w:pPr>
      <w:r>
        <w:t xml:space="preserve"> </w:t>
      </w:r>
    </w:p>
    <w:p>
      <w:pPr>
        <w:pStyle w:val="CoverReference"/>
      </w:pPr>
      <w:r>
        <w:rPr>
          <w:rStyle w:val="HideTWBExt"/>
        </w:rPr>
        <w:t>&lt;RefProc&gt;</w:t>
      </w:r>
      <w:r>
        <w:t>2025/2210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{10/06/2026}</w:t>
      </w:r>
      <w:r>
        <w:t>10. 6. 2026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Kinga Kollár</w:t>
      </w:r>
      <w:r>
        <w:rPr>
          <w:rStyle w:val="HideTWBExt"/>
        </w:rPr>
        <w:t>&lt;/Rapporteur&gt;</w:t>
      </w:r>
    </w:p>
    <w:p>
      <w:pPr>
        <w:pStyle w:val="CoverNormal24a"/>
      </w:pPr>
      <w:r>
        <w:rPr>
          <w:rStyle w:val="HideTWBExt"/>
        </w:rPr>
        <w:t>&lt;DocRefPE&gt;</w:t>
      </w:r>
      <w:r>
        <w:t>(PE781.467v01-00)</w:t>
      </w:r>
      <w:r>
        <w:rPr>
          <w:rStyle w:val="HideTWBExt"/>
        </w:rPr>
        <w:t>&lt;/DocRefPE&gt;</w:t>
      </w:r>
    </w:p>
    <w:p>
      <w:pPr>
        <w:pStyle w:val="CoverNormal"/>
      </w:pPr>
      <w:r>
        <w:rPr>
          <w:rStyle w:val="HideTWBExt"/>
        </w:rPr>
        <w:t>&lt;Titre&gt;</w:t>
      </w:r>
      <w:r>
        <w:t>Přístup EU k politice v oblasti daně z příjmů právnických osob v měnícím se mezinárodním prostředí</w:t>
      </w:r>
      <w:r>
        <w:rPr>
          <w:rStyle w:val="HideTWBExt"/>
        </w:rPr>
        <w:t>&lt;/Titre&gt;</w:t>
      </w:r>
    </w:p>
    <w:p>
      <w:pPr>
        <w:pStyle w:val="CoverNormal24a"/>
      </w:pPr>
      <w:r>
        <w:rPr>
          <w:rStyle w:val="HideTWBExt"/>
        </w:rPr>
        <w:t>&lt;DocRef&gt;</w:t>
      </w:r>
      <w:r>
        <w:t>(2025/2210(INI))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Evropský plán dostupného bydlení vypracovaný Komisí, který zdůrazňuje potřebu zjednodušit evropské právní předpisy s cílem zvýšit nabídku sociálního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31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o krizi v oblasti bydlení v Evropské unii s cílem navrhnout řešení pro důstojné, udržitelné a cenově dostupné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zdanění je rozhodujícím faktorem pro </w:t>
            </w:r>
            <w:r>
              <w:rPr>
                <w:b/>
                <w:i/>
              </w:rPr>
              <w:t>globální konkurenceschopnost podniků z EU</w:t>
            </w:r>
            <w:r>
              <w:t xml:space="preserve">; vzhledem k tomu, že spravedlivé, účinné a jednoduché zdanění právnických osob hraje ústřední úlohu při </w:t>
            </w:r>
            <w:r>
              <w:rPr>
                <w:b/>
                <w:i/>
              </w:rPr>
              <w:t>snaze o dlouhodobý hospodářský růst a poskytování dostatečných zdrojů</w:t>
            </w:r>
            <w:r>
              <w:t xml:space="preserve"> členským státům</w:t>
            </w:r>
            <w:r>
              <w:rPr>
                <w:b/>
                <w:i/>
              </w:rPr>
              <w:t>, které potřebují k uspokojení svých výdajových potřeb</w:t>
            </w:r>
            <w:r>
              <w:t>;</w:t>
            </w:r>
          </w:p>
        </w:tc>
        <w:tc>
          <w:tcPr>
            <w:tcW w:w="4876" w:type="dxa"/>
            <w:tcBorders>
              <w:top w:val="nil"/>
              <w:left w:val="nil"/>
              <w:bottom w:val="nil"/>
              <w:right w:val="nil"/>
            </w:tcBorders>
          </w:tcPr>
          <w:p>
            <w:pPr>
              <w:pStyle w:val="Normal6a"/>
            </w:pPr>
            <w:r>
              <w:t>A.</w:t>
            </w:r>
            <w:r>
              <w:tab/>
            </w:r>
            <w:r>
              <w:t xml:space="preserve">vzhledem k tomu, že zdanění je rozhodujícím faktorem pro </w:t>
            </w:r>
            <w:r>
              <w:rPr>
                <w:b/>
                <w:i/>
              </w:rPr>
              <w:t>zajištění spravedlnosti a rovných podmínek pro společnosti soutěžící ve světové ekonomice</w:t>
            </w:r>
            <w:r>
              <w:t xml:space="preserve">; vzhledem k tomu, že spravedlivé, účinné a jednoduché zdanění právnických osob hraje ústřední úlohu při </w:t>
            </w:r>
            <w:r>
              <w:rPr>
                <w:b/>
                <w:i/>
              </w:rPr>
              <w:t>vytváření rovných podmínek na jednotném trhu EU, a to i pro malé a střední podniky, zajišťuje sociální soudržnost a poskytuje</w:t>
            </w:r>
            <w:r>
              <w:t xml:space="preserve"> členským státům </w:t>
            </w:r>
            <w:r>
              <w:rPr>
                <w:b/>
                <w:i/>
              </w:rPr>
              <w:t>dostatečné a stabilní zdroje na financování veřejných statků a nezbytných investic;</w:t>
            </w:r>
            <w:r>
              <w:t xml:space="preserve"> </w:t>
            </w:r>
            <w:r>
              <w:rPr>
                <w:b/>
                <w:i/>
              </w:rPr>
              <w:t>vzhledem k tomu, že nedávný výzkum</w:t>
            </w:r>
            <w:r>
              <w:rPr>
                <w:b/>
                <w:i/>
                <w:vertAlign w:val="superscript"/>
              </w:rPr>
              <w:t>1a</w:t>
            </w:r>
            <w:r>
              <w:t xml:space="preserve"> </w:t>
            </w:r>
            <w:r>
              <w:rPr>
                <w:b/>
                <w:i/>
              </w:rPr>
              <w:t>ukazuje, že spravedlivé a účinné zdanění právnických osob může podpořit kvalitní zaměstnanost a snížit nerovnost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https://publicservices.international/resources/publications/corporate-taxation-and-employment-dispelling-the-race-to-the-bottom-myth?lang=en&amp;id=15686&amp;showLogin=true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zdanění je rozhodujícím faktorem pro globální konkurenceschopnost podniků z EU; vzhledem k tomu, že </w:t>
            </w:r>
            <w:r>
              <w:rPr>
                <w:b/>
                <w:i/>
              </w:rPr>
              <w:t>spravedlivé</w:t>
            </w:r>
            <w:r>
              <w:t xml:space="preserve">, účinné a jednoduché zdanění právnických osob hraje ústřední úlohu </w:t>
            </w:r>
            <w:r>
              <w:rPr>
                <w:b/>
                <w:i/>
              </w:rPr>
              <w:t>při snaze</w:t>
            </w:r>
            <w:r>
              <w:t xml:space="preserve"> o dlouhodobý hospodářský růst a poskytování dostatečných zdrojů členským státům, které potřebují k uspokojení svých výdajových potřeb;</w:t>
            </w:r>
          </w:p>
        </w:tc>
        <w:tc>
          <w:tcPr>
            <w:tcW w:w="4876" w:type="dxa"/>
            <w:tcBorders>
              <w:top w:val="nil"/>
              <w:left w:val="nil"/>
              <w:bottom w:val="nil"/>
              <w:right w:val="nil"/>
            </w:tcBorders>
          </w:tcPr>
          <w:p>
            <w:pPr>
              <w:pStyle w:val="Normal6a"/>
            </w:pPr>
            <w:r>
              <w:t>A.</w:t>
            </w:r>
            <w:r>
              <w:tab/>
            </w:r>
            <w:r>
              <w:t xml:space="preserve">vzhledem k tomu, že zdanění je rozhodujícím faktorem pro globální konkurenceschopnost podniků z EU; vzhledem k tomu, že </w:t>
            </w:r>
            <w:r>
              <w:rPr>
                <w:b/>
                <w:i/>
              </w:rPr>
              <w:t>nízké</w:t>
            </w:r>
            <w:r>
              <w:t>, účinné</w:t>
            </w:r>
            <w:r>
              <w:rPr>
                <w:b/>
                <w:i/>
              </w:rPr>
              <w:t>, předvídatelné</w:t>
            </w:r>
            <w:r>
              <w:t xml:space="preserve"> a jednoduché zdanění právnických osob hraje ústřední úlohu </w:t>
            </w:r>
            <w:r>
              <w:rPr>
                <w:b/>
                <w:i/>
              </w:rPr>
              <w:t>v úsilí</w:t>
            </w:r>
            <w:r>
              <w:t xml:space="preserve"> o dlouhodobý hospodářský růst</w:t>
            </w:r>
            <w:r>
              <w:rPr>
                <w:b/>
                <w:i/>
              </w:rPr>
              <w:t>, podněcování k investicím</w:t>
            </w:r>
            <w:r>
              <w:t xml:space="preserve"> a poskytování dostatečných zdrojů členským státům, které potřebují k uspokojení svých výdajových potřeb;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zdanění je </w:t>
            </w:r>
            <w:r>
              <w:rPr>
                <w:b/>
                <w:i/>
              </w:rPr>
              <w:t>rozhodujícím</w:t>
            </w:r>
            <w:r>
              <w:t xml:space="preserve"> faktorem </w:t>
            </w:r>
            <w:r>
              <w:rPr>
                <w:b/>
                <w:i/>
              </w:rPr>
              <w:t>pro</w:t>
            </w:r>
            <w:r>
              <w:t xml:space="preserve"> globální </w:t>
            </w:r>
            <w:r>
              <w:rPr>
                <w:b/>
                <w:i/>
              </w:rPr>
              <w:t>konkurenceschopnost podniků z</w:t>
            </w:r>
            <w:r>
              <w:t xml:space="preserve"> EU; vzhledem k tomu, že spravedlivé, účinné a jednoduché zdanění právnických osob hraje ústřední úlohu při snaze o dlouhodobý hospodářský růst a poskytování dostatečných zdrojů členským státům, které potřebují k uspokojení svých výdajových potřeb;</w:t>
            </w:r>
          </w:p>
        </w:tc>
        <w:tc>
          <w:tcPr>
            <w:tcW w:w="4876" w:type="dxa"/>
            <w:tcBorders>
              <w:top w:val="nil"/>
              <w:left w:val="nil"/>
              <w:bottom w:val="nil"/>
              <w:right w:val="nil"/>
            </w:tcBorders>
          </w:tcPr>
          <w:p>
            <w:pPr>
              <w:pStyle w:val="Normal6a"/>
            </w:pPr>
            <w:r>
              <w:t>A.</w:t>
            </w:r>
            <w:r>
              <w:tab/>
            </w:r>
            <w:r>
              <w:t xml:space="preserve">vzhledem k tomu, že zdanění je </w:t>
            </w:r>
            <w:r>
              <w:rPr>
                <w:b/>
                <w:i/>
              </w:rPr>
              <w:t>významným</w:t>
            </w:r>
            <w:r>
              <w:t xml:space="preserve"> faktorem globální </w:t>
            </w:r>
            <w:r>
              <w:rPr>
                <w:b/>
                <w:i/>
              </w:rPr>
              <w:t>konkurenceschopnosti společností</w:t>
            </w:r>
            <w:r>
              <w:t xml:space="preserve"> EU; vzhledem k tomu, že spravedlivé, účinné a jednoduché zdanění právnických osob hraje ústřední úlohu při snaze o dlouhodobý hospodářský růst a poskytování dostatečných zdrojů členským státům, které potřebují k uspokojení svých výdajových potřeb;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vyhýbání se daňovým povinnostem ze strany podniků a přesouvání zisku mají významný distribuční dopad, narušují veřejné příjmy a přesouvají daňovou zátěž na pracovníky, malé a střední podniky a domácnosti, čímž prohlubují nerovnosti, oslabují financování základních veřejných služeb a podkopávají důvěru ve spravedlnost daňového systému;</w:t>
            </w:r>
            <w:r>
              <w:t xml:space="preserve"> </w:t>
            </w:r>
            <w:r>
              <w:rPr>
                <w:b/>
                <w:i/>
              </w:rPr>
              <w:t>vzhledem k tomu, že empirický výzkum ukazuje, že slabší pravidla proti vyhýbání se daňovým povinnostem a přesouvání zisku podniků jsou spojeny s měřitelnými ztrátami pracovních míst ve fungování nadnárodních společností na domácích trzích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přímé zdanění zůstává v pravomoci členských států, zatímco mezinárodní zdanění právnických osob se řídí složitým souborem dvoustranných smluv, které mají zamezit zdanění příjmu a kapitálu na více místech a předcházet daňovým únikům (tzv. smlouvy o zamezení dvojího zdanění), dále mnohostrannými nástroji pro předcházení oslabování daňové základny a přesouvání zisku (BEPS) a konečně i směrnicemi EU o boji proti vyhýbání se daňovým povinnostem a o posílení správní spolupráce;</w:t>
            </w:r>
          </w:p>
        </w:tc>
        <w:tc>
          <w:tcPr>
            <w:tcW w:w="4876" w:type="dxa"/>
            <w:tcBorders>
              <w:top w:val="nil"/>
              <w:left w:val="nil"/>
              <w:bottom w:val="nil"/>
              <w:right w:val="nil"/>
            </w:tcBorders>
          </w:tcPr>
          <w:p>
            <w:pPr>
              <w:pStyle w:val="Normal6a"/>
            </w:pPr>
            <w:r>
              <w:t>B.</w:t>
            </w:r>
            <w:r>
              <w:tab/>
            </w:r>
            <w:r>
              <w:t xml:space="preserve">vzhledem k tomu, že přímé zdanění zůstává </w:t>
            </w:r>
            <w:r>
              <w:rPr>
                <w:b/>
                <w:i/>
              </w:rPr>
              <w:t>do značné míry</w:t>
            </w:r>
            <w:r>
              <w:t xml:space="preserve"> v pravomoci členských států, zatímco mezinárodní zdanění právnických osob se řídí složitým souborem dvoustranných smluv, které mají zamezit zdanění příjmu a kapitálu na více místech a předcházet daňovým únikům (tzv. smlouvy o zamezení dvojího zdanění), dále mnohostrannými nástroji pro předcházení oslabování daňové základny a přesouvání zisku (BEPS) a konečně i směrnicemi EU o boji proti vyhýbání se daňovým povinnostem a o posílení správní spolupráce; </w:t>
            </w:r>
            <w:r>
              <w:rPr>
                <w:b/>
                <w:i/>
              </w:rPr>
              <w:t>vzhledem k tomu, že požadavek jednomyslnosti při rozhodování Rady o daních často brání pokroku ve společných daňových iniciativách, což omezuje schopnost Unie účinně reagovat na globální daňové výzvy, bojovat proti vyhýbání se daňovým povinnostem a daňovým únikům a zajistit spravedlivé zdanění na celém jednotném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přímé zdanění zůstává v pravomoci členských států, zatímco mezinárodní zdanění právnických osob se řídí složitým souborem dvoustranných smluv</w:t>
            </w:r>
            <w:r>
              <w:rPr>
                <w:b/>
                <w:i/>
              </w:rPr>
              <w:t>, které mají zamezit zdanění příjmu a kapitálu na více místech a předcházet daňovým únikům (tzv. smlouvy</w:t>
            </w:r>
            <w:r>
              <w:t xml:space="preserve"> o zamezení dvojího zdanění</w:t>
            </w:r>
            <w:r>
              <w:rPr>
                <w:b/>
                <w:i/>
              </w:rPr>
              <w:t>), dále</w:t>
            </w:r>
            <w:r>
              <w:t xml:space="preserve"> mnohostrannými nástroji pro předcházení oslabování daňové základny a přesouvání zisku </w:t>
            </w:r>
            <w:r>
              <w:rPr>
                <w:b/>
                <w:i/>
              </w:rPr>
              <w:t>(BEPS) a konečně i směrnicemi EU o boji proti vyhýbání se daňovým povinnostem a o posílení správní spolupráce</w:t>
            </w:r>
            <w:r>
              <w:t>;</w:t>
            </w:r>
          </w:p>
        </w:tc>
        <w:tc>
          <w:tcPr>
            <w:tcW w:w="4876" w:type="dxa"/>
            <w:tcBorders>
              <w:top w:val="nil"/>
              <w:left w:val="nil"/>
              <w:bottom w:val="nil"/>
              <w:right w:val="nil"/>
            </w:tcBorders>
          </w:tcPr>
          <w:p>
            <w:pPr>
              <w:pStyle w:val="Normal6a"/>
            </w:pPr>
            <w:r>
              <w:t>B.</w:t>
            </w:r>
            <w:r>
              <w:tab/>
            </w:r>
            <w:r>
              <w:t>vzhledem k tomu, že přímé zdanění zůstává v pravomoci členských států</w:t>
            </w:r>
            <w:r>
              <w:rPr>
                <w:b/>
                <w:i/>
              </w:rPr>
              <w:t>, opatření na úrovni EU hrají i nadále klíčovou úlohu, zejména prostřednictvím směrnic zaměřených na boj proti vyhýbání se daňovým povinnostem (ATAD) a posílení spolupráce mezi daňovými orgány (DAC)</w:t>
            </w:r>
            <w:r>
              <w:t xml:space="preserve">, zatímco mezinárodní zdanění právnických osob se řídí složitým souborem dvoustranných smluv o zamezení dvojího zdanění </w:t>
            </w:r>
            <w:r>
              <w:rPr>
                <w:b/>
                <w:i/>
              </w:rPr>
              <w:t>a předcházení daňovým únikům, pokud jde o daně z příjmů a kapitálu, označovaných jako dohody o dvojím zdanění, jakož i</w:t>
            </w:r>
            <w:r>
              <w:t xml:space="preserve"> mnohostrannými nástroji pro předcházení oslabování daňové základny a přesouvání zisku;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přímé zdanění zůstává v pravomoci členských států, zatímco mezinárodní zdanění právnických osob se řídí složitým souborem dvoustranných smluv, které mají zamezit zdanění příjmu a kapitálu na více místech a předcházet daňovým únikům (tzv. smlouvy o zamezení dvojího zdanění), dále mnohostrannými nástroji pro předcházení oslabování daňové základny a přesouvání zisku (BEPS) a konečně i směrnicemi EU o boji proti vyhýbání se daňovým povinnostem a o posílení správní spolupráce;</w:t>
            </w:r>
          </w:p>
        </w:tc>
        <w:tc>
          <w:tcPr>
            <w:tcW w:w="4876" w:type="dxa"/>
            <w:tcBorders>
              <w:top w:val="nil"/>
              <w:left w:val="nil"/>
              <w:bottom w:val="nil"/>
              <w:right w:val="nil"/>
            </w:tcBorders>
          </w:tcPr>
          <w:p>
            <w:pPr>
              <w:pStyle w:val="Normal6a"/>
            </w:pPr>
            <w:r>
              <w:t>B.</w:t>
            </w:r>
            <w:r>
              <w:tab/>
            </w:r>
            <w:r>
              <w:rPr>
                <w:b/>
                <w:i/>
              </w:rPr>
              <w:t>vzhledem k tomu, že přímé zdanění zůstává výlučnou a základní vnitrostátní pravomocí členských států, která musí být plně respektována;</w:t>
            </w:r>
            <w:r>
              <w:t xml:space="preserve"> vzhledem k tomu, že přímé zdanění zůstává v pravomoci členských států, zatímco mezinárodní zdanění právnických osob se řídí složitým souborem dvoustranných smluv, které mají zamezit zdanění příjmu a kapitálu na více místech a předcházet daňovým únikům (tzv. smlouvy o zamezení dvojího zdanění), dále mnohostrannými nástroji pro předcházení oslabování daňové základny a přesouvání zisku (BEPS) a konečně i směrnicemi EU o boji proti vyhýbání se daňovým povinnostem a o posílení správní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přímé zdanění zůstává </w:t>
            </w:r>
            <w:r>
              <w:rPr>
                <w:b/>
                <w:i/>
              </w:rPr>
              <w:t>v</w:t>
            </w:r>
            <w:r>
              <w:t xml:space="preserve"> pravomoci členských států, zatímco mezinárodní zdanění právnických osob se řídí složitým souborem dvoustranných smluv, které mají zamezit zdanění příjmu a kapitálu na více místech a předcházet daňovým únikům (tzv. smlouvy o zamezení dvojího zdanění), dále mnohostrannými nástroji pro předcházení oslabování daňové základny a přesouvání zisku (BEPS) a konečně i směrnicemi EU o boji proti vyhýbání se daňovým povinnostem a o posílení správní spolupráce;</w:t>
            </w:r>
          </w:p>
        </w:tc>
        <w:tc>
          <w:tcPr>
            <w:tcW w:w="4876" w:type="dxa"/>
            <w:tcBorders>
              <w:top w:val="nil"/>
              <w:left w:val="nil"/>
              <w:bottom w:val="nil"/>
              <w:right w:val="nil"/>
            </w:tcBorders>
          </w:tcPr>
          <w:p>
            <w:pPr>
              <w:pStyle w:val="Normal6a"/>
            </w:pPr>
            <w:r>
              <w:t>B.</w:t>
            </w:r>
            <w:r>
              <w:tab/>
            </w:r>
            <w:r>
              <w:t xml:space="preserve">vzhledem k tomu, že přímé zdanění zůstává </w:t>
            </w:r>
            <w:r>
              <w:rPr>
                <w:b/>
                <w:i/>
              </w:rPr>
              <w:t>ve výlučné</w:t>
            </w:r>
            <w:r>
              <w:t xml:space="preserve"> pravomoci členských států, zatímco mezinárodní zdanění právnických osob se řídí složitým souborem dvoustranných smluv, které mají zamezit zdanění příjmu a kapitálu na více místech a předcházet daňovým únikům (tzv. smlouvy o zamezení dvojího zdanění), dále mnohostrannými nástroji pro předcházení oslabování daňové základny a přesouvání zisku (BEPS) a konečně i směrnicemi EU o boji proti vyhýbání se daňovým povinnostem a o posílení správní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pravidla pro zdanění úroků a kapitálu, jakož i pravidla pro daň z příjmu právnických osob nejsou v celé EU plně harmonizována, což účastníkům trhu ztěžuje a prodražuje působení ve více členských státech EU;</w:t>
            </w:r>
            <w:r>
              <w:rPr>
                <w:b/>
                <w:i/>
                <w:vertAlign w:val="superscript"/>
              </w:rPr>
              <w:t>13a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Evropská centrální banka, Financial Integration and Structure in the Euro Area 2026 (Finanční integrace a struktura v eurozóně v roce 2026), s. 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OECD odhaduje globální ztráty příjmů v důsledku oslabování daňové základny a přesouvání zisku na 100 až 240 miliard USD ročně, což odpovídá přibližně 4 až 10 % celosvětových příjmů z daně z příjmu právnických osob a vede ke značným ztrátám pro rozpočty členských států;</w:t>
            </w:r>
          </w:p>
        </w:tc>
        <w:tc>
          <w:tcPr>
            <w:tcW w:w="4876" w:type="dxa"/>
            <w:tcBorders>
              <w:top w:val="nil"/>
              <w:left w:val="nil"/>
              <w:bottom w:val="nil"/>
              <w:right w:val="nil"/>
            </w:tcBorders>
          </w:tcPr>
          <w:p>
            <w:pPr>
              <w:pStyle w:val="Normal6a"/>
            </w:pPr>
            <w:r>
              <w:t>C.</w:t>
            </w:r>
            <w:r>
              <w:tab/>
            </w:r>
            <w:r>
              <w:t xml:space="preserve">vzhledem k tomu, že OECD odhaduje globální ztráty příjmů v důsledku oslabování daňové základny a přesouvání zisku na 100 až 240 miliard USD ročně, což odpovídá přibližně 4 až 10 % celosvětových příjmů z daně z příjmu právnických osob a vede ke značným ztrátám pro rozpočty členských států; </w:t>
            </w:r>
            <w:r>
              <w:rPr>
                <w:b/>
                <w:i/>
              </w:rPr>
              <w:t>vzhledem k tomu, že podle Mezinárodní daňové observatoře se efektivní daňová sazba nadnárodních společností v Evropské unii mezi lety 2014 a 2022 snížila o 2,7 procentního bodu</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https://taxobservatory.eu/eutax-publication/the-new-face-of-corporate-tax-competition/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OECD odhaduje globální ztráty příjmů v důsledku oslabování daňové základny a přesouvání zisku na 100 až 240 miliard USD ročně, což odpovídá přibližně 4 až 10 % celosvětových příjmů z daně z příjmu právnických osob a vede ke značným ztrátám pro rozpočty členských států;</w:t>
            </w:r>
          </w:p>
        </w:tc>
        <w:tc>
          <w:tcPr>
            <w:tcW w:w="4876" w:type="dxa"/>
            <w:tcBorders>
              <w:top w:val="nil"/>
              <w:left w:val="nil"/>
              <w:bottom w:val="nil"/>
              <w:right w:val="nil"/>
            </w:tcBorders>
          </w:tcPr>
          <w:p>
            <w:pPr>
              <w:pStyle w:val="Normal6a"/>
            </w:pPr>
            <w:r>
              <w:t>C.</w:t>
            </w:r>
            <w:r>
              <w:tab/>
            </w:r>
            <w:r>
              <w:t xml:space="preserve">vzhledem k tomu, že OECD odhaduje globální ztráty příjmů v důsledku oslabování daňové základny a přesouvání zisku na 100 až 240 miliard USD ročně, což odpovídá přibližně 4 až 10 % celosvětových příjmů z daně z příjmu právnických osob a vede ke značným ztrátám pro rozpočty členských států; </w:t>
            </w:r>
            <w:r>
              <w:rPr>
                <w:b/>
                <w:i/>
              </w:rPr>
              <w:t>vzhledem k tomu, že tyto ztráty jsou často důsledkem nedostatečné koordinace mezi vnitrostátními daňovými systémy a složitosti mezinárodních pravidel;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ukazatele na vysoké úrovni týkající se potenciální činnosti v oblasti eroze základu daně a přesouvání zisku v posledních letech v investičních centrech relativně poklesly, v investičních centrech zůstávají ve srovnání s jinými jurisdikcemi mnohem vyšší, což podle OECD poukazuje na pokračující existenci činnosti v oblasti eroze základu daně a přesouvání zisku</w:t>
            </w:r>
            <w:r>
              <w:rPr>
                <w:b/>
                <w:i/>
                <w:vertAlign w:val="superscript"/>
              </w:rPr>
              <w:t>14a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https://www.oecd.org/en/publications/corporate-tax-statistics-2025_6a915941-en.html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převážná většina společností jedná jako odpovědní korporátní občané, poskytuje většinu daňových příjmů, podporuje inovace a udržuje evropský sociální model vytvářením pracovních míst;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 hospodářské činnosti došlo obecně ke značnému posunu v tom smyslu, že již není nutná fyzická přítomnost, což vede k nesouladu mezi místem, kde jsou vytvářeny zisky, a místem jejich zdanění;</w:t>
            </w:r>
          </w:p>
        </w:tc>
        <w:tc>
          <w:tcPr>
            <w:tcW w:w="4876" w:type="dxa"/>
            <w:tcBorders>
              <w:top w:val="nil"/>
              <w:left w:val="nil"/>
              <w:bottom w:val="nil"/>
              <w:right w:val="nil"/>
            </w:tcBorders>
          </w:tcPr>
          <w:p>
            <w:pPr>
              <w:pStyle w:val="Normal6a"/>
            </w:pPr>
            <w:r>
              <w:t>D.</w:t>
            </w:r>
            <w:r>
              <w:tab/>
            </w:r>
            <w:r>
              <w:t xml:space="preserve">vzhledem k tomu, že v hospodářské činnosti došlo obecně ke značnému posunu v tom smyslu, že již není nutná fyzická přítomnost, což </w:t>
            </w:r>
            <w:r>
              <w:rPr>
                <w:b/>
                <w:i/>
              </w:rPr>
              <w:t>spolu s měnícími se charakteristikami digitální ekonomiky</w:t>
            </w:r>
            <w:r>
              <w:t xml:space="preserve"> vede k nesouladu mezi místem, kde jsou vytvářeny zisky, a místem jejich zdanění;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v hospodářské činnosti došlo obecně ke značnému posunu v tom smyslu, že již není nutná fyzická přítomnost</w:t>
            </w:r>
            <w:r>
              <w:t>, což vede k nesouladu mezi místem, kde jsou vytvářeny zisky, a místem jejich zdanění;</w:t>
            </w:r>
          </w:p>
        </w:tc>
        <w:tc>
          <w:tcPr>
            <w:tcW w:w="4876" w:type="dxa"/>
            <w:tcBorders>
              <w:top w:val="nil"/>
              <w:left w:val="nil"/>
              <w:bottom w:val="nil"/>
              <w:right w:val="nil"/>
            </w:tcBorders>
          </w:tcPr>
          <w:p>
            <w:pPr>
              <w:pStyle w:val="Normal6a"/>
            </w:pPr>
            <w:r>
              <w:t>D.</w:t>
            </w:r>
            <w:r>
              <w:tab/>
            </w:r>
            <w:r>
              <w:t xml:space="preserve">vzhledem k tomu, že </w:t>
            </w:r>
            <w:r>
              <w:rPr>
                <w:b/>
                <w:i/>
              </w:rPr>
              <w:t>hospodářská činnost, zejména ve vysoce digitalizovaných obchodních modelech, je stále méně závislá na fyzické přítomnosti</w:t>
            </w:r>
            <w:r>
              <w:t>, což vede k nesouladu mezi místem, kde jsou vytvářeny zisky, a místem jejich zdanění;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 hospodářské činnosti došlo obecně ke značnému posunu v tom smyslu, že již není nutná fyzická přítomnost, </w:t>
            </w:r>
            <w:r>
              <w:rPr>
                <w:b/>
                <w:i/>
              </w:rPr>
              <w:t>což vede k nesouladu</w:t>
            </w:r>
            <w:r>
              <w:t xml:space="preserve"> mezi místem, kde jsou vytvářeny zisky, a místem jejich zdanění;</w:t>
            </w:r>
          </w:p>
        </w:tc>
        <w:tc>
          <w:tcPr>
            <w:tcW w:w="4876" w:type="dxa"/>
            <w:tcBorders>
              <w:top w:val="nil"/>
              <w:left w:val="nil"/>
              <w:bottom w:val="nil"/>
              <w:right w:val="nil"/>
            </w:tcBorders>
          </w:tcPr>
          <w:p>
            <w:pPr>
              <w:pStyle w:val="Normal6a"/>
            </w:pPr>
            <w:r>
              <w:t>D.</w:t>
            </w:r>
            <w:r>
              <w:tab/>
            </w:r>
            <w:r>
              <w:t xml:space="preserve">vzhledem k tomu, že v hospodářské činnosti došlo obecně ke značnému posunu v tom smyslu, že již není nutná fyzická přítomnost, </w:t>
            </w:r>
            <w:r>
              <w:rPr>
                <w:b/>
                <w:i/>
              </w:rPr>
              <w:t>a vzniká nesoulad</w:t>
            </w:r>
            <w:r>
              <w:t xml:space="preserve"> mezi místem, kde jsou vytvářeny zisky, a místem jejich zdanění;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rostoucí mobilita kapitálu spolu s širšími trendy globalizace a digitalizace v posledních desetiletích postupně snižují schopnost jednotlivých zemí zajistit účinnost své daňové politiky a ochranu daňového základu – zejména daně z příjmů právnických osob, ale stále častěji také daně z příjmů fyzických osob –, čímž dochází k erozi základny veřejných příjmů;</w:t>
            </w:r>
            <w:r>
              <w:rPr>
                <w:b/>
                <w:i/>
                <w:vertAlign w:val="superscript"/>
              </w:rPr>
              <w:t>15a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de la Feria, R. (2023).</w:t>
            </w:r>
            <w:r>
              <w:t xml:space="preserve"> </w:t>
            </w:r>
            <w:r>
              <w:rPr>
                <w:b/>
                <w:i/>
              </w:rPr>
              <w:t>Pilíř 2, Fiat, a pravidlo jednomyslnosti EU v daňových záležitostech.</w:t>
            </w:r>
            <w:r>
              <w:t xml:space="preserve"> </w:t>
            </w:r>
            <w:r>
              <w:rPr>
                <w:b/>
                <w:i/>
              </w:rPr>
              <w:t>Fiat a pravidlo EU o jednomyslnosti v daňových záležitostech (3. ledna 2023), 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malé a střední podniky, které obvykle působí především na vnitrostátní úrovni, mohou být v konkurenční nevýhodě ve srovnání s nadnárodními podniky, které mohou využívat možností přeshraničního daňového plánování, přičemž velké nadnárodní podniky nemusí spravedlivě a přiměřeně přispívat ke společenským potřebám;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dvoupilířové řešení inkluzivního rámce OECD/G20 pro řešení eroze základu daně a přesouvání zisku usiluje o modernizaci mezinárodních daňových pravidel </w:t>
            </w:r>
            <w:r>
              <w:rPr>
                <w:b/>
                <w:i/>
              </w:rPr>
              <w:t>přerozdělením</w:t>
            </w:r>
            <w:r>
              <w:t xml:space="preserve"> daňových práv do tržních jurisdikcí (první pilíř) a stanovením globální minimální efektivní sazby daně z příjmů právnických osob ve výši 15 % (druhý pilíř);</w:t>
            </w:r>
          </w:p>
        </w:tc>
        <w:tc>
          <w:tcPr>
            <w:tcW w:w="4876" w:type="dxa"/>
            <w:tcBorders>
              <w:top w:val="nil"/>
              <w:left w:val="nil"/>
              <w:bottom w:val="nil"/>
              <w:right w:val="nil"/>
            </w:tcBorders>
          </w:tcPr>
          <w:p>
            <w:pPr>
              <w:pStyle w:val="Normal6a"/>
            </w:pPr>
            <w:r>
              <w:t>E.</w:t>
            </w:r>
            <w:r>
              <w:tab/>
            </w:r>
            <w:r>
              <w:t xml:space="preserve">vzhledem k tomu, že dvoupilířové řešení inkluzivního rámce OECD/G20 pro řešení eroze základu daně a přesouvání zisku usiluje o modernizaci mezinárodních daňových pravidel </w:t>
            </w:r>
            <w:r>
              <w:rPr>
                <w:b/>
                <w:i/>
              </w:rPr>
              <w:t>v reakci na digitalizaci a globalizaci prostřednictvím přerozdělení</w:t>
            </w:r>
            <w:r>
              <w:t xml:space="preserve"> daňových práv do tržních jurisdikcí (první pilíř) a stanovením globální minimální efektivní sazby daně z příjmů právnických osob ve výši 15 % (druhý pilíř);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jednání o prvním pilíři na mezinárodní úrovni uvázla na mrtvém bodě; vzhledem k tomu, že několik členských států proto zavedlo nebo zachovalo daně z digitálních služeb na vnitrostátní úrovni; vzhledem k tomu, že druhý pilíř byl plně nebo částečně proveden přibližně ve třetině ze 148 jurisdikcí, které účastní inkluzivního rámce OECD/G20, přičemž některé členské státy jej plně provedly prostřednictvím směrnice o druhém pilíři;</w:t>
            </w:r>
          </w:p>
        </w:tc>
        <w:tc>
          <w:tcPr>
            <w:tcW w:w="4876" w:type="dxa"/>
            <w:tcBorders>
              <w:top w:val="nil"/>
              <w:left w:val="nil"/>
              <w:bottom w:val="nil"/>
              <w:right w:val="nil"/>
            </w:tcBorders>
          </w:tcPr>
          <w:p>
            <w:pPr>
              <w:pStyle w:val="Normal6a"/>
            </w:pPr>
            <w:r>
              <w:t>F.</w:t>
            </w:r>
            <w:r>
              <w:tab/>
            </w:r>
            <w:r>
              <w:t>vzhledem k tomu, že jednání o prvním pilíři na mezinárodní úrovni uvázla na mrtvém bodě; vzhledem k tomu, že několik členských států proto zavedlo nebo zachovalo daně z digitálních služeb na vnitrostátní úrovni</w:t>
            </w:r>
            <w:r>
              <w:rPr>
                <w:b/>
                <w:i/>
              </w:rPr>
              <w:t>;</w:t>
            </w:r>
            <w:r>
              <w:t xml:space="preserve"> </w:t>
            </w:r>
            <w:r>
              <w:rPr>
                <w:b/>
                <w:i/>
              </w:rPr>
              <w:t>vzhledem k tomu, že jednotná evropská digitální daň by přispěla k větší mezinárodní daňové spravedlnosti a lepšímu vymezení oblasti na mezinárodní úrovni a v rámci jednotného trhu</w:t>
            </w:r>
            <w:r>
              <w:t>; vzhledem k tomu, že druhý pilíř byl plně nebo částečně proveden přibližně ve třetině ze 148 jurisdikcí, které účastní inkluzivního rámce OECD/G20, přičemž některé členské státy jej plně provedly prostřednictvím směrnice o druhém pilíři;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jednání o prvním pilíři na mezinárodní úrovni uvázla na mrtvém bodě; vzhledem k tomu, že několik členských států proto zavedlo nebo zachovalo daně z digitálních služeb na vnitrostátní úrovni; vzhledem k tomu, že druhý pilíř byl plně nebo částečně proveden přibližně ve třetině ze 148 jurisdikcí, které účastní inkluzivního rámce OECD/G20, přičemž některé členské státy jej plně provedly prostřednictvím směrnice o druhém pilíři;</w:t>
            </w:r>
          </w:p>
        </w:tc>
        <w:tc>
          <w:tcPr>
            <w:tcW w:w="4876" w:type="dxa"/>
            <w:tcBorders>
              <w:top w:val="nil"/>
              <w:left w:val="nil"/>
              <w:bottom w:val="nil"/>
              <w:right w:val="nil"/>
            </w:tcBorders>
          </w:tcPr>
          <w:p>
            <w:pPr>
              <w:pStyle w:val="Normal6a"/>
            </w:pPr>
            <w:r>
              <w:t>F.</w:t>
            </w:r>
            <w:r>
              <w:tab/>
            </w:r>
            <w:r>
              <w:t>vzhledem k tomu, že jednání o prvním pilíři na mezinárodní úrovni uvázla na mrtvém bodě; vzhledem k tomu, že několik členských států proto zavedlo nebo zachovalo daně z digitálních služeb na vnitrostátní úrovni</w:t>
            </w:r>
            <w:r>
              <w:rPr>
                <w:b/>
                <w:i/>
              </w:rPr>
              <w:t>;</w:t>
            </w:r>
            <w:r>
              <w:t xml:space="preserve"> </w:t>
            </w:r>
            <w:r>
              <w:rPr>
                <w:b/>
                <w:i/>
              </w:rPr>
              <w:t>vzhledem k tomu, že tato vnitrostátní opatření představují zásadní a legitimní toky příjmů pro členské státy v případě neexistence celosvětové dohody</w:t>
            </w:r>
            <w:r>
              <w:t>; vzhledem k tomu, že druhý pilíř byl plně nebo částečně proveden přibližně ve třetině ze 148 jurisdikcí, které účastní inkluzivního rámce OECD/G20, přičemž některé členské státy jej plně provedly prostřednictvím směrnice o druhém pilíři;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jednání o prvním pilíři na mezinárodní úrovni uvázla na mrtvém bodě; vzhledem k tomu, že několik členských států proto zavedlo nebo zachovalo daně z digitálních služeb na vnitrostátní úrovni; vzhledem k tomu, že druhý pilíř byl plně nebo částečně proveden přibližně ve třetině ze 148 jurisdikcí, které účastní inkluzivního rámce OECD/G20, přičemž některé členské státy jej plně provedly prostřednictvím směrnice o druhém pilíři;</w:t>
            </w:r>
          </w:p>
        </w:tc>
        <w:tc>
          <w:tcPr>
            <w:tcW w:w="4876" w:type="dxa"/>
            <w:tcBorders>
              <w:top w:val="nil"/>
              <w:left w:val="nil"/>
              <w:bottom w:val="nil"/>
              <w:right w:val="nil"/>
            </w:tcBorders>
          </w:tcPr>
          <w:p>
            <w:pPr>
              <w:pStyle w:val="Normal6a"/>
            </w:pPr>
            <w:r>
              <w:t>F.</w:t>
            </w:r>
            <w:r>
              <w:tab/>
            </w:r>
            <w:r>
              <w:t>vzhledem k tomu, že jednání o prvním pilíři na mezinárodní úrovni uvázla na mrtvém bodě; vzhledem k tomu, že několik členských států proto</w:t>
            </w:r>
            <w:r>
              <w:rPr>
                <w:b/>
                <w:i/>
              </w:rPr>
              <w:t> úspěšně</w:t>
            </w:r>
            <w:r>
              <w:t xml:space="preserve"> zavedlo nebo zachovalo daně z digitálních služeb na vnitrostátní úrovni; vzhledem k tomu, že druhý pilíř byl plně nebo částečně proveden přibližně ve třetině ze 148 jurisdikcí, které účastní inkluzivního rámce OECD/G20, přičemž některé členské státy jej plně provedly prostřednictvím směrnice o druhém pilíři;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z podnětu Spojených států bylo v inkluzivním rámci OECD/G20 pro BEPS dosaženo dohody o uspořádání založeném na souběžných systémech (side-by-side, SbS), která zavádí souběžné koordinované uplatňování různých minimálních daňových režimů; vzhledem k tomu, že na základě této dohody byl v lednu 2026 udělen americkému režimu NCTI status bezpečného přístavu, což Komise potvrdila ve svém oznámení ze dne 12. ledna 2026;</w:t>
            </w:r>
          </w:p>
        </w:tc>
        <w:tc>
          <w:tcPr>
            <w:tcW w:w="4876" w:type="dxa"/>
            <w:tcBorders>
              <w:top w:val="nil"/>
              <w:left w:val="nil"/>
              <w:bottom w:val="nil"/>
              <w:right w:val="nil"/>
            </w:tcBorders>
          </w:tcPr>
          <w:p>
            <w:pPr>
              <w:pStyle w:val="Normal6a"/>
            </w:pPr>
            <w:r>
              <w:t>G.</w:t>
            </w:r>
            <w:r>
              <w:tab/>
            </w:r>
            <w:r>
              <w:t xml:space="preserve">vzhledem k tomu, že z podnětu Spojených států bylo v inkluzivním rámci OECD/G20 pro BEPS dosaženo dohody o uspořádání založeném na souběžných systémech (side-by-side, SbS), která zavádí souběžné koordinované uplatňování různých minimálních daňových režimů; vzhledem k tomu, že na základě této dohody byl v lednu 2026 udělen americkému režimu NCTI status bezpečného přístavu, což Komise potvrdila ve svém oznámení ze dne 12. ledna 2026; </w:t>
            </w:r>
            <w:r>
              <w:rPr>
                <w:b/>
                <w:i/>
              </w:rPr>
              <w:t>vzhledem k tomu, že SbS osvobozuje nadnárodní podniky se sídlem v USA od plného uplatňování pravidel druhého pilíře, čímž poskytuje strukturální konkurenční výhodu podnikům se sídlem v USA, které působí na vnitřním trhu EU, a narušuje integritu celosvětového minimálního daňového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z podnětu Spojených států bylo v inkluzivním rámci OECD/G20 pro BEPS dosaženo dohody o uspořádání založeném na souběžných systémech (side-by-side, SbS), která zavádí souběžné koordinované uplatňování různých minimálních daňových režimů; vzhledem k tomu, že na základě této dohody byl v lednu 2026 udělen americkému režimu NCTI status bezpečného přístavu, což Komise potvrdila ve svém oznámení ze dne 12. ledna 2026;</w:t>
            </w:r>
          </w:p>
        </w:tc>
        <w:tc>
          <w:tcPr>
            <w:tcW w:w="4876" w:type="dxa"/>
            <w:tcBorders>
              <w:top w:val="nil"/>
              <w:left w:val="nil"/>
              <w:bottom w:val="nil"/>
              <w:right w:val="nil"/>
            </w:tcBorders>
          </w:tcPr>
          <w:p>
            <w:pPr>
              <w:pStyle w:val="Normal6a"/>
            </w:pPr>
            <w:r>
              <w:t>G.</w:t>
            </w:r>
            <w:r>
              <w:tab/>
            </w:r>
            <w:r>
              <w:t xml:space="preserve">vzhledem k tomu, že z podnětu Spojených států bylo v inkluzivním rámci OECD/G20 pro BEPS dosaženo dohody o uspořádání založeném na souběžných systémech (side-by-side, SbS), která zavádí souběžné koordinované uplatňování různých minimálních daňových režimů; vzhledem k tomu, že na základě této dohody byl v lednu 2026 udělen americkému režimu NCTI status bezpečného přístavu, což Komise potvrdila ve svém oznámení ze dne 12. ledna 2026; </w:t>
            </w:r>
            <w:r>
              <w:rPr>
                <w:b/>
                <w:i/>
              </w:rPr>
              <w:t>vzhledem k tomu, že v únoru 2026 požádala o status „bezpečného přístavu“ podle SbS Brazílie;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z podnětu Spojených států bylo</w:t>
            </w:r>
            <w:r>
              <w:t xml:space="preserve"> v inkluzivním rámci OECD/G20 pro BEPS dosaženo dohody o uspořádání založeném na souběžných systémech (side-by-side, SbS), která zavádí souběžné koordinované uplatňování různých minimálních daňových režimů; vzhledem k tomu, že na základě této dohody byl v lednu 2026 udělen americkému režimu NCTI status bezpečného přístavu, což Komise potvrdila ve svém oznámení ze dne 12. ledna 2026;</w:t>
            </w:r>
          </w:p>
        </w:tc>
        <w:tc>
          <w:tcPr>
            <w:tcW w:w="4876" w:type="dxa"/>
            <w:tcBorders>
              <w:top w:val="nil"/>
              <w:left w:val="nil"/>
              <w:bottom w:val="nil"/>
              <w:right w:val="nil"/>
            </w:tcBorders>
          </w:tcPr>
          <w:p>
            <w:pPr>
              <w:pStyle w:val="Normal6a"/>
            </w:pPr>
            <w:r>
              <w:t>G.</w:t>
            </w:r>
            <w:r>
              <w:tab/>
            </w:r>
            <w:r>
              <w:t xml:space="preserve">vzhledem k tomu, že v inkluzivním rámci OECD/G20 pro BEPS </w:t>
            </w:r>
            <w:r>
              <w:rPr>
                <w:b/>
                <w:i/>
              </w:rPr>
              <w:t>bylo</w:t>
            </w:r>
            <w:r>
              <w:t xml:space="preserve"> dosaženo dohody o uspořádání založeném na souběžných systémech (side-by-side, SbS)</w:t>
            </w:r>
            <w:r>
              <w:rPr>
                <w:b/>
                <w:i/>
              </w:rPr>
              <w:t>, včetně specifik Spojených států</w:t>
            </w:r>
            <w:r>
              <w:t>, která zavádí souběžné koordinované uplatňování různých minimálních daňových režimů; vzhledem k tomu, že na základě této dohody byl v lednu 2026 udělen americkému režimu NCTI status bezpečného přístavu, což Komise potvrdila ve svém oznámení ze dne 12. ledna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OECD ani Komise nezveřejnily žádné studie ani odhady hospodářského dopadu SbS;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nedávné zprávy EU poukazují na význam zjednodušení </w:t>
            </w:r>
            <w:r>
              <w:rPr>
                <w:b/>
                <w:i/>
              </w:rPr>
              <w:t>daní, racionalizace fiskálních</w:t>
            </w:r>
            <w:r>
              <w:t xml:space="preserve"> pravidel a vytváření </w:t>
            </w:r>
            <w:r>
              <w:rPr>
                <w:b/>
                <w:i/>
              </w:rPr>
              <w:t>účinných</w:t>
            </w:r>
            <w:r>
              <w:t xml:space="preserve"> daňových pobídek jako klíčových nástrojů pro </w:t>
            </w:r>
            <w:r>
              <w:rPr>
                <w:b/>
                <w:i/>
              </w:rPr>
              <w:t>obnovu</w:t>
            </w:r>
            <w:r>
              <w:t xml:space="preserve"> konkurenceschopnosti EU;</w:t>
            </w:r>
          </w:p>
        </w:tc>
        <w:tc>
          <w:tcPr>
            <w:tcW w:w="4876" w:type="dxa"/>
            <w:tcBorders>
              <w:top w:val="nil"/>
              <w:left w:val="nil"/>
              <w:bottom w:val="nil"/>
              <w:right w:val="nil"/>
            </w:tcBorders>
          </w:tcPr>
          <w:p>
            <w:pPr>
              <w:pStyle w:val="Normal6a"/>
            </w:pPr>
            <w:r>
              <w:t>H.</w:t>
            </w:r>
            <w:r>
              <w:tab/>
            </w:r>
            <w:r>
              <w:t>vzhledem k tomu, že nedávné zprávy EU poukazují na význam zjednodušení</w:t>
            </w:r>
            <w:r>
              <w:rPr>
                <w:b/>
                <w:i/>
              </w:rPr>
              <w:t>, harmonizace daňových</w:t>
            </w:r>
            <w:r>
              <w:t xml:space="preserve"> pravidel a vytváření </w:t>
            </w:r>
            <w:r>
              <w:rPr>
                <w:b/>
                <w:i/>
              </w:rPr>
              <w:t>nákladově efektivních</w:t>
            </w:r>
            <w:r>
              <w:t xml:space="preserve"> daňových pobídek jako klíčových nástrojů pro </w:t>
            </w:r>
            <w:r>
              <w:rPr>
                <w:b/>
                <w:i/>
              </w:rPr>
              <w:t>posílení</w:t>
            </w:r>
            <w:r>
              <w:t xml:space="preserve"> konkurenceschopnosti EU; </w:t>
            </w:r>
            <w:r>
              <w:rPr>
                <w:b/>
                <w:i/>
              </w:rPr>
              <w:t>vzhledem k tomu, že dobře navržené daňové pobídky, jejichž podstata je koordinována na úrovni EU, mohou být nástrojem k prosazování veřejných cílů na jednotném trhu, jako je dekarbonizace hospodářství, pokud se zabrání narušením a pokud budou odpovídajícím způsobem zmírněny příležitosti k daňovým únikům a vyhýbání se daňovým povinnostem;</w:t>
            </w:r>
            <w:r>
              <w:t xml:space="preserve"> </w:t>
            </w:r>
            <w:r>
              <w:rPr>
                <w:b/>
                <w:i/>
              </w:rPr>
              <w:t>vzhledem k tomu, že vlády by měly zajistit, aby systémy daňových pobídek pro výzkum a vývoj zahrnovaly spolehlivé mechanismy proti daňovým mezerám, jakož i sociální a environmentální ústavnosti, a aby prostřednictvím pravidelného a důkladného hodnocení založeného na transparentních a vysoce kvalitních údajích na úrovni podniků zajistily efektivnost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nedávné zprávy EU poukazují na význam zjednodušení daní, racionalizace fiskálních pravidel a vytváření účinných daňových pobídek jako klíčových nástrojů pro obnovu konkurenceschopnosti EU;</w:t>
            </w:r>
          </w:p>
        </w:tc>
        <w:tc>
          <w:tcPr>
            <w:tcW w:w="4876" w:type="dxa"/>
            <w:tcBorders>
              <w:top w:val="nil"/>
              <w:left w:val="nil"/>
              <w:bottom w:val="nil"/>
              <w:right w:val="nil"/>
            </w:tcBorders>
          </w:tcPr>
          <w:p>
            <w:pPr>
              <w:pStyle w:val="Normal6a"/>
            </w:pPr>
            <w:r>
              <w:t>H.</w:t>
            </w:r>
            <w:r>
              <w:tab/>
            </w:r>
            <w:r>
              <w:t xml:space="preserve">vzhledem k tomu, že nedávné zprávy EU poukazují na význam zjednodušení daní, racionalizace fiskálních pravidel a vytváření účinných daňových pobídek jako klíčových nástrojů pro obnovu konkurenceschopnosti EU; </w:t>
            </w:r>
            <w:r>
              <w:rPr>
                <w:b/>
                <w:i/>
              </w:rPr>
              <w:t>zdůrazňuje, že domácí daňové pobídky založené na látkách, jako je nulová sazba daně z nerozdělených a reinvestovaných zisků podniků, jsou legitimními a vysoce účinnými nástroji hospodářské politiky pro tvorbu kapitálu a růst ekonomik dohánějících vyspělé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nedávné zprávy EU poukazují na význam zjednodušení daní, racionalizace fiskálních pravidel a </w:t>
            </w:r>
            <w:r>
              <w:rPr>
                <w:b/>
                <w:i/>
              </w:rPr>
              <w:t>vytváření</w:t>
            </w:r>
            <w:r>
              <w:t xml:space="preserve"> účinných daňových pobídek jako klíčových nástrojů pro obnovu konkurenceschopnosti EU;</w:t>
            </w:r>
          </w:p>
        </w:tc>
        <w:tc>
          <w:tcPr>
            <w:tcW w:w="4876" w:type="dxa"/>
            <w:tcBorders>
              <w:top w:val="nil"/>
              <w:left w:val="nil"/>
              <w:bottom w:val="nil"/>
              <w:right w:val="nil"/>
            </w:tcBorders>
          </w:tcPr>
          <w:p>
            <w:pPr>
              <w:pStyle w:val="Normal6a"/>
            </w:pPr>
            <w:r>
              <w:t>H.</w:t>
            </w:r>
            <w:r>
              <w:tab/>
            </w:r>
            <w:r>
              <w:t>vzhledem k tomu, že nedávné zprávy EU poukazují na význam zjednodušení daní, racionalizace fiskálních pravidel a účinných daňových pobídek jako klíčových nástrojů pro obnovu konkurenceschopnosti EU</w:t>
            </w:r>
            <w:r>
              <w:rPr>
                <w:b/>
                <w:i/>
              </w:rPr>
              <w:t>, podporu investic a snížení administrativní zátěže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nedávné zprávy EU poukazují na význam zjednodušení </w:t>
            </w:r>
            <w:r>
              <w:rPr>
                <w:b/>
                <w:i/>
              </w:rPr>
              <w:t>daní,</w:t>
            </w:r>
            <w:r>
              <w:t xml:space="preserve"> racionalizace fiskálních pravidel </w:t>
            </w:r>
            <w:r>
              <w:rPr>
                <w:b/>
                <w:i/>
              </w:rPr>
              <w:t>a vytváření účinných daňových pobídek</w:t>
            </w:r>
            <w:r>
              <w:t xml:space="preserve"> jako klíčových nástrojů pro </w:t>
            </w:r>
            <w:r>
              <w:rPr>
                <w:b/>
                <w:i/>
              </w:rPr>
              <w:t>obnovu konkurenceschopnosti EU</w:t>
            </w:r>
            <w:r>
              <w:t>;</w:t>
            </w:r>
          </w:p>
        </w:tc>
        <w:tc>
          <w:tcPr>
            <w:tcW w:w="4876" w:type="dxa"/>
            <w:tcBorders>
              <w:top w:val="nil"/>
              <w:left w:val="nil"/>
              <w:bottom w:val="nil"/>
              <w:right w:val="nil"/>
            </w:tcBorders>
          </w:tcPr>
          <w:p>
            <w:pPr>
              <w:pStyle w:val="Normal6a"/>
            </w:pPr>
            <w:r>
              <w:t>H.</w:t>
            </w:r>
            <w:r>
              <w:tab/>
            </w:r>
            <w:r>
              <w:t xml:space="preserve">vzhledem k tomu, že nedávné zprávy EU poukazují na význam zjednodušení </w:t>
            </w:r>
            <w:r>
              <w:rPr>
                <w:b/>
                <w:i/>
              </w:rPr>
              <w:t>daňové správy a</w:t>
            </w:r>
            <w:r>
              <w:t xml:space="preserve"> racionalizace fiskálních pravidel jako klíčových nástrojů pro </w:t>
            </w:r>
            <w:r>
              <w:rPr>
                <w:b/>
                <w:i/>
              </w:rPr>
              <w:t>harmonizované a účinné prosazování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probíhají jednání o Rámcové úmluvě OSN o mezinárodní daňové spolupráci, přičemž konečné znění úmluvy a dvou protokolů by mělo být dokončeno do roku 2027;</w:t>
            </w:r>
            <w:r>
              <w:t xml:space="preserve"> </w:t>
            </w:r>
            <w:r>
              <w:rPr>
                <w:b/>
                <w:i/>
              </w:rPr>
              <w:t>vzhledem k tomu, že tato jednání představují příležitost k dosažení celosvětové dohody prostřednictvím inkluzivního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Konkurenceschopnost v mezinárodním</w:t>
            </w:r>
            <w:r>
              <w:t xml:space="preserve"> zdanění</w:t>
            </w:r>
          </w:p>
        </w:tc>
        <w:tc>
          <w:tcPr>
            <w:tcW w:w="4876" w:type="dxa"/>
            <w:tcBorders>
              <w:top w:val="nil"/>
              <w:left w:val="nil"/>
              <w:bottom w:val="nil"/>
              <w:right w:val="nil"/>
            </w:tcBorders>
          </w:tcPr>
          <w:p>
            <w:pPr>
              <w:pStyle w:val="Normal6a"/>
            </w:pPr>
            <w:r>
              <w:rPr>
                <w:b/>
                <w:i/>
              </w:rPr>
              <w:t>Účinné a spravedlivé mezinárodní</w:t>
            </w:r>
            <w:r>
              <w:t xml:space="preserve"> zdanění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že jednou z hlavních priorit je obnovení konkurenceschopnosti EU; připomíná, že atraktivita investic vyžaduje stabilní a předvídatelné daňové prostředí, ve kterém je snadné se orientovat, a optimální úroveň daňové správy;</w:t>
            </w:r>
          </w:p>
        </w:tc>
        <w:tc>
          <w:tcPr>
            <w:tcW w:w="4876" w:type="dxa"/>
            <w:tcBorders>
              <w:top w:val="nil"/>
              <w:left w:val="nil"/>
              <w:bottom w:val="nil"/>
              <w:right w:val="nil"/>
            </w:tcBorders>
          </w:tcPr>
          <w:p>
            <w:pPr>
              <w:pStyle w:val="Normal6a"/>
            </w:pPr>
            <w:r>
              <w:t>1.</w:t>
            </w:r>
            <w:r>
              <w:tab/>
            </w:r>
            <w:r>
              <w:t xml:space="preserve">zdůrazňuje, že jednou z hlavních priorit je obnovení konkurenceschopnosti EU; připomíná, že atraktivita investic vyžaduje stabilní a předvídatelné daňové prostředí, ve kterém je snadné se orientovat, a optimální úroveň daňové správy </w:t>
            </w:r>
            <w:r>
              <w:rPr>
                <w:b/>
                <w:i/>
              </w:rPr>
              <w:t>a plné respektování flexibility členských států při přizpůsobování svých vnitrostátních daňových systémů vnitrostátním hospodářským podmínkám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že jednou z hlavních priorit je obnovení konkurenceschopnosti EU; připomíná, že atraktivita investic vyžaduje stabilní a předvídatelné daňové prostředí</w:t>
            </w:r>
            <w:r>
              <w:rPr>
                <w:b/>
                <w:i/>
              </w:rPr>
              <w:t>, ve kterém je snadné se orientovat, a optimální úroveň daňové správy</w:t>
            </w:r>
            <w:r>
              <w:t>;</w:t>
            </w:r>
          </w:p>
        </w:tc>
        <w:tc>
          <w:tcPr>
            <w:tcW w:w="4876" w:type="dxa"/>
            <w:tcBorders>
              <w:top w:val="nil"/>
              <w:left w:val="nil"/>
              <w:bottom w:val="nil"/>
              <w:right w:val="nil"/>
            </w:tcBorders>
          </w:tcPr>
          <w:p>
            <w:pPr>
              <w:pStyle w:val="Normal6a"/>
            </w:pPr>
            <w:r>
              <w:t>1.</w:t>
            </w:r>
            <w:r>
              <w:tab/>
            </w:r>
            <w:r>
              <w:t xml:space="preserve">zdůrazňuje, že jednou z hlavních priorit je obnovení konkurenceschopnosti EU; připomíná, že atraktivita investic vyžaduje stabilní a předvídatelné daňové prostředí </w:t>
            </w:r>
            <w:r>
              <w:rPr>
                <w:b/>
                <w:i/>
              </w:rPr>
              <w:t>zaměřené na podporu růstu, aniž by byla vytvářena nepřiměřená omezení, a přiměřenou daňovou správu s minimálními režijními náklady na dodržování předpisů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w:t>
            </w:r>
            <w:r>
              <w:rPr>
                <w:b/>
                <w:i/>
              </w:rPr>
              <w:t>, že jednou z hlavních priorit je obnovení</w:t>
            </w:r>
            <w:r>
              <w:t xml:space="preserve"> konkurenceschopnosti EU; připomíná, že atraktivita investic vyžaduje stabilní </w:t>
            </w:r>
            <w:r>
              <w:rPr>
                <w:b/>
                <w:i/>
              </w:rPr>
              <w:t>a</w:t>
            </w:r>
            <w:r>
              <w:t xml:space="preserve"> předvídatelné daňové prostředí, ve kterém je snadné se orientovat, a optimální úroveň daňové správy;</w:t>
            </w:r>
          </w:p>
        </w:tc>
        <w:tc>
          <w:tcPr>
            <w:tcW w:w="4876" w:type="dxa"/>
            <w:tcBorders>
              <w:top w:val="nil"/>
              <w:left w:val="nil"/>
              <w:bottom w:val="nil"/>
              <w:right w:val="nil"/>
            </w:tcBorders>
          </w:tcPr>
          <w:p>
            <w:pPr>
              <w:pStyle w:val="Normal6a"/>
            </w:pPr>
            <w:r>
              <w:t>1.</w:t>
            </w:r>
            <w:r>
              <w:tab/>
            </w:r>
            <w:r>
              <w:t xml:space="preserve">zdůrazňuje </w:t>
            </w:r>
            <w:r>
              <w:rPr>
                <w:b/>
                <w:i/>
              </w:rPr>
              <w:t>posílení</w:t>
            </w:r>
            <w:r>
              <w:t xml:space="preserve"> konkurenceschopnosti EU </w:t>
            </w:r>
            <w:r>
              <w:rPr>
                <w:b/>
                <w:i/>
              </w:rPr>
              <w:t>jako jednu z priorit Unie spolu s ekologickou a digitální transformací</w:t>
            </w:r>
            <w:r>
              <w:t>; připomíná, že atraktivita investic vyžaduje stabilní</w:t>
            </w:r>
            <w:r>
              <w:rPr>
                <w:b/>
                <w:i/>
              </w:rPr>
              <w:t>,</w:t>
            </w:r>
            <w:r>
              <w:t xml:space="preserve"> předvídatelné </w:t>
            </w:r>
            <w:r>
              <w:rPr>
                <w:b/>
                <w:i/>
              </w:rPr>
              <w:t>a transparentní</w:t>
            </w:r>
            <w:r>
              <w:t> daňové prostředí, ve kterém je snadné se orientovat, a optimální úroveň daňové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zdůrazňuje, že jednou z hlavních priorit je obnovení konkurenceschopnosti EU;</w:t>
            </w:r>
            <w:r>
              <w:t xml:space="preserve"> připomíná, že atraktivita investic vyžaduje stabilní a předvídatelné daňové prostředí, ve kterém je snadné se orientovat, a optimální úroveň daňové správy;</w:t>
            </w:r>
          </w:p>
        </w:tc>
        <w:tc>
          <w:tcPr>
            <w:tcW w:w="4876" w:type="dxa"/>
            <w:tcBorders>
              <w:top w:val="nil"/>
              <w:left w:val="nil"/>
              <w:bottom w:val="nil"/>
              <w:right w:val="nil"/>
            </w:tcBorders>
          </w:tcPr>
          <w:p>
            <w:pPr>
              <w:pStyle w:val="Normal6a"/>
            </w:pPr>
            <w:r>
              <w:t>1.</w:t>
            </w:r>
            <w:r>
              <w:tab/>
            </w:r>
            <w:r>
              <w:t xml:space="preserve">připomíná, že atraktivita investic vyžaduje </w:t>
            </w:r>
            <w:r>
              <w:rPr>
                <w:b/>
                <w:i/>
              </w:rPr>
              <w:t>spravedlivé,</w:t>
            </w:r>
            <w:r>
              <w:t xml:space="preserve"> stabilní a předvídatelné daňové prostředí, ve kterém je snadné se orientovat, a optimální úroveň daňové správy; </w:t>
            </w:r>
            <w:r>
              <w:rPr>
                <w:b/>
                <w:i/>
              </w:rPr>
              <w:t>zdůrazňuje význam přeshraniční činnosti pro konkurenceschopnost EU a úlohu spravedlivého a harmonizovaného zdanění v tomto ohledu;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že jednou z hlavních priorit je obnovení konkurenceschopnosti EU; připomíná, že atraktivita investic vyžaduje stabilní a předvídatelné daňové prostředí, ve kterém je snadné se orientovat, </w:t>
            </w:r>
            <w:r>
              <w:rPr>
                <w:b/>
                <w:i/>
              </w:rPr>
              <w:t>a optimální úroveň daňové správy</w:t>
            </w:r>
            <w:r>
              <w:t>;</w:t>
            </w:r>
          </w:p>
        </w:tc>
        <w:tc>
          <w:tcPr>
            <w:tcW w:w="4876" w:type="dxa"/>
            <w:tcBorders>
              <w:top w:val="nil"/>
              <w:left w:val="nil"/>
              <w:bottom w:val="nil"/>
              <w:right w:val="nil"/>
            </w:tcBorders>
          </w:tcPr>
          <w:p>
            <w:pPr>
              <w:pStyle w:val="Normal6a"/>
            </w:pPr>
            <w:r>
              <w:t>1.</w:t>
            </w:r>
            <w:r>
              <w:tab/>
            </w:r>
            <w:r>
              <w:t xml:space="preserve">zdůrazňuje, že jednou z hlavních priorit je obnovení konkurenceschopnosti EU; připomíná, že atraktivita investic vyžaduje stabilní a předvídatelné daňové prostředí, ve kterém je snadné se orientovat, </w:t>
            </w:r>
            <w:r>
              <w:rPr>
                <w:b/>
                <w:i/>
              </w:rPr>
              <w:t>konkurenceschopnou daňovou zátěž a účinnou, přiměřenou a podnikatelsky vstřícnou daňovou správu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že jednou z hlavních priorit je obnovení konkurenceschopnosti EU; připomíná, že atraktivita investic vyžaduje stabilní </w:t>
            </w:r>
            <w:r>
              <w:rPr>
                <w:b/>
                <w:i/>
              </w:rPr>
              <w:t>a</w:t>
            </w:r>
            <w:r>
              <w:t xml:space="preserve"> předvídatelné daňové prostředí, ve kterém je snadné se orientovat, a optimální úroveň daňové správy;</w:t>
            </w:r>
          </w:p>
        </w:tc>
        <w:tc>
          <w:tcPr>
            <w:tcW w:w="4876" w:type="dxa"/>
            <w:tcBorders>
              <w:top w:val="nil"/>
              <w:left w:val="nil"/>
              <w:bottom w:val="nil"/>
              <w:right w:val="nil"/>
            </w:tcBorders>
          </w:tcPr>
          <w:p>
            <w:pPr>
              <w:pStyle w:val="Normal6a"/>
            </w:pPr>
            <w:r>
              <w:t>1.</w:t>
            </w:r>
            <w:r>
              <w:tab/>
            </w:r>
            <w:r>
              <w:t>zdůrazňuje, že jednou z hlavních priorit je obnovení konkurenceschopnosti EU; připomíná, že atraktivita investic vyžaduje stabilní</w:t>
            </w:r>
            <w:r>
              <w:rPr>
                <w:b/>
                <w:i/>
              </w:rPr>
              <w:t>,</w:t>
            </w:r>
            <w:r>
              <w:t xml:space="preserve"> předvídatelné</w:t>
            </w:r>
            <w:r>
              <w:rPr>
                <w:b/>
                <w:i/>
              </w:rPr>
              <w:t>, konkurenceschopné a atraktivní</w:t>
            </w:r>
            <w:r>
              <w:t xml:space="preserve"> daňové prostředí, ve kterém je snadné se orientovat, a optimální úroveň daňové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vyjadřuje politování nad tím, že kombinace vysokých sazeb daně z příjmů právnických osob v EU, složitosti dodržování předpisů, pravidel pro zadržování, omezených kompenzací ztrát v některých zemích a roztříštěných vnitrostátních režimů vytváří konkurenční nevýhody pro firmy z EU, které se snaží konkurovat v celosvětovém měřítku;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považuje za pozitivní, že na mezinárodní úrovni probíhá činnost – například z iniciativy OECD – jejímž cílem je zastavit soupeření o co nejnižší daně a vytvořit rovnější podmínky tím, že se na globální úrovni stanoví spodní hranice pro daňové povinnosti nadnárodních podniků v podobě minimální efektivní daňové sazby;</w:t>
            </w:r>
          </w:p>
        </w:tc>
        <w:tc>
          <w:tcPr>
            <w:tcW w:w="4876" w:type="dxa"/>
            <w:tcBorders>
              <w:top w:val="nil"/>
              <w:left w:val="nil"/>
              <w:bottom w:val="nil"/>
              <w:right w:val="nil"/>
            </w:tcBorders>
          </w:tcPr>
          <w:p>
            <w:pPr>
              <w:pStyle w:val="Normal6a"/>
            </w:pPr>
            <w:r>
              <w:t>2.</w:t>
            </w:r>
            <w:r>
              <w:tab/>
            </w:r>
            <w:r>
              <w:t xml:space="preserve">považuje za pozitivní, že na mezinárodní úrovni probíhá činnost – například z iniciativy OECD – jejímž cílem je zastavit soupeření o co nejnižší daně a vytvořit rovnější podmínky tím, že se na globální úrovni stanoví spodní hranice pro daňové povinnosti nadnárodních podniků v podobě minimální efektivní daňové sazby; </w:t>
            </w:r>
            <w:r>
              <w:rPr>
                <w:b/>
                <w:i/>
              </w:rPr>
              <w:t>vyzývá Komisi a členské státy, aby se na příslušných mezinárodních fórech zasazovaly o postupné zvyšování globální minimální efektivní sazby daně z příjmů právnických osob v souladu s doporučeními ICRICT a nezávislých ekonomů na úroveň, která bude schopna vytvářet dodatečné příjmy pro veřejné investice, opatření v oblasti klimatu a sociální výdaje;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považuje za pozitivní</w:t>
            </w:r>
            <w:r>
              <w:t xml:space="preserve">, že na mezinárodní úrovni probíhá činnost – například z iniciativy OECD – jejímž cílem je </w:t>
            </w:r>
            <w:r>
              <w:rPr>
                <w:b/>
                <w:i/>
              </w:rPr>
              <w:t>zastavit soupeření o co nejnižší daně a</w:t>
            </w:r>
            <w:r>
              <w:t xml:space="preserve"> vytvořit rovnější podmínky </w:t>
            </w:r>
            <w:r>
              <w:rPr>
                <w:b/>
                <w:i/>
              </w:rPr>
              <w:t>tím, že se na globální úrovni stanoví spodní hranice pro daňové povinnosti nadnárodních podniků</w:t>
            </w:r>
            <w:r>
              <w:t xml:space="preserve"> v podobě minimální efektivní daňové sazby;</w:t>
            </w:r>
          </w:p>
        </w:tc>
        <w:tc>
          <w:tcPr>
            <w:tcW w:w="4876" w:type="dxa"/>
            <w:tcBorders>
              <w:top w:val="nil"/>
              <w:left w:val="nil"/>
              <w:bottom w:val="nil"/>
              <w:right w:val="nil"/>
            </w:tcBorders>
          </w:tcPr>
          <w:p>
            <w:pPr>
              <w:pStyle w:val="Normal6a"/>
            </w:pPr>
            <w:r>
              <w:t>2.</w:t>
            </w:r>
            <w:r>
              <w:tab/>
            </w:r>
            <w:r>
              <w:rPr>
                <w:b/>
                <w:i/>
              </w:rPr>
              <w:t>bere na vědomí</w:t>
            </w:r>
            <w:r>
              <w:t>, že na mezinárodní úrovni probíhá činnost – například z iniciativy OECD – jejímž cílem je vytvořit rovnější podmínky </w:t>
            </w:r>
            <w:r>
              <w:rPr>
                <w:b/>
                <w:i/>
              </w:rPr>
              <w:t>pro nadnárodní podniky</w:t>
            </w:r>
            <w:r>
              <w:t xml:space="preserve"> v podobě minimální efektivní daňové sazby; </w:t>
            </w:r>
            <w:r>
              <w:rPr>
                <w:b/>
                <w:i/>
              </w:rPr>
              <w:t>zdůrazňuje však, že spravedlivá, transparentní a na podstatě založená daňová soutěž mezi jurisdikcemi může zůstat legitimním nástrojem pro přilákání investic, podporu zaměstnanosti a posílení konkurenceschopnosti a neměla by být kladena na roveň škodlivým daňovým praktikám;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považuje za pozitivní, že na</w:t>
            </w:r>
            <w:r>
              <w:t xml:space="preserve"> mezinárodní </w:t>
            </w:r>
            <w:r>
              <w:rPr>
                <w:b/>
                <w:i/>
              </w:rPr>
              <w:t>úrovni probíhá činnost –</w:t>
            </w:r>
            <w:r>
              <w:t xml:space="preserve"> například z iniciativy OECD </w:t>
            </w:r>
            <w:r>
              <w:rPr>
                <w:b/>
                <w:i/>
              </w:rPr>
              <w:t>– jejímž cílem je zastavit soupeření o co nejnižší daně a vytvořit rovnější podmínky tím, že se na globální úrovni stanoví spodní hranice pro daňové povinnosti nadnárodních podniků v podobě minimální efektivní daňové sazby</w:t>
            </w:r>
            <w:r>
              <w:t>;</w:t>
            </w:r>
          </w:p>
        </w:tc>
        <w:tc>
          <w:tcPr>
            <w:tcW w:w="4876" w:type="dxa"/>
            <w:tcBorders>
              <w:top w:val="nil"/>
              <w:left w:val="nil"/>
              <w:bottom w:val="nil"/>
              <w:right w:val="nil"/>
            </w:tcBorders>
          </w:tcPr>
          <w:p>
            <w:pPr>
              <w:pStyle w:val="Normal6a"/>
            </w:pPr>
            <w:r>
              <w:t>2.</w:t>
            </w:r>
            <w:r>
              <w:tab/>
            </w:r>
            <w:r>
              <w:rPr>
                <w:b/>
                <w:i/>
              </w:rPr>
              <w:t>vítá</w:t>
            </w:r>
            <w:r>
              <w:t xml:space="preserve"> mezinárodní </w:t>
            </w:r>
            <w:r>
              <w:rPr>
                <w:b/>
                <w:i/>
              </w:rPr>
              <w:t>úsilí,</w:t>
            </w:r>
            <w:r>
              <w:t xml:space="preserve"> například z iniciativy OECD;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budoucnost zdanění právnických osob v Unii musí zůstat pevně zakotvena v zásadách ekonomické podstaty a reálné akumulace kapitálu;</w:t>
            </w:r>
            <w:r>
              <w:t xml:space="preserve"> </w:t>
            </w:r>
            <w:r>
              <w:rPr>
                <w:b/>
                <w:i/>
              </w:rPr>
              <w:t>zastává názor, že konkurenceschopné modely daně z příjmů právnických osob, zejména ty, které využívají nulovou sazbu daně z nerozdělených a reinvestovaných zisků, představují vysoce účinné ekonomické nástroje zaměřené na budoucnost, které stimulují domácí investice, inovace a dlouhodobou tvorbu kapitálu;</w:t>
            </w:r>
            <w:r>
              <w:t xml:space="preserve"> </w:t>
            </w:r>
            <w:r>
              <w:rPr>
                <w:b/>
                <w:i/>
              </w:rPr>
              <w:t>odmítá jakoukoli strategii, která usiluje o přechod evropského daňového rámce na povinnou konsolidaci založenou na vzorci nebo centralizované přerozdělování zisku, které systematicky oddělují povinnosti v oblasti daně z příjmu právnických osob od skutečné fyzické a ekonomické stopy podniků v jednotlivých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vítá úsilí mezivládního vyjednávacího výboru OSN pro mezinárodní daňovou spolupráci o vypracování rámcové úmluvy OSN o mezinárodní daňové spolupráci s cílem posílit mezinárodní daňovou spolupráci, bojovat proti daňovým únikům a zajistit spravedlivější daňové systémy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vítá úsilí OSN o vytvoření soudržné a komplexní mnohostranné dohody o mezinárodním zdanění, včetně spravedlivého rozdělení daňových práv, nezákonných finančních toků a škodlivých daňových praktik;</w:t>
            </w:r>
            <w:r>
              <w:t xml:space="preserve"> </w:t>
            </w:r>
            <w:r>
              <w:rPr>
                <w:b/>
                <w:i/>
              </w:rPr>
              <w:t>podporuje cíl sladit mezinárodní zdanění s cíli v oblasti lidských práv a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zdůrazňuje, že orientace v měnícím se mezinárodním prostředí vyžaduje strukturální posun od neutuchající nadměrné regulace právních předpisů ke správní stabilizaci a systémovému zjednodušení;</w:t>
            </w:r>
            <w:r>
              <w:t xml:space="preserve"> </w:t>
            </w:r>
            <w:r>
              <w:rPr>
                <w:b/>
                <w:i/>
              </w:rPr>
              <w:t>vyzývá k tomu, aby budoucí politika v oblasti daně z příjmů právnických osob důsledně upřednostňovala zmírňování zátěže spojené s dodržováním předpisů tím, že zavede moratorium na překrývající se požadavky na podávání zpráv a zajistí okamžité provádění spolehlivých a trvalých „bezpečných přístavů“ podle pravidel druhého pilíře;</w:t>
            </w:r>
            <w:r>
              <w:t xml:space="preserve"> </w:t>
            </w:r>
            <w:r>
              <w:rPr>
                <w:b/>
                <w:i/>
              </w:rPr>
              <w:t>trvá na tom, že skutečné provozní a strukturální kapacity menších vnitrostátních daňových správ musí sloužit jako hlavní základní omezení pro jakékoli budoucí celounijní nebo globální fiskální rámce a chránit tak menší členské státy před nadměrným byrokratickým rozšiřováním a vyčerpáním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varuje, že jakýkoli přechod na mechanismy hlasování prostou většinou při stanovování celosvětových daňových standardů může marginalizovat menší, otevřené ekonomiky, narušit zavedené smluvní sítě a vytvořit roztříštěný mezinárodní daňový režim ve dvou rovinách;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vyjadřuje politování nad tím, že druhý pilíř dosud nebyl v globálním měřítku plně proveden, neboť tuto reformu neprovedly velké ekonomiky, jako je Čína </w:t>
            </w:r>
            <w:r>
              <w:rPr>
                <w:b/>
                <w:i/>
              </w:rPr>
              <w:t>a</w:t>
            </w:r>
            <w:r>
              <w:t xml:space="preserve"> Indie</w:t>
            </w:r>
            <w:r>
              <w:rPr>
                <w:b/>
                <w:i/>
              </w:rPr>
              <w:t>;</w:t>
            </w:r>
            <w:r>
              <w:t xml:space="preserve"> </w:t>
            </w:r>
            <w:r>
              <w:rPr>
                <w:b/>
                <w:i/>
              </w:rPr>
              <w:t>je toho názoru, že koexistence</w:t>
            </w:r>
            <w:r>
              <w:t xml:space="preserve"> druhého pilíře </w:t>
            </w:r>
            <w:r>
              <w:rPr>
                <w:b/>
                <w:i/>
              </w:rPr>
              <w:t>se souběžnými vnitrostátními režimy</w:t>
            </w:r>
            <w:r>
              <w:t xml:space="preserve"> minimální </w:t>
            </w:r>
            <w:r>
              <w:rPr>
                <w:b/>
                <w:i/>
              </w:rPr>
              <w:t>daně vede k roztříštěnosti a oslabuje jeho globální uplatňování</w:t>
            </w:r>
            <w:r>
              <w:t>;</w:t>
            </w:r>
          </w:p>
        </w:tc>
        <w:tc>
          <w:tcPr>
            <w:tcW w:w="4876" w:type="dxa"/>
            <w:tcBorders>
              <w:top w:val="nil"/>
              <w:left w:val="nil"/>
              <w:bottom w:val="nil"/>
              <w:right w:val="nil"/>
            </w:tcBorders>
          </w:tcPr>
          <w:p>
            <w:pPr>
              <w:pStyle w:val="Normal6a"/>
            </w:pPr>
            <w:r>
              <w:t>3.</w:t>
            </w:r>
            <w:r>
              <w:tab/>
            </w:r>
            <w:r>
              <w:t>vyjadřuje politování nad tím, že druhý pilíř dosud nebyl v globálním měřítku plně proveden, neboť tuto reformu neprovedly velké ekonomiky, jako je Čína</w:t>
            </w:r>
            <w:r>
              <w:rPr>
                <w:b/>
                <w:i/>
              </w:rPr>
              <w:t>,</w:t>
            </w:r>
            <w:r>
              <w:t xml:space="preserve"> Indie </w:t>
            </w:r>
            <w:r>
              <w:rPr>
                <w:b/>
                <w:i/>
              </w:rPr>
              <w:t>a USA;</w:t>
            </w:r>
            <w:r>
              <w:t xml:space="preserve"> </w:t>
            </w:r>
            <w:r>
              <w:rPr>
                <w:b/>
                <w:i/>
              </w:rPr>
              <w:t>naléhavě vyzývá členské státy, aby v plném rozsahu prováděly druhý pilíř, zejména pravidlo pro nedostatečně zdaněný zisk (UTPR);</w:t>
            </w:r>
            <w:r>
              <w:t xml:space="preserve"> </w:t>
            </w:r>
            <w:r>
              <w:rPr>
                <w:b/>
                <w:i/>
              </w:rPr>
              <w:t>konstatuje, že pravidlo pro nedostatečně zdaněný zisk je základním prvkem dobře fungujícího</w:t>
            </w:r>
            <w:r>
              <w:t> druhého pilíře</w:t>
            </w:r>
            <w:r>
              <w:rPr>
                <w:b/>
                <w:i/>
              </w:rPr>
              <w:t>, který zajišťuje rovné podmínky pro evropské společnosti;</w:t>
            </w:r>
            <w:r>
              <w:t xml:space="preserve"> </w:t>
            </w:r>
            <w:r>
              <w:rPr>
                <w:b/>
                <w:i/>
              </w:rPr>
              <w:t>vyzývá členské státy, aby neprodlužovaly přechodný bezpečný přístav podle pravidla pro nedostatečně zdaněný zisk po roce 2026, což by znevýhodnilo společnosti v EU;</w:t>
            </w:r>
            <w:r>
              <w:t xml:space="preserve"> </w:t>
            </w:r>
            <w:r>
              <w:rPr>
                <w:b/>
                <w:i/>
              </w:rPr>
              <w:t>vítá jasný závazek komisaře Hoekstry k prosazování tohoto pravidla, který vyjádřil ve svých písemných odpovědích Parlamentu v souvislosti se slyšeními před svým jmenováním;</w:t>
            </w:r>
            <w:r>
              <w:t xml:space="preserve"> </w:t>
            </w:r>
            <w:r>
              <w:rPr>
                <w:b/>
                <w:i/>
              </w:rPr>
              <w:t>připomíná, že v roce 2021 Spojené státy souhlasily s</w:t>
            </w:r>
            <w:r>
              <w:t xml:space="preserve"> minimální </w:t>
            </w:r>
            <w:r>
              <w:rPr>
                <w:b/>
                <w:i/>
              </w:rPr>
              <w:t>daní OECD na úrovni G7, G20 a inkluzivního rámce OECD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vyjadřuje politování nad tím, že druhý pilíř dosud nebyl v globálním měřítku plně proveden, neboť tuto reformu neprovedly velké ekonomiky, jako je Čína a Indie; </w:t>
            </w:r>
            <w:r>
              <w:rPr>
                <w:b/>
                <w:i/>
              </w:rPr>
              <w:t>je toho názoru, že koexistence druhého pilíře se souběžnými vnitrostátními režimy</w:t>
            </w:r>
            <w:r>
              <w:t xml:space="preserve"> minimální </w:t>
            </w:r>
            <w:r>
              <w:rPr>
                <w:b/>
                <w:i/>
              </w:rPr>
              <w:t>daně vede k roztříštěnosti a oslabuje jeho</w:t>
            </w:r>
            <w:r>
              <w:t xml:space="preserve"> globální </w:t>
            </w:r>
            <w:r>
              <w:rPr>
                <w:b/>
                <w:i/>
              </w:rPr>
              <w:t>uplatňování</w:t>
            </w:r>
            <w:r>
              <w:t>;</w:t>
            </w:r>
          </w:p>
        </w:tc>
        <w:tc>
          <w:tcPr>
            <w:tcW w:w="4876" w:type="dxa"/>
            <w:tcBorders>
              <w:top w:val="nil"/>
              <w:left w:val="nil"/>
              <w:bottom w:val="nil"/>
              <w:right w:val="nil"/>
            </w:tcBorders>
          </w:tcPr>
          <w:p>
            <w:pPr>
              <w:pStyle w:val="Normal6a"/>
            </w:pPr>
            <w:r>
              <w:t>3.</w:t>
            </w:r>
            <w:r>
              <w:tab/>
            </w:r>
            <w:r>
              <w:t xml:space="preserve">vyjadřuje politování nad tím, že druhý pilíř dosud nebyl v globálním měřítku plně proveden, neboť tuto reformu neprovedly velké ekonomiky, jako je Čína a Indie; </w:t>
            </w:r>
            <w:r>
              <w:rPr>
                <w:b/>
                <w:i/>
              </w:rPr>
              <w:t>zdůrazňuje, že globální</w:t>
            </w:r>
            <w:r>
              <w:t xml:space="preserve"> minimální </w:t>
            </w:r>
            <w:r>
              <w:rPr>
                <w:b/>
                <w:i/>
              </w:rPr>
              <w:t>daň může zajistit skutečně rovné podmínky pouze tehdy, bude-li účinně a důsledně uplatňována všemi velkými ekonomikami;</w:t>
            </w:r>
            <w:r>
              <w:t xml:space="preserve"> </w:t>
            </w:r>
            <w:r>
              <w:rPr>
                <w:b/>
                <w:i/>
              </w:rPr>
              <w:t>domnívá se proto, že EU by měla zvážit alternativní a pragmatičtější přístupy v případech, kdy</w:t>
            </w:r>
            <w:r>
              <w:t xml:space="preserve"> globální </w:t>
            </w:r>
            <w:r>
              <w:rPr>
                <w:b/>
                <w:i/>
              </w:rPr>
              <w:t>provádění zůstává neúplné, včetně cíleného zjednodušení, vzájemných „bezpečných přístavů“ a opatření k zachování konkurenceschopnosti společností se sídlem 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vyjadřuje politování nad tím, že druhý pilíř dosud nebyl v globálním měřítku plně proveden, neboť tuto reformu neprovedly velké ekonomiky, jako je Čína a Indie; je toho názoru, že koexistence druhého pilíře se souběžnými vnitrostátními režimy minimální daně vede k roztříštěnosti a oslabuje jeho globální uplatňování;</w:t>
            </w:r>
          </w:p>
        </w:tc>
        <w:tc>
          <w:tcPr>
            <w:tcW w:w="4876" w:type="dxa"/>
            <w:tcBorders>
              <w:top w:val="nil"/>
              <w:left w:val="nil"/>
              <w:bottom w:val="nil"/>
              <w:right w:val="nil"/>
            </w:tcBorders>
          </w:tcPr>
          <w:p>
            <w:pPr>
              <w:pStyle w:val="Normal6a"/>
            </w:pPr>
            <w:r>
              <w:t>3.</w:t>
            </w:r>
            <w:r>
              <w:tab/>
            </w:r>
            <w:r>
              <w:t xml:space="preserve">vyjadřuje politování nad tím, že druhý pilíř dosud nebyl v globálním měřítku plně proveden </w:t>
            </w:r>
            <w:r>
              <w:rPr>
                <w:b/>
                <w:i/>
              </w:rPr>
              <w:t>a představuje značnou administrativní zátěž a mimořádné náklady pro daňové poplatníky bez odpovídajících daňových příjmů</w:t>
            </w:r>
            <w:r>
              <w:t>, neboť tuto reformu neprovedly velké ekonomiky, jako je Čína a Indie; je toho názoru, že koexistence druhého pilíře se souběžnými vnitrostátními režimy minimální daně vede k roztříštěnosti a oslabuje jeho globální uplatňování;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vyjadřuje politování nad tím, že druhý pilíř dosud nebyl v globálním měřítku plně proveden, neboť tuto reformu neprovedly velké ekonomiky, jako je Čína a Indie; je toho názoru, že koexistence druhého pilíře se souběžnými vnitrostátními režimy minimální daně vede k roztříštěnosti a oslabuje jeho globální uplatňování;</w:t>
            </w:r>
          </w:p>
        </w:tc>
        <w:tc>
          <w:tcPr>
            <w:tcW w:w="4876" w:type="dxa"/>
            <w:tcBorders>
              <w:top w:val="nil"/>
              <w:left w:val="nil"/>
              <w:bottom w:val="nil"/>
              <w:right w:val="nil"/>
            </w:tcBorders>
          </w:tcPr>
          <w:p>
            <w:pPr>
              <w:pStyle w:val="Normal6a"/>
            </w:pPr>
            <w:r>
              <w:t>3.</w:t>
            </w:r>
            <w:r>
              <w:tab/>
            </w:r>
            <w:r>
              <w:t>vyjadřuje politování nad tím, že druhý pilíř dosud nebyl v globálním měřítku plně proveden, neboť tuto reformu neprovedly velké ekonomiky, jako je Čína a Indie; je toho názoru, že koexistence druhého pilíře se souběžnými vnitrostátními režimy minimální daně </w:t>
            </w:r>
            <w:r>
              <w:rPr>
                <w:b/>
                <w:i/>
              </w:rPr>
              <w:t>– jako je americký režim NCTI a další vnitrostátní režimy, které mohou získat status „bezpečného přístavu“ podle SbS –</w:t>
            </w:r>
            <w:r>
              <w:t xml:space="preserve"> vede k roztříštěnosti a oslabuje jeho globální uplatňování;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vyjadřuje politování nad tím</w:t>
            </w:r>
            <w:r>
              <w:t xml:space="preserve">, že druhý pilíř dosud nebyl v globálním měřítku plně proveden, neboť tuto reformu neprovedly velké ekonomiky, jako je Čína a Indie; je toho názoru, že koexistence druhého pilíře se souběžnými vnitrostátními režimy minimální daně vede k roztříštěnosti </w:t>
            </w:r>
            <w:r>
              <w:rPr>
                <w:b/>
                <w:i/>
              </w:rPr>
              <w:t>a oslabuje jeho globální uplatňování</w:t>
            </w:r>
            <w:r>
              <w:t>;</w:t>
            </w:r>
          </w:p>
        </w:tc>
        <w:tc>
          <w:tcPr>
            <w:tcW w:w="4876" w:type="dxa"/>
            <w:tcBorders>
              <w:top w:val="nil"/>
              <w:left w:val="nil"/>
              <w:bottom w:val="nil"/>
              <w:right w:val="nil"/>
            </w:tcBorders>
          </w:tcPr>
          <w:p>
            <w:pPr>
              <w:pStyle w:val="Normal6a"/>
            </w:pPr>
            <w:r>
              <w:t>3.</w:t>
            </w:r>
            <w:r>
              <w:tab/>
            </w:r>
            <w:r>
              <w:rPr>
                <w:b/>
                <w:i/>
              </w:rPr>
              <w:t>bere na vědomí</w:t>
            </w:r>
            <w:r>
              <w:t>, že druhý pilíř dosud nebyl v globálním měřítku plně proveden, neboť tuto reformu neprovedly velké ekonomiky, jako je Čína a Indie; je toho názoru, že koexistence druhého pilíře se souběžnými vnitrostátními režimy minimální daně vede k roztříštěnosti</w:t>
            </w:r>
            <w:r>
              <w:rPr>
                <w:b/>
                <w:i/>
              </w:rPr>
              <w:t>, zvyšuje riziko asymetrického konkurenčního znevýhodnění evropských podniků a zbytečně komplikuje prostor pro vnitrostátní daňovou politiku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vyjadřuje politování nad tím, že druhý pilíř dosud nebyl v globálním měřítku plně proveden, neboť tuto reformu neprovedly velké ekonomiky, jako je Čína a Indie; </w:t>
            </w:r>
            <w:r>
              <w:rPr>
                <w:b/>
                <w:i/>
              </w:rPr>
              <w:t>je toho názoru, že koexistence</w:t>
            </w:r>
            <w:r>
              <w:t xml:space="preserve"> druhého pilíře </w:t>
            </w:r>
            <w:r>
              <w:rPr>
                <w:b/>
                <w:i/>
              </w:rPr>
              <w:t>se souběžnými vnitrostátními režimy minimální daně vede k roztříštěnosti a oslabuje jeho</w:t>
            </w:r>
            <w:r>
              <w:t xml:space="preserve"> globální </w:t>
            </w:r>
            <w:r>
              <w:rPr>
                <w:b/>
                <w:i/>
              </w:rPr>
              <w:t>uplatňování</w:t>
            </w:r>
            <w:r>
              <w:t>;</w:t>
            </w:r>
          </w:p>
        </w:tc>
        <w:tc>
          <w:tcPr>
            <w:tcW w:w="4876" w:type="dxa"/>
            <w:tcBorders>
              <w:top w:val="nil"/>
              <w:left w:val="nil"/>
              <w:bottom w:val="nil"/>
              <w:right w:val="nil"/>
            </w:tcBorders>
          </w:tcPr>
          <w:p>
            <w:pPr>
              <w:pStyle w:val="Normal6a"/>
            </w:pPr>
            <w:r>
              <w:t>3.</w:t>
            </w:r>
            <w:r>
              <w:tab/>
            </w:r>
            <w:r>
              <w:t xml:space="preserve">vyjadřuje politování nad tím, že druhý pilíř dosud nebyl v globálním měřítku plně proveden, neboť tuto reformu neprovedly velké ekonomiky, jako je Čína a Indie; </w:t>
            </w:r>
            <w:r>
              <w:rPr>
                <w:b/>
                <w:i/>
              </w:rPr>
              <w:t>připomíná, že dohoda</w:t>
            </w:r>
            <w:r>
              <w:t xml:space="preserve"> druhého pilíře </w:t>
            </w:r>
            <w:r>
              <w:rPr>
                <w:b/>
                <w:i/>
              </w:rPr>
              <w:t>je klíčovým nástrojem pro zajištění spravedlivého zdanění, omezení škodlivých daňových praktik a vytvoření spravedlivějších rovných podmínek pro velké podniky působící v</w:t>
            </w:r>
            <w:r>
              <w:t xml:space="preserve"> globální </w:t>
            </w:r>
            <w:r>
              <w:rPr>
                <w:b/>
                <w:i/>
              </w:rPr>
              <w:t>ekonomice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se znepokojením konstatuje, že značné strukturální rozdíly mezi režimem NCTI </w:t>
            </w:r>
            <w:r>
              <w:rPr>
                <w:b/>
                <w:i/>
              </w:rPr>
              <w:t>v</w:t>
            </w:r>
            <w:r>
              <w:t xml:space="preserve"> USA a druhým pilířem </w:t>
            </w:r>
            <w:r>
              <w:rPr>
                <w:b/>
                <w:i/>
              </w:rPr>
              <w:t>vedou k různým</w:t>
            </w:r>
            <w:r>
              <w:t xml:space="preserve"> efektivním daňovým sazbám</w:t>
            </w:r>
            <w:r>
              <w:rPr>
                <w:b/>
                <w:i/>
              </w:rPr>
              <w:t>, které znevýhodňují nadnárodní podniky, jež mají sídlo v EU, ale působí ve Spojených státech</w:t>
            </w:r>
            <w:r>
              <w:t xml:space="preserve">; dále konstatuje, že v důsledku SbS jsou nadnárodní podniky se sídlem v USA de facto osvobozeny od většiny povinností druhého pilíře, </w:t>
            </w:r>
            <w:r>
              <w:rPr>
                <w:b/>
                <w:i/>
              </w:rPr>
              <w:t>což evropské</w:t>
            </w:r>
            <w:r>
              <w:t xml:space="preserve"> společnosti </w:t>
            </w:r>
            <w:r>
              <w:rPr>
                <w:b/>
                <w:i/>
              </w:rPr>
              <w:t>konkurenčně znevýhodňuje</w:t>
            </w:r>
            <w:r>
              <w:t>;</w:t>
            </w:r>
          </w:p>
        </w:tc>
        <w:tc>
          <w:tcPr>
            <w:tcW w:w="4876" w:type="dxa"/>
            <w:tcBorders>
              <w:top w:val="nil"/>
              <w:left w:val="nil"/>
              <w:bottom w:val="nil"/>
              <w:right w:val="nil"/>
            </w:tcBorders>
          </w:tcPr>
          <w:p>
            <w:pPr>
              <w:pStyle w:val="Normal6a"/>
            </w:pPr>
            <w:r>
              <w:t>4.</w:t>
            </w:r>
            <w:r>
              <w:tab/>
            </w:r>
            <w:r>
              <w:t xml:space="preserve">se znepokojením konstatuje, že značné strukturální rozdíly mezi režimem NCTI USA a druhým pilířem </w:t>
            </w:r>
            <w:r>
              <w:rPr>
                <w:b/>
                <w:i/>
              </w:rPr>
              <w:t>mohou vést k rozdílným</w:t>
            </w:r>
            <w:r>
              <w:t xml:space="preserve"> efektivním daňovým sazbám </w:t>
            </w:r>
            <w:r>
              <w:rPr>
                <w:b/>
                <w:i/>
              </w:rPr>
              <w:t>a nejednotnému uplatňování v jednotlivých jurisdikcích</w:t>
            </w:r>
            <w:r>
              <w:t xml:space="preserve">; dále konstatuje, že v důsledku SbS jsou nadnárodní podniky se sídlem v USA de facto osvobozeny od většiny povinností druhého pilíře, </w:t>
            </w:r>
            <w:r>
              <w:rPr>
                <w:b/>
                <w:i/>
              </w:rPr>
              <w:t>čímž se znovu otevřou pobídky k přesouvání zisku podniků a oslabí se rovné podmínky pro</w:t>
            </w:r>
            <w:r>
              <w:t xml:space="preserve"> společnosti </w:t>
            </w:r>
            <w:r>
              <w:rPr>
                <w:b/>
                <w:i/>
              </w:rPr>
              <w:t>a daňové jurisdikce na celém světě</w:t>
            </w:r>
            <w:r>
              <w:t xml:space="preserve">; </w:t>
            </w:r>
            <w:r>
              <w:rPr>
                <w:b/>
                <w:i/>
              </w:rPr>
              <w:t>konstatuje, že přetrvávající regulační nejistota a nedávné změny v hospodářské a obchodní politice USA nadále vzbuzují u mezinárodních investorů a podniků obezřetnost;</w:t>
            </w:r>
            <w:r>
              <w:t xml:space="preserve"> </w:t>
            </w:r>
            <w:r>
              <w:rPr>
                <w:b/>
                <w:i/>
              </w:rPr>
              <w:t>zdůrazňuje, že současné mezinárodní prostředí se stále více vyznačuje geopolitickou konkurencí, jednostrannými politickými opatřeními a rostoucí roztříštěností mnohostranného řádu založeného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se znepokojením konstatuje</w:t>
            </w:r>
            <w:r>
              <w:t xml:space="preserve">, že značné strukturální rozdíly mezi režimem NCTI </w:t>
            </w:r>
            <w:r>
              <w:rPr>
                <w:b/>
                <w:i/>
              </w:rPr>
              <w:t>v</w:t>
            </w:r>
            <w:r>
              <w:t xml:space="preserve"> USA a druhým pilířem vedou k různým efektivním daňovým sazbám, které znevýhodňují nadnárodní podniky, jež mají sídlo v EU, ale působí ve Spojených státech; dále konstatuje, že v důsledku SbS jsou nadnárodní podniky se sídlem v USA de facto osvobozeny od většiny povinností druhého pilíře, což evropské společnosti </w:t>
            </w:r>
            <w:r>
              <w:rPr>
                <w:b/>
                <w:i/>
              </w:rPr>
              <w:t>konkurenčně</w:t>
            </w:r>
            <w:r>
              <w:t xml:space="preserve"> znevýhodňuje;</w:t>
            </w:r>
          </w:p>
        </w:tc>
        <w:tc>
          <w:tcPr>
            <w:tcW w:w="4876" w:type="dxa"/>
            <w:tcBorders>
              <w:top w:val="nil"/>
              <w:left w:val="nil"/>
              <w:bottom w:val="nil"/>
              <w:right w:val="nil"/>
            </w:tcBorders>
          </w:tcPr>
          <w:p>
            <w:pPr>
              <w:pStyle w:val="Normal6a"/>
            </w:pPr>
            <w:r>
              <w:t>4.</w:t>
            </w:r>
            <w:r>
              <w:tab/>
            </w:r>
            <w:r>
              <w:rPr>
                <w:b/>
                <w:i/>
              </w:rPr>
              <w:t>zdůrazňuje</w:t>
            </w:r>
            <w:r>
              <w:t xml:space="preserve">, že značné strukturální rozdíly mezi režimem NCTI USA a druhým pilířem vedou k různým efektivním daňovým sazbám, které znevýhodňují nadnárodní podniky, jež mají sídlo v EU, ale působí ve Spojených státech; dále konstatuje, že v důsledku SbS jsou nadnárodní podniky se sídlem v USA de facto osvobozeny od většiny povinností druhého pilíře, což evropské společnosti </w:t>
            </w:r>
            <w:r>
              <w:rPr>
                <w:b/>
                <w:i/>
              </w:rPr>
              <w:t>výrazně</w:t>
            </w:r>
            <w:r>
              <w:t xml:space="preserve"> znevýhodňuje </w:t>
            </w:r>
            <w:r>
              <w:rPr>
                <w:b/>
                <w:i/>
              </w:rPr>
              <w:t>v hospodářské soutěži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vyjadřuje vážné znepokojení nad účinky SbS;</w:t>
            </w:r>
            <w:r>
              <w:t xml:space="preserve"> </w:t>
            </w:r>
            <w:r>
              <w:rPr>
                <w:b/>
                <w:i/>
              </w:rPr>
              <w:t>konstatuje, že ačkoli cílem dohody je zajistit regulační stabilitu, hrozí, že naruší rovné podmínky a znovu zažehnou škodlivé praktiky v oblasti daně z příjmů právnických osob, které měl rámec druhého pilíře omezit;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zatímco druhý pilíř uplatňuje minimální daň ve výši 15 % na každou jurisdikci, globální kombinované financování NCTI USA kompenzuje nedostatečně zdaněné zisky, což vytváří strukturální nerovnováhu mezi oběma režimy;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vyzývá Komisi, aby zveřejnila dostupné údaje nebo analýzu odhadované ztráty příjmů členských států EU v důsledku provádění SbS;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vyzývá Komisi, aby dále zveřejnila posouzení dopadu zavedení, prostřednictvím SbS, nového cíleného „bezpečného přístavu“ daňových pobídek na základě ekonomické podstaty v rámci druhého pilíře;</w:t>
            </w:r>
            <w:r>
              <w:t xml:space="preserve"> </w:t>
            </w:r>
            <w:r>
              <w:rPr>
                <w:b/>
                <w:i/>
              </w:rPr>
              <w:t>zdůrazňuje, že je důležité analyzovat, do jaké míry přípustnost těchto pobídek, které jsou většinou využívány ve Spojených státech, podkopává zastřešující cíle, jimiž je zabránit závodům o co nejnižší zdanění a zavést konkurenční nevýhodu vůči podnikům se sídlem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analyzovala situaci a navrhla řešení, jak napravit strukturální nerovnováhu, která v důsledku SbS vznikla, s cílem vytvořit rovné podmínky pro evropské společnosti a zajistit globální konkurenceschopnost EU;</w:t>
            </w:r>
          </w:p>
        </w:tc>
        <w:tc>
          <w:tcPr>
            <w:tcW w:w="4876" w:type="dxa"/>
            <w:tcBorders>
              <w:top w:val="nil"/>
              <w:left w:val="nil"/>
              <w:bottom w:val="nil"/>
              <w:right w:val="nil"/>
            </w:tcBorders>
          </w:tcPr>
          <w:p>
            <w:pPr>
              <w:pStyle w:val="Normal6a"/>
            </w:pPr>
            <w:r>
              <w:t>5.</w:t>
            </w:r>
            <w:r>
              <w:tab/>
            </w:r>
            <w:r>
              <w:t xml:space="preserve">vyzývá Komisi, aby analyzovala situaci a navrhla řešení, jak napravit strukturální nerovnováhu, která v důsledku SbS vznikla, s cílem vytvořit rovné podmínky pro evropské společnosti a zajistit globální konkurenceschopnost EU </w:t>
            </w:r>
            <w:r>
              <w:rPr>
                <w:b/>
                <w:i/>
              </w:rPr>
              <w:t>a zároveň uznat zásadu subsidiarity a skutečnost, že zdanění je v pravomoci členských států</w:t>
            </w:r>
            <w:r>
              <w:t xml:space="preserve">; </w:t>
            </w:r>
            <w:r>
              <w:rPr>
                <w:b/>
                <w:i/>
              </w:rPr>
              <w:t>vyzývá Komisi, aby vždy zohledňovala hospodářskou konkurenceschopnost EU a zajistila, aby její návrhy zvyšovaly hospodářskou atraktivitu EU a neoslabovaly 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Komisi, aby analyzovala </w:t>
            </w:r>
            <w:r>
              <w:rPr>
                <w:b/>
                <w:i/>
              </w:rPr>
              <w:t>situaci</w:t>
            </w:r>
            <w:r>
              <w:t xml:space="preserve"> a navrhla řešení</w:t>
            </w:r>
            <w:r>
              <w:rPr>
                <w:b/>
                <w:i/>
              </w:rPr>
              <w:t>, jak napravit strukturální nerovnováhu, která v důsledku SbS vznikla, s cílem vytvořit rovné podmínky pro evropské</w:t>
            </w:r>
            <w:r>
              <w:t xml:space="preserve"> společnosti </w:t>
            </w:r>
            <w:r>
              <w:rPr>
                <w:b/>
                <w:i/>
              </w:rPr>
              <w:t>a zajistit globální konkurenceschopnost EU</w:t>
            </w:r>
            <w:r>
              <w:t>;</w:t>
            </w:r>
          </w:p>
        </w:tc>
        <w:tc>
          <w:tcPr>
            <w:tcW w:w="4876" w:type="dxa"/>
            <w:tcBorders>
              <w:top w:val="nil"/>
              <w:left w:val="nil"/>
              <w:bottom w:val="nil"/>
              <w:right w:val="nil"/>
            </w:tcBorders>
          </w:tcPr>
          <w:p>
            <w:pPr>
              <w:pStyle w:val="Normal6a"/>
            </w:pPr>
            <w:r>
              <w:t>5.</w:t>
            </w:r>
            <w:r>
              <w:tab/>
            </w:r>
            <w:r>
              <w:t xml:space="preserve">vyzývá Komisi, aby </w:t>
            </w:r>
            <w:r>
              <w:rPr>
                <w:b/>
                <w:i/>
              </w:rPr>
              <w:t>urychleně a důkladně</w:t>
            </w:r>
            <w:r>
              <w:t xml:space="preserve"> analyzovala </w:t>
            </w:r>
            <w:r>
              <w:rPr>
                <w:b/>
                <w:i/>
              </w:rPr>
              <w:t>dopad SbS na usnadnění globálního přesouvání zisku a snížení účinných daňových sazeb</w:t>
            </w:r>
            <w:r>
              <w:t xml:space="preserve"> a navrhla </w:t>
            </w:r>
            <w:r>
              <w:rPr>
                <w:b/>
                <w:i/>
              </w:rPr>
              <w:t>nápravná opatření a</w:t>
            </w:r>
            <w:r>
              <w:t xml:space="preserve"> řešení </w:t>
            </w:r>
            <w:r>
              <w:rPr>
                <w:b/>
                <w:i/>
              </w:rPr>
              <w:t>k zajištění integrity celosvětového minimálního daňového rámce, předcházení závodům o co nejnižší daně a zajištění toho, aby nadnárodní</w:t>
            </w:r>
            <w:r>
              <w:t xml:space="preserve"> společnosti </w:t>
            </w:r>
            <w:r>
              <w:rPr>
                <w:b/>
                <w:i/>
              </w:rPr>
              <w:t>působící na jednotném trhu přispívaly ke spravedlivé a účinné úrovni zdanění bez ohledu na to, kde mají sídlo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analyzovala situaci a navrhla řešení, jak napravit strukturální nerovnováhu, která v důsledku SbS vznikla, s cílem vytvořit rovné podmínky pro evropské společnosti a zajistit globální konkurenceschopnost EU;</w:t>
            </w:r>
          </w:p>
        </w:tc>
        <w:tc>
          <w:tcPr>
            <w:tcW w:w="4876" w:type="dxa"/>
            <w:tcBorders>
              <w:top w:val="nil"/>
              <w:left w:val="nil"/>
              <w:bottom w:val="nil"/>
              <w:right w:val="nil"/>
            </w:tcBorders>
          </w:tcPr>
          <w:p>
            <w:pPr>
              <w:pStyle w:val="Normal6a"/>
            </w:pPr>
            <w:r>
              <w:t>5.</w:t>
            </w:r>
            <w:r>
              <w:tab/>
            </w:r>
            <w:r>
              <w:t xml:space="preserve">vyzývá Komisi, aby analyzovala situaci a navrhla řešení, jak napravit strukturální nerovnováhu, která v důsledku SbS vznikla, s cílem </w:t>
            </w:r>
            <w:r>
              <w:rPr>
                <w:b/>
                <w:i/>
              </w:rPr>
              <w:t>zajistit spravedlivé zdanění, chránit veřejné příjmy, předcházet škodlivým daňovým praktikám, podpořit udržitelný hospodářský růst a</w:t>
            </w:r>
            <w:r>
              <w:t xml:space="preserve"> vytvořit rovné podmínky pro evropské společnosti a zajistit globální konkurenceschopnost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Komisi, aby analyzovala situaci a navrhla řešení, </w:t>
            </w:r>
            <w:r>
              <w:rPr>
                <w:b/>
                <w:i/>
              </w:rPr>
              <w:t>jak napravit</w:t>
            </w:r>
            <w:r>
              <w:t xml:space="preserve"> strukturální </w:t>
            </w:r>
            <w:r>
              <w:rPr>
                <w:b/>
                <w:i/>
              </w:rPr>
              <w:t>nerovnováhu</w:t>
            </w:r>
            <w:r>
              <w:t>, která v důsledku SbS vznikla, s cílem vytvořit rovné podmínky pro evropské společnosti a zajistit globální konkurenceschopnost EU;</w:t>
            </w:r>
          </w:p>
        </w:tc>
        <w:tc>
          <w:tcPr>
            <w:tcW w:w="4876" w:type="dxa"/>
            <w:tcBorders>
              <w:top w:val="nil"/>
              <w:left w:val="nil"/>
              <w:bottom w:val="nil"/>
              <w:right w:val="nil"/>
            </w:tcBorders>
          </w:tcPr>
          <w:p>
            <w:pPr>
              <w:pStyle w:val="Normal6a"/>
            </w:pPr>
            <w:r>
              <w:t>5.</w:t>
            </w:r>
            <w:r>
              <w:tab/>
            </w:r>
            <w:r>
              <w:t xml:space="preserve">vyzývá Komisi, aby analyzovala situaci a navrhla řešení, </w:t>
            </w:r>
            <w:r>
              <w:rPr>
                <w:b/>
                <w:i/>
              </w:rPr>
              <w:t>včetně případných legislativních řešení, k nápravě</w:t>
            </w:r>
            <w:r>
              <w:t> strukturální </w:t>
            </w:r>
            <w:r>
              <w:rPr>
                <w:b/>
                <w:i/>
              </w:rPr>
              <w:t>nerovnováhy</w:t>
            </w:r>
            <w:r>
              <w:t>, která v důsledku SbS vznikla, s cílem vytvořit rovné podmínky pro evropské společnosti a zajistit globální konkurenceschopnost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Katri Kulmuni,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Komisi, aby analyzovala situaci a navrhla řešení, jak napravit strukturální nerovnováhu, která v důsledku SbS vznikla, s cílem vytvořit rovné podmínky pro evropské společnosti </w:t>
            </w:r>
            <w:r>
              <w:rPr>
                <w:b/>
                <w:i/>
              </w:rPr>
              <w:t>a</w:t>
            </w:r>
            <w:r>
              <w:t xml:space="preserve"> zajistit globální konkurenceschopnost EU;</w:t>
            </w:r>
          </w:p>
        </w:tc>
        <w:tc>
          <w:tcPr>
            <w:tcW w:w="4876" w:type="dxa"/>
            <w:tcBorders>
              <w:top w:val="nil"/>
              <w:left w:val="nil"/>
              <w:bottom w:val="nil"/>
              <w:right w:val="nil"/>
            </w:tcBorders>
          </w:tcPr>
          <w:p>
            <w:pPr>
              <w:pStyle w:val="Normal6a"/>
            </w:pPr>
            <w:r>
              <w:t>5.</w:t>
            </w:r>
            <w:r>
              <w:tab/>
            </w:r>
            <w:r>
              <w:t>vyzývá Komisi, aby analyzovala situaci a navrhla řešení, jak napravit strukturální nerovnováhu, která v důsledku SbS vznikla, s cílem vytvořit rovné podmínky pro evropské společnosti</w:t>
            </w:r>
            <w:r>
              <w:rPr>
                <w:b/>
                <w:i/>
              </w:rPr>
              <w:t>,</w:t>
            </w:r>
            <w:r>
              <w:t xml:space="preserve"> zajistit globální konkurenceschopnost EU </w:t>
            </w:r>
            <w:r>
              <w:rPr>
                <w:b/>
                <w:i/>
              </w:rPr>
              <w:t>a aktivně usilovat o zjednodušení pravidel druhého pilíře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znepokojení nad tím, že přiznání statusu „bezpečného přístavu“ minimálním daňovým režimům třetích zemí, které fungují mimo rámec druhého pilíře, vytváří škodlivý precedens výjimečnosti v rámci systému, který odvozuje svou hodnotu z všeobecného a důsledného uplatňování;</w:t>
            </w:r>
            <w:r>
              <w:t xml:space="preserve"> </w:t>
            </w:r>
            <w:r>
              <w:rPr>
                <w:b/>
                <w:i/>
              </w:rPr>
              <w:t>zdůrazňuje, že ústupky této povahy, pokud jsou prováděny pod výslovnou hrozbou jednostranných obchodních opatření, normalizují využívání extrateritoriálního hospodářského tlaku jako páky nad regulační autonomií EU, což je forma nátlaku, která by ze své podstaty mohla být rozšířena na jakoukoli oblast politiky EU, čímž by byla narušena svrchovanost Unie;</w:t>
            </w:r>
            <w:r>
              <w:t xml:space="preserve"> </w:t>
            </w:r>
            <w:r>
              <w:rPr>
                <w:b/>
                <w:i/>
              </w:rPr>
              <w:t>znovu potvrzuje, že závazek EU bojovat proti vyhýbání se daňovým povinnostem a zajistit, aby všechny nadnárodní společnosti přispívaly svým spravedlivým dílem, musí zůstat bezpodmínečný;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odmítá výzvy k vytvoření nového statistického vlastního zdroje EU ze zisků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vyzývá Komisi, aby plně zavedla nástroje proti daňovým výhodám narušujícím hospodářskou soutěž, které poškozují evropské společnosti, včetně státních podpor a antisubvenčních opatření;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aby </w:t>
            </w:r>
            <w:r>
              <w:rPr>
                <w:b/>
                <w:i/>
              </w:rPr>
              <w:t>plně zavedla nástroje proti</w:t>
            </w:r>
            <w:r>
              <w:t xml:space="preserve"> daňovým </w:t>
            </w:r>
            <w:r>
              <w:rPr>
                <w:b/>
                <w:i/>
              </w:rPr>
              <w:t>výhodám narušujícím hospodářskou soutěž</w:t>
            </w:r>
            <w:r>
              <w:t xml:space="preserve">, které </w:t>
            </w:r>
            <w:r>
              <w:rPr>
                <w:b/>
                <w:i/>
              </w:rPr>
              <w:t>poškozují evropské společnosti, včetně státních podpor a antisubvenčních opatření</w:t>
            </w:r>
            <w:r>
              <w:t>;</w:t>
            </w:r>
          </w:p>
        </w:tc>
        <w:tc>
          <w:tcPr>
            <w:tcW w:w="4876" w:type="dxa"/>
            <w:tcBorders>
              <w:top w:val="nil"/>
              <w:left w:val="nil"/>
              <w:bottom w:val="nil"/>
              <w:right w:val="nil"/>
            </w:tcBorders>
          </w:tcPr>
          <w:p>
            <w:pPr>
              <w:pStyle w:val="Normal6a"/>
            </w:pPr>
            <w:r>
              <w:t>6.</w:t>
            </w:r>
            <w:r>
              <w:tab/>
            </w:r>
            <w:r>
              <w:t xml:space="preserve">vyzývá Komisi, aby </w:t>
            </w:r>
            <w:r>
              <w:rPr>
                <w:b/>
                <w:i/>
              </w:rPr>
              <w:t>předložila návrh daně z digitálních služeb s cílem obnovit spravedlnost ve zdanění digitální ekonomiky;</w:t>
            </w:r>
            <w:r>
              <w:t xml:space="preserve"> </w:t>
            </w:r>
            <w:r>
              <w:rPr>
                <w:b/>
                <w:i/>
              </w:rPr>
              <w:t>konstatuje, že některé vysoce digitalizované nadnárodní podniky mají i nadále prospěch z obchodních struktur, které usnadňují přesun zisků do jurisdikcí s nízkým zdaněním, což vede k efektivním</w:t>
            </w:r>
            <w:r>
              <w:t xml:space="preserve"> daňovým </w:t>
            </w:r>
            <w:r>
              <w:rPr>
                <w:b/>
                <w:i/>
              </w:rPr>
              <w:t>sazbám</w:t>
            </w:r>
            <w:r>
              <w:t xml:space="preserve">, které </w:t>
            </w:r>
            <w:r>
              <w:rPr>
                <w:b/>
                <w:i/>
              </w:rPr>
              <w:t>jsou výrazně nižší než sazby mnoha jiných hospodářských subjektů;</w:t>
            </w:r>
            <w:r>
              <w:t xml:space="preserve"> </w:t>
            </w:r>
            <w:r>
              <w:rPr>
                <w:b/>
                <w:i/>
              </w:rPr>
              <w:t>zdůrazňuje, že bez komplexního globálního řešení by celounijní daň z digitálních služeb představovala jednoduchý, účinný a flexibilní nástroj k zajištění toho, aby hodnota vytvořená v Unii byla zdaněna spravedlivě a aby nebyla narušována hospodářská soutěž na jednotném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plně zavedla nástroje proti daňovým výhodám narušujícím hospodářskou soutěž, které poškozují evropské společnosti, včetně státních podpor a antisubvenčních opatření;</w:t>
            </w:r>
          </w:p>
        </w:tc>
        <w:tc>
          <w:tcPr>
            <w:tcW w:w="4876" w:type="dxa"/>
            <w:tcBorders>
              <w:top w:val="nil"/>
              <w:left w:val="nil"/>
              <w:bottom w:val="nil"/>
              <w:right w:val="nil"/>
            </w:tcBorders>
          </w:tcPr>
          <w:p>
            <w:pPr>
              <w:pStyle w:val="Normal6a"/>
            </w:pPr>
            <w:r>
              <w:t>6.</w:t>
            </w:r>
            <w:r>
              <w:tab/>
            </w:r>
            <w:r>
              <w:t xml:space="preserve">vyzývá Komisi, aby plně zavedla nástroje proti daňovým výhodám narušujícím hospodářskou soutěž, které poškozují evropské společnosti, včetně státních podpor a antisubvenčních opatření; </w:t>
            </w:r>
            <w:r>
              <w:rPr>
                <w:b/>
                <w:i/>
              </w:rPr>
              <w:t>připomíná, že je třeba se vrátit k přísnému rámci státní podpory, jakmile pominou výjimečné okolnosti, což by posílilo zdravý ekosystém daňové soutěže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aby plně zavedla nástroje proti daňovým výhodám narušujícím hospodářskou soutěž, které </w:t>
            </w:r>
            <w:r>
              <w:rPr>
                <w:b/>
                <w:i/>
              </w:rPr>
              <w:t>poškozují evropské společnosti, včetně státních podpor a antisubvenčních opatření</w:t>
            </w:r>
            <w:r>
              <w:t>;</w:t>
            </w:r>
          </w:p>
        </w:tc>
        <w:tc>
          <w:tcPr>
            <w:tcW w:w="4876" w:type="dxa"/>
            <w:tcBorders>
              <w:top w:val="nil"/>
              <w:left w:val="nil"/>
              <w:bottom w:val="nil"/>
              <w:right w:val="nil"/>
            </w:tcBorders>
          </w:tcPr>
          <w:p>
            <w:pPr>
              <w:pStyle w:val="Normal6a"/>
            </w:pPr>
            <w:r>
              <w:t>6.</w:t>
            </w:r>
            <w:r>
              <w:tab/>
            </w:r>
            <w:r>
              <w:t xml:space="preserve">vyzývá Komisi, aby plně zavedla nástroje proti daňovým výhodám narušujícím hospodářskou soutěž, které </w:t>
            </w:r>
            <w:r>
              <w:rPr>
                <w:b/>
                <w:i/>
              </w:rPr>
              <w:t>mohou vyplynout ze SbS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se znepokojením konstatuje, že významný podíl zisků z těžby ropy, zemního plynu a nerostných surovin se přesouvá do jurisdikcí s nízkým zdaněním, přičemž existují důkazy o tom, že v obdobích vysokých cen komodit dochází k nárůstu přesouvání zisků;</w:t>
            </w:r>
            <w:r>
              <w:t xml:space="preserve"> </w:t>
            </w:r>
            <w:r>
              <w:rPr>
                <w:b/>
                <w:i/>
              </w:rPr>
              <w:t>vyzývá Komisi, aby předložila návrh na daňovou přirážku ke konsolidovaným ziskům společností působících v oblasti fosilních paliv, která zajistí spravedlivé zdanění výnosů z fosilních paliv, přesměrování příjmů na ekologickou transformaci a přechod od činností poškozujících životní prostředí k udržitelnějšímu daňovému rámci v oblasti životního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podstatná část bohatství se soustřeďuje do podnikových aktiv a zisků;</w:t>
            </w:r>
            <w:r>
              <w:t xml:space="preserve"> </w:t>
            </w:r>
            <w:r>
              <w:rPr>
                <w:b/>
                <w:i/>
              </w:rPr>
              <w:t>zdůrazňuje potřebu spravedlivého a účinného zdanění právnických osob s cílem zajistit dostatečné veřejné příjmy, které členským státům umožní řešit důsledky minulých krizí a připravit se na budoucí hospodářské, sociální a geopolitické výzvy;</w:t>
            </w:r>
            <w:r>
              <w:t xml:space="preserve"> </w:t>
            </w:r>
            <w:r>
              <w:rPr>
                <w:b/>
                <w:i/>
              </w:rPr>
              <w:t>konstatuje, že agresivní daňové plánování a nedostatečné zdanění zisků podniků narušují hospodářskou soutěž, podkopávají daňovou spravedlnost a oslabují rovné podmínky na celosvětové i vnitřní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Komisi, aby navrhla legislativní rámec, který zajistí, aby nadnárodní podniky, které jsou daňovými rezidenty ve třetích zemích, byly v rámci Unie zdaňovány stejným způsobem jako ty, které jsou daňovými rezidenty v členském státě, pokud vytvářejí významnou část svých příjmů na jednotném trhu;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úlohu cílených daňových pobídek a výjimek při zvyšování konkurenceschopnosti a podpoře inovací;</w:t>
            </w:r>
            <w:r>
              <w:t xml:space="preserve"> </w:t>
            </w:r>
            <w:r>
              <w:rPr>
                <w:b/>
                <w:i/>
              </w:rPr>
              <w:t>naléhavě vyzývá Komisi a členské státy, aby vyvinuly a využívaly daňové nástroje EU, které jsou v souladu se státní podporou, s cílem přilákat a udržet v EU činnosti s vysokou přidanou hodnotou;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se znepokojením konstatuje, že v důsledku energetické krize spojené s válkou v Íránu prudce vzrostly zisky ropných a plynárenských společností na jedné straně a účty za energii pro domácnosti a evropské podniky na straně druhé, přičemž se očekává, že zisky těchto společností v nadcházejících letech dále porostou;</w:t>
            </w:r>
            <w:r>
              <w:t xml:space="preserve"> </w:t>
            </w:r>
            <w:r>
              <w:rPr>
                <w:b/>
                <w:i/>
              </w:rPr>
              <w:t>konstatuje, že jen v roce 2024 zaznamenalo pět největších ropných společností zisk ve výši přesahující 100 miliard dolarů;</w:t>
            </w:r>
            <w:r>
              <w:t xml:space="preserve"> </w:t>
            </w:r>
            <w:r>
              <w:rPr>
                <w:b/>
                <w:i/>
              </w:rPr>
              <w:t>vyzývá Komisi, aby neprodleně navrhla cílenou daň z neočekávaných zisků z konsolidovaných nadměrných zisků velkých ropných a plynárenských společností, která by činila alespoň 50 % a počítala se z průměrných zisků energetických společností v posledních letech;</w:t>
            </w:r>
            <w:r>
              <w:t xml:space="preserve"> </w:t>
            </w:r>
            <w:r>
              <w:rPr>
                <w:b/>
                <w:i/>
              </w:rPr>
              <w:t>zdůrazňuje, že příjmy z tohoto opatření by měly být použity na poskytování cílené podpory domácnostem a malým a středním podnikům a na snížení závislosti Unie na dovážených fosilních palivech a urychlení udržitelné transformace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vyzývá Komisi, aby zavedla mechanismus „evropské daňové přítomnosti“, v jehož rámci se má za to, že společnosti ze třetích zemí, jejichž obrat v Unii přesahuje určitou prahovou hodnotu, mají daňovou přítomnost v EU, a to bez ohledu na jejich fyzickou provozovnu;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žádá Komisi, aby vyhodnotila možnost zavedení dodatečné vyrovnávací daně pro podniky ze třetích zemí působící na vnitřním trhu, které podléhají výrazně nižší efektivní daňové sazbě, než je sazba uplatňovaná v členských státech.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zdůrazňuje, že přístup k evropským nástrojům financování, výzkumným a inovačním programům a veřejným zakázkám by měl být spojen s existencí smysluplné daňové přítomnosti v Unii a s plným dodržováním daňových pravidel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Zjednodušení </w:t>
            </w:r>
            <w:r>
              <w:rPr>
                <w:b/>
                <w:i/>
              </w:rPr>
              <w:t>a</w:t>
            </w:r>
            <w:r>
              <w:t xml:space="preserve"> vyjasnění právních </w:t>
            </w:r>
            <w:r>
              <w:rPr>
                <w:b/>
                <w:i/>
              </w:rPr>
              <w:t>předpisů</w:t>
            </w:r>
            <w:r>
              <w:t xml:space="preserve"> EU</w:t>
            </w:r>
          </w:p>
        </w:tc>
        <w:tc>
          <w:tcPr>
            <w:tcW w:w="4876" w:type="dxa"/>
            <w:tcBorders>
              <w:top w:val="nil"/>
              <w:left w:val="nil"/>
              <w:bottom w:val="nil"/>
              <w:right w:val="nil"/>
            </w:tcBorders>
          </w:tcPr>
          <w:p>
            <w:pPr>
              <w:pStyle w:val="Normal6a"/>
            </w:pPr>
            <w:r>
              <w:t>Zjednodušení</w:t>
            </w:r>
            <w:r>
              <w:rPr>
                <w:b/>
                <w:i/>
              </w:rPr>
              <w:t>,</w:t>
            </w:r>
            <w:r>
              <w:t xml:space="preserve"> vyjasnění </w:t>
            </w:r>
            <w:r>
              <w:rPr>
                <w:b/>
                <w:i/>
              </w:rPr>
              <w:t>a účinné a demokratické rozhodování v daňových</w:t>
            </w:r>
            <w:r>
              <w:t xml:space="preserve"> právních </w:t>
            </w:r>
            <w:r>
              <w:rPr>
                <w:b/>
                <w:i/>
              </w:rPr>
              <w:t>předpisech</w:t>
            </w:r>
            <w:r>
              <w:t xml:space="preser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Zjednodušení a vyjasnění právních předpisů EU</w:t>
            </w:r>
          </w:p>
        </w:tc>
        <w:tc>
          <w:tcPr>
            <w:tcW w:w="4876" w:type="dxa"/>
            <w:tcBorders>
              <w:top w:val="nil"/>
              <w:left w:val="nil"/>
              <w:bottom w:val="nil"/>
              <w:right w:val="nil"/>
            </w:tcBorders>
          </w:tcPr>
          <w:p>
            <w:pPr>
              <w:pStyle w:val="Normal6a"/>
            </w:pPr>
            <w:r>
              <w:t>Zjednodušení</w:t>
            </w:r>
            <w:r>
              <w:rPr>
                <w:b/>
                <w:i/>
              </w:rPr>
              <w:t>, transparentnost</w:t>
            </w:r>
            <w:r>
              <w:t xml:space="preserve"> a vyjasnění právních předpisů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se znepokojením konstatuje, že </w:t>
            </w:r>
            <w:r>
              <w:rPr>
                <w:b/>
                <w:i/>
              </w:rPr>
              <w:t>SbS</w:t>
            </w:r>
            <w:r>
              <w:t xml:space="preserve"> zvyšuje jak právní a administrativní komplexitu, tak i náklady na dodržování předpisů pro nadnárodní podniky se sídlem v EU, které působí ve Spojených státech;</w:t>
            </w:r>
          </w:p>
        </w:tc>
        <w:tc>
          <w:tcPr>
            <w:tcW w:w="4876" w:type="dxa"/>
            <w:tcBorders>
              <w:top w:val="nil"/>
              <w:left w:val="nil"/>
              <w:bottom w:val="nil"/>
              <w:right w:val="nil"/>
            </w:tcBorders>
          </w:tcPr>
          <w:p>
            <w:pPr>
              <w:pStyle w:val="Normal6a"/>
            </w:pPr>
            <w:r>
              <w:t>7.</w:t>
            </w:r>
            <w:r>
              <w:tab/>
            </w:r>
            <w:r>
              <w:t xml:space="preserve">se znepokojením konstatuje, že </w:t>
            </w:r>
            <w:r>
              <w:rPr>
                <w:b/>
                <w:i/>
              </w:rPr>
              <w:t>koncepce druhého pilíře vnesla do požadavků na podávání zpráv samostatnou, zatěžující účetní vrstvu, neboť pro výpočet globálních minimálních daní je třeba kromě místních daňových kodexů uplatňovat finanční rámce (jako jsou IFRS nebo GAAP USA) v kombinaci se složitými úpravami OECD;</w:t>
            </w:r>
            <w:r>
              <w:t xml:space="preserve"> </w:t>
            </w:r>
            <w:r>
              <w:rPr>
                <w:b/>
                <w:i/>
              </w:rPr>
              <w:t>vyjadřuje politování nad tím, že SbS ještě více</w:t>
            </w:r>
            <w:r>
              <w:t xml:space="preserve"> zvyšuje jak právní a administrativní komplexitu, tak i náklady na dodržování předpisů pro nadnárodní podniky se sídlem v EU, které působí ve Spojených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 znepokojením konstatuje, že SbS zvyšuje jak právní a administrativní komplexitu, tak i náklady na dodržování předpisů pro nadnárodní podniky se sídlem v EU, které působí ve Spojených státech;</w:t>
            </w:r>
          </w:p>
        </w:tc>
        <w:tc>
          <w:tcPr>
            <w:tcW w:w="4876" w:type="dxa"/>
            <w:tcBorders>
              <w:top w:val="nil"/>
              <w:left w:val="nil"/>
              <w:bottom w:val="nil"/>
              <w:right w:val="nil"/>
            </w:tcBorders>
          </w:tcPr>
          <w:p>
            <w:pPr>
              <w:pStyle w:val="Normal6a"/>
            </w:pPr>
            <w:r>
              <w:t>7.</w:t>
            </w:r>
            <w:r>
              <w:tab/>
            </w:r>
            <w:r>
              <w:t xml:space="preserve">se znepokojením konstatuje, že SbS zvyšuje jak právní a administrativní komplexitu, tak i náklady na dodržování předpisů </w:t>
            </w:r>
            <w:r>
              <w:rPr>
                <w:b/>
                <w:i/>
              </w:rPr>
              <w:t>a vytváří nové mezery, a to i</w:t>
            </w:r>
            <w:r>
              <w:t xml:space="preserve"> pro nadnárodní podniky se sídlem v EU, které působí ve Spojených státech</w:t>
            </w:r>
            <w:r>
              <w:rPr>
                <w:b/>
                <w:i/>
              </w:rPr>
              <w:t>, a zároveň chrání společnosti se sídlem v USA před základními prvky rámce druhého pilíře OECD a umožňuje pokračování škodlivého zneužívání daně z příjmů právnických osob</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https://thefactcoalition.orgn/oecd-side-by-side-agreement/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 znepokojením konstatuje, že SbS zvyšuje jak právní a administrativní komplexitu, tak i náklady na dodržování předpisů pro nadnárodní podniky se sídlem v EU, které působí ve Spojených státech;</w:t>
            </w:r>
          </w:p>
        </w:tc>
        <w:tc>
          <w:tcPr>
            <w:tcW w:w="4876" w:type="dxa"/>
            <w:tcBorders>
              <w:top w:val="nil"/>
              <w:left w:val="nil"/>
              <w:bottom w:val="nil"/>
              <w:right w:val="nil"/>
            </w:tcBorders>
          </w:tcPr>
          <w:p>
            <w:pPr>
              <w:pStyle w:val="Normal6a"/>
            </w:pPr>
            <w:r>
              <w:t>7.</w:t>
            </w:r>
            <w:r>
              <w:tab/>
            </w:r>
            <w:r>
              <w:t>se znepokojením konstatuje, že SbS zvyšuje jak právní a administrativní komplexitu, tak i náklady na dodržování předpisů pro nadnárodní podniky se sídlem v EU, které působí ve Spojených státech</w:t>
            </w:r>
            <w:r>
              <w:rPr>
                <w:b/>
                <w:i/>
              </w:rPr>
              <w:t>, čímž oslabuje konkurenceschopnost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zastává názor, že harmonizace postupů v oblasti daně z příjmu právnických osob, včetně výpočtu daňových základů, vymáhání a definic, by přinesla jasné výhody pro podniky, neboť by jim usnadnila provádění investičních činností v jiném členském státě EU a zároveň by pomohla omezit daňové úniky a vyhýbání se daňovým povinnostem;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oceňuje, že</w:t>
            </w:r>
            <w:r>
              <w:t xml:space="preserve"> Komise </w:t>
            </w:r>
            <w:r>
              <w:rPr>
                <w:b/>
                <w:i/>
              </w:rPr>
              <w:t>pracuje</w:t>
            </w:r>
            <w:r>
              <w:t xml:space="preserve"> na souhrnném balíčku (omnibus) v oblasti daní; vyzývá Komisi, aby prioritně usilovala o zjednodušení </w:t>
            </w:r>
            <w:r>
              <w:rPr>
                <w:b/>
                <w:i/>
              </w:rPr>
              <w:t>daní a</w:t>
            </w:r>
            <w:r>
              <w:t xml:space="preserve"> zkoumala, kde se jednotlivá opatření práva EU týkající se podávání zpráv a vyhýbání se daňovým povinnostem překrývají, </w:t>
            </w:r>
            <w:r>
              <w:rPr>
                <w:b/>
                <w:i/>
              </w:rPr>
              <w:t>a aby</w:t>
            </w:r>
            <w:r>
              <w:t xml:space="preserve"> zároveň </w:t>
            </w:r>
            <w:r>
              <w:rPr>
                <w:b/>
                <w:i/>
              </w:rPr>
              <w:t>snižovala</w:t>
            </w:r>
            <w:r>
              <w:t xml:space="preserve"> administrativní </w:t>
            </w:r>
            <w:r>
              <w:rPr>
                <w:b/>
                <w:i/>
              </w:rPr>
              <w:t>zátěž</w:t>
            </w:r>
            <w:r>
              <w:t xml:space="preserve"> podniků se sídlem v EU </w:t>
            </w:r>
            <w:r>
              <w:rPr>
                <w:b/>
                <w:i/>
              </w:rPr>
              <w:t>–</w:t>
            </w:r>
            <w:r>
              <w:t xml:space="preserve"> zejména </w:t>
            </w:r>
            <w:r>
              <w:rPr>
                <w:b/>
                <w:i/>
              </w:rPr>
              <w:t>tím, že bude posuzovat, zda jsou i nadále nezbytná</w:t>
            </w:r>
            <w:r>
              <w:t xml:space="preserve"> ustanovení směrnice proti vyhýbání se daňovým povinnostem </w:t>
            </w:r>
            <w:r>
              <w:rPr>
                <w:b/>
                <w:i/>
              </w:rPr>
              <w:t>vztahující se na ovládané zahraniční společnosti – a přezkoumala a případně zjednodušila směrnici o mateřských a dceřiných společnostech, směrnici o fúzích, směrnici o zveřejňování údajů</w:t>
            </w:r>
            <w:r>
              <w:t xml:space="preserve"> podle jednotlivých zemí </w:t>
            </w:r>
            <w:r>
              <w:rPr>
                <w:b/>
                <w:i/>
              </w:rPr>
              <w:t>a rámec směrnice o správní</w:t>
            </w:r>
            <w:r>
              <w:t xml:space="preserve"> spolupráci;</w:t>
            </w:r>
          </w:p>
        </w:tc>
        <w:tc>
          <w:tcPr>
            <w:tcW w:w="4876" w:type="dxa"/>
            <w:tcBorders>
              <w:top w:val="nil"/>
              <w:left w:val="nil"/>
              <w:bottom w:val="nil"/>
              <w:right w:val="nil"/>
            </w:tcBorders>
          </w:tcPr>
          <w:p>
            <w:pPr>
              <w:pStyle w:val="Normal6a"/>
            </w:pPr>
            <w:r>
              <w:t>8.</w:t>
            </w:r>
            <w:r>
              <w:tab/>
            </w:r>
            <w:r>
              <w:rPr>
                <w:b/>
                <w:i/>
              </w:rPr>
              <w:t>bere na vědomí práci</w:t>
            </w:r>
            <w:r>
              <w:t xml:space="preserve"> Komise na souhrnném balíčku (omnibus) v oblasti daní; vyzývá Komisi, aby prioritně usilovala o </w:t>
            </w:r>
            <w:r>
              <w:rPr>
                <w:b/>
                <w:i/>
              </w:rPr>
              <w:t>administrativní</w:t>
            </w:r>
            <w:r>
              <w:t xml:space="preserve"> zjednodušení </w:t>
            </w:r>
            <w:r>
              <w:rPr>
                <w:b/>
                <w:i/>
              </w:rPr>
              <w:t>–</w:t>
            </w:r>
            <w:r>
              <w:t xml:space="preserve"> zkoumala, kde se jednotlivá opatření práva EU týkající se podávání zpráv a vyhýbání se daňovým povinnostem překrývají, </w:t>
            </w:r>
            <w:r>
              <w:rPr>
                <w:b/>
                <w:i/>
              </w:rPr>
              <w:t>vyhodnotila a zlepšila jejich soudržnost a</w:t>
            </w:r>
            <w:r>
              <w:t xml:space="preserve"> zároveň </w:t>
            </w:r>
            <w:r>
              <w:rPr>
                <w:b/>
                <w:i/>
              </w:rPr>
              <w:t>zjednodušila podávání zpráv a postupy pro snižování nadbytečné</w:t>
            </w:r>
            <w:r>
              <w:t xml:space="preserve"> administrativní </w:t>
            </w:r>
            <w:r>
              <w:rPr>
                <w:b/>
                <w:i/>
              </w:rPr>
              <w:t>zátěže</w:t>
            </w:r>
            <w:r>
              <w:t xml:space="preserve"> podniků se sídlem v EU</w:t>
            </w:r>
            <w:r>
              <w:rPr>
                <w:b/>
                <w:i/>
              </w:rPr>
              <w:t>;</w:t>
            </w:r>
            <w:r>
              <w:t xml:space="preserve"> </w:t>
            </w:r>
            <w:r>
              <w:rPr>
                <w:b/>
                <w:i/>
              </w:rPr>
              <w:t>dále vyzývá Komisi, aby odolala deregulačnímu tlaku ze strany velkých nadnárodních podniků, které lobbují za oslabení daňových pravidel EU, a aby zajistila, že tento postup nepovede ke snížení daňové transparentnosti nebo oslabení daňových pravidel proti vyhýbání se daňovým povinnostem;</w:t>
            </w:r>
            <w:r>
              <w:t xml:space="preserve"> </w:t>
            </w:r>
            <w:r>
              <w:rPr>
                <w:b/>
                <w:i/>
              </w:rPr>
              <w:t>staví se</w:t>
            </w:r>
            <w:r>
              <w:t xml:space="preserve"> zejména </w:t>
            </w:r>
            <w:r>
              <w:rPr>
                <w:b/>
                <w:i/>
              </w:rPr>
              <w:t>proti jakémukoli zrušení</w:t>
            </w:r>
            <w:r>
              <w:t xml:space="preserve"> ustanovení směrnice proti vyhýbání se daňovým povinnostem </w:t>
            </w:r>
            <w:r>
              <w:rPr>
                <w:b/>
                <w:i/>
              </w:rPr>
              <w:t>týkajících se ovládaných zahraničních společností a proti jakékoli předčasné revizi směrnice o podávání zpráv podle jednotlivých zemí, neboť její praktické účinky zatím nelze řádně posoudit vzhledem k jejímu nedávnému provádění;</w:t>
            </w:r>
            <w:r>
              <w:t xml:space="preserve"> </w:t>
            </w:r>
            <w:r>
              <w:rPr>
                <w:b/>
                <w:i/>
              </w:rPr>
              <w:t>vyzývá místo toho Komisi, aby před zvážením jakýchkoli legislativních změn poskytla dostatek času na provedení a aby vypracovala fakticky podložené posouzení prvních dvou let provádění a předložila návrhy na posílení rámce, mimo jiné přechodem na plně veřejné rozčleněné podávání zpráv</w:t>
            </w:r>
            <w:r>
              <w:t xml:space="preserve"> podle jednotlivých zemí </w:t>
            </w:r>
            <w:r>
              <w:rPr>
                <w:b/>
                <w:i/>
              </w:rPr>
              <w:t>ve všech jurisdikcích;</w:t>
            </w:r>
            <w:r>
              <w:t xml:space="preserve"> </w:t>
            </w:r>
            <w:r>
              <w:rPr>
                <w:b/>
                <w:i/>
              </w:rPr>
              <w:t>dále zdůrazňuje, že je důležité posílit</w:t>
            </w:r>
            <w:r>
              <w:t xml:space="preserve"> spolupráci </w:t>
            </w:r>
            <w:r>
              <w:rPr>
                <w:b/>
                <w:i/>
              </w:rPr>
              <w:t>mezi členskými státy a vnitrostátními daňovými správami s cílem podpořit jednotnější výklad a uplatňování právních předpisů v oblasti přímých i nepřímých daní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směrnice o správní spolupráci;</w:t>
            </w:r>
          </w:p>
        </w:tc>
        <w:tc>
          <w:tcPr>
            <w:tcW w:w="4876" w:type="dxa"/>
            <w:tcBorders>
              <w:top w:val="nil"/>
              <w:left w:val="nil"/>
              <w:bottom w:val="nil"/>
              <w:right w:val="nil"/>
            </w:tcBorders>
          </w:tcPr>
          <w:p>
            <w:pPr>
              <w:pStyle w:val="Normal6a"/>
            </w:pPr>
            <w:r>
              <w:t>8.</w:t>
            </w:r>
            <w:r>
              <w:tab/>
            </w:r>
            <w:r>
              <w:t>oceňuje, že Komise pracuje na souhrnném balíčku (omnibus) v oblasti daní</w:t>
            </w:r>
            <w:r>
              <w:rPr>
                <w:b/>
                <w:i/>
              </w:rPr>
              <w:t>;</w:t>
            </w:r>
            <w:r>
              <w:t xml:space="preserve"> </w:t>
            </w:r>
            <w:r>
              <w:rPr>
                <w:b/>
                <w:i/>
              </w:rPr>
              <w:t>vyzývá Komisi, aby usilovala o ambiciózní a komplexní program zjednodušení daně z příjmů právnických osob zaměřený na posílení globální konkurenceschopnosti Unie, snížení nákladů na dodržování předpisů a zvýšení právní jistoty pro podniky působící na vnitřním trhu</w:t>
            </w:r>
            <w:r>
              <w:t xml:space="preserve">;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směrnice o správní spolupráci; </w:t>
            </w:r>
            <w:r>
              <w:rPr>
                <w:b/>
                <w:i/>
              </w:rPr>
              <w:t>zdůrazňuje, že úsilí o zjednodušení by mělo být přínosem zejména pro malé a střední podniky, inovativní společnosti a přeshraniční podniky, a že by mělo mít podobu snížení nadměrné administrativní zátěže, duplicitních povinností podávání zpráv a právní roztříštěnosti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oceňuje, že</w:t>
            </w:r>
            <w:r>
              <w:t xml:space="preserve"> Komise </w:t>
            </w:r>
            <w:r>
              <w:rPr>
                <w:b/>
                <w:i/>
              </w:rPr>
              <w:t>pracuje</w:t>
            </w:r>
            <w:r>
              <w:t xml:space="preserv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w:t>
            </w:r>
            <w:r>
              <w:rPr>
                <w:b/>
                <w:i/>
              </w:rPr>
              <w:t>bude posuzovat, zda jsou i nadále nezbytná</w:t>
            </w:r>
            <w:r>
              <w:t xml:space="preserve"> ustanovení směrnice proti vyhýbání se daňovým povinnostem </w:t>
            </w:r>
            <w:r>
              <w:rPr>
                <w:b/>
                <w:i/>
              </w:rPr>
              <w:t>vztahující se na ovládané zahraniční společnosti</w:t>
            </w:r>
            <w:r>
              <w:t xml:space="preserve"> – a přezkoumala a případně zjednodušila směrnici o mateřských a dceřiných společnostech, směrnici o fúzích, směrnici o zveřejňování údajů podle jednotlivých zemí a rámec směrnice o správní spolupráci;</w:t>
            </w:r>
          </w:p>
        </w:tc>
        <w:tc>
          <w:tcPr>
            <w:tcW w:w="4876" w:type="dxa"/>
            <w:tcBorders>
              <w:top w:val="nil"/>
              <w:left w:val="nil"/>
              <w:bottom w:val="nil"/>
              <w:right w:val="nil"/>
            </w:tcBorders>
          </w:tcPr>
          <w:p>
            <w:pPr>
              <w:pStyle w:val="Normal6a"/>
            </w:pPr>
            <w:r>
              <w:t>8.</w:t>
            </w:r>
            <w:r>
              <w:tab/>
            </w:r>
            <w:r>
              <w:rPr>
                <w:b/>
                <w:i/>
              </w:rPr>
              <w:t>Bere na vědomí práci</w:t>
            </w:r>
            <w:r>
              <w:t xml:space="preserve"> Komise na souhrnném balíčku (omnibus) v oblasti daní</w:t>
            </w:r>
            <w:r>
              <w:rPr>
                <w:b/>
                <w:i/>
              </w:rPr>
              <w:t>;</w:t>
            </w:r>
            <w:r>
              <w:t xml:space="preserve"> </w:t>
            </w:r>
            <w:r>
              <w:rPr>
                <w:b/>
                <w:i/>
              </w:rPr>
              <w:t>upozorňuje zejména na potřebu využít proces přezkumu k řešení stávajících překrývajících se pravidel a k zefektivnění a zjednodušení uplatňování společných pravidel a konceptů;</w:t>
            </w:r>
            <w:r>
              <w:t xml:space="preserve"> </w:t>
            </w:r>
            <w:r>
              <w:rPr>
                <w:b/>
                <w:i/>
              </w:rPr>
              <w:t>poukazuje zejména na to, že pro zjednodušení dodržování předpisů je zásadní standardizace pojmů a konceptů, neboť různé vnitrostátní výklady mohou vést k roztříštěnosti a složitosti</w:t>
            </w:r>
            <w:r>
              <w:t xml:space="preserve">;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w:t>
            </w:r>
            <w:r>
              <w:rPr>
                <w:b/>
                <w:i/>
              </w:rPr>
              <w:t>zefektivní</w:t>
            </w:r>
            <w:r>
              <w:t xml:space="preserve"> ustanovení směrnice proti vyhýbání se daňovým povinnostem </w:t>
            </w:r>
            <w:r>
              <w:rPr>
                <w:b/>
                <w:i/>
              </w:rPr>
              <w:t>a rámec druhého pilíře</w:t>
            </w:r>
            <w:r>
              <w:t xml:space="preserve"> – a přezkoumala a případně zjednodušila směrnici o mateřských a dceřiných společnostech, směrnici o fúzích, směrnici o zveřejňování údajů podle jednotlivých zemí a rámec směrnice o správní spolupráci; </w:t>
            </w:r>
            <w:r>
              <w:rPr>
                <w:b/>
                <w:i/>
              </w:rPr>
              <w:t>zdůrazňuje, že úsilí o zjednodušení právních předpisů EU nesmí vést k deregulaci a oslabení stávajících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oceňuje, že</w:t>
            </w:r>
            <w:r>
              <w:t xml:space="preserve"> Komise </w:t>
            </w:r>
            <w:r>
              <w:rPr>
                <w:b/>
                <w:i/>
              </w:rPr>
              <w:t>pracuje</w:t>
            </w:r>
            <w:r>
              <w:t xml:space="preserve"> na souhrnném balíčku (omnibus) v oblasti </w:t>
            </w:r>
            <w:r>
              <w:rPr>
                <w:b/>
                <w:i/>
              </w:rPr>
              <w:t>daní</w:t>
            </w:r>
            <w:r>
              <w:t xml:space="preserve">; vyzývá Komisi, aby prioritně usilovala o </w:t>
            </w:r>
            <w:r>
              <w:rPr>
                <w:b/>
                <w:i/>
              </w:rPr>
              <w:t>zjednodušení daní a zkoumala, kde se jednotlivá opatření práva EU týkající se podávání zpráv a</w:t>
            </w:r>
            <w:r>
              <w:t xml:space="preserve"> vyhýbání se daňovým povinnostem </w:t>
            </w:r>
            <w:r>
              <w:rPr>
                <w:b/>
                <w:i/>
              </w:rPr>
              <w:t>překrývají, a aby zároveň snižovala administrativní zátěž podniků se sídlem v EU – zejména tím, že bude posuzovat, zda jsou i nadále nezbytná</w:t>
            </w:r>
            <w:r>
              <w:t xml:space="preserve"> ustanovení směrnice proti vyhýbání se daňovým povinnostem </w:t>
            </w:r>
            <w:r>
              <w:rPr>
                <w:b/>
                <w:i/>
              </w:rPr>
              <w:t>vztahující se na ovládané zahraniční společnosti – a přezkoumala a případně zjednodušila směrnici</w:t>
            </w:r>
            <w:r>
              <w:t xml:space="preserve"> o mateřských a dceřiných společnostech, </w:t>
            </w:r>
            <w:r>
              <w:rPr>
                <w:b/>
                <w:i/>
              </w:rPr>
              <w:t>směrnici</w:t>
            </w:r>
            <w:r>
              <w:t xml:space="preserve"> o fúzích</w:t>
            </w:r>
            <w:r>
              <w:rPr>
                <w:b/>
                <w:i/>
              </w:rPr>
              <w:t>, směrnici o zveřejňování údajů podle jednotlivých zemí a rámec</w:t>
            </w:r>
            <w:r>
              <w:t xml:space="preserve"> směrnice o správní spolupráci;</w:t>
            </w:r>
          </w:p>
        </w:tc>
        <w:tc>
          <w:tcPr>
            <w:tcW w:w="4876" w:type="dxa"/>
            <w:tcBorders>
              <w:top w:val="nil"/>
              <w:left w:val="nil"/>
              <w:bottom w:val="nil"/>
              <w:right w:val="nil"/>
            </w:tcBorders>
          </w:tcPr>
          <w:p>
            <w:pPr>
              <w:pStyle w:val="Normal6a"/>
            </w:pPr>
            <w:r>
              <w:t>8.</w:t>
            </w:r>
            <w:r>
              <w:tab/>
            </w:r>
            <w:r>
              <w:rPr>
                <w:b/>
                <w:i/>
              </w:rPr>
              <w:t>bere na vědomí práci</w:t>
            </w:r>
            <w:r>
              <w:t xml:space="preserve"> Komise na souhrnném balíčku (omnibus) v oblasti </w:t>
            </w:r>
            <w:r>
              <w:rPr>
                <w:b/>
                <w:i/>
              </w:rPr>
              <w:t>zdanění</w:t>
            </w:r>
            <w:r>
              <w:t xml:space="preserve">; vyzývá Komisi, aby prioritně usilovala o </w:t>
            </w:r>
            <w:r>
              <w:rPr>
                <w:b/>
                <w:i/>
              </w:rPr>
              <w:t>odhalení přetrvávajících daňových mezer a zefektivnění překrývajících se pravidel;</w:t>
            </w:r>
            <w:r>
              <w:t xml:space="preserve"> </w:t>
            </w:r>
            <w:r>
              <w:rPr>
                <w:b/>
                <w:i/>
              </w:rPr>
              <w:t>zdůrazňuje účinnost směrnice proti</w:t>
            </w:r>
            <w:r>
              <w:t xml:space="preserve"> vyhýbání se daňovým povinnostem </w:t>
            </w:r>
            <w:r>
              <w:rPr>
                <w:b/>
                <w:i/>
              </w:rPr>
              <w:t>(ATAD) při provádění akčního plánu OECD v oblasti eroze základu daně a přesouvání zisku (BEPS);</w:t>
            </w:r>
            <w:r>
              <w:t xml:space="preserve"> </w:t>
            </w:r>
            <w:r>
              <w:rPr>
                <w:b/>
                <w:i/>
              </w:rPr>
              <w:t>uznává, že</w:t>
            </w:r>
            <w:r>
              <w:t xml:space="preserve"> ustanovení </w:t>
            </w:r>
            <w:r>
              <w:rPr>
                <w:b/>
                <w:i/>
              </w:rPr>
              <w:t>o ovládaných zahraničních společnostech by mohla být zjednodušena zachováním možnosti podle čl. 7 odst. 2 písm. a) pro nerozdělené příjmy;</w:t>
            </w:r>
            <w:r>
              <w:t xml:space="preserve"> </w:t>
            </w:r>
            <w:r>
              <w:rPr>
                <w:b/>
                <w:i/>
              </w:rPr>
              <w:t>připomíná, že druhý pilíř se na rozdíl od</w:t>
            </w:r>
            <w:r>
              <w:t xml:space="preserve"> směrnice proti vyhýbání se daňovým povinnostem </w:t>
            </w:r>
            <w:r>
              <w:rPr>
                <w:b/>
                <w:i/>
              </w:rPr>
              <w:t>vztahuje pouze na skupiny, které mají roční příjmy ve výši 750 000 000 EUR nebo více;</w:t>
            </w:r>
            <w:r>
              <w:t xml:space="preserve"> </w:t>
            </w:r>
            <w:r>
              <w:rPr>
                <w:b/>
                <w:i/>
              </w:rPr>
              <w:t>uznává potenciál pro zjednodušení prostřednictvím přezkumu směrnice</w:t>
            </w:r>
            <w:r>
              <w:t xml:space="preserve"> o mateřských a dceřiných společnostech, </w:t>
            </w:r>
            <w:r>
              <w:rPr>
                <w:b/>
                <w:i/>
              </w:rPr>
              <w:t>směrnice</w:t>
            </w:r>
            <w:r>
              <w:t xml:space="preserve"> o fúzích </w:t>
            </w:r>
            <w:r>
              <w:rPr>
                <w:b/>
                <w:i/>
              </w:rPr>
              <w:t>a rámce</w:t>
            </w:r>
            <w:r>
              <w:t xml:space="preserve"> směrnice o správní spolupráci; </w:t>
            </w:r>
            <w:r>
              <w:rPr>
                <w:b/>
                <w:i/>
              </w:rPr>
              <w:t>zdůrazňuje, že úsilí o zjednodušení právních předpisů EU nesmí vést k deregulaci a ke snížení stávajících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Jussi Saramo, 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w:t>
            </w:r>
            <w:r>
              <w:rPr>
                <w:b/>
                <w:i/>
              </w:rPr>
              <w:t>–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w:t>
            </w:r>
            <w:r>
              <w:t xml:space="preserve"> zveřejňování </w:t>
            </w:r>
            <w:r>
              <w:rPr>
                <w:b/>
                <w:i/>
              </w:rPr>
              <w:t>údajů podle jednotlivých zemí a rámec směrnice o správní spolupráci</w:t>
            </w:r>
            <w:r>
              <w:t>;</w:t>
            </w:r>
          </w:p>
        </w:tc>
        <w:tc>
          <w:tcPr>
            <w:tcW w:w="4876" w:type="dxa"/>
            <w:tcBorders>
              <w:top w:val="nil"/>
              <w:left w:val="nil"/>
              <w:bottom w:val="nil"/>
              <w:right w:val="nil"/>
            </w:tcBorders>
          </w:tcPr>
          <w:p>
            <w:pPr>
              <w:pStyle w:val="Normal6a"/>
            </w:pPr>
            <w:r>
              <w:t>8.</w:t>
            </w:r>
            <w:r>
              <w:tab/>
            </w:r>
            <w:r>
              <w:t>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w:t>
            </w:r>
            <w:r>
              <w:rPr>
                <w:b/>
                <w:i/>
              </w:rPr>
              <w:t>;</w:t>
            </w:r>
            <w:r>
              <w:t xml:space="preserve"> </w:t>
            </w:r>
            <w:r>
              <w:rPr>
                <w:b/>
                <w:i/>
              </w:rPr>
              <w:t>zdůrazňuje však, že žádné zjednodušení nesmí být na úkor mechanismů transparentnosti a rámce pro</w:t>
            </w:r>
            <w:r>
              <w:t xml:space="preserve"> zveřejňování </w:t>
            </w:r>
            <w:r>
              <w:rPr>
                <w:b/>
                <w:i/>
              </w:rPr>
              <w:t>informací, které jsou nezbytné pro účinné vymáhání daní, ochranu veřejných příjmů a právní stát;</w:t>
            </w:r>
            <w:r>
              <w:t xml:space="preserve"> </w:t>
            </w:r>
            <w:r>
              <w:rPr>
                <w:b/>
                <w:i/>
              </w:rPr>
              <w:t>vyzývá Komisi, aby zajistila, že jakékoli snížení povinností týkajících se transparentnosti bude doplněno důkladným posouzením dopadů, které prokáže, že v důsledku toho nedojde ke snížení kapacity v oblasti prosazování práva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w:t>
            </w:r>
            <w:r>
              <w:rPr>
                <w:b/>
                <w:i/>
              </w:rPr>
              <w:t>–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směrnice o správní spolupráci</w:t>
            </w:r>
            <w:r>
              <w:t>;</w:t>
            </w:r>
          </w:p>
        </w:tc>
        <w:tc>
          <w:tcPr>
            <w:tcW w:w="4876" w:type="dxa"/>
            <w:tcBorders>
              <w:top w:val="nil"/>
              <w:left w:val="nil"/>
              <w:bottom w:val="nil"/>
              <w:right w:val="nil"/>
            </w:tcBorders>
          </w:tcPr>
          <w:p>
            <w:pPr>
              <w:pStyle w:val="Normal6a"/>
            </w:pPr>
            <w:r>
              <w:t>8.</w:t>
            </w:r>
            <w:r>
              <w:tab/>
            </w:r>
            <w:r>
              <w:t>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w:t>
            </w:r>
            <w:r>
              <w:rPr>
                <w:b/>
                <w:i/>
              </w:rPr>
              <w:t>, a to na základě přísného testu proporcionality a zásady, že by neměla být zaváděna žádná nová povinnost podávat daňové zprávy, aniž by byla zrušena nebo zjednodušena rovnocenná stávající povinnost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w:t>
            </w:r>
            <w:r>
              <w:rPr>
                <w:b/>
                <w:i/>
              </w:rPr>
              <w:t>směrnice o</w:t>
            </w:r>
            <w:r>
              <w:t xml:space="preserve"> správní spolupráci;</w:t>
            </w:r>
          </w:p>
        </w:tc>
        <w:tc>
          <w:tcPr>
            <w:tcW w:w="4876" w:type="dxa"/>
            <w:tcBorders>
              <w:top w:val="nil"/>
              <w:left w:val="nil"/>
              <w:bottom w:val="nil"/>
              <w:right w:val="nil"/>
            </w:tcBorders>
          </w:tcPr>
          <w:p>
            <w:pPr>
              <w:pStyle w:val="Normal6a"/>
            </w:pPr>
            <w:r>
              <w:t>8.</w:t>
            </w:r>
            <w:r>
              <w:tab/>
            </w:r>
            <w:r>
              <w:t>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w:t>
            </w:r>
            <w:r>
              <w:rPr>
                <w:b/>
                <w:i/>
              </w:rPr>
              <w:t>pro</w:t>
            </w:r>
            <w:r>
              <w:t xml:space="preserve"> správní spolupráci </w:t>
            </w:r>
            <w:r>
              <w:rPr>
                <w:b/>
                <w:i/>
              </w:rPr>
              <w:t>(DAC)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oceňuje, že</w:t>
            </w:r>
            <w:r>
              <w:t xml:space="preserve"> Komise </w:t>
            </w:r>
            <w:r>
              <w:rPr>
                <w:b/>
                <w:i/>
              </w:rPr>
              <w:t>pracuje</w:t>
            </w:r>
            <w:r>
              <w:t xml:space="preserv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směrnice o správní spolupráci;</w:t>
            </w:r>
          </w:p>
        </w:tc>
        <w:tc>
          <w:tcPr>
            <w:tcW w:w="4876" w:type="dxa"/>
            <w:tcBorders>
              <w:top w:val="nil"/>
              <w:left w:val="nil"/>
              <w:bottom w:val="nil"/>
              <w:right w:val="nil"/>
            </w:tcBorders>
          </w:tcPr>
          <w:p>
            <w:pPr>
              <w:pStyle w:val="Normal6a"/>
            </w:pPr>
            <w:r>
              <w:t>8.</w:t>
            </w:r>
            <w:r>
              <w:tab/>
            </w:r>
            <w:r>
              <w:rPr>
                <w:b/>
                <w:i/>
              </w:rPr>
              <w:t>vítá práci</w:t>
            </w:r>
            <w:r>
              <w:t xml:space="preserve"> Komise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 a přezkoumala a případně zjednodušila směrnici o mateřských a dceřiných společnostech, směrnici o fúzích, směrnici o zveřejňování údajů podle jednotlivých zemí a rámec směrnice o správní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 </w:t>
            </w:r>
            <w:r>
              <w:rPr>
                <w:b/>
                <w:i/>
              </w:rPr>
              <w:t>– a přezkoumala a případně zjednodušila směrnici o mateřských a dceřiných společnostech, směrnici o fúzích, směrnici o zveřejňování údajů podle jednotlivých zemí a rámec směrnice o správní spolupráci</w:t>
            </w:r>
            <w:r>
              <w:t>;</w:t>
            </w:r>
          </w:p>
        </w:tc>
        <w:tc>
          <w:tcPr>
            <w:tcW w:w="4876" w:type="dxa"/>
            <w:tcBorders>
              <w:top w:val="nil"/>
              <w:left w:val="nil"/>
              <w:bottom w:val="nil"/>
              <w:right w:val="nil"/>
            </w:tcBorders>
          </w:tcPr>
          <w:p>
            <w:pPr>
              <w:pStyle w:val="Normal6a"/>
            </w:pPr>
            <w:r>
              <w:t>8.</w:t>
            </w:r>
            <w:r>
              <w:tab/>
            </w:r>
            <w:r>
              <w:t>oceňuje, že Komise pracuje na souhrnném balíčku (omnibus) v oblasti daní; vyzývá Komisi, aby prioritně usilovala o zjednodušení daní a zkoumala, kde se jednotlivá opatření práva EU týkající se podávání zpráv a vyhýbání se daňovým povinnostem překrývají, a aby zároveň snižovala administrativní zátěž podniků se sídlem v EU – zejména tím, že bude posuzovat, zda jsou i nadále nezbytná ustanovení směrnice proti vyhýbání se daňovým povinnostem vztahující se na ovládané zahraniční společnosti</w:t>
            </w:r>
            <w:r>
              <w:rPr>
                <w:b/>
                <w:i/>
              </w:rPr>
              <w:t>, a zajistí, aby menší členské státy a střední podniky nebyly neúměrně zatěžovány překrývajícími se rámci pro dodržování předpisů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připomíná, že směrnice o druhém pilíři zaručuje minimální efektivní daňovou sazbu ve všech členských státech EU a obsahuje zvláštní ustanovení proti zneužívání, která se vztahují na mechanismy financování uvnitř skupiny;</w:t>
            </w:r>
            <w:r>
              <w:t xml:space="preserve"> </w:t>
            </w:r>
            <w:r>
              <w:rPr>
                <w:b/>
                <w:i/>
              </w:rPr>
              <w:t>konstatuje, že směrnice proti vyhýbání se daňovým povinnostem sdílí širší cíl druhého pilíře, kterým je zabránit erozi základu daně a přesouvání zisku, zejména prostřednictvím pravidla pro omezení odpočitatelnosti úroků, které omezuje výši úroků v rámci skupiny, jež může společnost odečíst;</w:t>
            </w:r>
            <w:r>
              <w:t xml:space="preserve"> </w:t>
            </w:r>
            <w:r>
              <w:rPr>
                <w:b/>
                <w:i/>
              </w:rPr>
              <w:t>domnívá se, že jakmile skupina podléhá globální minimální dani, tento rámec již absorbuje velkou část rizika, které odůvodňovalo pravidlo pro omezení odpočitatelnosti úroků, takže uplatňování obou režimů na stejnou skupinu vede ke zdvojování bez přidané hodnoty;</w:t>
            </w:r>
            <w:r>
              <w:t xml:space="preserve"> </w:t>
            </w:r>
            <w:r>
              <w:rPr>
                <w:b/>
                <w:i/>
              </w:rPr>
              <w:t>vyzývá Komisi, aby na tomto základě posoudila, zda by skupiny spadající do oblasti působnosti směrnice o druhém pilíři měly být osvobozeny od pravidel pro omezení odpočitatelnosti úroků stanovených ve směrnici proti vyhýbání se daňovým povinnostem, nebo zda by se na ně tato pravidla měla vztahovat v upravené podobě;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 obzvláště důležité zajistit, aby zatěžující regulace a podávání zpráv o daních určené velkým společnostem nebyly přímo ani nepřímo rozšířeny na malé a střední podniky;</w:t>
            </w:r>
            <w:r>
              <w:t xml:space="preserve"> </w:t>
            </w:r>
            <w:r>
              <w:rPr>
                <w:b/>
                <w:i/>
              </w:rPr>
              <w:t>pokud jde o stávající nařízení týkající se velkých společností (např. nařízení o minimálním zdanění), je odůvodněné zachovat omezení, která z nařízení vylučují malé a střední podniky;</w:t>
            </w:r>
            <w:r>
              <w:t xml:space="preserve"> </w:t>
            </w:r>
            <w:r>
              <w:rPr>
                <w:b/>
                <w:i/>
              </w:rPr>
              <w:t>malé a střední podniky nemají stejné zdroje (např. celé vlastní daňové útvary nebo velmi rozsáhlé poradenské zdroje), aby zvládly pracovní zátěž vyplývající ze složité daňové regulace a náročného daňového výkaznictví jako velké skupiny, a proto složitá a náročná regulace v zásadě zatěžuje malé a střední podniky relativně mnohem více;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připomíná, že empirické důkazy ukazují, že slabší pravidla pro vyhýbání se daňovým povinnostem a přesouvání zisku mají dopad na zaměstnanost a jsou spojena se ztrátou pracovních míst;</w:t>
            </w:r>
            <w:r>
              <w:t xml:space="preserve"> </w:t>
            </w:r>
            <w:r>
              <w:rPr>
                <w:b/>
                <w:i/>
              </w:rPr>
              <w:t>vyzývá Komisi, aby v souvislosti se souhrnným daňovým balíčkem provedla důkladné posouzení jeho dopadů na trhy práce, mzdy a pracovní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Komisi, aby přezkoumala svůj návrh rámce BEFIT, který je </w:t>
            </w:r>
            <w:r>
              <w:rPr>
                <w:b/>
                <w:i/>
              </w:rPr>
              <w:t>principálně</w:t>
            </w:r>
            <w:r>
              <w:t xml:space="preserve"> neslučitelný s pravidly druhého pilíře OECD;</w:t>
            </w:r>
          </w:p>
        </w:tc>
        <w:tc>
          <w:tcPr>
            <w:tcW w:w="4876" w:type="dxa"/>
            <w:tcBorders>
              <w:top w:val="nil"/>
              <w:left w:val="nil"/>
              <w:bottom w:val="nil"/>
              <w:right w:val="nil"/>
            </w:tcBorders>
          </w:tcPr>
          <w:p>
            <w:pPr>
              <w:pStyle w:val="Normal6a"/>
            </w:pPr>
            <w:r>
              <w:t>9.</w:t>
            </w:r>
            <w:r>
              <w:tab/>
            </w:r>
            <w:r>
              <w:t xml:space="preserve">vyzývá Komisi, aby přezkoumala svůj návrh rámce BEFIT, který je </w:t>
            </w:r>
            <w:r>
              <w:rPr>
                <w:b/>
                <w:i/>
              </w:rPr>
              <w:t>principiálně</w:t>
            </w:r>
            <w:r>
              <w:t xml:space="preserve"> neslučitelný s pravidly druhého pilíře OECD</w:t>
            </w:r>
            <w:r>
              <w:rPr>
                <w:b/>
                <w:i/>
              </w:rPr>
              <w:t>, zejména nesoulad mezi stanovením základu daně a základem daně GloBE v rámci druhého pilíře</w:t>
            </w:r>
            <w:r>
              <w:t xml:space="preserve">; </w:t>
            </w:r>
            <w:r>
              <w:rPr>
                <w:b/>
                <w:i/>
              </w:rPr>
              <w:t>vyjadřuje politování nad tím, že návrh rámce BEFIT nestanovil skutečnou konsolidaci na úrovni Unie, ale spíše agregaci a následné přidělení daňových výsledků;</w:t>
            </w:r>
            <w:r>
              <w:t xml:space="preserve"> </w:t>
            </w:r>
            <w:r>
              <w:rPr>
                <w:b/>
                <w:i/>
              </w:rPr>
              <w:t>dále vyjadřuje politování nad tím, že se snažil zavést první pilíř na úrovni EU prostřednictvím rozdělení na základě faktorů, přestože neexistuje dohoda OECD o prvním pilíři;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Komisi, aby přezkoumala svůj návrh rámce BEFIT, </w:t>
            </w:r>
            <w:r>
              <w:rPr>
                <w:b/>
                <w:i/>
              </w:rPr>
              <w:t>který je principálně neslučitelný s pravidly druhého pilíře OECD</w:t>
            </w:r>
            <w:r>
              <w:t>;</w:t>
            </w:r>
          </w:p>
        </w:tc>
        <w:tc>
          <w:tcPr>
            <w:tcW w:w="4876" w:type="dxa"/>
            <w:tcBorders>
              <w:top w:val="nil"/>
              <w:left w:val="nil"/>
              <w:bottom w:val="nil"/>
              <w:right w:val="nil"/>
            </w:tcBorders>
          </w:tcPr>
          <w:p>
            <w:pPr>
              <w:pStyle w:val="Normal6a"/>
            </w:pPr>
            <w:r>
              <w:t>9.</w:t>
            </w:r>
            <w:r>
              <w:tab/>
            </w:r>
            <w:r>
              <w:t xml:space="preserve">vyzývá Komisi, aby přezkoumala svůj návrh rámce BEFIT, </w:t>
            </w:r>
            <w:r>
              <w:rPr>
                <w:b/>
                <w:i/>
              </w:rPr>
              <w:t>zejména pokud jde o přetrvávající rizika přesouvání zisku a eroze základu daně;</w:t>
            </w:r>
            <w:r>
              <w:t xml:space="preserve"> </w:t>
            </w:r>
            <w:r>
              <w:rPr>
                <w:b/>
                <w:i/>
              </w:rPr>
              <w:t>zdůrazňuje, že je třeba zajistit plný soulad s mezinárodně dohodnutými minimálními daňovými standardy a zabránit vzniku nových mezer, které by mohly usnadnit agresivní daňové plánování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vyzývá Komisi, aby přezkoumala svůj návrh rámce BEFIT</w:t>
            </w:r>
            <w:r>
              <w:rPr>
                <w:b/>
                <w:i/>
              </w:rPr>
              <w:t>, který je principálně</w:t>
            </w:r>
            <w:r>
              <w:t xml:space="preserve"> neslučitelný s pravidly druhého pilíře OECD;</w:t>
            </w:r>
          </w:p>
        </w:tc>
        <w:tc>
          <w:tcPr>
            <w:tcW w:w="4876" w:type="dxa"/>
            <w:tcBorders>
              <w:top w:val="nil"/>
              <w:left w:val="nil"/>
              <w:bottom w:val="nil"/>
              <w:right w:val="nil"/>
            </w:tcBorders>
          </w:tcPr>
          <w:p>
            <w:pPr>
              <w:pStyle w:val="Normal6a"/>
            </w:pPr>
            <w:r>
              <w:t>9.</w:t>
            </w:r>
            <w:r>
              <w:tab/>
            </w:r>
            <w:r>
              <w:t xml:space="preserve">vyzývá Komisi, aby přezkoumala </w:t>
            </w:r>
            <w:r>
              <w:rPr>
                <w:b/>
                <w:i/>
              </w:rPr>
              <w:t>a upravila</w:t>
            </w:r>
            <w:r>
              <w:t xml:space="preserve"> svůj návrh rámce BEFIT </w:t>
            </w:r>
            <w:r>
              <w:rPr>
                <w:b/>
                <w:i/>
              </w:rPr>
              <w:t>se zřetelem na to, že je principiálně</w:t>
            </w:r>
            <w:r>
              <w:t xml:space="preserve"> neslučitelný s pravidly druhého pilíře OECD</w:t>
            </w:r>
            <w:r>
              <w:rPr>
                <w:b/>
                <w:i/>
              </w:rPr>
              <w:t> a že je nutné zabránit vytváření překrývajícího se paralelního daňového rámce, který zvyšuje administrativní zátěž a zátěž spojenou s dodržováním předpisů pro evropské podniky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Komisi, aby </w:t>
            </w:r>
            <w:r>
              <w:rPr>
                <w:b/>
                <w:i/>
              </w:rPr>
              <w:t>přezkoumala</w:t>
            </w:r>
            <w:r>
              <w:t xml:space="preserve"> svůj návrh rámce BEFIT, který je </w:t>
            </w:r>
            <w:r>
              <w:rPr>
                <w:b/>
                <w:i/>
              </w:rPr>
              <w:t>principálně</w:t>
            </w:r>
            <w:r>
              <w:t xml:space="preserve"> neslučitelný s pravidly druhého pilíře OECD;</w:t>
            </w:r>
          </w:p>
        </w:tc>
        <w:tc>
          <w:tcPr>
            <w:tcW w:w="4876" w:type="dxa"/>
            <w:tcBorders>
              <w:top w:val="nil"/>
              <w:left w:val="nil"/>
              <w:bottom w:val="nil"/>
              <w:right w:val="nil"/>
            </w:tcBorders>
          </w:tcPr>
          <w:p>
            <w:pPr>
              <w:pStyle w:val="Normal6a"/>
            </w:pPr>
            <w:r>
              <w:t>9.</w:t>
            </w:r>
            <w:r>
              <w:tab/>
            </w:r>
            <w:r>
              <w:rPr>
                <w:b/>
                <w:i/>
              </w:rPr>
              <w:t>důrazně</w:t>
            </w:r>
            <w:r>
              <w:t xml:space="preserve"> vyzývá Komisi, aby </w:t>
            </w:r>
            <w:r>
              <w:rPr>
                <w:b/>
                <w:i/>
              </w:rPr>
              <w:t>stáhla nebo v zásadních věcech pozastavila</w:t>
            </w:r>
            <w:r>
              <w:t xml:space="preserve"> svůj návrh rámce BEFIT, který je </w:t>
            </w:r>
            <w:r>
              <w:rPr>
                <w:b/>
                <w:i/>
              </w:rPr>
              <w:t>principiálně</w:t>
            </w:r>
            <w:r>
              <w:t xml:space="preserve"> neslučitelný s pravidly druhého pilíře OECD</w:t>
            </w:r>
            <w:r>
              <w:rPr>
                <w:b/>
                <w:i/>
              </w:rPr>
              <w:t>, může narušit vnitrostátní základy daně z příjmů právnických osob prostřednictvím svévolných konsolidačních vzorců a vytváří zbytečnou administrativní zátěž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Komisi, aby přezkoumala svůj návrh rámce BEFIT, který je </w:t>
            </w:r>
            <w:r>
              <w:rPr>
                <w:b/>
                <w:i/>
              </w:rPr>
              <w:t>principálně</w:t>
            </w:r>
            <w:r>
              <w:t xml:space="preserve"> neslučitelný s pravidly druhého pilíře OECD;</w:t>
            </w:r>
          </w:p>
        </w:tc>
        <w:tc>
          <w:tcPr>
            <w:tcW w:w="4876" w:type="dxa"/>
            <w:tcBorders>
              <w:top w:val="nil"/>
              <w:left w:val="nil"/>
              <w:bottom w:val="nil"/>
              <w:right w:val="nil"/>
            </w:tcBorders>
          </w:tcPr>
          <w:p>
            <w:pPr>
              <w:pStyle w:val="Normal6a"/>
            </w:pPr>
            <w:r>
              <w:t>9.</w:t>
            </w:r>
            <w:r>
              <w:tab/>
            </w:r>
            <w:r>
              <w:t xml:space="preserve">vyzývá Komisi, aby přezkoumala svůj návrh rámce BEFIT, který je </w:t>
            </w:r>
            <w:r>
              <w:rPr>
                <w:b/>
                <w:i/>
              </w:rPr>
              <w:t>principiálně</w:t>
            </w:r>
            <w:r>
              <w:t xml:space="preserve"> neslučitelný s pravidly druhého pilíře OECD</w:t>
            </w:r>
            <w:r>
              <w:rPr>
                <w:b/>
                <w:i/>
              </w:rPr>
              <w:t>, a případně předložila užší návrh omezený na opatření ke zjednodušení administrativy, jež jsou plně slučitelná s mezinárodním rámcem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Komisi, aby přezkoumala svůj návrh rámce BEFIT, který je </w:t>
            </w:r>
            <w:r>
              <w:rPr>
                <w:b/>
                <w:i/>
              </w:rPr>
              <w:t>principálně</w:t>
            </w:r>
            <w:r>
              <w:t xml:space="preserve"> neslučitelný s pravidly druhého pilíře OECD;</w:t>
            </w:r>
          </w:p>
        </w:tc>
        <w:tc>
          <w:tcPr>
            <w:tcW w:w="4876" w:type="dxa"/>
            <w:tcBorders>
              <w:top w:val="nil"/>
              <w:left w:val="nil"/>
              <w:bottom w:val="nil"/>
              <w:right w:val="nil"/>
            </w:tcBorders>
          </w:tcPr>
          <w:p>
            <w:pPr>
              <w:pStyle w:val="Normal6a"/>
            </w:pPr>
            <w:r>
              <w:t>9.</w:t>
            </w:r>
            <w:r>
              <w:tab/>
            </w:r>
            <w:r>
              <w:t xml:space="preserve">vyzývá Komisi, aby přezkoumala svůj návrh rámce BEFIT, který je </w:t>
            </w:r>
            <w:r>
              <w:rPr>
                <w:b/>
                <w:i/>
              </w:rPr>
              <w:t>principiálně</w:t>
            </w:r>
            <w:r>
              <w:t xml:space="preserve"> neslučitelný s pravidly druhého pilíře OECD; </w:t>
            </w:r>
            <w:r>
              <w:rPr>
                <w:b/>
                <w:i/>
              </w:rPr>
              <w:t>bere na vědomí nedostatečný pokrok v Radě, pokud jde o tento legislativní návrh, a skutečnost, že jednání zůstávají zablokována;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vyzývá Komisi, aby přezkoumala svůj návrh rámce BEFIT</w:t>
            </w:r>
            <w:r>
              <w:rPr>
                <w:b/>
                <w:i/>
              </w:rPr>
              <w:t>, který je principálně neslučitelný s pravidly</w:t>
            </w:r>
            <w:r>
              <w:t xml:space="preserve"> druhého pilíře </w:t>
            </w:r>
            <w:r>
              <w:rPr>
                <w:b/>
                <w:i/>
              </w:rPr>
              <w:t>OECD</w:t>
            </w:r>
            <w:r>
              <w:t>;</w:t>
            </w:r>
          </w:p>
        </w:tc>
        <w:tc>
          <w:tcPr>
            <w:tcW w:w="4876" w:type="dxa"/>
            <w:tcBorders>
              <w:top w:val="nil"/>
              <w:left w:val="nil"/>
              <w:bottom w:val="nil"/>
              <w:right w:val="nil"/>
            </w:tcBorders>
          </w:tcPr>
          <w:p>
            <w:pPr>
              <w:pStyle w:val="Normal6a"/>
            </w:pPr>
            <w:r>
              <w:t>9.</w:t>
            </w:r>
            <w:r>
              <w:tab/>
            </w:r>
            <w:r>
              <w:t xml:space="preserve">vyzývá Komisi, aby přezkoumala svůj návrh rámce BEFIT </w:t>
            </w:r>
            <w:r>
              <w:rPr>
                <w:b/>
                <w:i/>
              </w:rPr>
              <w:t>s cílem posoudit a řešit veškeré nesrovnalosti, pokud jde o povinnosti nadnárodních podniků v oblasti působnosti rámce</w:t>
            </w:r>
            <w:r>
              <w:t xml:space="preserve"> druhého pilíře;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Komisi, aby přezkoumala svůj návrh rámce </w:t>
            </w:r>
            <w:r>
              <w:rPr>
                <w:b/>
                <w:i/>
              </w:rPr>
              <w:t>BEFIT, který je principálně</w:t>
            </w:r>
            <w:r>
              <w:t xml:space="preserve"> neslučitelný s pravidly druhého pilíře OECD;</w:t>
            </w:r>
          </w:p>
        </w:tc>
        <w:tc>
          <w:tcPr>
            <w:tcW w:w="4876" w:type="dxa"/>
            <w:tcBorders>
              <w:top w:val="nil"/>
              <w:left w:val="nil"/>
              <w:bottom w:val="nil"/>
              <w:right w:val="nil"/>
            </w:tcBorders>
          </w:tcPr>
          <w:p>
            <w:pPr>
              <w:pStyle w:val="Normal6a"/>
            </w:pPr>
            <w:r>
              <w:t>9.</w:t>
            </w:r>
            <w:r>
              <w:tab/>
            </w:r>
            <w:r>
              <w:t xml:space="preserve">vyzývá Komisi, aby přezkoumala </w:t>
            </w:r>
            <w:r>
              <w:rPr>
                <w:b/>
                <w:i/>
              </w:rPr>
              <w:t>a stáhla</w:t>
            </w:r>
            <w:r>
              <w:t xml:space="preserve"> svůj návrh rámce </w:t>
            </w:r>
            <w:r>
              <w:rPr>
                <w:b/>
                <w:i/>
              </w:rPr>
              <w:t>BEFITkterý je principiálně</w:t>
            </w:r>
            <w:r>
              <w:t xml:space="preserve"> neslučitelný s pravidly druhého pilíře OECD;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znepokojen tím, že systém SbS byl prohlášen za bezpečný přístav postupem podle článku 32 směrnice druhého pilíře, a nikoli prostřednictvím řádného legislativního procesu;</w:t>
            </w:r>
          </w:p>
        </w:tc>
        <w:tc>
          <w:tcPr>
            <w:tcW w:w="4876" w:type="dxa"/>
            <w:tcBorders>
              <w:top w:val="nil"/>
              <w:left w:val="nil"/>
              <w:bottom w:val="nil"/>
              <w:right w:val="nil"/>
            </w:tcBorders>
          </w:tcPr>
          <w:p>
            <w:pPr>
              <w:pStyle w:val="Normal6a"/>
            </w:pPr>
            <w:r>
              <w:t>10.</w:t>
            </w:r>
            <w:r>
              <w:tab/>
            </w:r>
            <w:r>
              <w:t xml:space="preserve">je znepokojen tím, že systém SbS byl prohlášen za bezpečný přístav postupem podle článku 32 směrnice druhého pilíře, a nikoli prostřednictvím řádného legislativního procesu; </w:t>
            </w:r>
            <w:r>
              <w:rPr>
                <w:b/>
                <w:i/>
              </w:rPr>
              <w:t>trvá na tom, že jakákoli podstatná změna povinností členských států nebo společností podle směrnice o druhém pilíři by měla být uskutečněna prostřednictvím vhodného legislativního postupu při plném respektování požadavku jednomyslnosti v daňových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znepokojen tím, že systém SbS byl prohlášen za bezpečný přístav postupem podle článku 32 směrnice druhého pilíře, a nikoli prostřednictvím řádného legislativního procesu;</w:t>
            </w:r>
          </w:p>
        </w:tc>
        <w:tc>
          <w:tcPr>
            <w:tcW w:w="4876" w:type="dxa"/>
            <w:tcBorders>
              <w:top w:val="nil"/>
              <w:left w:val="nil"/>
              <w:bottom w:val="nil"/>
              <w:right w:val="nil"/>
            </w:tcBorders>
          </w:tcPr>
          <w:p>
            <w:pPr>
              <w:pStyle w:val="Normal6a"/>
            </w:pPr>
            <w:r>
              <w:t>10.</w:t>
            </w:r>
            <w:r>
              <w:tab/>
            </w:r>
            <w:r>
              <w:t xml:space="preserve">je znepokojen tím, že systém SbS byl prohlášen za bezpečný přístav postupem podle článku 32 směrnice druhého pilíře, a nikoli prostřednictvím řádného legislativního procesu; </w:t>
            </w:r>
            <w:r>
              <w:rPr>
                <w:b/>
                <w:i/>
              </w:rPr>
              <w:t>vyjadřuje politování nad tím, že politický tlak ze strany Spojených států vedl k ujednání, které může ohrozit rovné podmínky na celosvětové úrovni a účinnost celosvětového minimálního daňového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konstatuje, že datum nabytí účinnosti směrnice o druhém pilíři se v jednotlivých členských státech liší; vyzývá členské státy, aby zajistily řádné provedení směrnice</w:t>
            </w:r>
            <w:r>
              <w:rPr>
                <w:b/>
                <w:i/>
              </w:rPr>
              <w:t>, a zmírnily tak rizika plynoucí z toho, že se vzájemně spoléhají na daňová rozhodnutí vydaná vnitrostátními daňovými správami</w:t>
            </w:r>
            <w:r>
              <w:t>;</w:t>
            </w:r>
          </w:p>
        </w:tc>
        <w:tc>
          <w:tcPr>
            <w:tcW w:w="4876" w:type="dxa"/>
            <w:tcBorders>
              <w:top w:val="nil"/>
              <w:left w:val="nil"/>
              <w:bottom w:val="nil"/>
              <w:right w:val="nil"/>
            </w:tcBorders>
          </w:tcPr>
          <w:p>
            <w:pPr>
              <w:pStyle w:val="Normal6a"/>
            </w:pPr>
            <w:r>
              <w:t>11.</w:t>
            </w:r>
            <w:r>
              <w:tab/>
            </w:r>
            <w:r>
              <w:t>konstatuje, že datum nabytí účinnosti směrnice o druhém pilíři se v jednotlivých členských státech liší; vyzývá členské státy, aby zajistily řádné provedení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vyzývá Komisi, aby zkoumala, jak by bylo možné zjednodušit platná pravidla v zájmu zmírnění zátěže, kterou provádění druhého pilíře způsobuje daňovým správám menších členských států;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Komisi, aby zkoumala, jak by bylo možné zjednodušit platná pravidla v zájmu zmírnění zátěže, kterou provádění druhého pilíře způsobuje daňovým správám menších členských států;</w:t>
            </w:r>
          </w:p>
        </w:tc>
        <w:tc>
          <w:tcPr>
            <w:tcW w:w="4876" w:type="dxa"/>
            <w:tcBorders>
              <w:top w:val="nil"/>
              <w:left w:val="nil"/>
              <w:bottom w:val="nil"/>
              <w:right w:val="nil"/>
            </w:tcBorders>
          </w:tcPr>
          <w:p>
            <w:pPr>
              <w:pStyle w:val="Normal6a"/>
            </w:pPr>
            <w:r>
              <w:t>12.</w:t>
            </w:r>
            <w:r>
              <w:tab/>
            </w:r>
            <w:r>
              <w:rPr>
                <w:b/>
                <w:i/>
              </w:rPr>
              <w:t>zdůrazňuje, že administrativní zátěž, kterou druhý pilíř klade na podniky i daňové správy, může převážit nad jejími příjmovými přínosy pro menší členské státy;</w:t>
            </w:r>
            <w:r>
              <w:t xml:space="preserve"> vyzývá Komisi, aby zkoumala, jak by bylo možné zjednodušit platná pravidla v zájmu zmírnění zátěže, kterou provádění druhého pilíře způsobuje daňovým správám menších členských států</w:t>
            </w:r>
            <w:r>
              <w:rPr>
                <w:b/>
                <w:i/>
              </w:rPr>
              <w:t>, např. zavedením zjednodušeného způsobu dodržování předpisů pro společnosti pod stanovenou prahovou hodnotou příjmů a zefektivněním překrývajících se požadavků na podávání zpráv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Komisi, aby zkoumala, jak by bylo možné zjednodušit platná pravidla v zájmu zmírnění zátěže, kterou provádění druhého pilíře způsobuje daňovým správám menších členských států;</w:t>
            </w:r>
          </w:p>
        </w:tc>
        <w:tc>
          <w:tcPr>
            <w:tcW w:w="4876" w:type="dxa"/>
            <w:tcBorders>
              <w:top w:val="nil"/>
              <w:left w:val="nil"/>
              <w:bottom w:val="nil"/>
              <w:right w:val="nil"/>
            </w:tcBorders>
          </w:tcPr>
          <w:p>
            <w:pPr>
              <w:pStyle w:val="Normal6a"/>
            </w:pPr>
            <w:r>
              <w:t>12.</w:t>
            </w:r>
            <w:r>
              <w:tab/>
            </w:r>
            <w:r>
              <w:t xml:space="preserve">vyzývá Komisi, aby zkoumala, jak by bylo možné zjednodušit platná pravidla v zájmu zmírnění zátěže, kterou provádění druhého pilíře způsobuje daňovým správám menších členských států; </w:t>
            </w:r>
            <w:r>
              <w:rPr>
                <w:b/>
                <w:i/>
              </w:rPr>
              <w:t>zdůrazňuje, že provádění druhého pilíře nesmí penalizovat legitimní vnitrostátní daňové pobídky pro inovace a výzkum a vývoj, jako jsou prémie za výzkum;</w:t>
            </w:r>
            <w:r>
              <w:t xml:space="preserve"> </w:t>
            </w:r>
            <w:r>
              <w:rPr>
                <w:b/>
                <w:i/>
              </w:rPr>
              <w:t>vyzývá Komisi, aby v rámci OECD prosazovala trvalé a jednoduché „bezpečné přístavy“ s cílem chránit konkurenceschopné obchodní lokality;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Komisi, aby zkoumala, jak by bylo možné zjednodušit platná pravidla v zájmu zmírnění zátěže, kterou provádění druhého pilíře způsobuje daňovým správám menších členských států;</w:t>
            </w:r>
          </w:p>
        </w:tc>
        <w:tc>
          <w:tcPr>
            <w:tcW w:w="4876" w:type="dxa"/>
            <w:tcBorders>
              <w:top w:val="nil"/>
              <w:left w:val="nil"/>
              <w:bottom w:val="nil"/>
              <w:right w:val="nil"/>
            </w:tcBorders>
          </w:tcPr>
          <w:p>
            <w:pPr>
              <w:pStyle w:val="Normal6a"/>
            </w:pPr>
            <w:r>
              <w:t>12.</w:t>
            </w:r>
            <w:r>
              <w:tab/>
            </w:r>
            <w:r>
              <w:t xml:space="preserve">vyzývá Komisi, aby zkoumala, jak by bylo možné zjednodušit platná pravidla v zájmu zmírnění zátěže, kterou provádění druhého pilíře způsobuje daňovým správám menších členských států; </w:t>
            </w:r>
            <w:r>
              <w:rPr>
                <w:b/>
                <w:i/>
              </w:rPr>
              <w:t>vyzývá členské státy a Komisi, aby zahájily jednání v rámci OECD s cílem prozkoumat další možnosti zjednodušení;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Komisi, aby </w:t>
            </w:r>
            <w:r>
              <w:rPr>
                <w:b/>
                <w:i/>
              </w:rPr>
              <w:t>zkoumala, jak by bylo možné zjednodušit platná pravidla v zájmu zmírnění zátěže, kterou provádění druhého pilíře způsobuje daňovým správám</w:t>
            </w:r>
            <w:r>
              <w:t xml:space="preserve"> menších členských států;</w:t>
            </w:r>
          </w:p>
        </w:tc>
        <w:tc>
          <w:tcPr>
            <w:tcW w:w="4876" w:type="dxa"/>
            <w:tcBorders>
              <w:top w:val="nil"/>
              <w:left w:val="nil"/>
              <w:bottom w:val="nil"/>
              <w:right w:val="nil"/>
            </w:tcBorders>
          </w:tcPr>
          <w:p>
            <w:pPr>
              <w:pStyle w:val="Normal6a"/>
            </w:pPr>
            <w:r>
              <w:t>12.</w:t>
            </w:r>
            <w:r>
              <w:tab/>
            </w:r>
            <w:r>
              <w:t>vyzývá Komisi, aby </w:t>
            </w:r>
            <w:r>
              <w:rPr>
                <w:b/>
                <w:i/>
              </w:rPr>
              <w:t>prozkoumala a urychleně zavedla podstatná zjednodušující opatření, jako jsou „bezpečné přístavy“ a zjednodušené postupy podávání, s cílem zmírnit velmi vysokou zátěž pro daňové správy</w:t>
            </w:r>
            <w:r>
              <w:t xml:space="preserve"> menších členských států </w:t>
            </w:r>
            <w:r>
              <w:rPr>
                <w:b/>
                <w:i/>
              </w:rPr>
              <w:t>v oblasti provádění a monitorování druhého pilíře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Komisi, aby zkoumala, jak by bylo možné zjednodušit platná pravidla v zájmu zmírnění zátěže, kterou provádění druhého pilíře způsobuje daňovým správám </w:t>
            </w:r>
            <w:r>
              <w:rPr>
                <w:b/>
                <w:i/>
              </w:rPr>
              <w:t>menších členských států</w:t>
            </w:r>
            <w:r>
              <w:t>;</w:t>
            </w:r>
          </w:p>
        </w:tc>
        <w:tc>
          <w:tcPr>
            <w:tcW w:w="4876" w:type="dxa"/>
            <w:tcBorders>
              <w:top w:val="nil"/>
              <w:left w:val="nil"/>
              <w:bottom w:val="nil"/>
              <w:right w:val="nil"/>
            </w:tcBorders>
          </w:tcPr>
          <w:p>
            <w:pPr>
              <w:pStyle w:val="Normal6a"/>
            </w:pPr>
            <w:r>
              <w:t>12.</w:t>
            </w:r>
            <w:r>
              <w:tab/>
            </w:r>
            <w:r>
              <w:t>vyzývá Komisi, aby zkoumala, jak by bylo možné zjednodušit platná pravidla v zájmu zmírnění zátěže, kterou provádění druhého pilíře způsobuje daňovým správám;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vyjadřuje politování nad tím, že jednomyslnost v daňových záležitostech blokuje smysluplný pokrok směrem k harmonizovanému a spravedlivějšímu rámci daně z příjmů právnických osob, včetně harmonizace základu daně z příjmů právnických osob, minimálního zdanění a zdanění digitálních společností;</w:t>
            </w:r>
            <w:r>
              <w:t xml:space="preserve"> </w:t>
            </w:r>
            <w:r>
              <w:rPr>
                <w:b/>
                <w:i/>
              </w:rPr>
              <w:t>zdůrazňuje, že tato situace umožnila škodlivou daňovou soutěž a narušení vnitřního trhu v Unii a zvýhodnila velké nadnárodní podniky na úkor veřejných rozpočtů a malých a středních podniků;</w:t>
            </w:r>
            <w:r>
              <w:t xml:space="preserve"> </w:t>
            </w:r>
            <w:r>
              <w:rPr>
                <w:b/>
                <w:i/>
              </w:rPr>
              <w:t>vyzývá Radu a Evropskou radu, aby upustily od jednomyslnosti v daňových záležitostech a využily překlenovacích ustanovení stanovených ve Smlouvách, včetně opatření proti daňovým podvodům, daňovým únikům a vyhýbání se daňovým povinnostem, správní spolupráce, daňové transparentnosti a veškerých dalších opatření nezbytných pro řádné fungování vnitřního trhu;</w:t>
            </w:r>
            <w:r>
              <w:t xml:space="preserve"> </w:t>
            </w:r>
            <w:r>
              <w:rPr>
                <w:b/>
                <w:i/>
              </w:rPr>
              <w:t>konstatuje, že tato možnost nebyla v oblasti daní nikdy využita;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že společný rámec pro zdanění právnických osob prostřednictvím harmonizace nejen výrazně sníží náklady na dodržování předpisů a administrativní zátěž, ale také vytvoří rovné podmínky pro podniky působící na celém vnitřním trhu, podpoří jejich růst, zvýší právní jistotu a podnítí investice a růst v Unii;</w:t>
            </w:r>
            <w:r>
              <w:t xml:space="preserve"> </w:t>
            </w:r>
            <w:r>
              <w:rPr>
                <w:b/>
                <w:i/>
              </w:rPr>
              <w:t>vyzývá v této souvislosti Komisi, aby i nadále aktivně podporovala opatření jako BEFIT pro harmonizaci základu daně z příjmů právnických osob a konsolidaci, případně prostřednictvím postupného přístupu;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naléhavě vyzývá Komisi, aby z pravidel směrnice proti vyhýbání se daňovým povinnostem pro omezení odpočitatelnosti úroků vyloučila úvěry na výstavbu, přeměnu a renovaci budov pro účely sociálního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odmítá návrh na vytvoření společného zdroje pro Evropu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vyzývá Komisi, aby předložila aktualizovaný plán účinnějšího a demokratičtějšího rozhodování v daňové politice EU s cílem přejít k hlasování kvalifikovanou většinou a řádnému legislativnímu postupu ve vymezených oblastech daňové politiky a aby systematicky posuzovala používání článku 116 SFEU v případech, kdy rozdílná vnitrostátní daňová pravidla narušují hospodářskou soutěž na vnitřním trhu a nelze dosáhnout dohody;</w:t>
            </w:r>
            <w:r>
              <w:t xml:space="preserve"> </w:t>
            </w:r>
            <w:r>
              <w:rPr>
                <w:b/>
                <w:i/>
              </w:rPr>
              <w:t>dále vyzývá ochotné členské státy, aby využívaly posílenou spolupráci v případech, kdy jednomyslnost brání pokroku v dlouhodobých daňových iniciativách;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připomíná, že opatření v oblasti daňové transparentnosti, včetně veřejného podávání zpráv podle jednotlivých zemí, přispívají ke spravedlivé hospodářské soutěži, posilují odpovědnost podniků a poskytují větší jistotu investorům;</w:t>
            </w:r>
            <w:r>
              <w:t xml:space="preserve"> </w:t>
            </w:r>
            <w:r>
              <w:rPr>
                <w:b/>
                <w:i/>
              </w:rPr>
              <w:t>zdůrazňuje, že větší transparentnost pomáhá vytvářet rovné podmínky na jednotném trhu, které zvyšují atraktivitu EU jako destinace pro zdravé a udržitelné investice;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připomíná význam zásady „pouze jednou“, podle níž by daňové orgány, které již obdrží informace podle jedné směrnice, neměly znovu žádat stejný subjekt v jiné formě, pokud tato dodatečná žádost nemá jasný účel týkající se prosazování pravidel;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zdůrazňuje, že daňová roztříštěnost je jedním z důvodů, proč podniky v EU čelí vyšším nákladům při růstu a rozšiřování přes hranice, získávání kapitálu nebo strukturování investic v rámci jednotného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Aktuální stav boje proti </w:t>
            </w:r>
            <w:r>
              <w:rPr>
                <w:b/>
                <w:i/>
              </w:rPr>
              <w:t>škodlivým</w:t>
            </w:r>
            <w:r>
              <w:t xml:space="preserve"> daňovým </w:t>
            </w:r>
            <w:r>
              <w:rPr>
                <w:b/>
                <w:i/>
              </w:rPr>
              <w:t>praktikám</w:t>
            </w:r>
          </w:p>
        </w:tc>
        <w:tc>
          <w:tcPr>
            <w:tcW w:w="4876" w:type="dxa"/>
            <w:tcBorders>
              <w:top w:val="nil"/>
              <w:left w:val="nil"/>
              <w:bottom w:val="nil"/>
              <w:right w:val="nil"/>
            </w:tcBorders>
          </w:tcPr>
          <w:p>
            <w:pPr>
              <w:pStyle w:val="Normal6a"/>
            </w:pPr>
            <w:r>
              <w:t xml:space="preserve">Aktuální stav boje proti </w:t>
            </w:r>
            <w:r>
              <w:rPr>
                <w:b/>
                <w:i/>
              </w:rPr>
              <w:t>daňovým únikům, vyhýbání se</w:t>
            </w:r>
            <w:r>
              <w:t xml:space="preserve"> daňovým </w:t>
            </w:r>
            <w:r>
              <w:rPr>
                <w:b/>
                <w:i/>
              </w:rPr>
              <w:t>povinnostem a agresivnímu daňovému plánování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Aktuální stav </w:t>
            </w:r>
            <w:r>
              <w:rPr>
                <w:b/>
                <w:i/>
              </w:rPr>
              <w:t>boje proti škodlivým daňovým praktikám</w:t>
            </w:r>
          </w:p>
        </w:tc>
        <w:tc>
          <w:tcPr>
            <w:tcW w:w="4876" w:type="dxa"/>
            <w:tcBorders>
              <w:top w:val="nil"/>
              <w:left w:val="nil"/>
              <w:bottom w:val="nil"/>
              <w:right w:val="nil"/>
            </w:tcBorders>
          </w:tcPr>
          <w:p>
            <w:pPr>
              <w:pStyle w:val="Normal6a"/>
            </w:pPr>
            <w:r>
              <w:t xml:space="preserve">Aktuální stav </w:t>
            </w:r>
            <w:r>
              <w:rPr>
                <w:b/>
                <w:i/>
              </w:rPr>
              <w:t>globální správní spolupráce v daňových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oceňuje, jak druhý pilíř přispívá ke snižování počtu jurisdikcí, které uplatňují velmi nízké efektivní sazby daně z příjmů právnických osob, a k zavádění kvalifikovaných vnitrostátních minimálních dorovnávacích daní v mnoha jurisdikcích, což představuje významný krok k zamezení praktik vyhýbání se daňovým povinnostem, k nimž se uchylují nadnárodní společnosti;</w:t>
            </w:r>
          </w:p>
        </w:tc>
        <w:tc>
          <w:tcPr>
            <w:tcW w:w="4876" w:type="dxa"/>
            <w:tcBorders>
              <w:top w:val="nil"/>
              <w:left w:val="nil"/>
              <w:bottom w:val="nil"/>
              <w:right w:val="nil"/>
            </w:tcBorders>
          </w:tcPr>
          <w:p>
            <w:pPr>
              <w:pStyle w:val="Normal6a"/>
            </w:pPr>
            <w:r>
              <w:t>13.</w:t>
            </w:r>
            <w:r>
              <w:tab/>
            </w:r>
            <w:r>
              <w:t xml:space="preserve">oceňuje, jak druhý pilíř přispívá ke snižování počtu jurisdikcí, které uplatňují velmi nízké efektivní sazby daně z příjmů právnických osob, a k zavádění kvalifikovaných vnitrostátních minimálních dorovnávacích daní v mnoha jurisdikcích, což představuje významný krok k zamezení praktik vyhýbání se daňovým povinnostem, k nimž se uchylují nadnárodní společnosti; </w:t>
            </w:r>
            <w:r>
              <w:rPr>
                <w:b/>
                <w:i/>
              </w:rPr>
              <w:t>zdůrazňuje však, že spravedlivá a zdravá daňová soutěž mezi členskými státy EU zůstává důležitým prvkem vnitřního trhu a přispívá ke globální konkurenceschopnosti Unie tím, že vytváří příznivé podnikatelské prostředí;</w:t>
            </w:r>
            <w:r>
              <w:t xml:space="preserve"> </w:t>
            </w:r>
            <w:r>
              <w:rPr>
                <w:b/>
                <w:i/>
              </w:rPr>
              <w:t>zdůrazňuje, že zachování dostatečné flexibility pro členské státy v oblasti přímého zdanění pomáhá zachovat atraktivitu Unie jako místa pro podnikatelskou činnost a inovace, čímž podporuje udržení podniků, investic, vysoce kvalifikovaných pracovních míst a strategických odvětví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oceňuje, jak druhý pilíř přispívá ke snižování počtu jurisdikcí, které uplatňují velmi nízké efektivní sazby daně z příjmů právnických osob, a k zavádění kvalifikovaných vnitrostátních minimálních dorovnávacích daní v mnoha jurisdikcích, což představuje významný krok k zamezení praktik vyhýbání se daňovým povinnostem, k nimž se uchylují nadnárodní společnosti;</w:t>
            </w:r>
          </w:p>
        </w:tc>
        <w:tc>
          <w:tcPr>
            <w:tcW w:w="4876" w:type="dxa"/>
            <w:tcBorders>
              <w:top w:val="nil"/>
              <w:left w:val="nil"/>
              <w:bottom w:val="nil"/>
              <w:right w:val="nil"/>
            </w:tcBorders>
          </w:tcPr>
          <w:p>
            <w:pPr>
              <w:pStyle w:val="Normal6a"/>
            </w:pPr>
            <w:r>
              <w:t>13.</w:t>
            </w:r>
            <w:r>
              <w:tab/>
            </w:r>
            <w:r>
              <w:t xml:space="preserve">oceňuje, jak druhý pilíř přispívá ke snižování počtu jurisdikcí, které uplatňují velmi nízké efektivní sazby daně z příjmů právnických osob, a k zavádění kvalifikovaných vnitrostátních minimálních dorovnávacích daní v mnoha jurisdikcích, což představuje významný krok k zamezení praktik vyhýbání se daňovým povinnostem, k nimž se uchylují nadnárodní společnosti; </w:t>
            </w:r>
            <w:r>
              <w:rPr>
                <w:b/>
                <w:i/>
              </w:rPr>
              <w:t>vyjadřuje politování nad tím, že přes regulační úsilí v posledním desetiletí zůstává přesouvání zisku do jurisdikcí s nízkým zdaněním mezi velkými nadnárodními podniky rozšířenou praxí a vykazuje jen málo známek poklesu;</w:t>
            </w:r>
            <w:r>
              <w:t xml:space="preserve"> </w:t>
            </w:r>
            <w:r>
              <w:rPr>
                <w:b/>
                <w:i/>
              </w:rPr>
              <w:t>připomíná, že v současném mezinárodním kontextu je nezbytné sledovat nové formy škodlivé daňové soutěže, včetně těch, které vyplývají z výjimek zakotvených v rámci druhého pilíře a ze zacházení s daňovými dobropisy</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https://taxjustice.net/reports/the-state-of-tax-justice-2025/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oceňuje, jak druhý pilíř přispívá ke snižování počtu jurisdikcí, které uplatňují velmi nízké efektivní sazby daně z příjmů právnických osob, a k zavádění kvalifikovaných vnitrostátních minimálních dorovnávacích daní v mnoha jurisdikcích, což představuje významný krok k </w:t>
            </w:r>
            <w:r>
              <w:rPr>
                <w:b/>
                <w:i/>
              </w:rPr>
              <w:t>zamezení praktik vyhýbání se daňovým povinnostem, k nimž se uchylují nadnárodní společnosti</w:t>
            </w:r>
            <w:r>
              <w:t>;</w:t>
            </w:r>
          </w:p>
        </w:tc>
        <w:tc>
          <w:tcPr>
            <w:tcW w:w="4876" w:type="dxa"/>
            <w:tcBorders>
              <w:top w:val="nil"/>
              <w:left w:val="nil"/>
              <w:bottom w:val="nil"/>
              <w:right w:val="nil"/>
            </w:tcBorders>
          </w:tcPr>
          <w:p>
            <w:pPr>
              <w:pStyle w:val="Normal6a"/>
            </w:pPr>
            <w:r>
              <w:t>13.</w:t>
            </w:r>
            <w:r>
              <w:tab/>
            </w:r>
            <w:r>
              <w:t xml:space="preserve">oceňuje, jak druhý pilíř přispívá ke snižování počtu jurisdikcí, které uplatňují velmi nízké efektivní sazby daně z příjmů právnických osob, a k zavádění kvalifikovaných vnitrostátních minimálních dorovnávacích daní v mnoha jurisdikcích, což představuje významný krok k </w:t>
            </w:r>
            <w:r>
              <w:rPr>
                <w:b/>
                <w:i/>
              </w:rPr>
              <w:t>vytvoření globální jistoty pro plátce daně z příjmů právnických osob a k účinnější správní spolupráci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konstatuje, že podle odhadů způsobují strategie oslabování daňové základny a přesouvání zisku ze strany nadnárodních společnosti i nadále značné ztráty na příjmech; vyzývá Komisi a členské státy, aby v zájmu odstranění tohoto problému a ochrany svých domácích daňových příjmů zintenzivnily mezinárodní spolupráci;</w:t>
            </w:r>
          </w:p>
        </w:tc>
        <w:tc>
          <w:tcPr>
            <w:tcW w:w="4876" w:type="dxa"/>
            <w:tcBorders>
              <w:top w:val="nil"/>
              <w:left w:val="nil"/>
              <w:bottom w:val="nil"/>
              <w:right w:val="nil"/>
            </w:tcBorders>
          </w:tcPr>
          <w:p>
            <w:pPr>
              <w:pStyle w:val="Normal6a"/>
            </w:pPr>
            <w:r>
              <w:t>14.</w:t>
            </w:r>
            <w:r>
              <w:tab/>
            </w:r>
            <w:r>
              <w:t xml:space="preserve">konstatuje, že podle odhadů způsobují strategie oslabování daňové základny a přesouvání zisku ze strany nadnárodních společnosti i nadále značné ztráty na příjmech; vyzývá Komisi a členské státy, aby v zájmu odstranění tohoto problému a ochrany svých domácích daňových příjmů zintenzivnily mezinárodní spolupráci; </w:t>
            </w:r>
            <w:r>
              <w:rPr>
                <w:b/>
                <w:i/>
              </w:rPr>
              <w:t>zdůrazňuje, že ztráty daňových příjmů jsou stále více spojeny s podniky ze třetích zemí působícími na jednotném trhu bez odpovídajícího daňového příspěvku, což narušuje hospodářskou soutěž na úkor evropských podniků.</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konstatuje, že podle odhadů způsobují strategie oslabování daňové základny a přesouvání zisku ze strany nadnárodních společnosti i nadále značné ztráty na příjmech; </w:t>
            </w:r>
            <w:r>
              <w:rPr>
                <w:b/>
                <w:i/>
              </w:rPr>
              <w:t>vyzývá Komisi a členské státy, aby v zájmu odstranění tohoto problému a ochrany svých domácích daňových příjmů zintenzivnily mezinárodní spolupráci;</w:t>
            </w:r>
          </w:p>
        </w:tc>
        <w:tc>
          <w:tcPr>
            <w:tcW w:w="4876" w:type="dxa"/>
            <w:tcBorders>
              <w:top w:val="nil"/>
              <w:left w:val="nil"/>
              <w:bottom w:val="nil"/>
              <w:right w:val="nil"/>
            </w:tcBorders>
          </w:tcPr>
          <w:p>
            <w:pPr>
              <w:pStyle w:val="Normal6a"/>
            </w:pPr>
            <w:r>
              <w:t>14.</w:t>
            </w:r>
            <w:r>
              <w:tab/>
            </w:r>
            <w:r>
              <w:t>konstatuje, že podle odhadů způsobují strategie oslabování daňové základny a přesouvání zisku ze strany nadnárodních společnosti i nadále značné ztráty na příjmech;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konstatuje, že podle odhadů způsobují strategie oslabování daňové základny a přesouvání zisku ze strany nadnárodních společnosti i nadále značné ztráty na příjmech; vyzývá Komisi </w:t>
            </w:r>
            <w:r>
              <w:rPr>
                <w:b/>
                <w:i/>
              </w:rPr>
              <w:t>a členské</w:t>
            </w:r>
            <w:r>
              <w:t xml:space="preserve"> státy</w:t>
            </w:r>
            <w:r>
              <w:rPr>
                <w:b/>
                <w:i/>
              </w:rPr>
              <w:t>, aby v zájmu odstranění</w:t>
            </w:r>
            <w:r>
              <w:t xml:space="preserve"> tohoto problému a </w:t>
            </w:r>
            <w:r>
              <w:rPr>
                <w:b/>
                <w:i/>
              </w:rPr>
              <w:t>ochrany svých domácích</w:t>
            </w:r>
            <w:r>
              <w:t xml:space="preserve"> daňových příjmů </w:t>
            </w:r>
            <w:r>
              <w:rPr>
                <w:b/>
                <w:i/>
              </w:rPr>
              <w:t>zintenzivnily mezinárodní spolupráci</w:t>
            </w:r>
            <w:r>
              <w:t>;</w:t>
            </w:r>
          </w:p>
        </w:tc>
        <w:tc>
          <w:tcPr>
            <w:tcW w:w="4876" w:type="dxa"/>
            <w:tcBorders>
              <w:top w:val="nil"/>
              <w:left w:val="nil"/>
              <w:bottom w:val="nil"/>
              <w:right w:val="nil"/>
            </w:tcBorders>
          </w:tcPr>
          <w:p>
            <w:pPr>
              <w:pStyle w:val="Normal6a"/>
            </w:pPr>
            <w:r>
              <w:t>14.</w:t>
            </w:r>
            <w:r>
              <w:tab/>
            </w:r>
            <w:r>
              <w:t xml:space="preserve">konstatuje, že podle odhadů způsobují strategie oslabování daňové základny a přesouvání zisku ze strany nadnárodních společnosti i nadále značné ztráty na příjmech; </w:t>
            </w:r>
            <w:r>
              <w:rPr>
                <w:b/>
                <w:i/>
              </w:rPr>
              <w:t>naléhavě</w:t>
            </w:r>
            <w:r>
              <w:t xml:space="preserve"> vyzývá Komisi</w:t>
            </w:r>
            <w:r>
              <w:rPr>
                <w:b/>
                <w:i/>
              </w:rPr>
              <w:t>, aby společně s členskými</w:t>
            </w:r>
            <w:r>
              <w:t xml:space="preserve"> státy </w:t>
            </w:r>
            <w:r>
              <w:rPr>
                <w:b/>
                <w:i/>
              </w:rPr>
              <w:t>převzala aktivnější a ambicióznější úlohu při posilování mezinárodní spolupráce a prosazování účinných opatření k řešení</w:t>
            </w:r>
            <w:r>
              <w:t xml:space="preserve"> tohoto problému a </w:t>
            </w:r>
            <w:r>
              <w:rPr>
                <w:b/>
                <w:i/>
              </w:rPr>
              <w:t>k ochraně</w:t>
            </w:r>
            <w:r>
              <w:t xml:space="preserve"> daňových příjmů </w:t>
            </w:r>
            <w:r>
              <w:rPr>
                <w:b/>
                <w:i/>
              </w:rPr>
              <w:t>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konstatuje, že podle odhadů způsobují strategie oslabování daňové základny a přesouvání zisku ze strany nadnárodních společnosti i nadále značné ztráty na příjmech; vyzývá Komisi a členské státy, aby </w:t>
            </w:r>
            <w:r>
              <w:rPr>
                <w:b/>
                <w:i/>
              </w:rPr>
              <w:t>v zájmu odstranění tohoto problému a ochrany svých domácích daňových příjmů</w:t>
            </w:r>
            <w:r>
              <w:t xml:space="preserve"> zintenzivnily mezinárodní spolupráci;</w:t>
            </w:r>
          </w:p>
        </w:tc>
        <w:tc>
          <w:tcPr>
            <w:tcW w:w="4876" w:type="dxa"/>
            <w:tcBorders>
              <w:top w:val="nil"/>
              <w:left w:val="nil"/>
              <w:bottom w:val="nil"/>
              <w:right w:val="nil"/>
            </w:tcBorders>
          </w:tcPr>
          <w:p>
            <w:pPr>
              <w:pStyle w:val="Normal6a"/>
            </w:pPr>
            <w:r>
              <w:t>14.</w:t>
            </w:r>
            <w:r>
              <w:tab/>
            </w:r>
            <w:r>
              <w:t>konstatuje, že podle odhadů způsobují strategie oslabování daňové základny a přesouvání zisku ze strany nadnárodních společnosti i nadále značné ztráty na příjmech; vyzývá Komisi a členské státy, aby </w:t>
            </w:r>
            <w:r>
              <w:rPr>
                <w:b/>
                <w:i/>
              </w:rPr>
              <w:t>koordinovaly opatření proti zneužívání a</w:t>
            </w:r>
            <w:r>
              <w:t xml:space="preserve"> zintenzivnily mezinárodní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že účinný boj proti daňovým podvodům, daňovým únikům a agresivnímu vyhýbání se daňovým povinnostem má i nadále zásadní význam pro ochranu veřejných financí členských států a posílení důvěry v daňové systémy;</w:t>
            </w:r>
            <w:r>
              <w:t xml:space="preserve"> </w:t>
            </w:r>
            <w:r>
              <w:rPr>
                <w:b/>
                <w:i/>
              </w:rPr>
              <w:t>vyzývá Komisi a členské státy, aby prohloubily správní spolupráci, zlepšily výměnu informací a podporovaly efektivní a účinné mechanismy výběru daní v celé Unii;</w:t>
            </w:r>
            <w:r>
              <w:t xml:space="preserve"> </w:t>
            </w:r>
            <w:r>
              <w:rPr>
                <w:b/>
                <w:i/>
              </w:rPr>
              <w:t>zdůrazňuje, že dobře fungující a vymahatelné daňové systémy jsou nezbytné k zajištění rovných podmínek pro podniky, omezení narušení vnitřního trhu a zajištění udržitelných veřejných příjmů a zároveň k zamezení nepřiměřené administrativní zátěži pro daňové poplatníky dodržující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vyjadřuje politování nad stažením návrhu Komise týkajícího se daně z finančních transakcí, převodních cen, zákona UNSHELL, který umožňuje hlasování kvalifikovanou většinou o technických nebo necitlivých otázkách DPH, a úlev na snížení zvýhodnění dluhu oproti vlastnímu kapitálu (DEBRA) z pracovního programu Komise na rok 2026, a naléhavě vyzývá Komisi, aby urychlila opatření pro boj proti daňovým únikům, vyhýbání se daňovým povinnostem a agresivnímu daňovému plánování a aby předložila návrh na každoroční zveřejňování efektivní sazby daně z příjmů právnických osob u některých velkých společností, jak je stanoveno ve sdělení o zdanění podniků pro 21. století</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https://taxation-customs.ec.europa.eu/system/files/2021-05/communication_on_business_taxation_for_the_21st_century.pdf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připomíná, že při provádění druhého pilíře je důležité sledovat nové formy škodlivé daňové konkurence, které se mohou objevit, zejména v důsledku výjimek zakotvených v tomto rámci, jakož i zacházení s určitými daňovými pobídkami</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Evropské daňové středisko, Zpráva o globálních daňových únicích za rok 2024, s.</w:t>
            </w:r>
            <w:r>
              <w:t xml:space="preserve"> </w:t>
            </w:r>
            <w:r>
              <w:rPr>
                <w:b/>
                <w:i/>
              </w:rPr>
              <w:t>36.;</w:t>
            </w:r>
            <w:r>
              <w:t xml:space="preserve"> </w:t>
            </w:r>
            <w:r>
              <w:rPr>
                <w:b/>
                <w:i/>
              </w:rPr>
              <w:t>Evropská komise, Výroční zpráva o daních za rok 2025, s.</w:t>
            </w:r>
            <w:r>
              <w:t xml:space="preserve"> </w:t>
            </w:r>
            <w:r>
              <w:rPr>
                <w:b/>
                <w:i/>
              </w:rPr>
              <w:t>94.</w:t>
            </w:r>
            <w:r>
              <w:t xml:space="preserve"> </w:t>
            </w:r>
            <w:r>
              <w:rPr>
                <w:b/>
                <w:i/>
              </w:rPr>
              <w:t>Evropské daňové středisko, Zpráva o globálních daňových únicích za rok 2024, s. 52-54.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vyjadřuje politování nad tím, že některé členské státy nadále usnadňují agresivní daňové plánování a fungují jako daňové ráje EU prostřednictvím preferenčních režimů, nízkého účinného zdanění zisků právnických osob a režimů usnadňujících agresivní daňové plánování;</w:t>
            </w:r>
            <w:r>
              <w:t xml:space="preserve"> </w:t>
            </w:r>
            <w:r>
              <w:rPr>
                <w:b/>
                <w:i/>
              </w:rPr>
              <w:t>zdůrazňuje, že škodlivá daňová soutěž v Unii narušuje vnitřní trh, oslabuje spravedlnost a přesouvá daňové zatížení na pracovníky, domácnosti a malé a střední podniky;</w:t>
            </w:r>
            <w:r>
              <w:t xml:space="preserve"> </w:t>
            </w:r>
            <w:r>
              <w:rPr>
                <w:b/>
                <w:i/>
              </w:rPr>
              <w:t>vyzývá Komisi a Radu, aby na škodlivé daňové praktiky v Unii i mimo ni uplatňovaly objektivní a důsledná kritéria a aby zavedly důvěryhodná protiopatření;</w:t>
            </w:r>
            <w:r>
              <w:t xml:space="preserve"> </w:t>
            </w:r>
            <w:r>
              <w:rPr>
                <w:b/>
                <w:i/>
              </w:rPr>
              <w:t>dále vyzývá Komisi a Radu, aby posoudily provádění revize kodexu chování pro zdaňování podniků z roku 2022 při podpoře spravedlivé daňové soutěže v rámci EU i mimo ni a omezování škodlivých daňových praktik;</w:t>
            </w:r>
            <w:r>
              <w:t xml:space="preserve"> </w:t>
            </w:r>
            <w:r>
              <w:rPr>
                <w:b/>
                <w:i/>
              </w:rPr>
              <w:t>vyzývá k reformě s cílem posílit její mandát, transparentnost, odpovědnost a mechanismy následných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připomíná usnesení Parlamentu o reformě unijního seznamu daňových rájů a o reformě politiky EU v oblasti škodlivých daňových praktik (včetně reformy Skupiny pro kodex chování);</w:t>
            </w:r>
            <w:r>
              <w:t xml:space="preserve"> </w:t>
            </w:r>
            <w:r>
              <w:rPr>
                <w:b/>
                <w:i/>
              </w:rPr>
              <w:t>vyzývá Radu, aby obnovila diskuse o komplexní reformě kodexu a provedla doporučení Parlamentu</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Usnesení Evropského parlamentu ze dne 21. ledna 2021 o reformě unijního seznamu daňových rájů;</w:t>
            </w:r>
            <w:r>
              <w:t xml:space="preserve"> </w:t>
            </w:r>
            <w:r>
              <w:rPr>
                <w:b/>
                <w:i/>
              </w:rPr>
              <w:t>usnesení Evropského parlamentu ze dne 7. října 2021 o reformě politiky EU v oblasti škodlivých daňových praktik (včetně reformy Skupiny pro kodex chování).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konstatuje, že pokračující geopolitické napětí vytvořilo v některých odvětvích značné neočekávané zisky;</w:t>
            </w:r>
            <w:r>
              <w:t xml:space="preserve"> </w:t>
            </w:r>
            <w:r>
              <w:rPr>
                <w:b/>
                <w:i/>
              </w:rPr>
              <w:t>vyzývá Komisi a členské státy, aby zajistily spravedlivé a účinné zdanění těchto mimořádných zisků a aby řešily přeshraniční přesun neočekávaných zisků, který oslabuje daňové příjmy, a tím narušuje spravedlivou hospodářskou soutěž;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znovu potvrzuje, že se hlásí k principům mezinárodnímu řádu založeného na pravidlech; zdůrazňuje, že nástroje </w:t>
            </w:r>
            <w:r>
              <w:rPr>
                <w:b/>
                <w:i/>
              </w:rPr>
              <w:t>vzniklé na mezinárodní úrovni jsou</w:t>
            </w:r>
            <w:r>
              <w:t xml:space="preserve"> účinné </w:t>
            </w:r>
            <w:r>
              <w:rPr>
                <w:b/>
                <w:i/>
              </w:rPr>
              <w:t>pouze tehdy, pokud se opírají o skutečný globální konsenzus a jsou účinně prováděny</w:t>
            </w:r>
            <w:r>
              <w:t>;</w:t>
            </w:r>
          </w:p>
        </w:tc>
        <w:tc>
          <w:tcPr>
            <w:tcW w:w="4876" w:type="dxa"/>
            <w:tcBorders>
              <w:top w:val="nil"/>
              <w:left w:val="nil"/>
              <w:bottom w:val="nil"/>
              <w:right w:val="nil"/>
            </w:tcBorders>
          </w:tcPr>
          <w:p>
            <w:pPr>
              <w:pStyle w:val="Normal6a"/>
            </w:pPr>
            <w:r>
              <w:t>15.</w:t>
            </w:r>
            <w:r>
              <w:tab/>
            </w:r>
            <w:r>
              <w:t xml:space="preserve">znovu potvrzuje, že se hlásí k principům mezinárodnímu řádu založeného na pravidlech; zdůrazňuje, že </w:t>
            </w:r>
            <w:r>
              <w:rPr>
                <w:b/>
                <w:i/>
              </w:rPr>
              <w:t>některé</w:t>
            </w:r>
            <w:r>
              <w:t xml:space="preserve"> nástroje</w:t>
            </w:r>
            <w:r>
              <w:rPr>
                <w:b/>
                <w:i/>
              </w:rPr>
              <w:t>, jako je vzorec pro rozdělení a daně z digitálních služeb, mohou zůstat</w:t>
            </w:r>
            <w:r>
              <w:t xml:space="preserve"> účinné </w:t>
            </w:r>
            <w:r>
              <w:rPr>
                <w:b/>
                <w:i/>
              </w:rPr>
              <w:t>i bez všeobecného provádění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Jussi Saramo,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znovu potvrzuje, že se hlásí k principům mezinárodnímu řádu založeného na pravidlech; </w:t>
            </w:r>
            <w:r>
              <w:rPr>
                <w:b/>
                <w:i/>
              </w:rPr>
              <w:t>zdůrazňuje,</w:t>
            </w:r>
            <w:r>
              <w:t xml:space="preserve"> že nástroje vzniklé na mezinárodní úrovni </w:t>
            </w:r>
            <w:r>
              <w:rPr>
                <w:b/>
                <w:i/>
              </w:rPr>
              <w:t>jsou účinné pouze tehdy, pokud se opírají o skutečný globální konsenzus a jsou účinně prováděny</w:t>
            </w:r>
            <w:r>
              <w:t>;</w:t>
            </w:r>
          </w:p>
        </w:tc>
        <w:tc>
          <w:tcPr>
            <w:tcW w:w="4876" w:type="dxa"/>
            <w:tcBorders>
              <w:top w:val="nil"/>
              <w:left w:val="nil"/>
              <w:bottom w:val="nil"/>
              <w:right w:val="nil"/>
            </w:tcBorders>
          </w:tcPr>
          <w:p>
            <w:pPr>
              <w:pStyle w:val="Normal6a"/>
            </w:pPr>
            <w:r>
              <w:t>15.</w:t>
            </w:r>
            <w:r>
              <w:tab/>
            </w:r>
            <w:r>
              <w:t xml:space="preserve">znovu potvrzuje, že se hlásí k principům mezinárodnímu řádu založeného na pravidlech; že nástroje vzniklé na mezinárodní úrovni </w:t>
            </w:r>
            <w:r>
              <w:rPr>
                <w:b/>
                <w:i/>
              </w:rPr>
              <w:t>představují nejambicióznější a strukturálně nejspolehlivější rámec, který je k dispozici pro řešení globálních daňových výzev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vyjadřuje politování nad tím, že obchodní bilance EU v oblasti digitálních služeb se prudce vychýlila na stranu jiných jurisdikcí, v nichž se v poslední době rychle rozvíjejí digitální technologie a poskytovatelé cloudových služeb; poukazuje na to, že tento posun představuje pro daňové systémy členských států značnou výzvu a staví nás před nutnost přehodnotit způsob, jakým jsou rozdělena daňová práva;</w:t>
            </w:r>
          </w:p>
        </w:tc>
        <w:tc>
          <w:tcPr>
            <w:tcW w:w="4876" w:type="dxa"/>
            <w:tcBorders>
              <w:top w:val="nil"/>
              <w:left w:val="nil"/>
              <w:bottom w:val="nil"/>
              <w:right w:val="nil"/>
            </w:tcBorders>
          </w:tcPr>
          <w:p>
            <w:pPr>
              <w:pStyle w:val="Normal6a"/>
            </w:pPr>
            <w:r>
              <w:t>16.</w:t>
            </w:r>
            <w:r>
              <w:tab/>
            </w:r>
            <w:r>
              <w:t>vyjadřuje politování nad tím, že obchodní bilance EU v oblasti digitálních služeb se prudce vychýlila na stranu jiných jurisdikcí, v nichž se v poslední době rychle rozvíjejí digitální technologie</w:t>
            </w:r>
            <w:r>
              <w:rPr>
                <w:b/>
                <w:i/>
              </w:rPr>
              <w:t>, umělá inteligence</w:t>
            </w:r>
            <w:r>
              <w:t xml:space="preserve"> a poskytovatelé cloudových služeb</w:t>
            </w:r>
            <w:r>
              <w:rPr>
                <w:b/>
                <w:i/>
              </w:rPr>
              <w:t>, což zvýšilo koncentraci hospodářské síly a zdanitelných zisků v malém počtu nadnárodních digitálních společností se sídlem mimo Unii</w:t>
            </w:r>
            <w:r>
              <w:t xml:space="preserve">; poukazuje na to, že tento posun představuje pro daňové systémy členských států značnou výzvu a staví nás před nutnost přehodnotit způsob, jakým jsou rozdělena daňová práva; </w:t>
            </w:r>
            <w:r>
              <w:rPr>
                <w:b/>
                <w:i/>
              </w:rPr>
              <w:t>vyzývá Komisi a členské státy, aby vypracovaly koordinovaný přístup k přidělování práv zdanění v digitální ekonomice a ekonomice umělé inteligence s cílem zabránit přesouvání zisku a zajistit, aby zisky a nájemné vytvářené uživateli, daty a podniky v EU byly spravedlivě zdaněny tam, kde je vytvářena hodnota;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vyjadřuje politování nad tím, že obchodní bilance EU v oblasti digitálních služeb se prudce vychýlila na stranu jiných jurisdikcí, v nichž se v poslední době rychle rozvíjejí digitální technologie a poskytovatelé cloudových služeb; </w:t>
            </w:r>
            <w:r>
              <w:rPr>
                <w:b/>
                <w:i/>
              </w:rPr>
              <w:t>poukazuje na to, že tento posun představuje pro daňové systémy členských států značnou výzvu a staví nás před nutnost přehodnotit způsob, jakým jsou rozdělena daňová práva;</w:t>
            </w:r>
          </w:p>
        </w:tc>
        <w:tc>
          <w:tcPr>
            <w:tcW w:w="4876" w:type="dxa"/>
            <w:tcBorders>
              <w:top w:val="nil"/>
              <w:left w:val="nil"/>
              <w:bottom w:val="nil"/>
              <w:right w:val="nil"/>
            </w:tcBorders>
          </w:tcPr>
          <w:p>
            <w:pPr>
              <w:pStyle w:val="Normal6a"/>
            </w:pPr>
            <w:r>
              <w:t>16.</w:t>
            </w:r>
            <w:r>
              <w:tab/>
            </w:r>
            <w:r>
              <w:t>vyjadřuje politování nad tím, že obchodní bilance EU v oblasti digitálních služeb se prudce vychýlila na stranu jiných jurisdikcí, v nichž se v poslední době rychle rozvíjejí digitální technologie a poskytovatelé cloudových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vyjadřuje politování nad tím, že obchodní bilance EU v oblasti digitálních služeb se prudce vychýlila na stranu jiných jurisdikcí, v nichž se v poslední době rychle rozvíjejí digitální technologie a poskytovatelé cloudových služeb; poukazuje na to, že tento posun </w:t>
            </w:r>
            <w:r>
              <w:rPr>
                <w:b/>
                <w:i/>
              </w:rPr>
              <w:t>představuje pro</w:t>
            </w:r>
            <w:r>
              <w:t xml:space="preserve"> daňové </w:t>
            </w:r>
            <w:r>
              <w:rPr>
                <w:b/>
                <w:i/>
              </w:rPr>
              <w:t>systémy členských států značnou výzvu a staví nás před nutnost přehodnotit způsob, jakým jsou rozdělena daňová práva</w:t>
            </w:r>
            <w:r>
              <w:t>;</w:t>
            </w:r>
          </w:p>
        </w:tc>
        <w:tc>
          <w:tcPr>
            <w:tcW w:w="4876" w:type="dxa"/>
            <w:tcBorders>
              <w:top w:val="nil"/>
              <w:left w:val="nil"/>
              <w:bottom w:val="nil"/>
              <w:right w:val="nil"/>
            </w:tcBorders>
          </w:tcPr>
          <w:p>
            <w:pPr>
              <w:pStyle w:val="Normal6a"/>
            </w:pPr>
            <w:r>
              <w:t>16.</w:t>
            </w:r>
            <w:r>
              <w:tab/>
            </w:r>
            <w:r>
              <w:t xml:space="preserve">vyjadřuje politování nad tím, že obchodní bilance EU v oblasti digitálních služeb se prudce vychýlila na stranu jiných jurisdikcí, v nichž se v poslední době rychle rozvíjejí digitální technologie a poskytovatelé cloudových služeb; poukazuje na to, že tento posun </w:t>
            </w:r>
            <w:r>
              <w:rPr>
                <w:b/>
                <w:i/>
              </w:rPr>
              <w:t>zdůrazňuje význam pokračující mezinárodní spolupráce pro zajištění</w:t>
            </w:r>
            <w:r>
              <w:t xml:space="preserve"> daňové </w:t>
            </w:r>
            <w:r>
              <w:rPr>
                <w:b/>
                <w:i/>
              </w:rPr>
              <w:t>jistoty, zamezení dvojímu zdanění a zajištění stabilního prostředí pro investice, inovace a hospodářský růst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Komisi, aby zvážila vytvoření evropského mechanismu pro přidělování daňových povinností za digitální a online služby poskytované podniky ze třetích zemí spotřebitelům a podnikům v Unii.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k zavedení jednotných pravidel, která by zabránila umělému přesouvání zisku z Unie prostřednictvím transakcí v rámci skupiny, autorských práv a digitálních služeb poskytovaných přidruženými podniky usazenými ve třetích zemích.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bere na vědomí výhrady, které mají Spojené státy vůči jednostranným daním</w:t>
            </w:r>
            <w:r>
              <w:t xml:space="preserve"> z digitálních služeb</w:t>
            </w:r>
            <w:r>
              <w:rPr>
                <w:b/>
                <w:i/>
              </w:rPr>
              <w:t>, neboť je považují za diskriminační vůči americkým technologickým společnostem;</w:t>
            </w:r>
            <w:r>
              <w:t xml:space="preserve"> </w:t>
            </w:r>
            <w:r>
              <w:rPr>
                <w:b/>
                <w:i/>
              </w:rPr>
              <w:t>vítá ochotu Spojených</w:t>
            </w:r>
            <w:r>
              <w:t xml:space="preserve"> států </w:t>
            </w:r>
            <w:r>
              <w:rPr>
                <w:b/>
                <w:i/>
              </w:rPr>
              <w:t>vést o těchto záležitostech dialog</w:t>
            </w:r>
            <w:r>
              <w:t>;</w:t>
            </w:r>
          </w:p>
        </w:tc>
        <w:tc>
          <w:tcPr>
            <w:tcW w:w="4876" w:type="dxa"/>
            <w:tcBorders>
              <w:top w:val="nil"/>
              <w:left w:val="nil"/>
              <w:bottom w:val="nil"/>
              <w:right w:val="nil"/>
            </w:tcBorders>
          </w:tcPr>
          <w:p>
            <w:pPr>
              <w:pStyle w:val="Normal6a"/>
            </w:pPr>
            <w:r>
              <w:t>17.</w:t>
            </w:r>
            <w:r>
              <w:tab/>
            </w:r>
            <w:r>
              <w:rPr>
                <w:b/>
                <w:i/>
              </w:rPr>
              <w:t>vyjadřuje politování nad tím, že mnohostranná jednání o přerozdělení práv zdanění v rámci prvního pilíře se zastavila bez vyhlídky na brzké uzavření a že otázka zdanění digitální ekonomiky zůstává od roku 2018 nevyřešena navzdory trvalému úsilí EU a jejích partnerů;</w:t>
            </w:r>
            <w:r>
              <w:t xml:space="preserve"> </w:t>
            </w:r>
            <w:r>
              <w:rPr>
                <w:b/>
                <w:i/>
              </w:rPr>
              <w:t>domnívá se, že absence smysluplného pokroku na mnohostranné úrovni by neměla odkládat opatření EU k zajištění toho, aby příjmy z digitální ekonomiky vytvořené na jejím vnitřním trhu byly zdaněny spravedlivě a důsledně;</w:t>
            </w:r>
            <w:r>
              <w:t xml:space="preserve"> </w:t>
            </w:r>
            <w:r>
              <w:rPr>
                <w:b/>
                <w:i/>
              </w:rPr>
              <w:t>vyzývá Komisi, aby neprodleně předložila nový návrh celounijní daně</w:t>
            </w:r>
            <w:r>
              <w:t xml:space="preserve"> z digitálních služeb </w:t>
            </w:r>
            <w:r>
              <w:rPr>
                <w:b/>
                <w:i/>
              </w:rPr>
              <w:t>s cílem chránit příjmy členských</w:t>
            </w:r>
            <w:r>
              <w:t xml:space="preserve"> států </w:t>
            </w:r>
            <w:r>
              <w:rPr>
                <w:b/>
                <w:i/>
              </w:rPr>
              <w:t>a zaručit rovné podmínky mezi digitálními a tradičními obchodními modely</w:t>
            </w:r>
            <w:r>
              <w:t xml:space="preserve">; </w:t>
            </w:r>
            <w:r>
              <w:rPr>
                <w:b/>
                <w:i/>
              </w:rPr>
              <w:t>konstatuje, že se odhaduje, že 5 % celounijní daň z digitálních služeb přinese v roce 2026 roční příjmy ve výši 37,5 miliardy EUR, přičemž se očekává, že tato částka v následujících letech výrazně vzroste, což v době zvýšených potřeb veřejných financí představuje významný a rostoucí příspěvek k fiskální kapacitě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bere na vědomí výhrady, které mají Spojené státy vůči jednostranným daním z digitálních služeb, </w:t>
            </w:r>
            <w:r>
              <w:rPr>
                <w:b/>
                <w:i/>
              </w:rPr>
              <w:t>neboť je považují za diskriminační vůči americkým technologickým společnostem;</w:t>
            </w:r>
            <w:r>
              <w:t xml:space="preserve"> </w:t>
            </w:r>
            <w:r>
              <w:rPr>
                <w:b/>
                <w:i/>
              </w:rPr>
              <w:t>vítá ochotu Spojených</w:t>
            </w:r>
            <w:r>
              <w:t xml:space="preserve"> států </w:t>
            </w:r>
            <w:r>
              <w:rPr>
                <w:b/>
                <w:i/>
              </w:rPr>
              <w:t>vést o</w:t>
            </w:r>
            <w:r>
              <w:t xml:space="preserve"> těchto </w:t>
            </w:r>
            <w:r>
              <w:rPr>
                <w:b/>
                <w:i/>
              </w:rPr>
              <w:t>záležitostech dialog</w:t>
            </w:r>
            <w:r>
              <w:t>;</w:t>
            </w:r>
          </w:p>
        </w:tc>
        <w:tc>
          <w:tcPr>
            <w:tcW w:w="4876" w:type="dxa"/>
            <w:tcBorders>
              <w:top w:val="nil"/>
              <w:left w:val="nil"/>
              <w:bottom w:val="nil"/>
              <w:right w:val="nil"/>
            </w:tcBorders>
          </w:tcPr>
          <w:p>
            <w:pPr>
              <w:pStyle w:val="Normal6a"/>
            </w:pPr>
            <w:r>
              <w:t>17.</w:t>
            </w:r>
            <w:r>
              <w:tab/>
            </w:r>
            <w:r>
              <w:t xml:space="preserve">bere </w:t>
            </w:r>
            <w:r>
              <w:rPr>
                <w:b/>
                <w:i/>
              </w:rPr>
              <w:t>však</w:t>
            </w:r>
            <w:r>
              <w:t xml:space="preserve"> na vědomí výhrady, které mají Spojené státy vůči jednostranným daním z digitálních služeb, </w:t>
            </w:r>
            <w:r>
              <w:rPr>
                <w:b/>
                <w:i/>
              </w:rPr>
              <w:t>dokud nebude vypracován a proveden komplexní mnohostranný rámec, který zajistí spravedlivé rozdělení práv zdanění nadnárodních podniků působících napříč jurisdikcemi, znovu potvrzuje svrchované právo</w:t>
            </w:r>
            <w:r>
              <w:t xml:space="preserve"> států </w:t>
            </w:r>
            <w:r>
              <w:rPr>
                <w:b/>
                <w:i/>
              </w:rPr>
              <w:t>přijímat dočasná jednostranná opatření na ochranu a zachování svých daňových základen, včetně daní z digitálních služeb, přičemž uznává, že širší mezinárodní účast na</w:t>
            </w:r>
            <w:r>
              <w:t xml:space="preserve"> těchto </w:t>
            </w:r>
            <w:r>
              <w:rPr>
                <w:b/>
                <w:i/>
              </w:rPr>
              <w:t>opatřeních může přispět k omezení prostoru pro jednostranná odvetná opatření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bere na vědomí výhrady, které mají Spojené státy vůči jednostranným daním z digitálních služeb, neboť je považují za diskriminační vůči americkým technologickým společnostem; vítá ochotu Spojených států vést o těchto záležitostech dialog;</w:t>
            </w:r>
          </w:p>
        </w:tc>
        <w:tc>
          <w:tcPr>
            <w:tcW w:w="4876" w:type="dxa"/>
            <w:tcBorders>
              <w:top w:val="nil"/>
              <w:left w:val="nil"/>
              <w:bottom w:val="nil"/>
              <w:right w:val="nil"/>
            </w:tcBorders>
          </w:tcPr>
          <w:p>
            <w:pPr>
              <w:pStyle w:val="Normal6a"/>
            </w:pPr>
            <w:r>
              <w:t>17.</w:t>
            </w:r>
            <w:r>
              <w:tab/>
            </w:r>
            <w:r>
              <w:t xml:space="preserve">bere na vědomí výhrady, které mají Spojené státy vůči jednostranným daním z digitálních služeb, neboť je považují za diskriminační vůči americkým technologickým společnostem; vítá ochotu Spojených států vést o těchto záležitostech dialog; </w:t>
            </w:r>
            <w:r>
              <w:rPr>
                <w:b/>
                <w:i/>
              </w:rPr>
              <w:t>zdůrazňuje však, že dokud nebude komplexní a závazná globální dohoda v rámci prvního pilíře plně funkční, zůstávají tyto vnitrostátní daně z digitálních služeb odůvodněným a základním nástrojem členských států k zajištění toho, aby všechny digitální podniky přispívaly spravedlivým dílem do vnitrostátních rozpočtů;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bere na vědomí výhrady, které mají Spojené státy vůči jednostranným daním z digitálních služeb, neboť je považují za diskriminační vůči americkým technologickým společnostem; vítá ochotu Spojených států vést o těchto záležitostech dialog;</w:t>
            </w:r>
          </w:p>
        </w:tc>
        <w:tc>
          <w:tcPr>
            <w:tcW w:w="4876" w:type="dxa"/>
            <w:tcBorders>
              <w:top w:val="nil"/>
              <w:left w:val="nil"/>
              <w:bottom w:val="nil"/>
              <w:right w:val="nil"/>
            </w:tcBorders>
          </w:tcPr>
          <w:p>
            <w:pPr>
              <w:pStyle w:val="Normal6a"/>
            </w:pPr>
            <w:r>
              <w:t>17.</w:t>
            </w:r>
            <w:r>
              <w:tab/>
            </w:r>
            <w:r>
              <w:t xml:space="preserve">bere na vědomí výhrady, které mají Spojené státy vůči jednostranným daním z digitálních služeb, neboť je považují za diskriminační vůči americkým technologickým společnostem; vítá ochotu Spojených států vést o těchto záležitostech dialog; </w:t>
            </w:r>
            <w:r>
              <w:rPr>
                <w:b/>
                <w:i/>
              </w:rPr>
              <w:t>zdůrazňuje, že spravedlivé a účinné zdanění digitální ekonomiky má i nadále zásadní význam pro zajištění rovných podmínek a ochrany veřejných příjmů;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bere na vědomí výhrady, které mají Spojené státy vůči jednostranným daním z digitálních služeb, neboť je považují za diskriminační vůči americkým technologickým společnostem; vítá ochotu Spojených států vést o těchto záležitostech dialog;</w:t>
            </w:r>
          </w:p>
        </w:tc>
        <w:tc>
          <w:tcPr>
            <w:tcW w:w="4876" w:type="dxa"/>
            <w:tcBorders>
              <w:top w:val="nil"/>
              <w:left w:val="nil"/>
              <w:bottom w:val="nil"/>
              <w:right w:val="nil"/>
            </w:tcBorders>
          </w:tcPr>
          <w:p>
            <w:pPr>
              <w:pStyle w:val="Normal6a"/>
            </w:pPr>
            <w:r>
              <w:t>17.</w:t>
            </w:r>
            <w:r>
              <w:tab/>
            </w:r>
            <w:r>
              <w:t xml:space="preserve">bere na vědomí výhrady, které mají Spojené státy vůči </w:t>
            </w:r>
            <w:r>
              <w:rPr>
                <w:b/>
                <w:i/>
              </w:rPr>
              <w:t>řešení v rámci prvního pilíře a</w:t>
            </w:r>
            <w:r>
              <w:t xml:space="preserve"> jednostranným daním z digitálních služeb, neboť je považují za diskriminační vůči americkým technologickým společnostem; vítá ochotu Spojených států vést o těchto záležitostech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bere na vědomí výhrady, které mají Spojené státy vůči jednostranným daním z digitálních služeb, neboť je považují za diskriminační vůči americkým technologickým společnostem; vítá </w:t>
            </w:r>
            <w:r>
              <w:rPr>
                <w:b/>
                <w:i/>
              </w:rPr>
              <w:t>ochotu Spojených států vést</w:t>
            </w:r>
            <w:r>
              <w:t xml:space="preserve"> o těchto záležitostech </w:t>
            </w:r>
            <w:r>
              <w:rPr>
                <w:b/>
                <w:i/>
              </w:rPr>
              <w:t>dialog</w:t>
            </w:r>
            <w:r>
              <w:t>;</w:t>
            </w:r>
          </w:p>
        </w:tc>
        <w:tc>
          <w:tcPr>
            <w:tcW w:w="4876" w:type="dxa"/>
            <w:tcBorders>
              <w:top w:val="nil"/>
              <w:left w:val="nil"/>
              <w:bottom w:val="nil"/>
              <w:right w:val="nil"/>
            </w:tcBorders>
          </w:tcPr>
          <w:p>
            <w:pPr>
              <w:pStyle w:val="Normal6a"/>
            </w:pPr>
            <w:r>
              <w:t>17.</w:t>
            </w:r>
            <w:r>
              <w:tab/>
            </w:r>
            <w:r>
              <w:t xml:space="preserve">bere na vědomí výhrady, které mají Spojené státy vůči jednostranným daním z digitálních služeb, neboť je považují za diskriminační vůči americkým technologickým společnostem; vítá </w:t>
            </w:r>
            <w:r>
              <w:rPr>
                <w:b/>
                <w:i/>
              </w:rPr>
              <w:t>konstruktivní dialog mezi EU a USA</w:t>
            </w:r>
            <w:r>
              <w:t xml:space="preserve"> o těchto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je toho názoru, že ani jednostranná opatření ani dohody o zamezení dvojího zdanění nenabízejí adekvátní řešení globálních výzev v oblasti daní, naopak vytvářejí riziko odvetných opatření, a domnívá se, že ideální cestou vpřed by bylo globální řešení pro digitální zdanění;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je toho názoru, že ani jednostranná opatření ani dohody o zamezení dvojího zdanění nenabízejí adekvátní řešení globálních výzev v oblasti daní, naopak vytvářejí riziko odvetných opatření, a domnívá se, že ideální cestou vpřed by bylo globální řešení pro digitální zdanění;</w:t>
            </w:r>
          </w:p>
        </w:tc>
        <w:tc>
          <w:tcPr>
            <w:tcW w:w="4876" w:type="dxa"/>
            <w:tcBorders>
              <w:top w:val="nil"/>
              <w:left w:val="nil"/>
              <w:bottom w:val="nil"/>
              <w:right w:val="nil"/>
            </w:tcBorders>
          </w:tcPr>
          <w:p>
            <w:pPr>
              <w:pStyle w:val="Normal6a"/>
            </w:pPr>
            <w:r>
              <w:t>18.</w:t>
            </w:r>
            <w:r>
              <w:tab/>
            </w:r>
            <w:r>
              <w:t>je toho názoru, že ani jednostranná opatření ani dohody o zamezení dvojího zdanění nenabízejí adekvátní řešení globálních výzev v oblasti daní, naopak vytvářejí riziko odvetných opatření, a domnívá se, že ideální cestou vpřed by bylo globální řešení pro digitální zdanění</w:t>
            </w:r>
            <w:r>
              <w:rPr>
                <w:b/>
                <w:i/>
              </w:rPr>
              <w:t>, a to za předpokladu, že jakékoli řešení bude respektovat zásadu ekonomické podstaty a nebude svévolně znevýhodňovat menší otevřené ekonomiky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je toho názoru, že </w:t>
            </w:r>
            <w:r>
              <w:rPr>
                <w:b/>
                <w:i/>
              </w:rPr>
              <w:t>ani</w:t>
            </w:r>
            <w:r>
              <w:t xml:space="preserve"> jednostranná opatření </w:t>
            </w:r>
            <w:r>
              <w:rPr>
                <w:b/>
                <w:i/>
              </w:rPr>
              <w:t>ani</w:t>
            </w:r>
            <w:r>
              <w:t xml:space="preserve"> dohody o zamezení dvojího zdanění </w:t>
            </w:r>
            <w:r>
              <w:rPr>
                <w:b/>
                <w:i/>
              </w:rPr>
              <w:t>nenabízejí adekvátní řešení globálních výzev v oblasti daní, naopak vytvářejí riziko odvetných opatření, a domnívá se, že ideální cestou vpřed by bylo</w:t>
            </w:r>
            <w:r>
              <w:t xml:space="preserve"> globální řešení pro digitální </w:t>
            </w:r>
            <w:r>
              <w:rPr>
                <w:b/>
                <w:i/>
              </w:rPr>
              <w:t>zdanění</w:t>
            </w:r>
            <w:r>
              <w:t>;</w:t>
            </w:r>
          </w:p>
        </w:tc>
        <w:tc>
          <w:tcPr>
            <w:tcW w:w="4876" w:type="dxa"/>
            <w:tcBorders>
              <w:top w:val="nil"/>
              <w:left w:val="nil"/>
              <w:bottom w:val="nil"/>
              <w:right w:val="nil"/>
            </w:tcBorders>
          </w:tcPr>
          <w:p>
            <w:pPr>
              <w:pStyle w:val="Normal6a"/>
            </w:pPr>
            <w:r>
              <w:t>18.</w:t>
            </w:r>
            <w:r>
              <w:tab/>
            </w:r>
            <w:r>
              <w:t xml:space="preserve">je toho názoru, že jednostranná opatření </w:t>
            </w:r>
            <w:r>
              <w:rPr>
                <w:b/>
                <w:i/>
              </w:rPr>
              <w:t>mohou otevírat dveře odvetným opatřením, a zároveň připomíná, že ústředním nástrojem pro předcházení dvojímu zdanění a zachování právní jistoty zůstávají</w:t>
            </w:r>
            <w:r>
              <w:t xml:space="preserve"> dohody o zamezení dvojího zdanění </w:t>
            </w:r>
            <w:r>
              <w:rPr>
                <w:b/>
                <w:i/>
              </w:rPr>
              <w:t>zdůrazňuje, že jakékoli</w:t>
            </w:r>
            <w:r>
              <w:t xml:space="preserve"> globální řešení pro </w:t>
            </w:r>
            <w:r>
              <w:rPr>
                <w:b/>
                <w:i/>
              </w:rPr>
              <w:t>zdanění</w:t>
            </w:r>
            <w:r>
              <w:t xml:space="preserve"> digitální </w:t>
            </w:r>
            <w:r>
              <w:rPr>
                <w:b/>
                <w:i/>
              </w:rPr>
              <w:t>ekonomiky musí být založeno na širokém konsensu a účinném provádění všemi velkými ekonomikami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je toho názoru, že ani jednostranná opatření ani dohody o zamezení dvojího zdanění nenabízejí adekvátní řešení globálních výzev v oblasti daní, naopak vytvářejí riziko odvetných opatření, a domnívá se, že </w:t>
            </w:r>
            <w:r>
              <w:rPr>
                <w:b/>
                <w:i/>
              </w:rPr>
              <w:t>ideální cestou vpřed</w:t>
            </w:r>
            <w:r>
              <w:t xml:space="preserve"> by bylo globální řešení pro digitální zdanění;</w:t>
            </w:r>
          </w:p>
        </w:tc>
        <w:tc>
          <w:tcPr>
            <w:tcW w:w="4876" w:type="dxa"/>
            <w:tcBorders>
              <w:top w:val="nil"/>
              <w:left w:val="nil"/>
              <w:bottom w:val="nil"/>
              <w:right w:val="nil"/>
            </w:tcBorders>
          </w:tcPr>
          <w:p>
            <w:pPr>
              <w:pStyle w:val="Normal6a"/>
            </w:pPr>
            <w:r>
              <w:t>18.</w:t>
            </w:r>
            <w:r>
              <w:tab/>
            </w:r>
            <w:r>
              <w:t xml:space="preserve">je toho názoru, že ani jednostranná opatření ani dohody o zamezení dvojího zdanění nenabízejí adekvátní řešení globálních výzev v oblasti daní, naopak vytvářejí riziko odvetných opatření, a domnívá se, že </w:t>
            </w:r>
            <w:r>
              <w:rPr>
                <w:b/>
                <w:i/>
              </w:rPr>
              <w:t>ideálním způsobem, jak dosáhnout řešení na širším základě,</w:t>
            </w:r>
            <w:r>
              <w:t xml:space="preserve"> by bylo globální řešení pro digitální zdanění;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je toho názoru, že ani jednostranná opatření ani dohody o zamezení dvojího zdanění nenabízejí adekvátní řešení globálních výzev v oblasti daní, naopak vytvářejí riziko odvetných opatření, a domnívá se, že </w:t>
            </w:r>
            <w:r>
              <w:rPr>
                <w:b/>
                <w:i/>
              </w:rPr>
              <w:t>ideální</w:t>
            </w:r>
            <w:r>
              <w:t xml:space="preserve"> cestou vpřed by bylo globální řešení pro digitální zdanění;</w:t>
            </w:r>
          </w:p>
        </w:tc>
        <w:tc>
          <w:tcPr>
            <w:tcW w:w="4876" w:type="dxa"/>
            <w:tcBorders>
              <w:top w:val="nil"/>
              <w:left w:val="nil"/>
              <w:bottom w:val="nil"/>
              <w:right w:val="nil"/>
            </w:tcBorders>
          </w:tcPr>
          <w:p>
            <w:pPr>
              <w:pStyle w:val="Normal6a"/>
            </w:pPr>
            <w:r>
              <w:t>18.</w:t>
            </w:r>
            <w:r>
              <w:tab/>
            </w:r>
            <w:r>
              <w:t xml:space="preserve">je toho názoru, že ani jednostranná opatření ani dohody o zamezení dvojího zdanění nenabízejí adekvátní řešení globálních výzev v oblasti daní, naopak vytvářejí riziko odvetných opatření, a domnívá se, že </w:t>
            </w:r>
            <w:r>
              <w:rPr>
                <w:b/>
                <w:i/>
              </w:rPr>
              <w:t>jedinou účinnou</w:t>
            </w:r>
            <w:r>
              <w:t xml:space="preserve"> cestou vpřed by bylo globální řešení pro digitální zdanění;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zdůrazňuje však, že pokud nebude nalezeno globální řešení, mohou regionální nebo jednostranná opatření hrát roli při zajišťování větší daňové spravedlnosti;</w:t>
            </w:r>
            <w:r>
              <w:t xml:space="preserve"> </w:t>
            </w:r>
            <w:r>
              <w:rPr>
                <w:b/>
                <w:i/>
              </w:rPr>
              <w:t>naléhavě vyzývá Komisi, aby přezkoumala rozsah opatření EU v oblasti spravedlivého zdanění digitální ekonomiky s ohledem na nedávný politický vývoj v rámci dvou pilířů OECD;</w:t>
            </w:r>
            <w:r>
              <w:t xml:space="preserve"> </w:t>
            </w:r>
            <w:r>
              <w:rPr>
                <w:b/>
                <w:i/>
              </w:rPr>
              <w:t>vyzývá k obnovení úvah o digitální dani EU, která by zajistila společný přístup ke zdanění digitálního odvětví a posílila globální konkurenceschopnost EU zavedením právní jistoty a rovných podmínek pro digitální podniky působící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zdůrazňuje, že jakákoli budoucí mezinárodní dohoda o daňové spolupráci by měla obsahovat ustanovení o reciprocitě, aby podniky ze třetích zemí, které mají přístup na jednotný trh, podléhaly stejným daňovým povinnostem, jaké se vztahují na podniky z Unie;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bere na vědomí</w:t>
            </w:r>
            <w:r>
              <w:t xml:space="preserve"> probíhající jednání na základě Rámcové úmluvy OSN o mezinárodní daňové spolupráci, jejichž cílem je zlepšit daňovou spolupráci a transparentnost v celosvětovém kontextu;</w:t>
            </w:r>
          </w:p>
        </w:tc>
        <w:tc>
          <w:tcPr>
            <w:tcW w:w="4876" w:type="dxa"/>
            <w:tcBorders>
              <w:top w:val="nil"/>
              <w:left w:val="nil"/>
              <w:bottom w:val="nil"/>
              <w:right w:val="nil"/>
            </w:tcBorders>
          </w:tcPr>
          <w:p>
            <w:pPr>
              <w:pStyle w:val="Normal6a"/>
            </w:pPr>
            <w:r>
              <w:t>19.</w:t>
            </w:r>
            <w:r>
              <w:tab/>
            </w:r>
            <w:r>
              <w:rPr>
                <w:b/>
                <w:i/>
              </w:rPr>
              <w:t>vítá</w:t>
            </w:r>
            <w:r>
              <w:t xml:space="preserve"> probíhající jednání na základě Rámcové úmluvy OSN o mezinárodní daňové spolupráci, jejichž cílem je zlepšit daňovou spolupráci a transparentnost v celosvětovém kontextu; </w:t>
            </w:r>
            <w:r>
              <w:rPr>
                <w:b/>
                <w:i/>
              </w:rPr>
              <w:t>domnívá se, že tato úmluva by měla být navržena tak, aby zajišťovala spravedlivé rozdělení práv zdanění mezi národní státy a při řádném zohlednění vnitrostátní daňové suverenity podporovala úsilí o boj proti škodlivým daňovým praktikám a nezákonným finančním tokům;</w:t>
            </w:r>
            <w:r>
              <w:t xml:space="preserve"> </w:t>
            </w:r>
            <w:r>
              <w:rPr>
                <w:b/>
                <w:i/>
              </w:rPr>
              <w:t>v této souvislosti zdůrazňuje, že Unie by měla hrát aktivní úlohu tím, že rozvojovým zemím umožní mobilizovat jejich domácí zdroje, zejména prostřednictvím posílené daňové správy, a že by měla převzít vedoucí úlohu v boji proti nezákonným finančním tokům;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bere na vědomí probíhající jednání na základě Rámcové úmluvy OSN o mezinárodní daňové spolupráci</w:t>
            </w:r>
            <w:r>
              <w:rPr>
                <w:b/>
                <w:i/>
              </w:rPr>
              <w:t>, jejichž cílem je zlepšit daňovou spolupráci a transparentnost v celosvětovém kontextu</w:t>
            </w:r>
            <w:r>
              <w:t>;</w:t>
            </w:r>
          </w:p>
        </w:tc>
        <w:tc>
          <w:tcPr>
            <w:tcW w:w="4876" w:type="dxa"/>
            <w:tcBorders>
              <w:top w:val="nil"/>
              <w:left w:val="nil"/>
              <w:bottom w:val="nil"/>
              <w:right w:val="nil"/>
            </w:tcBorders>
          </w:tcPr>
          <w:p>
            <w:pPr>
              <w:pStyle w:val="Normal6a"/>
            </w:pPr>
            <w:r>
              <w:t>19.</w:t>
            </w:r>
            <w:r>
              <w:tab/>
            </w:r>
            <w:r>
              <w:rPr>
                <w:b/>
                <w:i/>
              </w:rPr>
              <w:t>se znepokojením</w:t>
            </w:r>
            <w:r>
              <w:t xml:space="preserve"> bere na vědomí probíhající jednání na základě Rámcové úmluvy OSN o mezinárodní daňové spolupráci</w:t>
            </w:r>
            <w:r>
              <w:rPr>
                <w:b/>
                <w:i/>
              </w:rPr>
              <w:t>;</w:t>
            </w:r>
            <w:r>
              <w:t xml:space="preserve"> </w:t>
            </w:r>
            <w:r>
              <w:rPr>
                <w:b/>
                <w:i/>
              </w:rPr>
              <w:t>důrazně se staví proti navrhovaným ustanovením, jako je článek 5, která by mohla být vykládána tak, že vyžadují povinné opětovné projednání stávajících dvoustranných daňových dohod, čímž by byla narušena dlouhodobá právní jistota</w:t>
            </w:r>
            <w:r>
              <w:t xml:space="preserve">; </w:t>
            </w:r>
            <w:r>
              <w:rPr>
                <w:b/>
                <w:i/>
              </w:rPr>
              <w:t>odmítá jakýkoli mezinárodní daňový rámec, který přechází od rozhodování založeného na konsenzu k hlasování prostou většinou;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bere na vědomí</w:t>
            </w:r>
            <w:r>
              <w:t xml:space="preserve"> probíhající jednání na základě Rámcové úmluvy OSN o mezinárodní daňové spolupráci, jejichž cílem je </w:t>
            </w:r>
            <w:r>
              <w:rPr>
                <w:b/>
                <w:i/>
              </w:rPr>
              <w:t>zlepšit</w:t>
            </w:r>
            <w:r>
              <w:t xml:space="preserve"> daňovou spolupráci a </w:t>
            </w:r>
            <w:r>
              <w:rPr>
                <w:b/>
                <w:i/>
              </w:rPr>
              <w:t>transparentnost v celosvětovém kontextu</w:t>
            </w:r>
            <w:r>
              <w:t>;</w:t>
            </w:r>
          </w:p>
        </w:tc>
        <w:tc>
          <w:tcPr>
            <w:tcW w:w="4876" w:type="dxa"/>
            <w:tcBorders>
              <w:top w:val="nil"/>
              <w:left w:val="nil"/>
              <w:bottom w:val="nil"/>
              <w:right w:val="nil"/>
            </w:tcBorders>
          </w:tcPr>
          <w:p>
            <w:pPr>
              <w:pStyle w:val="Normal6a"/>
            </w:pPr>
            <w:r>
              <w:t>19.</w:t>
            </w:r>
            <w:r>
              <w:tab/>
            </w:r>
            <w:r>
              <w:rPr>
                <w:b/>
                <w:i/>
              </w:rPr>
              <w:t>vítá</w:t>
            </w:r>
            <w:r>
              <w:t xml:space="preserve"> probíhající jednání na základě Rámcové úmluvy OSN o mezinárodní daňové spolupráci, jejichž cílem je </w:t>
            </w:r>
            <w:r>
              <w:rPr>
                <w:b/>
                <w:i/>
              </w:rPr>
              <w:t>navázat plně inkluzivní mezinárodní</w:t>
            </w:r>
            <w:r>
              <w:t xml:space="preserve"> daňovou spolupráci a </w:t>
            </w:r>
            <w:r>
              <w:rPr>
                <w:b/>
                <w:i/>
              </w:rPr>
              <w:t>vytvořit spravedlivý, transparentní, efektivní, rovnoprávný a účinný mezinárodní daňový systém pro udržitelný rozvoj;</w:t>
            </w:r>
            <w:r>
              <w:t xml:space="preserve"> </w:t>
            </w:r>
            <w:r>
              <w:rPr>
                <w:b/>
                <w:i/>
              </w:rPr>
              <w:t>vyzývá členské státy, aby se do tohoto procesu i nadále konstruktivně zapojovaly bez ohledu na práci vykonanou v rámci OECD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bere na vědomí probíhající jednání na základě Rámcové úmluvy OSN o mezinárodní daňové spolupráci, jejichž cílem je zlepšit daňovou spolupráci a transparentnost v celosvětovém kontextu;</w:t>
            </w:r>
          </w:p>
        </w:tc>
        <w:tc>
          <w:tcPr>
            <w:tcW w:w="4876" w:type="dxa"/>
            <w:tcBorders>
              <w:top w:val="nil"/>
              <w:left w:val="nil"/>
              <w:bottom w:val="nil"/>
              <w:right w:val="nil"/>
            </w:tcBorders>
          </w:tcPr>
          <w:p>
            <w:pPr>
              <w:pStyle w:val="Normal6a"/>
            </w:pPr>
            <w:r>
              <w:t>19.</w:t>
            </w:r>
            <w:r>
              <w:tab/>
            </w:r>
            <w:r>
              <w:t xml:space="preserve">bere na vědomí probíhající jednání na základě Rámcové úmluvy OSN o mezinárodní daňové spolupráci, jejichž cílem je zlepšit daňovou spolupráci a transparentnost v celosvětovém kontextu; </w:t>
            </w:r>
            <w:r>
              <w:rPr>
                <w:b/>
                <w:i/>
              </w:rPr>
              <w:t>zdůrazňuje, že jakýkoli proces vedený OSN by měl doplňovat stávající normy OECD/G20 a neměl by je duplikovat ani oslabovat, měl by zachovávat právní jistotu a neměl by vytvářet protichůdné povinnosti pro členské státy, daňové správy nebo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bere na vědomí</w:t>
            </w:r>
            <w:r>
              <w:t xml:space="preserve"> probíhající jednání na základě Rámcové úmluvy OSN o mezinárodní daňové spolupráci, jejichž cílem je zlepšit daňovou spolupráci a transparentnost v celosvětovém kontextu;</w:t>
            </w:r>
          </w:p>
        </w:tc>
        <w:tc>
          <w:tcPr>
            <w:tcW w:w="4876" w:type="dxa"/>
            <w:tcBorders>
              <w:top w:val="nil"/>
              <w:left w:val="nil"/>
              <w:bottom w:val="nil"/>
              <w:right w:val="nil"/>
            </w:tcBorders>
          </w:tcPr>
          <w:p>
            <w:pPr>
              <w:pStyle w:val="Normal6a"/>
            </w:pPr>
            <w:r>
              <w:t>19.</w:t>
            </w:r>
            <w:r>
              <w:tab/>
            </w:r>
            <w:r>
              <w:rPr>
                <w:b/>
                <w:i/>
              </w:rPr>
              <w:t>vítá</w:t>
            </w:r>
            <w:r>
              <w:t xml:space="preserve"> probíhající jednání na základě Rámcové úmluvy OSN o mezinárodní daňové spolupráci, jejichž cílem je zlepšit daňovou spolupráci a transparentnost v celosvětovém kontextu;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členské státy, aby zlepšily vzájemnou koordinaci a aby na mnohostranných fórech zastávaly jednotný postoj; dále vybízí Komisi, aby byla členským státům nápomocna při účinném prosazování vlastních zájmů na těchto fórech;</w:t>
            </w:r>
          </w:p>
        </w:tc>
        <w:tc>
          <w:tcPr>
            <w:tcW w:w="4876" w:type="dxa"/>
            <w:tcBorders>
              <w:top w:val="nil"/>
              <w:left w:val="nil"/>
              <w:bottom w:val="nil"/>
              <w:right w:val="nil"/>
            </w:tcBorders>
          </w:tcPr>
          <w:p>
            <w:pPr>
              <w:pStyle w:val="Normal6a"/>
            </w:pPr>
            <w:r>
              <w:t>20.</w:t>
            </w:r>
            <w:r>
              <w:tab/>
            </w:r>
            <w:r>
              <w:t xml:space="preserve">vyzývá členské státy, aby zlepšily vzájemnou koordinaci a aby na mnohostranných fórech </w:t>
            </w:r>
            <w:r>
              <w:rPr>
                <w:b/>
                <w:i/>
              </w:rPr>
              <w:t>případně</w:t>
            </w:r>
            <w:r>
              <w:t xml:space="preserve"> zastávaly jednotný postoj </w:t>
            </w:r>
            <w:r>
              <w:rPr>
                <w:b/>
                <w:i/>
              </w:rPr>
              <w:t>a zároveň si zachovaly své individuální právo nezávisle vyjednávat a hlasovat v souladu s vnitrostátními zájmy;</w:t>
            </w:r>
            <w:r>
              <w:t xml:space="preserve"> </w:t>
            </w:r>
            <w:r>
              <w:rPr>
                <w:b/>
                <w:i/>
              </w:rPr>
              <w:t>důrazně odmítá veškeré pokusy o přenesení výlučné vnější pravomoci v daňových záležitostech na Komisi</w:t>
            </w:r>
            <w:r>
              <w:t xml:space="preserve">; dále vybízí Komisi, aby byla členským státům </w:t>
            </w:r>
            <w:r>
              <w:rPr>
                <w:b/>
                <w:i/>
              </w:rPr>
              <w:t>na jejich žádost</w:t>
            </w:r>
            <w:r>
              <w:t xml:space="preserve"> nápomocna při účinném prosazování vlastních zájmů na těchto fórech;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členské státy, aby zlepšily vzájemnou koordinaci a aby na mnohostranných fórech zastávaly jednotný postoj; dále vybízí Komisi, aby byla členským státům nápomocna při účinném prosazování vlastních zájmů na těchto fórech;</w:t>
            </w:r>
          </w:p>
        </w:tc>
        <w:tc>
          <w:tcPr>
            <w:tcW w:w="4876" w:type="dxa"/>
            <w:tcBorders>
              <w:top w:val="nil"/>
              <w:left w:val="nil"/>
              <w:bottom w:val="nil"/>
              <w:right w:val="nil"/>
            </w:tcBorders>
          </w:tcPr>
          <w:p>
            <w:pPr>
              <w:pStyle w:val="Normal6a"/>
            </w:pPr>
            <w:r>
              <w:t>20.</w:t>
            </w:r>
            <w:r>
              <w:tab/>
            </w:r>
            <w:r>
              <w:t>vyzývá členské státy, aby zlepšily vzájemnou koordinaci a aby na mnohostranných fórech zastávaly jednotný postoj</w:t>
            </w:r>
            <w:r>
              <w:rPr>
                <w:b/>
                <w:i/>
              </w:rPr>
              <w:t>, který bude odrážet zájmy EU, zjednoduší daňové povinnosti a zajistí soudržnost v mezinárodním daňovém rámci</w:t>
            </w:r>
            <w:r>
              <w:t>; dále vybízí Komisi, aby byla členským státům nápomocna při účinném prosazování vlastních zájmů na těchto fórech;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členské státy, aby zlepšily vzájemnou koordinaci a </w:t>
            </w:r>
            <w:r>
              <w:rPr>
                <w:b/>
                <w:i/>
              </w:rPr>
              <w:t>aby</w:t>
            </w:r>
            <w:r>
              <w:t xml:space="preserve"> na mnohostranných fórech zastávaly </w:t>
            </w:r>
            <w:r>
              <w:rPr>
                <w:b/>
                <w:i/>
              </w:rPr>
              <w:t>jednotný postoj;</w:t>
            </w:r>
            <w:r>
              <w:t xml:space="preserve"> </w:t>
            </w:r>
            <w:r>
              <w:rPr>
                <w:b/>
                <w:i/>
              </w:rPr>
              <w:t>dále vybízí</w:t>
            </w:r>
            <w:r>
              <w:t xml:space="preserve"> Komisi, aby </w:t>
            </w:r>
            <w:r>
              <w:rPr>
                <w:b/>
                <w:i/>
              </w:rPr>
              <w:t>byla členským státům nápomocna při účinném prosazování vlastních zájmů</w:t>
            </w:r>
            <w:r>
              <w:t xml:space="preserve"> na těchto fórech;</w:t>
            </w:r>
          </w:p>
        </w:tc>
        <w:tc>
          <w:tcPr>
            <w:tcW w:w="4876" w:type="dxa"/>
            <w:tcBorders>
              <w:top w:val="nil"/>
              <w:left w:val="nil"/>
              <w:bottom w:val="nil"/>
              <w:right w:val="nil"/>
            </w:tcBorders>
          </w:tcPr>
          <w:p>
            <w:pPr>
              <w:pStyle w:val="Normal6a"/>
            </w:pPr>
            <w:r>
              <w:t>20.</w:t>
            </w:r>
            <w:r>
              <w:tab/>
            </w:r>
            <w:r>
              <w:t xml:space="preserve">vyzývá členské státy, aby zlepšily vzájemnou koordinaci a na mnohostranných fórech zastávaly </w:t>
            </w:r>
            <w:r>
              <w:rPr>
                <w:b/>
                <w:i/>
              </w:rPr>
              <w:t>ambiciózní postoje;</w:t>
            </w:r>
            <w:r>
              <w:t xml:space="preserve"> </w:t>
            </w:r>
            <w:r>
              <w:rPr>
                <w:b/>
                <w:i/>
              </w:rPr>
              <w:t>dále důrazně vyzývá</w:t>
            </w:r>
            <w:r>
              <w:t xml:space="preserve"> Komisi, aby </w:t>
            </w:r>
            <w:r>
              <w:rPr>
                <w:b/>
                <w:i/>
              </w:rPr>
              <w:t>zaujala aktivnější a ambicióznější úlohu a účinně zastupovala členské státy</w:t>
            </w:r>
            <w:r>
              <w:t xml:space="preserve"> na těchto fórech;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členské státy, aby zlepšily vzájemnou koordinaci a aby na mnohostranných fórech zastávaly jednotný postoj; dále vybízí Komisi, aby byla členským státům nápomocna při účinném prosazování vlastních zájmů na těchto fórech;</w:t>
            </w:r>
          </w:p>
        </w:tc>
        <w:tc>
          <w:tcPr>
            <w:tcW w:w="4876" w:type="dxa"/>
            <w:tcBorders>
              <w:top w:val="nil"/>
              <w:left w:val="nil"/>
              <w:bottom w:val="nil"/>
              <w:right w:val="nil"/>
            </w:tcBorders>
          </w:tcPr>
          <w:p>
            <w:pPr>
              <w:pStyle w:val="Normal6a"/>
            </w:pPr>
            <w:r>
              <w:t>20.</w:t>
            </w:r>
            <w:r>
              <w:tab/>
            </w:r>
            <w:r>
              <w:t xml:space="preserve">vyzývá členské státy, aby zlepšily vzájemnou koordinaci a aby na mnohostranných fórech zastávaly </w:t>
            </w:r>
            <w:r>
              <w:rPr>
                <w:b/>
                <w:i/>
              </w:rPr>
              <w:t>pevný</w:t>
            </w:r>
            <w:r>
              <w:t xml:space="preserve"> jednotný postoj; dále vybízí Komisi, aby byla členským státům nápomocna při účinném prosazování vlastních zájmů na těchto fórech;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Radu, aby přistoupila k využívání hlasování kvalifikovanou většinou v některých daňových záležitostech týkajících se prevence daňových úniků a vyhýbání se daňovým povinnostem a k provádění mezinárodních daňových dohod;</w:t>
            </w:r>
            <w:r>
              <w:t xml:space="preserve"> </w:t>
            </w:r>
            <w:r>
              <w:rPr>
                <w:b/>
                <w:i/>
              </w:rPr>
              <w:t>zdůrazňuje, že absence větší daňové koordinace nutí členské státy, aby soutěžily o to, kdo nabídne nejnižší sazbu daně, a zároveň brání přeshraniční hospodářské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Komisi, aby vypracovala výroční zprávu o daňovém deficitu mezi podniky z Unie a ze třetích zemí působícími na jednotném trhu, v níž posoudí dopad na konkurenceschopnost, investice a veřejné příjmy členských států, a aby v případě potřeby navrhla nápravná opatření.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vyzývá Komisi a členské státy, aby posílily opatření proti mezinárodním daňovým rájům prosazováním plné transparentnosti skutečného vlastnictví, podporou automatické výměny informací a zajištěním účinného uplatňování globální minimální sazby daně z příjmů právnických osob;</w:t>
            </w:r>
            <w:r>
              <w:t xml:space="preserve"> </w:t>
            </w:r>
            <w:r>
              <w:rPr>
                <w:b/>
                <w:i/>
              </w:rPr>
              <w:t>naléhavě vyzývá k zavedení přísnějších sankcí vůči nespolupracujícím jurisdikcím a vyzývá ke zpřísnění požadavků na podávání zpráv podle jednotlivých zemí pro nadnárodní společnosti s cílem bojovat proti vyhýbání se daňovým povinnostem, daňovým únikům a nezákonným finančním tokům;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naléhavě vyzývá k zavedení přísnějších sankcí vůči nespolupracujícím jurisdikcím a vyzývá ke zpřísnění požadavků pro nadnárodní společnosti na podávání zpráv podle jednotlivých zemí s cílem bojovat proti vyhýbání se daňovým povinnostem, daňovým únikům a nezákonným finančním tokům;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90</w:t>
    </w:r>
    <w:r>
      <w:fldChar w:fldCharType="end"/>
    </w:r>
    <w:r>
      <w:t>/</w:t>
    </w:r>
    <w:r>
      <w:fldChar w:fldCharType="begin"/>
    </w:r>
    <w:r>
      <w:instrText xml:space="preserve"> NUMPAGES </w:instrText>
    </w:r>
    <w:r>
      <w:fldChar w:fldCharType="separate"/>
    </w:r>
    <w:r>
      <w:t>90</w:t>
    </w:r>
    <w:r>
      <w:fldChar w:fldCharType="end"/>
    </w:r>
    <w:r>
      <w:tab/>
    </w:r>
    <w:r>
      <w:rPr>
        <w:rStyle w:val="HideTWBExt"/>
      </w:rPr>
      <w:t>&lt;PathFdR&gt;</w:t>
    </w:r>
    <w:r>
      <w:t>AM\1345549CS.docx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AM\1345549CS.docx</w:t>
    </w:r>
    <w:r>
      <w:rPr>
        <w:rStyle w:val="HideTWBExt"/>
      </w:rPr>
      <w:t>&lt;/PathFdR&gt;</w:t>
    </w:r>
    <w:r>
      <w:tab/>
    </w:r>
    <w:r>
      <w:fldChar w:fldCharType="begin"/>
    </w:r>
    <w:r>
      <w:instrText xml:space="preserve"> PAGE </w:instrText>
    </w:r>
    <w:r>
      <w:fldChar w:fldCharType="separate"/>
    </w:r>
    <w:r>
      <w:t>89</w:t>
    </w:r>
    <w:r>
      <w:fldChar w:fldCharType="end"/>
    </w:r>
    <w:r>
      <w:t>/</w:t>
    </w:r>
    <w:r>
      <w:fldChar w:fldCharType="begin"/>
    </w:r>
    <w:r>
      <w:instrText xml:space="preserve"> NUMPAGES </w:instrText>
    </w:r>
    <w:r>
      <w:fldChar w:fldCharType="separate"/>
    </w:r>
    <w:r>
      <w:t>90</w:t>
    </w:r>
    <w:r>
      <w:fldChar w:fldCharType="end"/>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AM\1345549CS.docx</w:t>
    </w:r>
    <w:r>
      <w:rPr>
        <w:rStyle w:val="HideTWBExt"/>
      </w:rPr>
      <w:t>&lt;/PathFdR&gt;</w:t>
    </w:r>
    <w:r>
      <w:tab/>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90</Pages>
  <Words>18350</Words>
  <Characters>111151</Characters>
  <Application>Microsoft Office Word</Application>
  <DocSecurity>0</DocSecurity>
  <Lines>1</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544674</vt:lpwstr>
  </property>
  <property fmtid="{D5CDD505-2E9C-101B-9397-08002B2CF9AE}" pid="7" name="dmxml.render.traceId">
    <vt:lpwstr>6a3be01554658bb1d1203da9b0ed8e19</vt:lpwstr>
  </property>
  <property fmtid="{D5CDD505-2E9C-101B-9397-08002B2CF9AE}" pid="8" name="FooterPath">
    <vt:lpwstr>AM\1345549CS.docx</vt:lpwstr>
  </property>
  <property fmtid="{D5CDD505-2E9C-101B-9397-08002B2CF9AE}" pid="9" name="PE Number">
    <vt:lpwstr>789.934</vt:lpwstr>
  </property>
  <property fmtid="{D5CDD505-2E9C-101B-9397-08002B2CF9AE}" pid="10" name="UID">
    <vt:lpwstr>eu.europa.europarl-DIN1-2026-0000166805_01.00-cs-01.00_text-xml</vt:lpwstr>
  </property>
</Properties>
</file>