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Commissione per i problemi economici e monetari</w:t>
      </w:r>
      <w:r>
        <w:rPr>
          <w:rStyle w:val="HideTWBExt"/>
        </w:rPr>
        <w:t>&lt;/Commission&gt;</w:t>
      </w:r>
    </w:p>
    <w:p>
      <w:pPr>
        <w:pStyle w:val="LineBottom"/>
      </w:pPr>
      <w:r>
        <w:t xml:space="preserve"> </w:t>
      </w:r>
    </w:p>
    <w:p>
      <w:pPr>
        <w:pStyle w:val="CoverReference"/>
      </w:pPr>
      <w:r>
        <w:rPr>
          <w:rStyle w:val="HideTWBExt"/>
        </w:rPr>
        <w:t>&lt;RefProc&gt;</w:t>
      </w:r>
      <w:r>
        <w:t>2025/2210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{10/06/2026}</w:t>
      </w:r>
      <w:r>
        <w:t>10.6.2026</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Kinga Kollár</w:t>
      </w:r>
      <w:r>
        <w:rPr>
          <w:rStyle w:val="HideTWBExt"/>
        </w:rPr>
        <w:t>&lt;/Rapporteur&gt;</w:t>
      </w:r>
    </w:p>
    <w:p>
      <w:pPr>
        <w:pStyle w:val="CoverNormal24a"/>
      </w:pPr>
      <w:r>
        <w:rPr>
          <w:rStyle w:val="HideTWBExt"/>
        </w:rPr>
        <w:t>&lt;DocRefPE&gt;</w:t>
      </w:r>
      <w:r>
        <w:t>(PE781.467v01-00)</w:t>
      </w:r>
      <w:r>
        <w:rPr>
          <w:rStyle w:val="HideTWBExt"/>
        </w:rPr>
        <w:t>&lt;/DocRefPE&gt;</w:t>
      </w:r>
    </w:p>
    <w:p>
      <w:pPr>
        <w:pStyle w:val="CoverNormal"/>
      </w:pPr>
      <w:r>
        <w:rPr>
          <w:rStyle w:val="HideTWBExt"/>
        </w:rPr>
        <w:t>&lt;Titre&gt;</w:t>
      </w:r>
      <w:r>
        <w:t>L'approccio dell'UE all'imposta sulle società in un contesto internazionale in rapida evoluzione</w:t>
      </w:r>
      <w:r>
        <w:rPr>
          <w:rStyle w:val="HideTWBExt"/>
        </w:rPr>
        <w:t>&lt;/Titre&gt;</w:t>
      </w:r>
    </w:p>
    <w:p>
      <w:pPr>
        <w:pStyle w:val="CoverNormal24a"/>
      </w:pPr>
      <w:r>
        <w:rPr>
          <w:rStyle w:val="HideTWBExt"/>
        </w:rPr>
        <w:t>&lt;DocRef&gt;</w:t>
      </w:r>
      <w:r>
        <w:t>(2025/2210(INI))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31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piano europeo per gli alloggi a prezzi accessibili della Commissione che sottolinea la necessità di semplificare la legislazione europea per stimolare l'offerta di alloggi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31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sulla crisi degli alloggi nell'Unione europea avente l'obiettivo di proporre soluzioni per alloggi dignitosi, sostenibili e a prezzi accessibili,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la fiscalità è un fattore determinante per </w:t>
            </w:r>
            <w:r>
              <w:rPr>
                <w:b/>
                <w:i/>
              </w:rPr>
              <w:t>la competitività globale delle</w:t>
            </w:r>
            <w:r>
              <w:t xml:space="preserve"> imprese </w:t>
            </w:r>
            <w:r>
              <w:rPr>
                <w:b/>
                <w:i/>
              </w:rPr>
              <w:t>dell'UE</w:t>
            </w:r>
            <w:r>
              <w:t xml:space="preserve">; che una tassazione delle imprese equa, semplice ed efficiente contribuisce in modo sostanziale a garantire la </w:t>
            </w:r>
            <w:r>
              <w:rPr>
                <w:b/>
                <w:i/>
              </w:rPr>
              <w:t>crescita economica a lungo termine</w:t>
            </w:r>
            <w:r>
              <w:t xml:space="preserve"> e a fornire agli Stati membri risorse sufficienti </w:t>
            </w:r>
            <w:r>
              <w:rPr>
                <w:b/>
                <w:i/>
              </w:rPr>
              <w:t>per soddisfare le loro esigenze di spesa</w:t>
            </w:r>
            <w:r>
              <w:t>;</w:t>
            </w:r>
          </w:p>
        </w:tc>
        <w:tc>
          <w:tcPr>
            <w:tcW w:w="4876" w:type="dxa"/>
            <w:tcBorders>
              <w:top w:val="nil"/>
              <w:left w:val="nil"/>
              <w:bottom w:val="nil"/>
              <w:right w:val="nil"/>
            </w:tcBorders>
          </w:tcPr>
          <w:p>
            <w:pPr>
              <w:pStyle w:val="Normal6a"/>
            </w:pPr>
            <w:r>
              <w:t>A.</w:t>
            </w:r>
            <w:r>
              <w:tab/>
            </w:r>
            <w:r>
              <w:t xml:space="preserve">considerando che la fiscalità è un fattore determinante per </w:t>
            </w:r>
            <w:r>
              <w:rPr>
                <w:b/>
                <w:i/>
              </w:rPr>
              <w:t>garantire equità e parità di condizioni alle</w:t>
            </w:r>
            <w:r>
              <w:t xml:space="preserve"> imprese </w:t>
            </w:r>
            <w:r>
              <w:rPr>
                <w:b/>
                <w:i/>
              </w:rPr>
              <w:t>che competono nell'economia globale</w:t>
            </w:r>
            <w:r>
              <w:t xml:space="preserve">; che una tassazione delle imprese equa, semplice ed efficiente contribuisce in modo sostanziale a </w:t>
            </w:r>
            <w:r>
              <w:rPr>
                <w:b/>
                <w:i/>
              </w:rPr>
              <w:t>creare condizioni di parità nel mercato unico dell'UE, anche per le piccole e medie imprese, a</w:t>
            </w:r>
            <w:r>
              <w:t xml:space="preserve"> garantire la </w:t>
            </w:r>
            <w:r>
              <w:rPr>
                <w:b/>
                <w:i/>
              </w:rPr>
              <w:t>coesione sociale</w:t>
            </w:r>
            <w:r>
              <w:t xml:space="preserve"> e a fornire agli Stati membri risorse sufficienti </w:t>
            </w:r>
            <w:r>
              <w:rPr>
                <w:b/>
                <w:i/>
              </w:rPr>
              <w:t>e stabili per finanziare i beni pubblici e gli investimenti necessari;</w:t>
            </w:r>
            <w:r>
              <w:t xml:space="preserve"> </w:t>
            </w:r>
            <w:r>
              <w:rPr>
                <w:b/>
                <w:i/>
              </w:rPr>
              <w:t>considerando che recenti ricerche</w:t>
            </w:r>
            <w:r>
              <w:rPr>
                <w:b/>
                <w:i/>
                <w:vertAlign w:val="superscript"/>
              </w:rPr>
              <w:t>1bis</w:t>
            </w:r>
            <w:r>
              <w:rPr>
                <w:b/>
                <w:i/>
              </w:rPr>
              <w:t> indicano che una tassazione delle imprese equa ed efficace può sostenere un'occupazione di qualità e ridurre le disuguaglianze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https://publicservices.international/resources/publications/corporate-taxation-and-employment-dispelling-the-race-to-the-bottom-myth?lang=en&amp;id=15686&amp;showLogin=true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la fiscalità è un fattore determinante per la competitività globale delle imprese dell'UE; che una tassazione delle imprese </w:t>
            </w:r>
            <w:r>
              <w:rPr>
                <w:b/>
                <w:i/>
              </w:rPr>
              <w:t>equa</w:t>
            </w:r>
            <w:r>
              <w:t xml:space="preserve">, semplice </w:t>
            </w:r>
            <w:r>
              <w:rPr>
                <w:b/>
                <w:i/>
              </w:rPr>
              <w:t>ed</w:t>
            </w:r>
            <w:r>
              <w:t xml:space="preserve"> efficiente contribuisce in modo sostanziale a garantire la crescita economica a lungo termine e a fornire agli Stati membri risorse sufficienti per soddisfare le loro esigenze di spesa;</w:t>
            </w:r>
          </w:p>
        </w:tc>
        <w:tc>
          <w:tcPr>
            <w:tcW w:w="4876" w:type="dxa"/>
            <w:tcBorders>
              <w:top w:val="nil"/>
              <w:left w:val="nil"/>
              <w:bottom w:val="nil"/>
              <w:right w:val="nil"/>
            </w:tcBorders>
          </w:tcPr>
          <w:p>
            <w:pPr>
              <w:pStyle w:val="Normal6a"/>
            </w:pPr>
            <w:r>
              <w:t>A.</w:t>
            </w:r>
            <w:r>
              <w:tab/>
            </w:r>
            <w:r>
              <w:t xml:space="preserve">considerando che la fiscalità è un fattore determinante per la competitività globale delle imprese dell'UE; che una tassazione delle imprese </w:t>
            </w:r>
            <w:r>
              <w:rPr>
                <w:b/>
                <w:i/>
              </w:rPr>
              <w:t>bassa</w:t>
            </w:r>
            <w:r>
              <w:t>, semplice</w:t>
            </w:r>
            <w:r>
              <w:rPr>
                <w:b/>
                <w:i/>
              </w:rPr>
              <w:t>,</w:t>
            </w:r>
            <w:r>
              <w:t xml:space="preserve"> efficiente </w:t>
            </w:r>
            <w:r>
              <w:rPr>
                <w:b/>
                <w:i/>
              </w:rPr>
              <w:t>e prevedibile</w:t>
            </w:r>
            <w:r>
              <w:t xml:space="preserve"> contribuisce in modo sostanziale a garantire la crescita economica a lungo termine</w:t>
            </w:r>
            <w:r>
              <w:rPr>
                <w:b/>
                <w:i/>
              </w:rPr>
              <w:t>, a incoraggiare gli investimenti</w:t>
            </w:r>
            <w:r>
              <w:t xml:space="preserve"> e a fornire agli Stati membri risorse sufficienti per soddisfare le loro esigenze di spesa;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la fiscalità è un fattore </w:t>
            </w:r>
            <w:r>
              <w:rPr>
                <w:b/>
                <w:i/>
              </w:rPr>
              <w:t>determinante</w:t>
            </w:r>
            <w:r>
              <w:t xml:space="preserve"> per la competitività globale delle imprese dell'UE; che una tassazione delle imprese equa, semplice ed efficiente contribuisce in modo sostanziale a garantire la crescita economica a lungo termine e a fornire agli Stati membri risorse sufficienti per soddisfare le loro esigenze di spesa;</w:t>
            </w:r>
          </w:p>
        </w:tc>
        <w:tc>
          <w:tcPr>
            <w:tcW w:w="4876" w:type="dxa"/>
            <w:tcBorders>
              <w:top w:val="nil"/>
              <w:left w:val="nil"/>
              <w:bottom w:val="nil"/>
              <w:right w:val="nil"/>
            </w:tcBorders>
          </w:tcPr>
          <w:p>
            <w:pPr>
              <w:pStyle w:val="Normal6a"/>
            </w:pPr>
            <w:r>
              <w:t>A.</w:t>
            </w:r>
            <w:r>
              <w:tab/>
            </w:r>
            <w:r>
              <w:t xml:space="preserve">considerando che la fiscalità è un fattore </w:t>
            </w:r>
            <w:r>
              <w:rPr>
                <w:b/>
                <w:i/>
              </w:rPr>
              <w:t>significativo</w:t>
            </w:r>
            <w:r>
              <w:t xml:space="preserve"> per la competitività globale delle imprese dell'UE; che una tassazione delle imprese equa, semplice ed efficiente contribuisce in modo sostanziale a garantire la crescita economica a lungo termine e a fornire agli Stati membri risorse sufficienti per soddisfare le loro esigenze di spesa;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l'elusione dell'imposta sulle società e il trasferimento degli utili hanno un notevole impatto distributivo, erodono le entrate pubbliche e trasferiscono l'onere fiscale sui lavoratori, sulle PMI e sulle famiglie, acuendo in tal modo le disuguaglianze, indebolendo il finanziamento dei servizi pubblici essenziali e minando la fiducia nell'equità del sistema fiscale;</w:t>
            </w:r>
            <w:r>
              <w:t xml:space="preserve"> </w:t>
            </w:r>
            <w:r>
              <w:rPr>
                <w:b/>
                <w:i/>
              </w:rPr>
              <w:t>che la ricerca empirica dimostra che norme più deboli contro l'elusione fiscale e il trasferimento degli utili delle imprese sono associati a perdite di posti di lavoro misurabili nelle attività delle società multinazionali nei mercati nazionali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l'imposizione diretta rimane una competenza nazionale degli Stati membri,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 e da direttive dell'UE sulla lotta all'elusione fiscale (ATAD) e sul rafforzamento della cooperazione amministrativa (DAC);</w:t>
            </w:r>
          </w:p>
        </w:tc>
        <w:tc>
          <w:tcPr>
            <w:tcW w:w="4876" w:type="dxa"/>
            <w:tcBorders>
              <w:top w:val="nil"/>
              <w:left w:val="nil"/>
              <w:bottom w:val="nil"/>
              <w:right w:val="nil"/>
            </w:tcBorders>
          </w:tcPr>
          <w:p>
            <w:pPr>
              <w:pStyle w:val="Normal6a"/>
            </w:pPr>
            <w:r>
              <w:t>B.</w:t>
            </w:r>
            <w:r>
              <w:tab/>
            </w:r>
            <w:r>
              <w:t xml:space="preserve">considerando che l'imposizione diretta rimane </w:t>
            </w:r>
            <w:r>
              <w:rPr>
                <w:b/>
                <w:i/>
              </w:rPr>
              <w:t>perlopiù</w:t>
            </w:r>
            <w:r>
              <w:t xml:space="preserve"> una competenza nazionale degli Stati membri,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 e da direttive dell'UE sulla lotta all'elusione fiscale (ATAD) e sul rafforzamento della cooperazione amministrativa (DAC); </w:t>
            </w:r>
            <w:r>
              <w:rPr>
                <w:b/>
                <w:i/>
              </w:rPr>
              <w:t>che il requisito dell'unanimità per le decisioni del Consiglio in materia fiscale ha spesso ostacolato i progressi nelle iniziative fiscali comuni, limitando la capacità dell'Unione di rispondere efficacemente alle sfide fiscali globali, combattere l'elusione e l'evasione fiscali e garantire una tassazione equa in tutto il mercato unico;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l'imposizione diretta rimane una competenza nazionale degli Stati membri,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 </w:t>
            </w:r>
            <w:r>
              <w:rPr>
                <w:b/>
                <w:i/>
              </w:rPr>
              <w:t>e da direttive dell'UE sulla lotta all'elusione fiscale (ATAD) e sul rafforzamento della cooperazione amministrativa (DAC)</w:t>
            </w:r>
            <w:r>
              <w:t>;</w:t>
            </w:r>
          </w:p>
        </w:tc>
        <w:tc>
          <w:tcPr>
            <w:tcW w:w="4876" w:type="dxa"/>
            <w:tcBorders>
              <w:top w:val="nil"/>
              <w:left w:val="nil"/>
              <w:bottom w:val="nil"/>
              <w:right w:val="nil"/>
            </w:tcBorders>
          </w:tcPr>
          <w:p>
            <w:pPr>
              <w:pStyle w:val="Normal6a"/>
            </w:pPr>
            <w:r>
              <w:t>B.</w:t>
            </w:r>
            <w:r>
              <w:tab/>
            </w:r>
            <w:r>
              <w:t>considerando che l'imposizione diretta rimane una competenza nazionale degli Stati membri</w:t>
            </w:r>
            <w:r>
              <w:rPr>
                <w:b/>
                <w:i/>
              </w:rPr>
              <w:t>, che l'azione a livello dell'UE continua a svolgere un ruolo chiave, in particolare attraverso direttive volte a combattere l'elusione fiscale (ATAD) e a rafforzare la cooperazione tra le autorità fiscali (DAC)</w:t>
            </w:r>
            <w:r>
              <w:t>,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l'imposizione diretta rimane una competenza nazionale degli Stati membri,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 e da direttive dell'UE sulla lotta all'elusione fiscale (ATAD) e sul rafforzamento della cooperazione amministrativa (DAC);</w:t>
            </w:r>
          </w:p>
        </w:tc>
        <w:tc>
          <w:tcPr>
            <w:tcW w:w="4876" w:type="dxa"/>
            <w:tcBorders>
              <w:top w:val="nil"/>
              <w:left w:val="nil"/>
              <w:bottom w:val="nil"/>
              <w:right w:val="nil"/>
            </w:tcBorders>
          </w:tcPr>
          <w:p>
            <w:pPr>
              <w:pStyle w:val="Normal6a"/>
            </w:pPr>
            <w:r>
              <w:t>B.</w:t>
            </w:r>
            <w:r>
              <w:tab/>
            </w:r>
            <w:r>
              <w:t xml:space="preserve">considerando che l'imposizione diretta rimane una competenza nazionale </w:t>
            </w:r>
            <w:r>
              <w:rPr>
                <w:b/>
                <w:i/>
              </w:rPr>
              <w:t>esclusiva e fondamentale</w:t>
            </w:r>
            <w:r>
              <w:t xml:space="preserve"> degli Stati membri, </w:t>
            </w:r>
            <w:r>
              <w:rPr>
                <w:b/>
                <w:i/>
              </w:rPr>
              <w:t>che deve essere pienamente rispettata;</w:t>
            </w:r>
            <w:r>
              <w:t xml:space="preserve">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 e da direttive dell'UE sulla lotta all'elusione fiscale (ATAD) e sul rafforzamento della cooperazione amministrativa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l'imposizione diretta rimane una competenza nazionale degli Stati membri,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 e da direttive dell'UE sulla lotta all'elusione fiscale (ATAD) e sul rafforzamento della cooperazione amministrativa (DAC);</w:t>
            </w:r>
          </w:p>
        </w:tc>
        <w:tc>
          <w:tcPr>
            <w:tcW w:w="4876" w:type="dxa"/>
            <w:tcBorders>
              <w:top w:val="nil"/>
              <w:left w:val="nil"/>
              <w:bottom w:val="nil"/>
              <w:right w:val="nil"/>
            </w:tcBorders>
          </w:tcPr>
          <w:p>
            <w:pPr>
              <w:pStyle w:val="Normal6a"/>
            </w:pPr>
            <w:r>
              <w:t>B.</w:t>
            </w:r>
            <w:r>
              <w:tab/>
            </w:r>
            <w:r>
              <w:t xml:space="preserve">considerando che l'imposizione diretta rimane una competenza nazionale </w:t>
            </w:r>
            <w:r>
              <w:rPr>
                <w:b/>
                <w:i/>
              </w:rPr>
              <w:t>esclusiva</w:t>
            </w:r>
            <w:r>
              <w:t xml:space="preserve"> degli Stati membri, mentre la tassazione internazionale delle imprese è disciplinata da una complessa serie di trattati bilaterali volti a evitare la doppia imposizione e a prevenire l'evasione fiscale in materia di imposte sul reddito e sul patrimonio, noti come accordi contro la doppia imposizione, nonché da strumenti multilaterali intesi a prevenire l'erosione della base imponibile e il trasferimento degli utili e da direttive dell'UE sulla lotta all'elusione fiscale (ATAD) e sul rafforzamento della cooperazione amministrativa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le norme in materia di imposta sugli interessi e sul capitale, nonché le norme in materia di imposta sulle società, non sono pienamente armonizzate in tutta l'UE, il che rende più difficile e costoso per i partecipanti al mercato essere attivi in più Stati membri dell'UE</w:t>
            </w:r>
            <w:r>
              <w:rPr>
                <w:b/>
                <w:i/>
                <w:vertAlign w:val="superscript"/>
              </w:rPr>
              <w:t>13bis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13bis</w:t>
            </w:r>
            <w:r>
              <w:t xml:space="preserve"> </w:t>
            </w:r>
            <w:r>
              <w:rPr>
                <w:b/>
                <w:i/>
              </w:rPr>
              <w:t>Banca centrale europea, Financial Integration and Structure in the Euro Area 2026 (Integrazione e struttura finanziaria nella zona euro 2026), pag. 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secondo le stime dell'OCSE, le perdite globali di gettito dovute all'erosione della base imponibile e al trasferimento degli utili sono comprese tra 100 e 240 miliardi di USD all'anno, pari a circa il 4-10 % del gettito globale dell'imposta sul reddito delle società, il che si traduce in perdite considerevoli per i bilanci degli Stati membri;</w:t>
            </w:r>
          </w:p>
        </w:tc>
        <w:tc>
          <w:tcPr>
            <w:tcW w:w="4876" w:type="dxa"/>
            <w:tcBorders>
              <w:top w:val="nil"/>
              <w:left w:val="nil"/>
              <w:bottom w:val="nil"/>
              <w:right w:val="nil"/>
            </w:tcBorders>
          </w:tcPr>
          <w:p>
            <w:pPr>
              <w:pStyle w:val="Normal6a"/>
            </w:pPr>
            <w:r>
              <w:t>C.</w:t>
            </w:r>
            <w:r>
              <w:tab/>
            </w:r>
            <w:r>
              <w:t xml:space="preserve">considerando che, secondo le stime dell'OCSE, le perdite globali di gettito dovute all'erosione della base imponibile e al trasferimento degli utili sono comprese tra 100 e 240 miliardi di USD all'anno, pari a circa il 4-10 % del gettito globale dell'imposta sul reddito delle società, il che si traduce in perdite considerevoli per i bilanci degli Stati membri; </w:t>
            </w:r>
            <w:r>
              <w:rPr>
                <w:b/>
                <w:i/>
              </w:rPr>
              <w:t>che, secondo l'Osservatorio fiscale internazionale, l'aliquota fiscale effettiva delle società multinazionali è diminuita di 2,7 punti percentuali nell'Unione europea tra il 2014 e il 2022</w:t>
            </w:r>
            <w:r>
              <w:rPr>
                <w:b/>
                <w:i/>
                <w:vertAlign w:val="superscript"/>
              </w:rPr>
              <w:t>2bis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2bis</w:t>
            </w:r>
            <w:r>
              <w:t xml:space="preserve"> </w:t>
            </w:r>
            <w:r>
              <w:rPr>
                <w:b/>
                <w:i/>
              </w:rPr>
              <w:t>https://taxobservatory.eu/eutax-publication/the-new-face-of-corporate-tax-competition/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secondo le stime dell'OCSE, le perdite globali di gettito dovute all'erosione della base imponibile e al trasferimento degli utili sono comprese tra 100 e 240 miliardi di USD all'anno, pari a circa il 4-10 % del gettito globale dell'imposta sul reddito delle società, il che si traduce in perdite considerevoli per i bilanci degli Stati membri;</w:t>
            </w:r>
          </w:p>
        </w:tc>
        <w:tc>
          <w:tcPr>
            <w:tcW w:w="4876" w:type="dxa"/>
            <w:tcBorders>
              <w:top w:val="nil"/>
              <w:left w:val="nil"/>
              <w:bottom w:val="nil"/>
              <w:right w:val="nil"/>
            </w:tcBorders>
          </w:tcPr>
          <w:p>
            <w:pPr>
              <w:pStyle w:val="Normal6a"/>
            </w:pPr>
            <w:r>
              <w:t>C.</w:t>
            </w:r>
            <w:r>
              <w:tab/>
            </w:r>
            <w:r>
              <w:t xml:space="preserve">considerando che, secondo le stime dell'OCSE, le perdite globali di gettito dovute all'erosione della base imponibile e al trasferimento degli utili sono comprese tra 100 e 240 miliardi di USD all'anno, pari a circa il 4-10 % del gettito globale dell'imposta sul reddito delle società, il che si traduce in perdite considerevoli per i bilanci degli Stati membri; </w:t>
            </w:r>
            <w:r>
              <w:rPr>
                <w:b/>
                <w:i/>
              </w:rPr>
              <w:t>che tali perdite sono spesso una conseguenza dell'assenza di coordinamento tra i sistemi fiscali nazionali e della complessità delle norme internazionali;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che, secondo l'OCSE, gli indicatori di alto livello della potenziale attività BEPS sono diminuiti nei poli di investimento rispetto agli ultimi anni e rimangono molto più elevati nei poli di investimento rispetto ad altre giurisdizioni, il che indica il persistere dell'attività BEPS</w:t>
            </w:r>
            <w:r>
              <w:rPr>
                <w:b/>
                <w:i/>
                <w:vertAlign w:val="superscript"/>
              </w:rPr>
              <w:t>14bis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14bis</w:t>
            </w:r>
            <w:r>
              <w:t xml:space="preserve"> </w:t>
            </w:r>
            <w:r>
              <w:rPr>
                <w:b/>
                <w:i/>
              </w:rPr>
              <w:t>https://www.oecd.org/en/publications/corporate-tax-statistics-2025_6a915941-en.html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che la stragrande maggioranza delle imprese agisce in qualità di soggetti aziendali responsabili, fornendo la maggior parte del gettito fiscale, promuovendo l'innovazione e sostenendo il modello sociale europeo attraverso la creazione di posti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l'attività economica è ormai generalmente e in larga misura dissociata dalla presenza fisica, il che crea un disallineamento tra il luogo in cui gli utili sono generati e il luogo in cui sono tassati;</w:t>
            </w:r>
          </w:p>
        </w:tc>
        <w:tc>
          <w:tcPr>
            <w:tcW w:w="4876" w:type="dxa"/>
            <w:tcBorders>
              <w:top w:val="nil"/>
              <w:left w:val="nil"/>
              <w:bottom w:val="nil"/>
              <w:right w:val="nil"/>
            </w:tcBorders>
          </w:tcPr>
          <w:p>
            <w:pPr>
              <w:pStyle w:val="Normal6a"/>
            </w:pPr>
            <w:r>
              <w:t>D.</w:t>
            </w:r>
            <w:r>
              <w:tab/>
            </w:r>
            <w:r>
              <w:t xml:space="preserve">considerando che l'attività economica è ormai generalmente e in larga misura dissociata dalla presenza fisica, </w:t>
            </w:r>
            <w:r>
              <w:rPr>
                <w:b/>
                <w:i/>
              </w:rPr>
              <w:t>di pari passo con il mutare delle caratteristiche dell'economia digitale,</w:t>
            </w:r>
            <w:r>
              <w:t xml:space="preserve"> il che crea un disallineamento tra il luogo in cui gli utili sono generati e il luogo in cui sono tassati;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che l'attività economica </w:t>
            </w:r>
            <w:r>
              <w:rPr>
                <w:b/>
                <w:i/>
              </w:rPr>
              <w:t>è ormai generalmente e in larga misura dissociata</w:t>
            </w:r>
            <w:r>
              <w:t xml:space="preserve"> dalla presenza fisica, il che crea un disallineamento tra il luogo in cui gli utili sono generati e il luogo in cui sono tassati;</w:t>
            </w:r>
          </w:p>
        </w:tc>
        <w:tc>
          <w:tcPr>
            <w:tcW w:w="4876" w:type="dxa"/>
            <w:tcBorders>
              <w:top w:val="nil"/>
              <w:left w:val="nil"/>
              <w:bottom w:val="nil"/>
              <w:right w:val="nil"/>
            </w:tcBorders>
          </w:tcPr>
          <w:p>
            <w:pPr>
              <w:pStyle w:val="Normal6a"/>
            </w:pPr>
            <w:r>
              <w:t>D.</w:t>
            </w:r>
            <w:r>
              <w:tab/>
            </w:r>
            <w:r>
              <w:t>considerando che l'attività economica</w:t>
            </w:r>
            <w:r>
              <w:rPr>
                <w:b/>
                <w:i/>
              </w:rPr>
              <w:t>, in particolare nei modelli imprenditoriali altamente digitalizzati, è diventata sempre meno dipendente</w:t>
            </w:r>
            <w:r>
              <w:t xml:space="preserve"> dalla presenza fisica, il che crea un disallineamento tra il luogo in cui gli utili sono generati e il luogo in cui sono tassati;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l'attività economica è ormai generalmente e in larga misura dissociata dalla presenza fisica</w:t>
            </w:r>
            <w:r>
              <w:rPr>
                <w:b/>
                <w:i/>
              </w:rPr>
              <w:t>, il che crea</w:t>
            </w:r>
            <w:r>
              <w:t xml:space="preserve"> un disallineamento tra il luogo in cui gli utili sono generati e il luogo in cui sono tassati;</w:t>
            </w:r>
          </w:p>
        </w:tc>
        <w:tc>
          <w:tcPr>
            <w:tcW w:w="4876" w:type="dxa"/>
            <w:tcBorders>
              <w:top w:val="nil"/>
              <w:left w:val="nil"/>
              <w:bottom w:val="nil"/>
              <w:right w:val="nil"/>
            </w:tcBorders>
          </w:tcPr>
          <w:p>
            <w:pPr>
              <w:pStyle w:val="Normal6a"/>
            </w:pPr>
            <w:r>
              <w:t>D.</w:t>
            </w:r>
            <w:r>
              <w:tab/>
            </w:r>
            <w:r>
              <w:t xml:space="preserve">considerando che l'attività economica è ormai generalmente e in larga misura dissociata dalla presenza fisica </w:t>
            </w:r>
            <w:r>
              <w:rPr>
                <w:b/>
                <w:i/>
              </w:rPr>
              <w:t>e che vi è</w:t>
            </w:r>
            <w:r>
              <w:t xml:space="preserve"> un disallineamento tra il luogo in cui gli utili sono generati e il luogo in cui sono tassati;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la crescente mobilità dei capitali, insieme alle più ampie tendenze della globalizzazione e della digitalizzazione degli ultimi decenni, ha progressivamente ridotto la capacità dei singoli paesi di garantire l'efficacia della loro politica fiscale e la protezione della loro base imponibile, in particolare per quanto concerne la tassazione delle imprese, ma anche, in misura crescente, le imposte sul reddito delle persone fisiche, il che erode in tal modo le basi delle entrate pubbliche</w:t>
            </w:r>
            <w:r>
              <w:rPr>
                <w:b/>
                <w:i/>
                <w:vertAlign w:val="superscript"/>
              </w:rPr>
              <w:t>15bis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15bis</w:t>
            </w:r>
            <w:r>
              <w:t xml:space="preserve"> </w:t>
            </w:r>
            <w:r>
              <w:rPr>
                <w:b/>
                <w:i/>
              </w:rPr>
              <w:t>de la Feria, R. (2023).</w:t>
            </w:r>
            <w:r>
              <w:t xml:space="preserve"> </w:t>
            </w:r>
            <w:r>
              <w:rPr>
                <w:b/>
                <w:i/>
              </w:rPr>
              <w:t>Pillar 2, Fiat, and the EU Unanimity rule on tax matters.</w:t>
            </w:r>
            <w:r>
              <w:t xml:space="preserve"> </w:t>
            </w:r>
            <w:r>
              <w:rPr>
                <w:b/>
                <w:i/>
              </w:rPr>
              <w:t>(Fiat e la regola dell'unanimità dell'UE in materia fiscale), 3 gennaio 2023, 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le piccole e medie imprese, che generalmente operano principalmente a livello nazionale, possono trovarsi in una situazione di svantaggio competitivo rispetto alle imprese multinazionali che possono sfruttare le opportunità di pianificazione fiscale transfrontaliera, mentre le grandi imprese multinazionali possono non contribuire in modo equo e proporzionato alle esigenze della società;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 soluzione a due pilastri del quadro inclusivo dell'OCSE/G20 sulla BEPS mira a modernizzare le norme fiscali internazionali attraverso la ridistribuzione dei diritti di imposizione alle giurisdizioni di mercato (primo pilastro) e l'introduzione di un'aliquota effettiva d'imposta minima globale sulle società del 15 % (secondo pilastro);</w:t>
            </w:r>
          </w:p>
        </w:tc>
        <w:tc>
          <w:tcPr>
            <w:tcW w:w="4876" w:type="dxa"/>
            <w:tcBorders>
              <w:top w:val="nil"/>
              <w:left w:val="nil"/>
              <w:bottom w:val="nil"/>
              <w:right w:val="nil"/>
            </w:tcBorders>
          </w:tcPr>
          <w:p>
            <w:pPr>
              <w:pStyle w:val="Normal6a"/>
            </w:pPr>
            <w:r>
              <w:t>E.</w:t>
            </w:r>
            <w:r>
              <w:tab/>
            </w:r>
            <w:r>
              <w:t xml:space="preserve">considerando che la soluzione a due pilastri del quadro inclusivo dell'OCSE/G20 sulla BEPS mira a modernizzare le norme fiscali internazionali </w:t>
            </w:r>
            <w:r>
              <w:rPr>
                <w:b/>
                <w:i/>
              </w:rPr>
              <w:t>in risposta alla digitalizzazione e alla globalizzazione</w:t>
            </w:r>
            <w:r>
              <w:t xml:space="preserve"> attraverso la ridistribuzione dei diritti di imposizione alle giurisdizioni di mercato (primo pilastro) e l'introduzione di un'aliquota effettiva d'imposta minima globale sulle società del 15 % (secondo pilastro);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che i negoziati sul primo pilastro hanno subito una battuta d'arresto a livello internazionale; che, in tale contesto, diversi Stati membri hanno introdotto o mantenuto imposte sui servizi digitali a livello nazionale; che il secondo pilastro è stato attuato in tutto o in parte da circa un terzo delle 148 giurisdizioni che partecipano al quadro inclusivo dell'OCSE/G20, mentre alcuni Stati membri lo hanno attuato pienamente attraverso la direttiva sul secondo pilastro;</w:t>
            </w:r>
          </w:p>
        </w:tc>
        <w:tc>
          <w:tcPr>
            <w:tcW w:w="4876" w:type="dxa"/>
            <w:tcBorders>
              <w:top w:val="nil"/>
              <w:left w:val="nil"/>
              <w:bottom w:val="nil"/>
              <w:right w:val="nil"/>
            </w:tcBorders>
          </w:tcPr>
          <w:p>
            <w:pPr>
              <w:pStyle w:val="Normal6a"/>
            </w:pPr>
            <w:r>
              <w:t>F.</w:t>
            </w:r>
            <w:r>
              <w:tab/>
            </w:r>
            <w:r>
              <w:t>considerando che i negoziati sul primo pilastro hanno subito una battuta d'arresto a livello internazionale; che, in tale contesto, diversi Stati membri hanno introdotto o mantenuto imposte sui servizi digitali a livello nazionale</w:t>
            </w:r>
            <w:r>
              <w:rPr>
                <w:b/>
                <w:i/>
              </w:rPr>
              <w:t>;</w:t>
            </w:r>
            <w:r>
              <w:t xml:space="preserve"> </w:t>
            </w:r>
            <w:r>
              <w:rPr>
                <w:b/>
                <w:i/>
              </w:rPr>
              <w:t>che un'imposta europea uniforme sul digitale contribuirebbe a una maggiore equità fiscale internazionale e a un migliore livello di operatività a livello internazionale e all'interno del mercato unico</w:t>
            </w:r>
            <w:r>
              <w:t>; che il secondo pilastro è stato attuato in tutto o in parte da circa un terzo delle 148 giurisdizioni che partecipano al quadro inclusivo dell'OCSE/G20, mentre alcuni Stati membri lo hanno attuato pienamente attraverso la direttiva sul secondo pilastro;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che i negoziati sul primo pilastro hanno subito una battuta d'arresto a livello internazionale; che, in tale contesto, diversi Stati membri hanno introdotto o mantenuto imposte sui servizi digitali a livello nazionale; che il secondo pilastro è stato attuato in tutto o in parte da circa un terzo delle 148 giurisdizioni che partecipano al quadro inclusivo dell'OCSE/G20, mentre alcuni Stati membri lo hanno attuato pienamente attraverso la direttiva sul secondo pilastro;</w:t>
            </w:r>
          </w:p>
        </w:tc>
        <w:tc>
          <w:tcPr>
            <w:tcW w:w="4876" w:type="dxa"/>
            <w:tcBorders>
              <w:top w:val="nil"/>
              <w:left w:val="nil"/>
              <w:bottom w:val="nil"/>
              <w:right w:val="nil"/>
            </w:tcBorders>
          </w:tcPr>
          <w:p>
            <w:pPr>
              <w:pStyle w:val="Normal6a"/>
            </w:pPr>
            <w:r>
              <w:t>F.</w:t>
            </w:r>
            <w:r>
              <w:tab/>
            </w:r>
            <w:r>
              <w:t>considerando che i negoziati sul primo pilastro hanno subito una battuta d'arresto a livello internazionale; che, in tale contesto, diversi Stati membri hanno introdotto o mantenuto imposte sui servizi digitali a livello nazionale</w:t>
            </w:r>
            <w:r>
              <w:rPr>
                <w:b/>
                <w:i/>
              </w:rPr>
              <w:t>;</w:t>
            </w:r>
            <w:r>
              <w:t xml:space="preserve"> </w:t>
            </w:r>
            <w:r>
              <w:rPr>
                <w:b/>
                <w:i/>
              </w:rPr>
              <w:t>che tali misure nazionali rappresentano flussi di entrate vitali e legittimi per gli Stati membri in assenza di un accordo globale</w:t>
            </w:r>
            <w:r>
              <w:t>; che il secondo pilastro è stato attuato in tutto o in parte da circa un terzo delle 148 giurisdizioni che partecipano al quadro inclusivo dell'OCSE/G20, mentre alcuni Stati membri lo hanno attuato pienamente attraverso la direttiva sul secondo pilastro;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che i negoziati sul primo pilastro hanno subito una battuta d'arresto a livello internazionale; che, in tale contesto, diversi Stati membri hanno introdotto o mantenuto imposte sui servizi digitali a livello nazionale; che il secondo pilastro è stato attuato in tutto o in parte da circa un terzo delle 148 giurisdizioni che partecipano al quadro inclusivo dell'OCSE/G20, mentre alcuni Stati membri lo hanno attuato pienamente attraverso la direttiva sul secondo pilastro;</w:t>
            </w:r>
          </w:p>
        </w:tc>
        <w:tc>
          <w:tcPr>
            <w:tcW w:w="4876" w:type="dxa"/>
            <w:tcBorders>
              <w:top w:val="nil"/>
              <w:left w:val="nil"/>
              <w:bottom w:val="nil"/>
              <w:right w:val="nil"/>
            </w:tcBorders>
          </w:tcPr>
          <w:p>
            <w:pPr>
              <w:pStyle w:val="Normal6a"/>
            </w:pPr>
            <w:r>
              <w:t>F.</w:t>
            </w:r>
            <w:r>
              <w:tab/>
            </w:r>
            <w:r>
              <w:t xml:space="preserve">considerando che i negoziati sul primo pilastro hanno subito una battuta d'arresto a livello internazionale; che, in tale contesto, diversi Stati membri hanno introdotto o mantenuto </w:t>
            </w:r>
            <w:r>
              <w:rPr>
                <w:b/>
                <w:i/>
              </w:rPr>
              <w:t>con successo</w:t>
            </w:r>
            <w:r>
              <w:t xml:space="preserve"> imposte sui servizi digitali a livello nazionale; che il secondo pilastro è stato attuato in tutto o in parte da circa un terzo delle 148 giurisdizioni che partecipano al quadro inclusivo dell'OCSE/G20, mentre alcuni Stati membri lo hanno attuato pienamente attraverso la direttiva sul secondo pilastro;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che, su iniziativa degli Stati Uniti, nell'ambito del quadro inclusivo dell'OCSE/G20 sulla BEPS è stato raggiunto un accordo su un approccio parallelo ("side-by-side"), che prevede l'applicazione coordinata e simultanea di diversi regimi di imposizione minima; che nel gennaio 2026 al sistema NCTI degli Stati Uniti è stato concesso lo status di porto sicuro nell'ambito dell'approccio "side-by-side", come riconosciuto dalla Commissione nella sua comunicazione del 12 gennaio 2026;</w:t>
            </w:r>
          </w:p>
        </w:tc>
        <w:tc>
          <w:tcPr>
            <w:tcW w:w="4876" w:type="dxa"/>
            <w:tcBorders>
              <w:top w:val="nil"/>
              <w:left w:val="nil"/>
              <w:bottom w:val="nil"/>
              <w:right w:val="nil"/>
            </w:tcBorders>
          </w:tcPr>
          <w:p>
            <w:pPr>
              <w:pStyle w:val="Normal6a"/>
            </w:pPr>
            <w:r>
              <w:t>G.</w:t>
            </w:r>
            <w:r>
              <w:tab/>
            </w:r>
            <w:r>
              <w:t xml:space="preserve">considerando che, su iniziativa degli Stati Uniti, nell'ambito del quadro inclusivo dell'OCSE/G20 sulla BEPS è stato raggiunto un accordo su un approccio parallelo ("side-by-side"), che prevede l'applicazione coordinata e simultanea di diversi regimi di imposizione minima; che nel gennaio 2026 al sistema NCTI degli Stati Uniti è stato concesso lo status di porto sicuro nell'ambito dell'approccio "side-by-side", come riconosciuto dalla Commissione nella sua comunicazione del 12 gennaio 2026; </w:t>
            </w:r>
            <w:r>
              <w:rPr>
                <w:b/>
                <w:i/>
              </w:rPr>
              <w:t>che l'approccio "side-by-side" esenta le imprese multinazionali con sede negli Stati Uniti dalla piena applicazione delle norme del secondo pilastro, conferendo un vantaggio competitivo strutturale alle imprese con sede negli Stati Uniti che operano nel mercato interno dell'UE e compromettendo l'integrità del quadro globale in materia di imposizione minima;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che, su iniziativa degli Stati Uniti, nell'ambito del quadro inclusivo dell'OCSE/G20 sulla BEPS è stato raggiunto un accordo su un approccio parallelo ("side-by-side"), che prevede l'applicazione coordinata e simultanea di diversi regimi di imposizione minima; che nel gennaio 2026 al sistema NCTI degli Stati Uniti è stato concesso lo status di porto sicuro nell'ambito dell'approccio "side-by-side", come riconosciuto dalla Commissione nella sua comunicazione del 12 gennaio 2026;</w:t>
            </w:r>
          </w:p>
        </w:tc>
        <w:tc>
          <w:tcPr>
            <w:tcW w:w="4876" w:type="dxa"/>
            <w:tcBorders>
              <w:top w:val="nil"/>
              <w:left w:val="nil"/>
              <w:bottom w:val="nil"/>
              <w:right w:val="nil"/>
            </w:tcBorders>
          </w:tcPr>
          <w:p>
            <w:pPr>
              <w:pStyle w:val="Normal6a"/>
            </w:pPr>
            <w:r>
              <w:t>G.</w:t>
            </w:r>
            <w:r>
              <w:tab/>
            </w:r>
            <w:r>
              <w:t xml:space="preserve">considerando che, su iniziativa degli Stati Uniti, nell'ambito del quadro inclusivo dell'OCSE/G20 sulla BEPS è stato raggiunto un accordo su un approccio parallelo ("side-by-side"), che prevede l'applicazione coordinata e simultanea di diversi regimi di imposizione minima; che nel gennaio 2026 al sistema NCTI degli Stati Uniti è stato concesso lo status di porto sicuro nell'ambito dell'approccio "side-by-side", come riconosciuto dalla Commissione nella sua comunicazione del 12 gennaio 2026; </w:t>
            </w:r>
            <w:r>
              <w:rPr>
                <w:b/>
                <w:i/>
              </w:rPr>
              <w:t>che nel febbraio 2026 il Brasile ha chiesto lo status di porto sicuro nell'ambito dell'approccio "side-by-side";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che, su iniziativa degli Stati Uniti, nell'ambito del quadro inclusivo dell'OCSE/G20 sulla BEPS è stato raggiunto un accordo su un approccio parallelo ("side-by-side"), che prevede l'applicazione coordinata e simultanea di diversi regimi di imposizione minima</w:t>
            </w:r>
            <w:r>
              <w:rPr>
                <w:b/>
                <w:i/>
              </w:rPr>
              <w:t>;</w:t>
            </w:r>
            <w:r>
              <w:t xml:space="preserve"> che nel gennaio 2026 al sistema NCTI degli Stati Uniti è stato concesso lo status di porto sicuro nell'ambito dell'approccio "side-by-side", come riconosciuto dalla Commissione nella sua comunicazione del 12 gennaio 2026;</w:t>
            </w:r>
          </w:p>
        </w:tc>
        <w:tc>
          <w:tcPr>
            <w:tcW w:w="4876" w:type="dxa"/>
            <w:tcBorders>
              <w:top w:val="nil"/>
              <w:left w:val="nil"/>
              <w:bottom w:val="nil"/>
              <w:right w:val="nil"/>
            </w:tcBorders>
          </w:tcPr>
          <w:p>
            <w:pPr>
              <w:pStyle w:val="Normal6a"/>
            </w:pPr>
            <w:r>
              <w:t>G.</w:t>
            </w:r>
            <w:r>
              <w:tab/>
            </w:r>
            <w:r>
              <w:t xml:space="preserve">considerando che, su iniziativa degli Stati Uniti, nell'ambito del quadro inclusivo dell'OCSE/G20 sulla BEPS è stato raggiunto un accordo su un approccio parallelo ("side-by-side"), </w:t>
            </w:r>
            <w:r>
              <w:rPr>
                <w:b/>
                <w:i/>
              </w:rPr>
              <w:t>comprese specificità per gli Stati Uniti,</w:t>
            </w:r>
            <w:r>
              <w:t xml:space="preserve"> che prevede l'applicazione coordinata e simultanea di diversi regimi di imposizione minima che nel gennaio 2026 al sistema NCTI degli Stati Uniti è stato concesso lo status di porto sicuro nell'ambito dell'approccio "side-by-side", come riconosciuto dalla Commissione nella sua comunicazione del 12 gennaio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che né l'OCSE né la Commissione hanno pubblicato studi o stime sull'impatto economico dell'approccio "side-by-side";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recenti relazioni dell'UE pongono l'accento sull'importanza della semplificazione fiscale</w:t>
            </w:r>
            <w:r>
              <w:rPr>
                <w:b/>
                <w:i/>
              </w:rPr>
              <w:t>, del riordino delle norme fiscali e di</w:t>
            </w:r>
            <w:r>
              <w:t xml:space="preserve"> incentivi fiscali efficaci in quanto strumenti chiave per </w:t>
            </w:r>
            <w:r>
              <w:rPr>
                <w:b/>
                <w:i/>
              </w:rPr>
              <w:t>ripristinare</w:t>
            </w:r>
            <w:r>
              <w:t xml:space="preserve"> la competitività dell'UE;</w:t>
            </w:r>
          </w:p>
        </w:tc>
        <w:tc>
          <w:tcPr>
            <w:tcW w:w="4876" w:type="dxa"/>
            <w:tcBorders>
              <w:top w:val="nil"/>
              <w:left w:val="nil"/>
              <w:bottom w:val="nil"/>
              <w:right w:val="nil"/>
            </w:tcBorders>
          </w:tcPr>
          <w:p>
            <w:pPr>
              <w:pStyle w:val="Normal6a"/>
            </w:pPr>
            <w:r>
              <w:t>H.</w:t>
            </w:r>
            <w:r>
              <w:tab/>
            </w:r>
            <w:r>
              <w:t xml:space="preserve">considerando che recenti relazioni dell'UE pongono l'accento sull'importanza della semplificazione fiscale </w:t>
            </w:r>
            <w:r>
              <w:rPr>
                <w:b/>
                <w:i/>
              </w:rPr>
              <w:t>e dell'armonizzazione fiscale nonché sugli</w:t>
            </w:r>
            <w:r>
              <w:t xml:space="preserve"> incentivi fiscali efficaci in quanto strumenti chiave per </w:t>
            </w:r>
            <w:r>
              <w:rPr>
                <w:b/>
                <w:i/>
              </w:rPr>
              <w:t>migliorare</w:t>
            </w:r>
            <w:r>
              <w:t xml:space="preserve"> la competitività dell'UE; </w:t>
            </w:r>
            <w:r>
              <w:rPr>
                <w:b/>
                <w:i/>
              </w:rPr>
              <w:t>che incentivi fiscali ben concepiti e basati sulla sostanza, coordinati a livello dell'UE, possono essere uno strumento per promuovere gli obiettivi pubblici nel mercato unico, come la decarbonizzazione dell'economia, a condizione che siano evitate distorsioni e che le opportunità di evasione ed elusione fiscali siano adeguatamente attenuate;</w:t>
            </w:r>
            <w:r>
              <w:t xml:space="preserve"> </w:t>
            </w:r>
            <w:r>
              <w:rPr>
                <w:b/>
                <w:i/>
              </w:rPr>
              <w:t>che i governi dovrebbero garantire che i regimi di incentivi fiscali per la R&amp;S includano solidi meccanismi di lotta contro le scappatoie fiscali, nonché costituzionalità sociali e ambientali, e forniscano un buon rapporto costi-benefici attraverso una valutazione regolare e rigorosa, basata su dati trasparenti e di alta qualità a livello di impresa;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recenti relazioni dell'UE pongono l'accento sull'importanza della semplificazione fiscale, del riordino delle norme fiscali e di incentivi fiscali efficaci in quanto strumenti chiave per ripristinare la competitività dell'UE;</w:t>
            </w:r>
          </w:p>
        </w:tc>
        <w:tc>
          <w:tcPr>
            <w:tcW w:w="4876" w:type="dxa"/>
            <w:tcBorders>
              <w:top w:val="nil"/>
              <w:left w:val="nil"/>
              <w:bottom w:val="nil"/>
              <w:right w:val="nil"/>
            </w:tcBorders>
          </w:tcPr>
          <w:p>
            <w:pPr>
              <w:pStyle w:val="Normal6a"/>
            </w:pPr>
            <w:r>
              <w:t>H.</w:t>
            </w:r>
            <w:r>
              <w:tab/>
            </w:r>
            <w:r>
              <w:t xml:space="preserve">considerando che recenti relazioni dell'UE pongono l'accento sull'importanza della semplificazione fiscale, del riordino delle norme fiscali e di incentivi fiscali efficaci in quanto strumenti chiave per ripristinare la competitività dell'UE; </w:t>
            </w:r>
            <w:r>
              <w:rPr>
                <w:b/>
                <w:i/>
              </w:rPr>
              <w:t>sottolinea che gli incentivi fiscali nazionali basati sulla sostanza, come un'aliquota fiscale dello 0 % sugli utili societari trattenuti e reinvestiti, sono strumenti di politica economica legittimi e altamente efficaci per la formazione di capitale e la crescita nelle economie in fase di recupero;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recenti relazioni dell'UE pongono l'accento sull'importanza della semplificazione fiscale, del riordino delle norme fiscali e di incentivi fiscali efficaci in quanto strumenti chiave per ripristinare la competitività dell'UE;</w:t>
            </w:r>
          </w:p>
        </w:tc>
        <w:tc>
          <w:tcPr>
            <w:tcW w:w="4876" w:type="dxa"/>
            <w:tcBorders>
              <w:top w:val="nil"/>
              <w:left w:val="nil"/>
              <w:bottom w:val="nil"/>
              <w:right w:val="nil"/>
            </w:tcBorders>
          </w:tcPr>
          <w:p>
            <w:pPr>
              <w:pStyle w:val="Normal6a"/>
            </w:pPr>
            <w:r>
              <w:t>H.</w:t>
            </w:r>
            <w:r>
              <w:tab/>
            </w:r>
            <w:r>
              <w:t>considerando che recenti relazioni dell'UE pongono l'accento sull'importanza della semplificazione fiscale, del riordino delle norme fiscali e di incentivi fiscali efficaci in quanto strumenti chiave per ripristinare la competitività dell'UE</w:t>
            </w:r>
            <w:r>
              <w:rPr>
                <w:b/>
                <w:i/>
              </w:rPr>
              <w:t>, sostenere gli investimenti e ridurre gli oneri amministrativi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che recenti relazioni dell'UE </w:t>
            </w:r>
            <w:r>
              <w:rPr>
                <w:b/>
                <w:i/>
              </w:rPr>
              <w:t>pongono l'accento sull'importanza</w:t>
            </w:r>
            <w:r>
              <w:t xml:space="preserve"> della semplificazione fiscale</w:t>
            </w:r>
            <w:r>
              <w:rPr>
                <w:b/>
                <w:i/>
              </w:rPr>
              <w:t>,</w:t>
            </w:r>
            <w:r>
              <w:t xml:space="preserve"> del riordino delle norme </w:t>
            </w:r>
            <w:r>
              <w:rPr>
                <w:b/>
                <w:i/>
              </w:rPr>
              <w:t>fiscali e di incentivi fiscali efficaci in quanto</w:t>
            </w:r>
            <w:r>
              <w:t xml:space="preserve"> strumenti </w:t>
            </w:r>
            <w:r>
              <w:rPr>
                <w:b/>
                <w:i/>
              </w:rPr>
              <w:t>chiave per ripristinare la competitività dell'UE</w:t>
            </w:r>
            <w:r>
              <w:t>;</w:t>
            </w:r>
          </w:p>
        </w:tc>
        <w:tc>
          <w:tcPr>
            <w:tcW w:w="4876" w:type="dxa"/>
            <w:tcBorders>
              <w:top w:val="nil"/>
              <w:left w:val="nil"/>
              <w:bottom w:val="nil"/>
              <w:right w:val="nil"/>
            </w:tcBorders>
          </w:tcPr>
          <w:p>
            <w:pPr>
              <w:pStyle w:val="Normal6a"/>
            </w:pPr>
            <w:r>
              <w:t>H.</w:t>
            </w:r>
            <w:r>
              <w:tab/>
            </w:r>
            <w:r>
              <w:t xml:space="preserve">considerando che recenti relazioni dell'UE </w:t>
            </w:r>
            <w:r>
              <w:rPr>
                <w:b/>
                <w:i/>
              </w:rPr>
              <w:t>sottolineano l'importanza</w:t>
            </w:r>
            <w:r>
              <w:t xml:space="preserve"> della semplificazione </w:t>
            </w:r>
            <w:r>
              <w:rPr>
                <w:b/>
                <w:i/>
              </w:rPr>
              <w:t>amministrativa in materia</w:t>
            </w:r>
            <w:r>
              <w:t xml:space="preserve"> fiscale </w:t>
            </w:r>
            <w:r>
              <w:rPr>
                <w:b/>
                <w:i/>
              </w:rPr>
              <w:t>e</w:t>
            </w:r>
            <w:r>
              <w:t xml:space="preserve"> del riordino delle norme </w:t>
            </w:r>
            <w:r>
              <w:rPr>
                <w:b/>
                <w:i/>
              </w:rPr>
              <w:t>di bilancio quali</w:t>
            </w:r>
            <w:r>
              <w:t xml:space="preserve"> strumenti </w:t>
            </w:r>
            <w:r>
              <w:rPr>
                <w:b/>
                <w:i/>
              </w:rPr>
              <w:t>fondamentali per un'applicazione armonizzata ed efficace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sono in corso negoziati sulla convenzione quadro delle Nazioni Unite sulla cooperazione fiscale internazionale e che il testo finale della convenzione e dei due protocolli dovrebbe concludersi entro il 2027;</w:t>
            </w:r>
            <w:r>
              <w:t xml:space="preserve"> </w:t>
            </w:r>
            <w:r>
              <w:rPr>
                <w:b/>
                <w:i/>
              </w:rPr>
              <w:t>che tali negoziati offrono l'opportunità di raggiungere un accordo globale attraverso un processo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Sottotitolo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Competitività nella</w:t>
            </w:r>
            <w:r>
              <w:t xml:space="preserve"> fiscalità internazionale</w:t>
            </w:r>
          </w:p>
        </w:tc>
        <w:tc>
          <w:tcPr>
            <w:tcW w:w="4876" w:type="dxa"/>
            <w:tcBorders>
              <w:top w:val="nil"/>
              <w:left w:val="nil"/>
              <w:bottom w:val="nil"/>
              <w:right w:val="nil"/>
            </w:tcBorders>
          </w:tcPr>
          <w:p>
            <w:pPr>
              <w:pStyle w:val="Normal6a"/>
            </w:pPr>
            <w:r>
              <w:rPr>
                <w:b/>
                <w:i/>
              </w:rPr>
              <w:t>Una</w:t>
            </w:r>
            <w:r>
              <w:t xml:space="preserve"> fiscalità internazionale </w:t>
            </w:r>
            <w:r>
              <w:rPr>
                <w:b/>
                <w:i/>
              </w:rPr>
              <w:t>efficace ed equa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sottolinea che il ripristino della competitività dell'UE rappresenta una priorità assoluta; ricorda che per attrarre investimenti serve un contesto fiscale stabile, prevedibile e di facile comprensione e un livello ottimale di amministrazione fiscale;</w:t>
            </w:r>
          </w:p>
        </w:tc>
        <w:tc>
          <w:tcPr>
            <w:tcW w:w="4876" w:type="dxa"/>
            <w:tcBorders>
              <w:top w:val="nil"/>
              <w:left w:val="nil"/>
              <w:bottom w:val="nil"/>
              <w:right w:val="nil"/>
            </w:tcBorders>
          </w:tcPr>
          <w:p>
            <w:pPr>
              <w:pStyle w:val="Normal6a"/>
            </w:pPr>
            <w:r>
              <w:t>1.</w:t>
            </w:r>
            <w:r>
              <w:tab/>
            </w:r>
            <w:r>
              <w:t xml:space="preserve">sottolinea che il ripristino della competitività dell'UE rappresenta una priorità assoluta; ricorda che per attrarre investimenti serve un contesto fiscale stabile, prevedibile e di facile comprensione e un livello ottimale di amministrazione fiscale </w:t>
            </w:r>
            <w:r>
              <w:rPr>
                <w:b/>
                <w:i/>
              </w:rPr>
              <w:t>e il pieno rispetto della flessibilità degli Stati membri nell'adattare i loro sistemi fiscali nazionali alle condizioni economiche nazionali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ripristino della competitività dell'UE rappresenta una priorità assoluta; ricorda che per attrarre investimenti serve un contesto fiscale stabile, prevedibile e di facile comprensione </w:t>
            </w:r>
            <w:r>
              <w:rPr>
                <w:b/>
                <w:i/>
              </w:rPr>
              <w:t>e un livello ottimale di amministrazione</w:t>
            </w:r>
            <w:r>
              <w:t xml:space="preserve"> fiscale;</w:t>
            </w:r>
          </w:p>
        </w:tc>
        <w:tc>
          <w:tcPr>
            <w:tcW w:w="4876" w:type="dxa"/>
            <w:tcBorders>
              <w:top w:val="nil"/>
              <w:left w:val="nil"/>
              <w:bottom w:val="nil"/>
              <w:right w:val="nil"/>
            </w:tcBorders>
          </w:tcPr>
          <w:p>
            <w:pPr>
              <w:pStyle w:val="Normal6a"/>
            </w:pPr>
            <w:r>
              <w:t>1.</w:t>
            </w:r>
            <w:r>
              <w:tab/>
            </w:r>
            <w:r>
              <w:t>sottolinea che il ripristino della competitività dell'UE rappresenta una priorità assoluta; ricorda che per attrarre investimenti serve un contesto fiscale stabile, prevedibile e di facile comprensione</w:t>
            </w:r>
            <w:r>
              <w:rPr>
                <w:b/>
                <w:i/>
              </w:rPr>
              <w:t>, incentrato sulla promozione della crescita piuttosto che sulla creazione di restrizioni indebite, e un'amministrazione</w:t>
            </w:r>
            <w:r>
              <w:t xml:space="preserve"> fiscale </w:t>
            </w:r>
            <w:r>
              <w:rPr>
                <w:b/>
                <w:i/>
              </w:rPr>
              <w:t>proporzionata con spese generali di conformità minime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w:t>
            </w:r>
            <w:r>
              <w:rPr>
                <w:b/>
                <w:i/>
              </w:rPr>
              <w:t>ripristino</w:t>
            </w:r>
            <w:r>
              <w:t xml:space="preserve"> della competitività dell'UE </w:t>
            </w:r>
            <w:r>
              <w:rPr>
                <w:b/>
                <w:i/>
              </w:rPr>
              <w:t>rappresenta una</w:t>
            </w:r>
            <w:r>
              <w:t xml:space="preserve"> priorità </w:t>
            </w:r>
            <w:r>
              <w:rPr>
                <w:b/>
                <w:i/>
              </w:rPr>
              <w:t>assoluta</w:t>
            </w:r>
            <w:r>
              <w:t>; ricorda che per attrarre investimenti serve un contesto fiscale stabile, prevedibile e di facile comprensione e un livello ottimale di amministrazione fiscale;</w:t>
            </w:r>
          </w:p>
        </w:tc>
        <w:tc>
          <w:tcPr>
            <w:tcW w:w="4876" w:type="dxa"/>
            <w:tcBorders>
              <w:top w:val="nil"/>
              <w:left w:val="nil"/>
              <w:bottom w:val="nil"/>
              <w:right w:val="nil"/>
            </w:tcBorders>
          </w:tcPr>
          <w:p>
            <w:pPr>
              <w:pStyle w:val="Normal6a"/>
            </w:pPr>
            <w:r>
              <w:t>1.</w:t>
            </w:r>
            <w:r>
              <w:tab/>
            </w:r>
            <w:r>
              <w:t xml:space="preserve">sottolinea che il </w:t>
            </w:r>
            <w:r>
              <w:rPr>
                <w:b/>
                <w:i/>
              </w:rPr>
              <w:t>rafforzamento</w:t>
            </w:r>
            <w:r>
              <w:t xml:space="preserve"> della competitività dell'UE </w:t>
            </w:r>
            <w:r>
              <w:rPr>
                <w:b/>
                <w:i/>
              </w:rPr>
              <w:t>è una delle</w:t>
            </w:r>
            <w:r>
              <w:t xml:space="preserve"> priorità </w:t>
            </w:r>
            <w:r>
              <w:rPr>
                <w:b/>
                <w:i/>
              </w:rPr>
              <w:t>dell'Unione, unitamente alla trasformazione verde e digitale</w:t>
            </w:r>
            <w:r>
              <w:t>; ricorda che per attrarre investimenti serve un contesto fiscale stabile, prevedibile</w:t>
            </w:r>
            <w:r>
              <w:rPr>
                <w:b/>
                <w:i/>
              </w:rPr>
              <w:t>, trasparente</w:t>
            </w:r>
            <w:r>
              <w:t xml:space="preserve"> e di facile comprensione e un livello ottimale di amministrazione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sottolinea che il ripristino della competitività dell'UE rappresenta una priorità assoluta;</w:t>
            </w:r>
            <w:r>
              <w:t xml:space="preserve"> ricorda che per attrarre investimenti serve un contesto fiscale stabile, prevedibile e di facile comprensione e un livello ottimale di amministrazione fiscale;</w:t>
            </w:r>
          </w:p>
        </w:tc>
        <w:tc>
          <w:tcPr>
            <w:tcW w:w="4876" w:type="dxa"/>
            <w:tcBorders>
              <w:top w:val="nil"/>
              <w:left w:val="nil"/>
              <w:bottom w:val="nil"/>
              <w:right w:val="nil"/>
            </w:tcBorders>
          </w:tcPr>
          <w:p>
            <w:pPr>
              <w:pStyle w:val="Normal6a"/>
            </w:pPr>
            <w:r>
              <w:t>1.</w:t>
            </w:r>
            <w:r>
              <w:tab/>
            </w:r>
            <w:r>
              <w:t xml:space="preserve">ricorda che per attrarre investimenti serve un contesto fiscale </w:t>
            </w:r>
            <w:r>
              <w:rPr>
                <w:b/>
                <w:i/>
              </w:rPr>
              <w:t>equo,</w:t>
            </w:r>
            <w:r>
              <w:t xml:space="preserve"> stabile, prevedibile e di facile comprensione e un livello ottimale di amministrazione fiscale; </w:t>
            </w:r>
            <w:r>
              <w:rPr>
                <w:b/>
                <w:i/>
              </w:rPr>
              <w:t>sottolinea la necessità di attività transfrontaliere per la competitività dell'UE e il ruolo di una fiscalità equa e armonizzata a tale riguardo;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ripristino della competitività dell'UE rappresenta una priorità assoluta; ricorda che per attrarre investimenti serve un contesto fiscale stabile, prevedibile e di facile comprensione </w:t>
            </w:r>
            <w:r>
              <w:rPr>
                <w:b/>
                <w:i/>
              </w:rPr>
              <w:t>e un livello ottimale di amministrazione</w:t>
            </w:r>
            <w:r>
              <w:t xml:space="preserve"> fiscale;</w:t>
            </w:r>
          </w:p>
        </w:tc>
        <w:tc>
          <w:tcPr>
            <w:tcW w:w="4876" w:type="dxa"/>
            <w:tcBorders>
              <w:top w:val="nil"/>
              <w:left w:val="nil"/>
              <w:bottom w:val="nil"/>
              <w:right w:val="nil"/>
            </w:tcBorders>
          </w:tcPr>
          <w:p>
            <w:pPr>
              <w:pStyle w:val="Normal6a"/>
            </w:pPr>
            <w:r>
              <w:t>1.</w:t>
            </w:r>
            <w:r>
              <w:tab/>
            </w:r>
            <w:r>
              <w:t>sottolinea che il ripristino della competitività dell'UE rappresenta una priorità assoluta; ricorda che per attrarre investimenti serve un contesto fiscale stabile, prevedibile e di facile comprensione</w:t>
            </w:r>
            <w:r>
              <w:rPr>
                <w:b/>
                <w:i/>
              </w:rPr>
              <w:t>, un onere fiscale competitivo e un'amministrazione</w:t>
            </w:r>
            <w:r>
              <w:t xml:space="preserve"> fiscale </w:t>
            </w:r>
            <w:r>
              <w:rPr>
                <w:b/>
                <w:i/>
              </w:rPr>
              <w:t>efficiente, proporzionata e favorevole alle imprese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sottolinea che il ripristino della competitività dell'UE rappresenta una priorità assoluta; ricorda che per attrarre investimenti serve un contesto fiscale stabile, prevedibile e di facile comprensione e un livello ottimale di amministrazione fiscale;</w:t>
            </w:r>
          </w:p>
        </w:tc>
        <w:tc>
          <w:tcPr>
            <w:tcW w:w="4876" w:type="dxa"/>
            <w:tcBorders>
              <w:top w:val="nil"/>
              <w:left w:val="nil"/>
              <w:bottom w:val="nil"/>
              <w:right w:val="nil"/>
            </w:tcBorders>
          </w:tcPr>
          <w:p>
            <w:pPr>
              <w:pStyle w:val="Normal6a"/>
            </w:pPr>
            <w:r>
              <w:t>1.</w:t>
            </w:r>
            <w:r>
              <w:tab/>
            </w:r>
            <w:r>
              <w:t>sottolinea che il ripristino della competitività dell'UE rappresenta una priorità assoluta; ricorda che per attrarre investimenti serve un contesto fiscale stabile, prevedibile</w:t>
            </w:r>
            <w:r>
              <w:rPr>
                <w:b/>
                <w:i/>
              </w:rPr>
              <w:t>, competitivo, attraente, trasparente</w:t>
            </w:r>
            <w:r>
              <w:t xml:space="preserve"> e di facile comprensione e un livello ottimale di amministrazione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deplora che la combinazione di aliquote elevate dell'imposta sulle società nell'UE, complessità della conformità, norme in materia di ritenuta alla fonte, compensazioni limitate delle perdite in alcuni paesi e regimi nazionali frammentati crei svantaggi competitivi per le imprese dell'UE che cercano di competere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accoglie con favore gli sforzi internazionali, come quelli intrapresi dall'OCSE, volti a fermare la corsa al ribasso e a creare una maggiore parità di condizioni stabilendo una soglia minima globale per gli obblighi fiscali delle imprese multinazionali attraverso un'aliquota effettiva d'imposta minima;</w:t>
            </w:r>
          </w:p>
        </w:tc>
        <w:tc>
          <w:tcPr>
            <w:tcW w:w="4876" w:type="dxa"/>
            <w:tcBorders>
              <w:top w:val="nil"/>
              <w:left w:val="nil"/>
              <w:bottom w:val="nil"/>
              <w:right w:val="nil"/>
            </w:tcBorders>
          </w:tcPr>
          <w:p>
            <w:pPr>
              <w:pStyle w:val="Normal6a"/>
            </w:pPr>
            <w:r>
              <w:t>2.</w:t>
            </w:r>
            <w:r>
              <w:tab/>
            </w:r>
            <w:r>
              <w:t xml:space="preserve">accoglie con favore gli sforzi internazionali, come quelli intrapresi dall'OCSE, volti a fermare la corsa al ribasso e a creare una maggiore parità di condizioni stabilendo una soglia minima globale per gli obblighi fiscali delle imprese multinazionali attraverso un'aliquota effettiva d'imposta minima; </w:t>
            </w:r>
            <w:r>
              <w:rPr>
                <w:b/>
                <w:i/>
              </w:rPr>
              <w:t>invita la Commissione e gli Stati membri a sostenere, nei pertinenti consessi internazionali, il progressivo aumento dell'aliquota minima effettiva globale dell'imposta sulle società, in linea con le raccomandazioni dell'ICRICT e di economisti indipendenti, a un livello in grado di generare entrate supplementari per gli investimenti pubblici, l'azione per il clima e la spesa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accoglie con favore gli</w:t>
            </w:r>
            <w:r>
              <w:t xml:space="preserve"> sforzi internazionali, come quelli intrapresi dall'OCSE, volti a </w:t>
            </w:r>
            <w:r>
              <w:rPr>
                <w:b/>
                <w:i/>
              </w:rPr>
              <w:t>fermare la corsa al ribasso e a</w:t>
            </w:r>
            <w:r>
              <w:t xml:space="preserve"> creare una maggiore parità di condizioni </w:t>
            </w:r>
            <w:r>
              <w:rPr>
                <w:b/>
                <w:i/>
              </w:rPr>
              <w:t>stabilendo una soglia minima globale per gli obblighi fiscali delle</w:t>
            </w:r>
            <w:r>
              <w:t xml:space="preserve"> imprese multinazionali attraverso un'aliquota </w:t>
            </w:r>
            <w:r>
              <w:rPr>
                <w:b/>
                <w:i/>
              </w:rPr>
              <w:t>effettiva</w:t>
            </w:r>
            <w:r>
              <w:t xml:space="preserve"> d'imposta minima;</w:t>
            </w:r>
          </w:p>
        </w:tc>
        <w:tc>
          <w:tcPr>
            <w:tcW w:w="4876" w:type="dxa"/>
            <w:tcBorders>
              <w:top w:val="nil"/>
              <w:left w:val="nil"/>
              <w:bottom w:val="nil"/>
              <w:right w:val="nil"/>
            </w:tcBorders>
          </w:tcPr>
          <w:p>
            <w:pPr>
              <w:pStyle w:val="Normal6a"/>
            </w:pPr>
            <w:r>
              <w:t>2.</w:t>
            </w:r>
            <w:r>
              <w:tab/>
            </w:r>
            <w:r>
              <w:rPr>
                <w:b/>
                <w:i/>
              </w:rPr>
              <w:t>prende atto degli</w:t>
            </w:r>
            <w:r>
              <w:t xml:space="preserve"> sforzi internazionali, come quelli intrapresi dall'OCSE, volti a creare una maggiore parità di condizioni </w:t>
            </w:r>
            <w:r>
              <w:rPr>
                <w:b/>
                <w:i/>
              </w:rPr>
              <w:t>per le</w:t>
            </w:r>
            <w:r>
              <w:t xml:space="preserve"> imprese multinazionali attraverso un'aliquota d'imposta </w:t>
            </w:r>
            <w:r>
              <w:rPr>
                <w:b/>
                <w:i/>
              </w:rPr>
              <w:t>effettiva</w:t>
            </w:r>
            <w:r>
              <w:t xml:space="preserve"> minima; </w:t>
            </w:r>
            <w:r>
              <w:rPr>
                <w:b/>
                <w:i/>
              </w:rPr>
              <w:t>sottolinea, tuttavia, che una concorrenza fiscale equa, trasparente e basata sulla sostanza tra le giurisdizioni può rimanere uno strumento legittimo per attrarre investimenti, sostenere l'occupazione e rafforzare la competitività e non dovrebbe essere equiparata alle pratiche fiscali dannose;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accoglie con favore gli sforzi internazionali, come quelli intrapresi dall'OCSE</w:t>
            </w:r>
            <w:r>
              <w:rPr>
                <w:b/>
                <w:i/>
              </w:rPr>
              <w:t>, volti a fermare la corsa al ribasso e a creare una maggiore parità di condizioni stabilendo una soglia minima globale per gli obblighi fiscali delle imprese multinazionali attraverso un'aliquota effettiva d'imposta minima</w:t>
            </w:r>
            <w:r>
              <w:t>;</w:t>
            </w:r>
          </w:p>
        </w:tc>
        <w:tc>
          <w:tcPr>
            <w:tcW w:w="4876" w:type="dxa"/>
            <w:tcBorders>
              <w:top w:val="nil"/>
              <w:left w:val="nil"/>
              <w:bottom w:val="nil"/>
              <w:right w:val="nil"/>
            </w:tcBorders>
          </w:tcPr>
          <w:p>
            <w:pPr>
              <w:pStyle w:val="Normal6a"/>
            </w:pPr>
            <w:r>
              <w:t>2.</w:t>
            </w:r>
            <w:r>
              <w:tab/>
            </w:r>
            <w:r>
              <w:t>accoglie con favore gli sforzi internazionali, come quelli intrapresi dall'OCSE;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sottolinea che il futuro della tassazione delle imprese nell'Unione deve rimanere saldamente ancorato ai principi della sostanza economica e dell'accumulazione reale di capitale;</w:t>
            </w:r>
            <w:r>
              <w:t xml:space="preserve"> </w:t>
            </w:r>
            <w:r>
              <w:rPr>
                <w:b/>
                <w:i/>
              </w:rPr>
              <w:t>afferma che i modelli competitivi di imposta sulle società, in particolare quelli che utilizzano un'aliquota fiscale dello 0 % sugli utili non distribuiti e reinvestiti, rappresentano strumenti economici altamente efficaci e lungimiranti che stimolano gli investimenti interni, l'innovazione e la formazione di capitale a lungo termine;</w:t>
            </w:r>
            <w:r>
              <w:t xml:space="preserve"> </w:t>
            </w:r>
            <w:r>
              <w:rPr>
                <w:b/>
                <w:i/>
              </w:rPr>
              <w:t>respinge qualsiasi strategia che miri alla transizione del quadro fiscale europeo verso un consolidamento obbligatorio basato su formule o riassegnazioni centralizzate degli utili, che scinda sistematicamente le passività relative all'imposta sulle società dalle effettive impronte fisiche ed economiche delle imprese all'interno dei singoli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accoglie con favore gli sforzi compiuti dal comitato negoziale intergovernativo (INC) delle Nazioni Unite sulla cooperazione fiscale internazionale per elaborare una convenzione quadro delle Nazioni Unite sulla cooperazione fiscale internazionale al fine di rafforzare la cooperazione fiscale internazionale, combattere l'evasione fiscale e garantire sistemi fiscali più equi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accoglie con favore gli sforzi delle Nazioni Unite volti a creare un accordo multilaterale coerente e globale sulla fiscalità internazionale, anche per quanto riguarda l'equa ripartizione dei diritti di imposizione, i flussi finanziari illeciti e le pratiche fiscali dannose;</w:t>
            </w:r>
            <w:r>
              <w:t xml:space="preserve"> </w:t>
            </w:r>
            <w:r>
              <w:rPr>
                <w:b/>
                <w:i/>
              </w:rPr>
              <w:t>sostiene l'obiettivo di allineare la fiscalità internazionale ai diritti umani e agli obiettivi di sviluppo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sottolinea che per orientarsi in un contesto internazionale in evoluzione è necessario una transizione strutturale da un'incessante eccesso di regolamentazione legislativa alla stabilizzazione amministrativa e alla semplificazione sistemica;</w:t>
            </w:r>
            <w:r>
              <w:t xml:space="preserve"> </w:t>
            </w:r>
            <w:r>
              <w:rPr>
                <w:b/>
                <w:i/>
              </w:rPr>
              <w:t>chiede che la futura politica in materia di imposta sulle società dia rigorosa priorità all'attenuazione degli oneri di conformità istituendo una moratoria sulla sovrapposizione degli obblighi di comunicazione e garantendo l'attuazione immediata di porti sicuri solidi e permanenti nell'ambito delle norme del secondo pilastro;</w:t>
            </w:r>
            <w:r>
              <w:t xml:space="preserve"> </w:t>
            </w:r>
            <w:r>
              <w:rPr>
                <w:b/>
                <w:i/>
              </w:rPr>
              <w:t>insiste sul fatto che le effettive capacità operative e strutturali delle amministrazioni fiscali nazionali più piccole devono fungere da principale vincolo di base per qualsiasi futuro quadro di bilancio a livello dell'UE o globale, proteggendo in tal modo gli Stati membri più piccoli da un'eccessiva estensione burocratica e dall'esaurimento delle risorse;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avverte che qualsiasi passaggio a meccanismi di voto a maggioranza semplice nella definizione di norme fiscali globali rischia di emarginare le economie più piccole e aperte, di perturbare le reti di trattati consolidate e di creare un regime fiscale internazionale frammentato e a doppio binario;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deplora che l'attuazione globale del secondo pilastro rimanga incompleta e che importanti economie come la Cina </w:t>
            </w:r>
            <w:r>
              <w:rPr>
                <w:b/>
                <w:i/>
              </w:rPr>
              <w:t>e</w:t>
            </w:r>
            <w:r>
              <w:t xml:space="preserve"> l'India non abbiano attuato la riforma; </w:t>
            </w:r>
            <w:r>
              <w:rPr>
                <w:b/>
                <w:i/>
              </w:rPr>
              <w:t>è del parere che la coesistenza</w:t>
            </w:r>
            <w:r>
              <w:t xml:space="preserve"> del secondo pilastro </w:t>
            </w:r>
            <w:r>
              <w:rPr>
                <w:b/>
                <w:i/>
              </w:rPr>
              <w:t>con regimi nazionali di</w:t>
            </w:r>
            <w:r>
              <w:t xml:space="preserve"> imposizione minima </w:t>
            </w:r>
            <w:r>
              <w:rPr>
                <w:b/>
                <w:i/>
              </w:rPr>
              <w:t>paralleli porti alla frammentazione e ne indebolisca l'applicazione a livello mondiale</w:t>
            </w:r>
            <w:r>
              <w:t>;</w:t>
            </w:r>
          </w:p>
        </w:tc>
        <w:tc>
          <w:tcPr>
            <w:tcW w:w="4876" w:type="dxa"/>
            <w:tcBorders>
              <w:top w:val="nil"/>
              <w:left w:val="nil"/>
              <w:bottom w:val="nil"/>
              <w:right w:val="nil"/>
            </w:tcBorders>
          </w:tcPr>
          <w:p>
            <w:pPr>
              <w:pStyle w:val="Normal6a"/>
            </w:pPr>
            <w:r>
              <w:t>3.</w:t>
            </w:r>
            <w:r>
              <w:tab/>
            </w:r>
            <w:r>
              <w:t>deplora che l'attuazione globale del secondo pilastro rimanga incompleta e che importanti economie come la Cina</w:t>
            </w:r>
            <w:r>
              <w:rPr>
                <w:b/>
                <w:i/>
              </w:rPr>
              <w:t>,</w:t>
            </w:r>
            <w:r>
              <w:t xml:space="preserve"> l'India </w:t>
            </w:r>
            <w:r>
              <w:rPr>
                <w:b/>
                <w:i/>
              </w:rPr>
              <w:t>e gli Stati Uniti</w:t>
            </w:r>
            <w:r>
              <w:t xml:space="preserve"> non abbiano attuato la riforma; </w:t>
            </w:r>
            <w:r>
              <w:rPr>
                <w:b/>
                <w:i/>
              </w:rPr>
              <w:t>esorta gli Stati membri ad attuare pienamente il secondo pilastro, in particolare la norma sui profitti a bassa imposizione;</w:t>
            </w:r>
            <w:r>
              <w:t xml:space="preserve"> </w:t>
            </w:r>
            <w:r>
              <w:rPr>
                <w:b/>
                <w:i/>
              </w:rPr>
              <w:t>osserva che tale norma è un elemento essenziale per il buon funzionamento</w:t>
            </w:r>
            <w:r>
              <w:t xml:space="preserve"> del secondo pilastro</w:t>
            </w:r>
            <w:r>
              <w:rPr>
                <w:b/>
                <w:i/>
              </w:rPr>
              <w:t>, garantendo condizioni di parità per le imprese europee;</w:t>
            </w:r>
            <w:r>
              <w:t xml:space="preserve"> </w:t>
            </w:r>
            <w:r>
              <w:rPr>
                <w:b/>
                <w:i/>
              </w:rPr>
              <w:t>invita gli Stati membri a non estendere i porti sicuri transitori in base alla norma sui profitti a bassa</w:t>
            </w:r>
            <w:r>
              <w:t xml:space="preserve"> imposizione </w:t>
            </w:r>
            <w:r>
              <w:rPr>
                <w:b/>
                <w:i/>
              </w:rPr>
              <w:t>oltre il 2026, il che andrebbe a svantaggio delle imprese dell'UE;</w:t>
            </w:r>
            <w:r>
              <w:t xml:space="preserve"> </w:t>
            </w:r>
            <w:r>
              <w:rPr>
                <w:b/>
                <w:i/>
              </w:rPr>
              <w:t>accoglie con favore il chiaro impegno a favore della norma di cui sopra, assunto dal commissario Hoekstra nelle sue risposte scritte al Parlamento nel contesto delle audizioni di nomina;</w:t>
            </w:r>
            <w:r>
              <w:t xml:space="preserve"> </w:t>
            </w:r>
            <w:r>
              <w:rPr>
                <w:b/>
                <w:i/>
              </w:rPr>
              <w:t>ricorda che nel 2021 gli Stati Uniti hanno approvato l'imposta</w:t>
            </w:r>
            <w:r>
              <w:t xml:space="preserve"> minima </w:t>
            </w:r>
            <w:r>
              <w:rPr>
                <w:b/>
                <w:i/>
              </w:rPr>
              <w:t>dell'OCSE ai livelli del G7, del G20 e del quadro inclusivo dell'OCSE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deplora che l'attuazione globale del secondo pilastro rimanga incompleta e che importanti economie come la Cina e l'India non abbiano attuato la riforma; </w:t>
            </w:r>
            <w:r>
              <w:rPr>
                <w:b/>
                <w:i/>
              </w:rPr>
              <w:t>è del parere che la coesistenza del secondo pilastro con regimi nazionali di imposizione</w:t>
            </w:r>
            <w:r>
              <w:t xml:space="preserve"> minima </w:t>
            </w:r>
            <w:r>
              <w:rPr>
                <w:b/>
                <w:i/>
              </w:rPr>
              <w:t>paralleli</w:t>
            </w:r>
            <w:r>
              <w:t xml:space="preserve"> porti </w:t>
            </w:r>
            <w:r>
              <w:rPr>
                <w:b/>
                <w:i/>
              </w:rPr>
              <w:t>alla frammentazione e ne indebolisca l'applicazione a livello mondiale</w:t>
            </w:r>
            <w:r>
              <w:t>;</w:t>
            </w:r>
          </w:p>
        </w:tc>
        <w:tc>
          <w:tcPr>
            <w:tcW w:w="4876" w:type="dxa"/>
            <w:tcBorders>
              <w:top w:val="nil"/>
              <w:left w:val="nil"/>
              <w:bottom w:val="nil"/>
              <w:right w:val="nil"/>
            </w:tcBorders>
          </w:tcPr>
          <w:p>
            <w:pPr>
              <w:pStyle w:val="Normal6a"/>
            </w:pPr>
            <w:r>
              <w:t>3.</w:t>
            </w:r>
            <w:r>
              <w:tab/>
            </w:r>
            <w:r>
              <w:t xml:space="preserve">deplora che l'attuazione globale del secondo pilastro rimanga incompleta e che importanti economie come la Cina e l'India non abbiano attuato la riforma; </w:t>
            </w:r>
            <w:r>
              <w:rPr>
                <w:b/>
                <w:i/>
              </w:rPr>
              <w:t>sottolinea che un'imposta</w:t>
            </w:r>
            <w:r>
              <w:t xml:space="preserve"> minima </w:t>
            </w:r>
            <w:r>
              <w:rPr>
                <w:b/>
                <w:i/>
              </w:rPr>
              <w:t>globale può garantire reali condizioni di parità solo se applicata in modo efficace e coerente da tutte le principali economie;</w:t>
            </w:r>
            <w:r>
              <w:t xml:space="preserve"> </w:t>
            </w:r>
            <w:r>
              <w:rPr>
                <w:b/>
                <w:i/>
              </w:rPr>
              <w:t>ritiene pertanto che l'UE dovrebbe valutare approcci alternativi e più pragmatici se l'attuazione globale resta incompleta, tra cui una semplificazione mirata,</w:t>
            </w:r>
            <w:r>
              <w:t xml:space="preserve"> porti </w:t>
            </w:r>
            <w:r>
              <w:rPr>
                <w:b/>
                <w:i/>
              </w:rPr>
              <w:t>sicuri reciproci e misure volte a preservare la competitività delle imprese con sede nell'UE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deplora che l'attuazione globale del secondo pilastro rimanga incompleta e </w:t>
            </w:r>
            <w:r>
              <w:rPr>
                <w:b/>
                <w:i/>
              </w:rPr>
              <w:t>che importanti</w:t>
            </w:r>
            <w:r>
              <w:t xml:space="preserve"> economie come la Cina e l'India </w:t>
            </w:r>
            <w:r>
              <w:rPr>
                <w:b/>
                <w:i/>
              </w:rPr>
              <w:t>non abbiano</w:t>
            </w:r>
            <w:r>
              <w:t xml:space="preserve"> attuato la riforma; è del parere che la coesistenza del secondo pilastro con regimi nazionali di imposizione minima paralleli porti alla frammentazione e ne indebolisca l'applicazione a livello mondiale;</w:t>
            </w:r>
          </w:p>
        </w:tc>
        <w:tc>
          <w:tcPr>
            <w:tcW w:w="4876" w:type="dxa"/>
            <w:tcBorders>
              <w:top w:val="nil"/>
              <w:left w:val="nil"/>
              <w:bottom w:val="nil"/>
              <w:right w:val="nil"/>
            </w:tcBorders>
          </w:tcPr>
          <w:p>
            <w:pPr>
              <w:pStyle w:val="Normal6a"/>
            </w:pPr>
            <w:r>
              <w:t>3.</w:t>
            </w:r>
            <w:r>
              <w:tab/>
            </w:r>
            <w:r>
              <w:t xml:space="preserve">deplora che l'attuazione globale del secondo pilastro rimanga incompleta e </w:t>
            </w:r>
            <w:r>
              <w:rPr>
                <w:b/>
                <w:i/>
              </w:rPr>
              <w:t>imponga un notevole onere amministrativo e costi eccezionali ai contribuenti senza un corrispondente gettito fiscale, con grandi</w:t>
            </w:r>
            <w:r>
              <w:t xml:space="preserve"> economie come la Cina e l'India </w:t>
            </w:r>
            <w:r>
              <w:rPr>
                <w:b/>
                <w:i/>
              </w:rPr>
              <w:t>che non hanno</w:t>
            </w:r>
            <w:r>
              <w:t xml:space="preserve"> attuato la riforma; è del parere che la coesistenza del secondo pilastro con regimi nazionali di imposizione minima paralleli porti alla frammentazione e ne indebolisca l'applicazione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deplora che l'attuazione globale del secondo pilastro rimanga incompleta e che importanti economie come la Cina e l'India non abbiano attuato la riforma; è del parere che la coesistenza del secondo pilastro con regimi nazionali di imposizione minima paralleli porti alla frammentazione e </w:t>
            </w:r>
            <w:r>
              <w:rPr>
                <w:b/>
                <w:i/>
              </w:rPr>
              <w:t>ne</w:t>
            </w:r>
            <w:r>
              <w:t xml:space="preserve"> indebolisca </w:t>
            </w:r>
            <w:r>
              <w:rPr>
                <w:b/>
                <w:i/>
              </w:rPr>
              <w:t>l'applicazione</w:t>
            </w:r>
            <w:r>
              <w:t xml:space="preserve"> a livello mondiale;</w:t>
            </w:r>
          </w:p>
        </w:tc>
        <w:tc>
          <w:tcPr>
            <w:tcW w:w="4876" w:type="dxa"/>
            <w:tcBorders>
              <w:top w:val="nil"/>
              <w:left w:val="nil"/>
              <w:bottom w:val="nil"/>
              <w:right w:val="nil"/>
            </w:tcBorders>
          </w:tcPr>
          <w:p>
            <w:pPr>
              <w:pStyle w:val="Normal6a"/>
            </w:pPr>
            <w:r>
              <w:t>3.</w:t>
            </w:r>
            <w:r>
              <w:tab/>
            </w:r>
            <w:r>
              <w:t xml:space="preserve">deplora che l'attuazione globale del secondo pilastro rimanga incompleta e che importanti economie come la Cina e l'India non abbiano attuato la riforma; è del parere che la coesistenza del secondo pilastro con </w:t>
            </w:r>
            <w:r>
              <w:rPr>
                <w:b/>
                <w:i/>
              </w:rPr>
              <w:t>i</w:t>
            </w:r>
            <w:r>
              <w:t xml:space="preserve"> regimi nazionali di imposizione minima paralleli</w:t>
            </w:r>
            <w:r>
              <w:rPr>
                <w:b/>
                <w:i/>
              </w:rPr>
              <w:t>, come il regime NCTI degli Stati Uniti e altri regimi nazionali che possono ottenere lo status di zona di sicurezza nell'ambito dell'approccio "side-by-side",</w:t>
            </w:r>
            <w:r>
              <w:t xml:space="preserve"> porti alla frammentazione e indebolisca </w:t>
            </w:r>
            <w:r>
              <w:rPr>
                <w:b/>
                <w:i/>
              </w:rPr>
              <w:t>la sua applicazione</w:t>
            </w:r>
            <w:r>
              <w:t xml:space="preserve">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deplora</w:t>
            </w:r>
            <w:r>
              <w:t xml:space="preserve"> che l'attuazione globale del secondo pilastro </w:t>
            </w:r>
            <w:r>
              <w:rPr>
                <w:b/>
                <w:i/>
              </w:rPr>
              <w:t>rimanga</w:t>
            </w:r>
            <w:r>
              <w:t xml:space="preserve"> incompleta e che importanti economie come la Cina e l'India non abbiano attuato la riforma; è del parere che la coesistenza del secondo pilastro con regimi nazionali di imposizione minima paralleli porti alla frammentazione </w:t>
            </w:r>
            <w:r>
              <w:rPr>
                <w:b/>
                <w:i/>
              </w:rPr>
              <w:t>e ne indebolisca l'applicazione a livello mondiale</w:t>
            </w:r>
            <w:r>
              <w:t>;</w:t>
            </w:r>
          </w:p>
        </w:tc>
        <w:tc>
          <w:tcPr>
            <w:tcW w:w="4876" w:type="dxa"/>
            <w:tcBorders>
              <w:top w:val="nil"/>
              <w:left w:val="nil"/>
              <w:bottom w:val="nil"/>
              <w:right w:val="nil"/>
            </w:tcBorders>
          </w:tcPr>
          <w:p>
            <w:pPr>
              <w:pStyle w:val="Normal6a"/>
            </w:pPr>
            <w:r>
              <w:t>3.</w:t>
            </w:r>
            <w:r>
              <w:tab/>
            </w:r>
            <w:r>
              <w:rPr>
                <w:b/>
                <w:i/>
              </w:rPr>
              <w:t>prende atto</w:t>
            </w:r>
            <w:r>
              <w:t xml:space="preserve"> che l'attuazione globale del secondo pilastro </w:t>
            </w:r>
            <w:r>
              <w:rPr>
                <w:b/>
                <w:i/>
              </w:rPr>
              <w:t>rimane</w:t>
            </w:r>
            <w:r>
              <w:t xml:space="preserve"> incompleta e che importanti economie come la Cina e l'India non abbiano attuato la riforma; è del parere che la coesistenza del secondo pilastro con regimi nazionali di imposizione minima paralleli porti alla frammentazione</w:t>
            </w:r>
            <w:r>
              <w:rPr>
                <w:b/>
                <w:i/>
              </w:rPr>
              <w:t>, aumenti il rischio di svantaggi competitivi asimmetrici per le imprese europee e complichi inutilmente lo spazio di politica fiscale 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deplora che l'attuazione globale del secondo pilastro rimanga incompleta e che importanti economie come la Cina e l'India non abbiano attuato la riforma; </w:t>
            </w:r>
            <w:r>
              <w:rPr>
                <w:b/>
                <w:i/>
              </w:rPr>
              <w:t>è del parere che la coesistenza del</w:t>
            </w:r>
            <w:r>
              <w:t xml:space="preserve"> secondo pilastro </w:t>
            </w:r>
            <w:r>
              <w:rPr>
                <w:b/>
                <w:i/>
              </w:rPr>
              <w:t>con regimi nazionali di imposizione minima paralleli porti alla frammentazione e ne indebolisca l'applicazione a livello mondiale</w:t>
            </w:r>
            <w:r>
              <w:t>;</w:t>
            </w:r>
          </w:p>
        </w:tc>
        <w:tc>
          <w:tcPr>
            <w:tcW w:w="4876" w:type="dxa"/>
            <w:tcBorders>
              <w:top w:val="nil"/>
              <w:left w:val="nil"/>
              <w:bottom w:val="nil"/>
              <w:right w:val="nil"/>
            </w:tcBorders>
          </w:tcPr>
          <w:p>
            <w:pPr>
              <w:pStyle w:val="Normal6a"/>
            </w:pPr>
            <w:r>
              <w:t>3.</w:t>
            </w:r>
            <w:r>
              <w:tab/>
            </w:r>
            <w:r>
              <w:t xml:space="preserve">deplora che l'attuazione globale del secondo pilastro rimanga incompleta e che importanti economie come la Cina e l'India non abbiano attuato la riforma; </w:t>
            </w:r>
            <w:r>
              <w:rPr>
                <w:b/>
                <w:i/>
              </w:rPr>
              <w:t>ricorda che l'accordo sul</w:t>
            </w:r>
            <w:r>
              <w:t xml:space="preserve"> secondo pilastro </w:t>
            </w:r>
            <w:r>
              <w:rPr>
                <w:b/>
                <w:i/>
              </w:rPr>
              <w:t>è uno strumento fondamentale per garantire una tassazione equa, ridurre le pratiche fiscali dannose e stabilire condizioni di parità più eque per le grandi imprese che operano nell'economia globale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osserva con preoccupazione che le notevoli differenze strutturali tra il regime NCTI degli Stati Uniti e il secondo pilastro </w:t>
            </w:r>
            <w:r>
              <w:rPr>
                <w:b/>
                <w:i/>
              </w:rPr>
              <w:t>si traducono in</w:t>
            </w:r>
            <w:r>
              <w:t xml:space="preserve"> aliquote effettive </w:t>
            </w:r>
            <w:r>
              <w:rPr>
                <w:b/>
                <w:i/>
              </w:rPr>
              <w:t>d'imposta</w:t>
            </w:r>
            <w:r>
              <w:t xml:space="preserve"> diverse </w:t>
            </w:r>
            <w:r>
              <w:rPr>
                <w:b/>
                <w:i/>
              </w:rPr>
              <w:t>che svantaggiano le imprese multinazionali che hanno sede nell'UE e operano negli Stati Uniti;</w:t>
            </w:r>
            <w:r>
              <w:t xml:space="preserve"> </w:t>
            </w:r>
            <w:r>
              <w:rPr>
                <w:b/>
                <w:i/>
              </w:rPr>
              <w:t>rileva</w:t>
            </w:r>
            <w:r>
              <w:t xml:space="preserve"> inoltre che, </w:t>
            </w:r>
            <w:r>
              <w:rPr>
                <w:b/>
                <w:i/>
              </w:rPr>
              <w:t>in virtù dell'approccio "side-by-side"</w:t>
            </w:r>
            <w:r>
              <w:t xml:space="preserve">, le imprese multinazionali con sede negli Stati Uniti sono tecnicamente esentate dalla maggior parte degli obblighi del secondo pilastro, </w:t>
            </w:r>
            <w:r>
              <w:rPr>
                <w:b/>
                <w:i/>
              </w:rPr>
              <w:t>il che pone</w:t>
            </w:r>
            <w:r>
              <w:t xml:space="preserve"> le imprese </w:t>
            </w:r>
            <w:r>
              <w:rPr>
                <w:b/>
                <w:i/>
              </w:rPr>
              <w:t>europee in una situazione di svantaggio competitivo</w:t>
            </w:r>
            <w:r>
              <w:t>;</w:t>
            </w:r>
          </w:p>
        </w:tc>
        <w:tc>
          <w:tcPr>
            <w:tcW w:w="4876" w:type="dxa"/>
            <w:tcBorders>
              <w:top w:val="nil"/>
              <w:left w:val="nil"/>
              <w:bottom w:val="nil"/>
              <w:right w:val="nil"/>
            </w:tcBorders>
          </w:tcPr>
          <w:p>
            <w:pPr>
              <w:pStyle w:val="Normal6a"/>
            </w:pPr>
            <w:r>
              <w:t>4.</w:t>
            </w:r>
            <w:r>
              <w:tab/>
            </w:r>
            <w:r>
              <w:t xml:space="preserve">osserva con preoccupazione che le notevoli differenze strutturali tra il regime NCTI degli Stati Uniti e il secondo pilastro </w:t>
            </w:r>
            <w:r>
              <w:rPr>
                <w:b/>
                <w:i/>
              </w:rPr>
              <w:t>potrebbero eventualmente comportare</w:t>
            </w:r>
            <w:r>
              <w:t xml:space="preserve"> aliquote </w:t>
            </w:r>
            <w:r>
              <w:rPr>
                <w:b/>
                <w:i/>
              </w:rPr>
              <w:t>fiscali</w:t>
            </w:r>
            <w:r>
              <w:t xml:space="preserve"> effettive diverse </w:t>
            </w:r>
            <w:r>
              <w:rPr>
                <w:b/>
                <w:i/>
              </w:rPr>
              <w:t>e un'applicazione incoerente tra le giurisdizioni;</w:t>
            </w:r>
            <w:r>
              <w:t xml:space="preserve"> </w:t>
            </w:r>
            <w:r>
              <w:rPr>
                <w:b/>
                <w:i/>
              </w:rPr>
              <w:t>osserva</w:t>
            </w:r>
            <w:r>
              <w:t xml:space="preserve"> inoltre che, </w:t>
            </w:r>
            <w:r>
              <w:rPr>
                <w:b/>
                <w:i/>
              </w:rPr>
              <w:t>a seguito dell'SbS</w:t>
            </w:r>
            <w:r>
              <w:t xml:space="preserve">, le imprese multinazionali con sede negli Stati Uniti sono tecnicamente esentate dalla maggior parte degli obblighi del secondo pilastro, </w:t>
            </w:r>
            <w:r>
              <w:rPr>
                <w:b/>
                <w:i/>
              </w:rPr>
              <w:t>riaprendo in tal modo gli incentivi al trasferimento degli utili societari e compromettendo la parità di condizioni per</w:t>
            </w:r>
            <w:r>
              <w:t xml:space="preserve"> le imprese </w:t>
            </w:r>
            <w:r>
              <w:rPr>
                <w:b/>
                <w:i/>
              </w:rPr>
              <w:t>e le giurisdizioni fiscali in tutto il mondo;</w:t>
            </w:r>
            <w:r>
              <w:t xml:space="preserve"> </w:t>
            </w:r>
            <w:r>
              <w:rPr>
                <w:b/>
                <w:i/>
              </w:rPr>
              <w:t>osserva che la persistente incertezza normativa e i recenti cambiamenti nella politica economica e commerciale degli Stati Uniti continuano a generare cautela tra gli investitori e le imprese internazionali;</w:t>
            </w:r>
            <w:r>
              <w:t xml:space="preserve"> </w:t>
            </w:r>
            <w:r>
              <w:rPr>
                <w:b/>
                <w:i/>
              </w:rPr>
              <w:t>sottolinea che l'attuale contesto internazionale è sempre più caratterizzato da concorrenza geopolitica, misure politiche unilaterali e una crescente frammentazione dell'ordine multilaterale basato su regole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osserva con preoccupazione</w:t>
            </w:r>
            <w:r>
              <w:t xml:space="preserve"> che le notevoli differenze strutturali tra il regime NCTI degli Stati Uniti e il secondo pilastro si traducono in aliquote effettive d'imposta diverse che svantaggiano le imprese multinazionali che hanno sede nell'UE e operano negli Stati Uniti; rileva inoltre che, in virtù dell'approccio "side-by-side", le imprese multinazionali con sede negli Stati Uniti sono tecnicamente esentate dalla maggior parte degli obblighi del secondo pilastro, il che pone le imprese europee in una situazione di svantaggio competitivo;</w:t>
            </w:r>
          </w:p>
        </w:tc>
        <w:tc>
          <w:tcPr>
            <w:tcW w:w="4876" w:type="dxa"/>
            <w:tcBorders>
              <w:top w:val="nil"/>
              <w:left w:val="nil"/>
              <w:bottom w:val="nil"/>
              <w:right w:val="nil"/>
            </w:tcBorders>
          </w:tcPr>
          <w:p>
            <w:pPr>
              <w:pStyle w:val="Normal6a"/>
            </w:pPr>
            <w:r>
              <w:t>4.</w:t>
            </w:r>
            <w:r>
              <w:tab/>
            </w:r>
            <w:r>
              <w:rPr>
                <w:b/>
                <w:i/>
              </w:rPr>
              <w:t>sottolinea</w:t>
            </w:r>
            <w:r>
              <w:t xml:space="preserve"> che le notevoli differenze strutturali tra il regime NCTI degli Stati Uniti e il secondo pilastro si traducono in aliquote effettive d'imposta diverse che svantaggiano le imprese multinazionali che hanno sede nell'UE e operano negli Stati Uniti; rileva inoltre che, in virtù dell'approccio "side-by-side", le imprese multinazionali con sede negli Stati Uniti sono tecnicamente esentate dalla maggior parte degli obblighi del secondo pilastro, il che pone le imprese europee in una situazione di </w:t>
            </w:r>
            <w:r>
              <w:rPr>
                <w:b/>
                <w:i/>
              </w:rPr>
              <w:t>notevole</w:t>
            </w:r>
            <w:r>
              <w:t xml:space="preserve"> svantaggio competitivo;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esprime profonda preoccupazione per gli effetti dell'approccio "side-by-side";</w:t>
            </w:r>
            <w:r>
              <w:t xml:space="preserve"> </w:t>
            </w:r>
            <w:r>
              <w:rPr>
                <w:b/>
                <w:i/>
              </w:rPr>
              <w:t>osserva che, sebbene miri a offrire stabilità normativa, l'accordo rischia di compromettere la parità di condizioni e di rilanciare le pratiche fiscali societarie dannose che il quadro del secondo pilastro era stato concepito per limitare;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sottolinea che, sebbene il secondo pilastro applichi un'imposta minima del 15 % per giurisdizione, la combinazione globale del regime NCTI statunitense compensa gli utili sottotassati, creando uno squilibrio strutturale tra i due regimi;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invita la Commissione a divulgare i dati o le analisi disponibili sulla perdita di gettito stimata per gli Stati membri dell'UE derivante dall'attuazione dell'approccio "side-by-side";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invita la Commissione a pubblicare altresì una valutazione dell'impatto dell'introduzione, attraverso l'approccio "side-by-side", di un nuovo porto sicuro mirato in materia di incentivi fiscali basati sulla sostanza nel quadro del secondo pilastro;</w:t>
            </w:r>
            <w:r>
              <w:t xml:space="preserve"> </w:t>
            </w:r>
            <w:r>
              <w:rPr>
                <w:b/>
                <w:i/>
              </w:rPr>
              <w:t>sottolinea l'importanza di analizzare in che misura l'ammissibilità di tali incentivi, utilizzati principalmente negli Stati Uniti, comprometta gli obiettivi generali di prevenire una corsa al ribasso in materia di tassazione e introduca uno svantaggio competitivo a carico delle imprese con sede nell'UE;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invita la Commissione ad analizzare la situazione e a proporre soluzioni per ovviare agli squilibri strutturali creati dall'approccio "side-by-side", con l'obiettivo di garantire la parità di condizioni per le imprese europee e salvaguardare la competitività globale dell'UE;</w:t>
            </w:r>
          </w:p>
        </w:tc>
        <w:tc>
          <w:tcPr>
            <w:tcW w:w="4876" w:type="dxa"/>
            <w:tcBorders>
              <w:top w:val="nil"/>
              <w:left w:val="nil"/>
              <w:bottom w:val="nil"/>
              <w:right w:val="nil"/>
            </w:tcBorders>
          </w:tcPr>
          <w:p>
            <w:pPr>
              <w:pStyle w:val="Normal6a"/>
            </w:pPr>
            <w:r>
              <w:t>5.</w:t>
            </w:r>
            <w:r>
              <w:tab/>
            </w:r>
            <w:r>
              <w:t>invita la Commissione ad analizzare la situazione e a proporre soluzioni per ovviare agli squilibri strutturali creati dall'approccio "side-by-side", con l'obiettivo di garantire la parità di condizioni per le imprese europee e salvaguardare la competitività globale dell'UE</w:t>
            </w:r>
            <w:r>
              <w:rPr>
                <w:b/>
                <w:i/>
              </w:rPr>
              <w:t>, riconoscendo nel contempo il principio di sussidiarietà e il fatto che la tassazione è di competenza degli Stati membri</w:t>
            </w:r>
            <w:r>
              <w:t xml:space="preserve">; </w:t>
            </w:r>
            <w:r>
              <w:rPr>
                <w:b/>
                <w:i/>
              </w:rPr>
              <w:t>invita la Commissione a tenere sempre conto della competitività economica dell'UE e a provvedere affinché le sue proposte rafforzino l'attrattiva economica dell'UE e non la compromettano;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la Commissione ad analizzare </w:t>
            </w:r>
            <w:r>
              <w:rPr>
                <w:b/>
                <w:i/>
              </w:rPr>
              <w:t>la situazione e a proporre soluzioni per ovviare agli squilibri strutturali creati dall'approccio</w:t>
            </w:r>
            <w:r>
              <w:t xml:space="preserve"> "side-by-side"</w:t>
            </w:r>
            <w:r>
              <w:rPr>
                <w:b/>
                <w:i/>
              </w:rPr>
              <w:t>, con l'obiettivo di garantire la parità di condizioni per le imprese europee e</w:t>
            </w:r>
            <w:r>
              <w:t xml:space="preserve"> salvaguardare </w:t>
            </w:r>
            <w:r>
              <w:rPr>
                <w:b/>
                <w:i/>
              </w:rPr>
              <w:t>la competitività</w:t>
            </w:r>
            <w:r>
              <w:t xml:space="preserve"> globale </w:t>
            </w:r>
            <w:r>
              <w:rPr>
                <w:b/>
                <w:i/>
              </w:rPr>
              <w:t>dell'UE</w:t>
            </w:r>
            <w:r>
              <w:t>;</w:t>
            </w:r>
          </w:p>
        </w:tc>
        <w:tc>
          <w:tcPr>
            <w:tcW w:w="4876" w:type="dxa"/>
            <w:tcBorders>
              <w:top w:val="nil"/>
              <w:left w:val="nil"/>
              <w:bottom w:val="nil"/>
              <w:right w:val="nil"/>
            </w:tcBorders>
          </w:tcPr>
          <w:p>
            <w:pPr>
              <w:pStyle w:val="Normal6a"/>
            </w:pPr>
            <w:r>
              <w:t>5.</w:t>
            </w:r>
            <w:r>
              <w:tab/>
            </w:r>
            <w:r>
              <w:t xml:space="preserve">invita la Commissione ad analizzare </w:t>
            </w:r>
            <w:r>
              <w:rPr>
                <w:b/>
                <w:i/>
              </w:rPr>
              <w:t>con urgenza e in modo approfondito l'impatto dell'approccio</w:t>
            </w:r>
            <w:r>
              <w:t xml:space="preserve"> "side-by-side" </w:t>
            </w:r>
            <w:r>
              <w:rPr>
                <w:b/>
                <w:i/>
              </w:rPr>
              <w:t>sull'agevolazione del trasferimento globale degli utili e sulla riduzione delle aliquote fiscali effettive e a proporre misure correttive e soluzioni per</w:t>
            </w:r>
            <w:r>
              <w:t xml:space="preserve"> salvaguardare </w:t>
            </w:r>
            <w:r>
              <w:rPr>
                <w:b/>
                <w:i/>
              </w:rPr>
              <w:t>l'integrità del quadro</w:t>
            </w:r>
            <w:r>
              <w:t xml:space="preserve"> globale </w:t>
            </w:r>
            <w:r>
              <w:rPr>
                <w:b/>
                <w:i/>
              </w:rPr>
              <w:t>in materia di imposizione minima, prevenire una corsa al ribasso e garantire che le società multinazionali che operano nel mercato unico contribuiscano a un livello di tassazione equo ed efficace indipendentemente dal luogo in cui hanno sede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invita la Commissione ad analizzare la situazione e a proporre soluzioni per ovviare agli squilibri strutturali creati dall'approccio "side-by-side", con l'obiettivo di garantire la parità di condizioni per le imprese europee e salvaguardare la competitività globale dell'UE;</w:t>
            </w:r>
          </w:p>
        </w:tc>
        <w:tc>
          <w:tcPr>
            <w:tcW w:w="4876" w:type="dxa"/>
            <w:tcBorders>
              <w:top w:val="nil"/>
              <w:left w:val="nil"/>
              <w:bottom w:val="nil"/>
              <w:right w:val="nil"/>
            </w:tcBorders>
          </w:tcPr>
          <w:p>
            <w:pPr>
              <w:pStyle w:val="Normal6a"/>
            </w:pPr>
            <w:r>
              <w:t>5.</w:t>
            </w:r>
            <w:r>
              <w:tab/>
            </w:r>
            <w:r>
              <w:t>invita la Commissione ad analizzare la situazione e a proporre soluzioni per ovviare agli squilibri strutturali creati dall'approccio "side-by-side", con l'obiettivo di garantire la parità di condizioni per le imprese europee</w:t>
            </w:r>
            <w:r>
              <w:rPr>
                <w:b/>
                <w:i/>
              </w:rPr>
              <w:t>, assicurare una tassazione equa, proteggere le entrate pubbliche, prevenire le pratiche fiscali dannose, favorire la crescita economica sostenibile</w:t>
            </w:r>
            <w:r>
              <w:t xml:space="preserve"> e salvaguardare la competitività globale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invita la Commissione ad analizzare la situazione e a proporre soluzioni per ovviare agli squilibri strutturali creati dall'approccio "side-by-side", con l'obiettivo di garantire la parità di condizioni per le imprese europee e salvaguardare la competitività globale dell'UE;</w:t>
            </w:r>
          </w:p>
        </w:tc>
        <w:tc>
          <w:tcPr>
            <w:tcW w:w="4876" w:type="dxa"/>
            <w:tcBorders>
              <w:top w:val="nil"/>
              <w:left w:val="nil"/>
              <w:bottom w:val="nil"/>
              <w:right w:val="nil"/>
            </w:tcBorders>
          </w:tcPr>
          <w:p>
            <w:pPr>
              <w:pStyle w:val="Normal6a"/>
            </w:pPr>
            <w:r>
              <w:t>5.</w:t>
            </w:r>
            <w:r>
              <w:tab/>
            </w:r>
            <w:r>
              <w:t xml:space="preserve">invita la Commissione ad analizzare la situazione </w:t>
            </w:r>
            <w:r>
              <w:rPr>
                <w:b/>
                <w:i/>
              </w:rPr>
              <w:t>con urgenza</w:t>
            </w:r>
            <w:r>
              <w:t xml:space="preserve"> e a proporre soluzioni</w:t>
            </w:r>
            <w:r>
              <w:rPr>
                <w:b/>
                <w:i/>
              </w:rPr>
              <w:t>, comprese soluzioni legislative ove necessario,</w:t>
            </w:r>
            <w:r>
              <w:t xml:space="preserve"> per ovviare agli squilibri strutturali creati dall'approccio "side-by-side", con l'obiettivo di garantire la parità di condizioni per le imprese europee e salvaguardare la competitività globale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Katri Kulmuni,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invita la Commissione ad analizzare la situazione e a proporre soluzioni per ovviare agli squilibri strutturali creati dall'approccio "side-by-side", con l'obiettivo di garantire la parità di condizioni per le imprese europee e salvaguardare la competitività globale dell'UE;</w:t>
            </w:r>
          </w:p>
        </w:tc>
        <w:tc>
          <w:tcPr>
            <w:tcW w:w="4876" w:type="dxa"/>
            <w:tcBorders>
              <w:top w:val="nil"/>
              <w:left w:val="nil"/>
              <w:bottom w:val="nil"/>
              <w:right w:val="nil"/>
            </w:tcBorders>
          </w:tcPr>
          <w:p>
            <w:pPr>
              <w:pStyle w:val="Normal6a"/>
            </w:pPr>
            <w:r>
              <w:t>5.</w:t>
            </w:r>
            <w:r>
              <w:tab/>
            </w:r>
            <w:r>
              <w:t>invita la Commissione ad analizzare la situazione e a proporre soluzioni per ovviare agli squilibri strutturali creati dall'approccio "side-by-side", con l'obiettivo di garantire la parità di condizioni per le imprese europee e salvaguardare la competitività globale dell'UE</w:t>
            </w:r>
            <w:r>
              <w:rPr>
                <w:b/>
                <w:i/>
              </w:rPr>
              <w:t>, nonché a cercare attivamente di semplificare le norme del secondo pilastro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esprime preoccupazione per il fatto che la concessione dello status di porto sicuro a regimi di imposizione minima di paesi terzi che operano al di fuori del quadro del secondo pilastro costituisca un precedente dannoso di eccezionalismo all'interno di un sistema che trae il suo valore da un'applicazione universale e coerente;</w:t>
            </w:r>
            <w:r>
              <w:t xml:space="preserve"> </w:t>
            </w:r>
            <w:r>
              <w:rPr>
                <w:b/>
                <w:i/>
              </w:rPr>
              <w:t>sottolinea che concessioni di tale natura, se fatte sotto l'esplicita minaccia di misure commerciali unilaterali, normalizzano l'uso della pressione economica extraterritoriale come leva sull'autonomia normativa dell'UE, una forma di coercizione che, per sua natura, potrebbe essere estesa a qualsiasi settore della politica dell'UE, erodendo in tal modo la sovranità dell'Unione;</w:t>
            </w:r>
            <w:r>
              <w:t xml:space="preserve"> </w:t>
            </w:r>
            <w:r>
              <w:rPr>
                <w:b/>
                <w:i/>
              </w:rPr>
              <w:t>ribadisce che l'impegno dell'UE a combattere l'elusione fiscale e a garantire che tutte le imprese multinazionali contribuiscano equamente deve rimanere incondizionato;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respinge le richieste di una nuova risorsa propria dell'UE basata su dati statistici relativi agli utili delle imprese;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invita la Commissione a utilizzare appieno gli strumenti atti a contrastare i vantaggi fiscali anticoncorrenziali che danneggiano le imprese europee, compresi gli aiuti di Stato e le misure antisovvenzioni;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invita la Commissione a </w:t>
            </w:r>
            <w:r>
              <w:rPr>
                <w:b/>
                <w:i/>
              </w:rPr>
              <w:t>utilizzare appieno gli strumenti atti a contrastare i vantaggi fiscali anticoncorrenziali che danneggiano le</w:t>
            </w:r>
            <w:r>
              <w:t xml:space="preserve"> imprese </w:t>
            </w:r>
            <w:r>
              <w:rPr>
                <w:b/>
                <w:i/>
              </w:rPr>
              <w:t>europee, compresi gli aiuti di Stato e le misure antisovvenzioni</w:t>
            </w:r>
            <w:r>
              <w:t>;</w:t>
            </w:r>
          </w:p>
        </w:tc>
        <w:tc>
          <w:tcPr>
            <w:tcW w:w="4876" w:type="dxa"/>
            <w:tcBorders>
              <w:top w:val="nil"/>
              <w:left w:val="nil"/>
              <w:bottom w:val="nil"/>
              <w:right w:val="nil"/>
            </w:tcBorders>
          </w:tcPr>
          <w:p>
            <w:pPr>
              <w:pStyle w:val="Normal6a"/>
            </w:pPr>
            <w:r>
              <w:t>6.</w:t>
            </w:r>
            <w:r>
              <w:tab/>
            </w:r>
            <w:r>
              <w:t xml:space="preserve">invita la Commissione a </w:t>
            </w:r>
            <w:r>
              <w:rPr>
                <w:b/>
                <w:i/>
              </w:rPr>
              <w:t>presentare una proposta relativa a un'imposta sui servizi digitali al fine di ripristinare l'equità nella tassazione dell'economia digitale;</w:t>
            </w:r>
            <w:r>
              <w:t xml:space="preserve"> </w:t>
            </w:r>
            <w:r>
              <w:rPr>
                <w:b/>
                <w:i/>
              </w:rPr>
              <w:t>osserva che alcune</w:t>
            </w:r>
            <w:r>
              <w:t xml:space="preserve"> imprese </w:t>
            </w:r>
            <w:r>
              <w:rPr>
                <w:b/>
                <w:i/>
              </w:rPr>
              <w:t>multinazionali altamente digitalizzate continuano a beneficiare di strutture imprenditoriali che facilitano il trasferimento degli utili verso giurisdizioni a bassa imposizione fiscale, il che si traduce in aliquote fiscali effettive notevolmente inferiori a quelle di molti altri attori economici;</w:t>
            </w:r>
            <w:r>
              <w:t xml:space="preserve"> </w:t>
            </w:r>
            <w:r>
              <w:rPr>
                <w:b/>
                <w:i/>
              </w:rPr>
              <w:t>sottolinea che, in assenza di una soluzione globale completa, un'imposta sui servizi digitali a livello dell'Unione costituirebbe uno strumento semplice, efficace e flessibile per garantire che il valore creato nell'Unione sia tassato equamente e che la concorrenza all'interno del mercato unico non sia falsata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invita la Commissione a utilizzare appieno gli strumenti atti a contrastare i vantaggi fiscali anticoncorrenziali che danneggiano le imprese europee, compresi gli aiuti di Stato e le misure antisovvenzioni;</w:t>
            </w:r>
          </w:p>
        </w:tc>
        <w:tc>
          <w:tcPr>
            <w:tcW w:w="4876" w:type="dxa"/>
            <w:tcBorders>
              <w:top w:val="nil"/>
              <w:left w:val="nil"/>
              <w:bottom w:val="nil"/>
              <w:right w:val="nil"/>
            </w:tcBorders>
          </w:tcPr>
          <w:p>
            <w:pPr>
              <w:pStyle w:val="Normal6a"/>
            </w:pPr>
            <w:r>
              <w:t>6.</w:t>
            </w:r>
            <w:r>
              <w:tab/>
            </w:r>
            <w:r>
              <w:t xml:space="preserve">invita la Commissione a utilizzare appieno gli strumenti atti a contrastare i vantaggi fiscali anticoncorrenziali che danneggiano le imprese europee, compresi gli aiuti di Stato e le misure antisovvenzioni; </w:t>
            </w:r>
            <w:r>
              <w:rPr>
                <w:b/>
                <w:i/>
              </w:rPr>
              <w:t>ricorda la necessità di ritornare a un quadro rigoroso in materia di aiuti di Stato una volta cessate le circostanze eccezionali, il che rafforzerebbe un sano ecosistema di concorrenza fiscale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invita la Commissione a utilizzare appieno gli strumenti atti a contrastare i vantaggi fiscali anticoncorrenziali che </w:t>
            </w:r>
            <w:r>
              <w:rPr>
                <w:b/>
                <w:i/>
              </w:rPr>
              <w:t>danneggiano le imprese europee, compresi gli aiuti di Stato e le misure antisovvenzioni</w:t>
            </w:r>
            <w:r>
              <w:t>;</w:t>
            </w:r>
          </w:p>
        </w:tc>
        <w:tc>
          <w:tcPr>
            <w:tcW w:w="4876" w:type="dxa"/>
            <w:tcBorders>
              <w:top w:val="nil"/>
              <w:left w:val="nil"/>
              <w:bottom w:val="nil"/>
              <w:right w:val="nil"/>
            </w:tcBorders>
          </w:tcPr>
          <w:p>
            <w:pPr>
              <w:pStyle w:val="Normal6a"/>
            </w:pPr>
            <w:r>
              <w:t>6.</w:t>
            </w:r>
            <w:r>
              <w:tab/>
            </w:r>
            <w:r>
              <w:t xml:space="preserve">invita la Commissione a utilizzare appieno gli strumenti atti a contrastare i vantaggi fiscali anticoncorrenziali che </w:t>
            </w:r>
            <w:r>
              <w:rPr>
                <w:b/>
                <w:i/>
              </w:rPr>
              <w:t>possono derivare dall'approccio "side-by-side"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osserva con preoccupazione che una quota significativa degli utili generati dall'estrazione di petrolio, gas e minerali è trasferita verso giurisdizioni a bassa imposizione fiscale, con prove che dimostrano che il trasferimento degli utili aumenta durante i periodi in cui i prezzi delle materie prime sono elevati;</w:t>
            </w:r>
            <w:r>
              <w:t xml:space="preserve"> </w:t>
            </w:r>
            <w:r>
              <w:rPr>
                <w:b/>
                <w:i/>
              </w:rPr>
              <w:t>invita la Commissione a presentare una proposta relativa a una sovrattassa sugli utili consolidati delle imprese produttrici di combustibili fossili, che garantisca un'equa tassazione delle rendite dei combustibili fossili, il riorientamento delle entrate verso la transizione verde e il passaggio da attività dannose per l'ambiente a un quadro fiscale ambientale più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sottolinea che una quota sostanziale della ricchezza è concentrata nel patrimonio e negli utili delle imprese;</w:t>
            </w:r>
            <w:r>
              <w:t xml:space="preserve"> </w:t>
            </w:r>
            <w:r>
              <w:rPr>
                <w:b/>
                <w:i/>
              </w:rPr>
              <w:t>evidenzia la necessità di una tassazione delle imprese equa ed efficace al fine di garantire entrate pubbliche sufficienti, così da consentire agli Stati membri di affrontare le conseguenze delle crisi passate e di prepararsi alle future sfide economiche, sociali e geopolitiche;</w:t>
            </w:r>
            <w:r>
              <w:t xml:space="preserve"> </w:t>
            </w:r>
            <w:r>
              <w:rPr>
                <w:b/>
                <w:i/>
              </w:rPr>
              <w:t>osserva che la pianificazione fiscale aggressiva e la sottotassazione degli utili delle imprese falsano la concorrenza, compromettono l'equità fiscale e indeboliscono la parità di condizioni, tanto a livello globale quanto a livello interno;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invita la Commissione a proporre un quadro legislativo per garantire che, quando generano una parte significativa dei loro ricavi nel mercato unico, le imprese multinazionali residenti a fini fiscali in paesi terzi siano tassate all'interno dell'Unione in modo equivalente a quello delle società residenti a fini fiscali in uno Stato membro;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sottolinea il ruolo delle esenzioni e degli incentivi fiscali mirati nel rafforzare la competitività e promuovere l'innovazione;</w:t>
            </w:r>
            <w:r>
              <w:t xml:space="preserve"> </w:t>
            </w:r>
            <w:r>
              <w:rPr>
                <w:b/>
                <w:i/>
              </w:rPr>
              <w:t>esorta la Commissione e gli Stati membri a sviluppare e utilizzare strumenti fiscali conformi agli aiuti di Stato dell'UE per attrarre e mantenere attività ad alto valore aggiunto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osserva con preoccupazione che, dallo scoppio dello shock energetico della guerra in Iran, gli utili delle compagnie petrolifere e del gas hanno fatto registrare una crescita vertiginosa, mentre le bollette energetiche per le famiglie e le imprese europee sono aumentate drasticamente, e che si prevede che tali profitti continueranno a crescere nei prossimi anni;</w:t>
            </w:r>
            <w:r>
              <w:t xml:space="preserve"> </w:t>
            </w:r>
            <w:r>
              <w:rPr>
                <w:b/>
                <w:i/>
              </w:rPr>
              <w:t>rileva che le cinque maggiori compagnie petrolifere hanno fatto registrare utili per oltre 100 miliardi di dollari nel solo 2024;</w:t>
            </w:r>
            <w:r>
              <w:t xml:space="preserve"> </w:t>
            </w:r>
            <w:r>
              <w:rPr>
                <w:b/>
                <w:i/>
              </w:rPr>
              <w:t>invita la Commissione a proporre senza indugio un'imposta mirata sui proventi straordinari applicabile agli utili in eccesso consolidati delle grandi società petrolifere e del gas, fissata a un'aliquota di almeno il 50 %, calcolata rispetto agli utili medi realizzati dalle imprese del settore energetico negli ultimi anni;</w:t>
            </w:r>
            <w:r>
              <w:t xml:space="preserve"> </w:t>
            </w:r>
            <w:r>
              <w:rPr>
                <w:b/>
                <w:i/>
              </w:rPr>
              <w:t>sottolinea che le entrate derivanti da tale misura dovrebbero essere utilizzate per fornire un sostegno mirato alle famiglie e alle PMI nonché per contribuire a ridurre la dipendenza dell'Unione dalle importazioni di combustibili fossili e ad accelerare la transizione energetica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invita la Commissione a istituire un meccanismo di "presenza fiscale europea" in base al quale si ritiene che le imprese di paesi terzi con un fatturato superiore a una determinata soglia nell'Unione abbiano una presenza fiscale nell'UE, indipendentemente dal loro stabilimento fisico;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quater.</w:t>
            </w:r>
            <w:r>
              <w:tab/>
            </w:r>
            <w:r>
              <w:rPr>
                <w:b/>
                <w:i/>
              </w:rPr>
              <w:t>chiede alla Commissione di valutare la possibilità di applicare un'imposta di perequazione supplementare alle imprese di paesi terzi che operano nel mercato interno e che sono soggette a un'aliquota d'imposta effettiva notevolmente inferiore a quella applicata negli Stati membri;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quinquies.</w:t>
            </w:r>
            <w:r>
              <w:tab/>
            </w:r>
            <w:r>
              <w:rPr>
                <w:b/>
                <w:i/>
              </w:rPr>
              <w:t>sottolinea che l'accesso agli strumenti di finanziamento, ai programmi di ricerca e innovazione e agli appalti pubblici europei dovrebbe essere subordinato a una presenza fiscale sostanziale all'interno dell'Unione e al pieno rispetto delle norme fiscali dell'UE;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Titolo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Necessità di semplificare </w:t>
            </w:r>
            <w:r>
              <w:rPr>
                <w:b/>
                <w:i/>
              </w:rPr>
              <w:t>e</w:t>
            </w:r>
            <w:r>
              <w:t xml:space="preserve"> chiarire </w:t>
            </w:r>
            <w:r>
              <w:rPr>
                <w:b/>
                <w:i/>
              </w:rPr>
              <w:t>la</w:t>
            </w:r>
            <w:r>
              <w:t xml:space="preserve"> legislazione dell'UE</w:t>
            </w:r>
          </w:p>
        </w:tc>
        <w:tc>
          <w:tcPr>
            <w:tcW w:w="4876" w:type="dxa"/>
            <w:tcBorders>
              <w:top w:val="nil"/>
              <w:left w:val="nil"/>
              <w:bottom w:val="nil"/>
              <w:right w:val="nil"/>
            </w:tcBorders>
          </w:tcPr>
          <w:p>
            <w:pPr>
              <w:pStyle w:val="Normal6a"/>
            </w:pPr>
            <w:r>
              <w:t>Necessità di semplificare</w:t>
            </w:r>
            <w:r>
              <w:rPr>
                <w:b/>
                <w:i/>
              </w:rPr>
              <w:t>,</w:t>
            </w:r>
            <w:r>
              <w:t xml:space="preserve"> chiarire </w:t>
            </w:r>
            <w:r>
              <w:rPr>
                <w:b/>
                <w:i/>
              </w:rPr>
              <w:t>e garantire un processo decisionale efficace e democratico nella</w:t>
            </w:r>
            <w:r>
              <w:t xml:space="preserve"> legislazione </w:t>
            </w:r>
            <w:r>
              <w:rPr>
                <w:b/>
                <w:i/>
              </w:rPr>
              <w:t>fiscale</w:t>
            </w:r>
            <w:r>
              <w:t xml:space="preserv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Titolo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Necessità di semplificare e chiarire la legislazione dell'UE</w:t>
            </w:r>
          </w:p>
        </w:tc>
        <w:tc>
          <w:tcPr>
            <w:tcW w:w="4876" w:type="dxa"/>
            <w:tcBorders>
              <w:top w:val="nil"/>
              <w:left w:val="nil"/>
              <w:bottom w:val="nil"/>
              <w:right w:val="nil"/>
            </w:tcBorders>
          </w:tcPr>
          <w:p>
            <w:pPr>
              <w:pStyle w:val="Normal6a"/>
            </w:pPr>
            <w:r>
              <w:t>Necessità di semplificare</w:t>
            </w:r>
            <w:r>
              <w:rPr>
                <w:b/>
                <w:i/>
              </w:rPr>
              <w:t>, rendere trasparente</w:t>
            </w:r>
            <w:r>
              <w:t xml:space="preserve"> e chiarire la legislazione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osserva con preoccupazione che l'approccio "side-by-side" </w:t>
            </w:r>
            <w:r>
              <w:rPr>
                <w:b/>
                <w:i/>
              </w:rPr>
              <w:t>aumenta</w:t>
            </w:r>
            <w:r>
              <w:t xml:space="preserve"> la complessità giuridica e amministrativa come pure i costi di conformità per le imprese multinazionali con sede nell'UE che operano negli Stati Uniti;</w:t>
            </w:r>
          </w:p>
        </w:tc>
        <w:tc>
          <w:tcPr>
            <w:tcW w:w="4876" w:type="dxa"/>
            <w:tcBorders>
              <w:top w:val="nil"/>
              <w:left w:val="nil"/>
              <w:bottom w:val="nil"/>
              <w:right w:val="nil"/>
            </w:tcBorders>
          </w:tcPr>
          <w:p>
            <w:pPr>
              <w:pStyle w:val="Normal6a"/>
            </w:pPr>
            <w:r>
              <w:t>7.</w:t>
            </w:r>
            <w:r>
              <w:tab/>
            </w:r>
            <w:r>
              <w:t xml:space="preserve">osserva con preoccupazione che </w:t>
            </w:r>
            <w:r>
              <w:rPr>
                <w:b/>
                <w:i/>
              </w:rPr>
              <w:t>la concezione del secondo pilastro ha introdotto un livello contabile separato e oneroso negli obblighi di rendicontazione poiché, al fine di calcolare le imposte minime globali, in aggiunta ai codici fiscali locali devono essere applicati quadri finanziari (come gli IFRS o i GAAP statunitensi) combinati a complessi adeguamenti dell'OCSE;</w:t>
            </w:r>
            <w:r>
              <w:t xml:space="preserve"> </w:t>
            </w:r>
            <w:r>
              <w:rPr>
                <w:b/>
                <w:i/>
              </w:rPr>
              <w:t>si rammarica del fatto che</w:t>
            </w:r>
            <w:r>
              <w:t xml:space="preserve"> l'approccio "side-by-side" </w:t>
            </w:r>
            <w:r>
              <w:rPr>
                <w:b/>
                <w:i/>
              </w:rPr>
              <w:t>aumenti ulteriormente</w:t>
            </w:r>
            <w:r>
              <w:t xml:space="preserve"> la complessità giuridica e amministrativa come pure i costi di conformità per le imprese multinazionali con sede nell'UE che operano negli Stati Uniti;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osserva con preoccupazione che l'approccio "side-by-side" aumenta la complessità giuridica e amministrativa come pure </w:t>
            </w:r>
            <w:r>
              <w:rPr>
                <w:b/>
                <w:i/>
              </w:rPr>
              <w:t>i</w:t>
            </w:r>
            <w:r>
              <w:t xml:space="preserve"> costi di conformità per le imprese multinazionali con sede nell'UE che operano negli Stati Uniti;</w:t>
            </w:r>
          </w:p>
        </w:tc>
        <w:tc>
          <w:tcPr>
            <w:tcW w:w="4876" w:type="dxa"/>
            <w:tcBorders>
              <w:top w:val="nil"/>
              <w:left w:val="nil"/>
              <w:bottom w:val="nil"/>
              <w:right w:val="nil"/>
            </w:tcBorders>
          </w:tcPr>
          <w:p>
            <w:pPr>
              <w:pStyle w:val="Normal6a"/>
            </w:pPr>
            <w:r>
              <w:t>7.</w:t>
            </w:r>
            <w:r>
              <w:tab/>
            </w:r>
            <w:r>
              <w:t xml:space="preserve">osserva con preoccupazione che l'approccio "side-by-side" aumenta la complessità giuridica e amministrativa </w:t>
            </w:r>
            <w:r>
              <w:rPr>
                <w:b/>
                <w:i/>
              </w:rPr>
              <w:t>e crea nuove scappatoie,</w:t>
            </w:r>
            <w:r>
              <w:t xml:space="preserve"> come pure costi di conformità</w:t>
            </w:r>
            <w:r>
              <w:rPr>
                <w:b/>
                <w:i/>
              </w:rPr>
              <w:t>, anche</w:t>
            </w:r>
            <w:r>
              <w:t xml:space="preserve"> per le imprese multinazionali con sede nell'UE che operano negli Stati Uniti</w:t>
            </w:r>
            <w:r>
              <w:rPr>
                <w:b/>
                <w:i/>
              </w:rPr>
              <w:t>, proteggendo nel contempo le imprese con sede negli Stati Uniti da elementi essenziali del quadro del secondo pilastro dell'OCSE e consentendo il persistere di abusi dannosi in materia di imposta sulle società</w:t>
            </w:r>
            <w:r>
              <w:rPr>
                <w:b/>
                <w:i/>
                <w:vertAlign w:val="superscript"/>
              </w:rPr>
              <w:t>1 ter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https://thefactcoalition.org/oecd-side-by-side-agreement/.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osserva con preoccupazione che l'approccio "side-by-side" aumenta la complessità giuridica e amministrativa come pure i costi di conformità per le imprese multinazionali con sede nell'UE che operano negli Stati Uniti;</w:t>
            </w:r>
          </w:p>
        </w:tc>
        <w:tc>
          <w:tcPr>
            <w:tcW w:w="4876" w:type="dxa"/>
            <w:tcBorders>
              <w:top w:val="nil"/>
              <w:left w:val="nil"/>
              <w:bottom w:val="nil"/>
              <w:right w:val="nil"/>
            </w:tcBorders>
          </w:tcPr>
          <w:p>
            <w:pPr>
              <w:pStyle w:val="Normal6a"/>
            </w:pPr>
            <w:r>
              <w:t>7.</w:t>
            </w:r>
            <w:r>
              <w:tab/>
            </w:r>
            <w:r>
              <w:t>osserva con preoccupazione che l'approccio "side-by-side" aumenta la complessità giuridica e amministrativa come pure i costi di conformità per le imprese multinazionali con sede nell'UE che operano negli Stati Uniti</w:t>
            </w:r>
            <w:r>
              <w:rPr>
                <w:b/>
                <w:i/>
              </w:rPr>
              <w:t>, compromettendo in tal modo la competitività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ritiene che l'armonizzazione delle procedure in materia di imposta sulle società, compresi il calcolo delle basi imponibili, l'applicazione e le definizioni, apporterebbe chiari vantaggi al mondo delle imprese, in quanto ne faciliterebbe lo svolgimento di attività di investimento in un altro Stato membro dell'UE, contribuendo nel contempo a limitare l'evasione e l'elusione fiscali;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valuta positivamente i</w:t>
            </w:r>
            <w:r>
              <w:t xml:space="preserve"> lavori preparatori svolti dalla Commissione in vista del pacchetto omnibus sulla fiscalità; invita la Commissione a dare priorità alla semplificazione </w:t>
            </w:r>
            <w:r>
              <w:rPr>
                <w:b/>
                <w:i/>
              </w:rPr>
              <w:t>fiscale</w:t>
            </w:r>
            <w:r>
              <w:t xml:space="preserve"> rivedendo le misure in materia di comunicazione e antielusione che si sovrappongono nel diritto fiscale dell'UE </w:t>
            </w:r>
            <w:r>
              <w:rPr>
                <w:b/>
                <w:i/>
              </w:rPr>
              <w:t>e riducendo</w:t>
            </w:r>
            <w:r>
              <w:t xml:space="preserve"> gli oneri amministrativi per le imprese con sede nell'UE, in particolare </w:t>
            </w:r>
            <w:r>
              <w:rPr>
                <w:b/>
                <w:i/>
              </w:rPr>
              <w:t>valutando la necessità di mantenere le</w:t>
            </w:r>
            <w:r>
              <w:t xml:space="preserve"> disposizioni dell'ATAD sulle società controllate estere e </w:t>
            </w:r>
            <w:r>
              <w:rPr>
                <w:b/>
                <w:i/>
              </w:rPr>
              <w:t>rivedendo ed eventualmente semplificando la direttiva sulle società madri e figlie, la direttiva sulle fusioni, la</w:t>
            </w:r>
            <w:r>
              <w:t xml:space="preserve"> direttiva sulla comunicazione pubblica paese per paese </w:t>
            </w:r>
            <w:r>
              <w:rPr>
                <w:b/>
                <w:i/>
              </w:rPr>
              <w:t>e</w:t>
            </w:r>
            <w:r>
              <w:t xml:space="preserve"> il quadro della </w:t>
            </w:r>
            <w:r>
              <w:rPr>
                <w:b/>
                <w:i/>
              </w:rPr>
              <w:t>DAC</w:t>
            </w:r>
            <w:r>
              <w:t>;</w:t>
            </w:r>
          </w:p>
        </w:tc>
        <w:tc>
          <w:tcPr>
            <w:tcW w:w="4876" w:type="dxa"/>
            <w:tcBorders>
              <w:top w:val="nil"/>
              <w:left w:val="nil"/>
              <w:bottom w:val="nil"/>
              <w:right w:val="nil"/>
            </w:tcBorders>
          </w:tcPr>
          <w:p>
            <w:pPr>
              <w:pStyle w:val="Normal6a"/>
            </w:pPr>
            <w:r>
              <w:t>8.</w:t>
            </w:r>
            <w:r>
              <w:tab/>
            </w:r>
            <w:r>
              <w:rPr>
                <w:b/>
                <w:i/>
              </w:rPr>
              <w:t>prende atto dei</w:t>
            </w:r>
            <w:r>
              <w:t xml:space="preserve"> lavori preparatori svolti dalla Commissione in vista del pacchetto omnibus sulla fiscalità; invita la Commissione a dare priorità alla semplificazione </w:t>
            </w:r>
            <w:r>
              <w:rPr>
                <w:b/>
                <w:i/>
              </w:rPr>
              <w:t>amministrativa</w:t>
            </w:r>
            <w:r>
              <w:t xml:space="preserve"> rivedendo le misure in materia di comunicazione e antielusione che si sovrappongono nel diritto fiscale dell'UE</w:t>
            </w:r>
            <w:r>
              <w:rPr>
                <w:b/>
                <w:i/>
              </w:rPr>
              <w:t>, nonché valutandole e migliorandone la coerenza, semplificando nel contempo gli obblighi di rendicontazione e le procedure per ridurre</w:t>
            </w:r>
            <w:r>
              <w:t xml:space="preserve"> gli oneri amministrativi </w:t>
            </w:r>
            <w:r>
              <w:rPr>
                <w:b/>
                <w:i/>
              </w:rPr>
              <w:t>superflui</w:t>
            </w:r>
            <w:r>
              <w:t xml:space="preserve"> per le imprese con sede nell'UE</w:t>
            </w:r>
            <w:r>
              <w:rPr>
                <w:b/>
                <w:i/>
              </w:rPr>
              <w:t>;</w:t>
            </w:r>
            <w:r>
              <w:t xml:space="preserve"> </w:t>
            </w:r>
            <w:r>
              <w:rPr>
                <w:b/>
                <w:i/>
              </w:rPr>
              <w:t>invita inoltre la Commissione a resistere alle pressioni di deregolamentazione esercitate dalle grandi imprese multinazionali che svolgono attività di lobbying volte a indebolire le norme fiscali dell'UE</w:t>
            </w:r>
            <w:r>
              <w:t xml:space="preserve">, </w:t>
            </w:r>
            <w:r>
              <w:rPr>
                <w:b/>
                <w:i/>
              </w:rPr>
              <w:t>e a garantire che tale esercizio non si traduca in una riduzione della trasparenza fiscale o in norme fiscali antielusione più deboli;</w:t>
            </w:r>
            <w:r>
              <w:t xml:space="preserve"> </w:t>
            </w:r>
            <w:r>
              <w:rPr>
                <w:b/>
                <w:i/>
              </w:rPr>
              <w:t>si oppone</w:t>
            </w:r>
            <w:r>
              <w:t xml:space="preserve"> in particolare </w:t>
            </w:r>
            <w:r>
              <w:rPr>
                <w:b/>
                <w:i/>
              </w:rPr>
              <w:t>a qualsiasi arretramento rispetto alle</w:t>
            </w:r>
            <w:r>
              <w:t xml:space="preserve"> disposizioni dell'ATAD sulle società controllate estere e </w:t>
            </w:r>
            <w:r>
              <w:rPr>
                <w:b/>
                <w:i/>
              </w:rPr>
              <w:t>a qualsiasi revisione prematura della</w:t>
            </w:r>
            <w:r>
              <w:t> direttiva sulla comunicazione pubblica paese per paese</w:t>
            </w:r>
            <w:r>
              <w:rPr>
                <w:b/>
                <w:i/>
              </w:rPr>
              <w:t>, dal momento che i relativi effetti pratici non possono ancora essere adeguatamente valutati a causa della sua recente attuazione;</w:t>
            </w:r>
            <w:r>
              <w:t xml:space="preserve"> </w:t>
            </w:r>
            <w:r>
              <w:rPr>
                <w:b/>
                <w:i/>
              </w:rPr>
              <w:t>invita invece la Commissione a concedere tempo sufficiente per l'attuazione prima di prendere in considerazione eventuali modifiche legislative, a effettuare una valutazione basata su dati concreti dei suoi primi due anni di attuazione e a presentare proposte per rafforzare</w:t>
            </w:r>
            <w:r>
              <w:t xml:space="preserve"> il quadro</w:t>
            </w:r>
            <w:r>
              <w:rPr>
                <w:b/>
                <w:i/>
              </w:rPr>
              <w:t>, anche passando a una comunicazione pubblica paese per paese completa e disaggregata in tutte le giurisdizioni;</w:t>
            </w:r>
            <w:r>
              <w:t xml:space="preserve"> </w:t>
            </w:r>
            <w:r>
              <w:rPr>
                <w:b/>
                <w:i/>
              </w:rPr>
              <w:t>sottolinea inoltre l'importanza di rafforzare la cooperazione tra gli Stati membri e le amministrazioni fiscali nazionali al fine di promuovere un'interpretazione e un'applicazione più coerenti</w:t>
            </w:r>
            <w:r>
              <w:t xml:space="preserve"> della </w:t>
            </w:r>
            <w:r>
              <w:rPr>
                <w:b/>
                <w:i/>
              </w:rPr>
              <w:t>legislazione in materia di imposte dirette e indirette in tutta l'Unione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 e rivedendo ed eventualmente semplificando la direttiva sulle società madri e figlie, la direttiva sulle fusioni, la direttiva sulla comunicazione pubblica paese per paese e il quadro della DAC;</w:t>
            </w:r>
          </w:p>
        </w:tc>
        <w:tc>
          <w:tcPr>
            <w:tcW w:w="4876" w:type="dxa"/>
            <w:tcBorders>
              <w:top w:val="nil"/>
              <w:left w:val="nil"/>
              <w:bottom w:val="nil"/>
              <w:right w:val="nil"/>
            </w:tcBorders>
          </w:tcPr>
          <w:p>
            <w:pPr>
              <w:pStyle w:val="Normal6a"/>
            </w:pPr>
            <w:r>
              <w:t>8.</w:t>
            </w:r>
            <w:r>
              <w:tab/>
            </w:r>
            <w:r>
              <w:t>valuta positivamente i lavori preparatori svolti dalla Commissione in vista del pacchetto omnibus sulla fiscalità</w:t>
            </w:r>
            <w:r>
              <w:rPr>
                <w:b/>
                <w:i/>
              </w:rPr>
              <w:t>;</w:t>
            </w:r>
            <w:r>
              <w:t xml:space="preserve"> </w:t>
            </w:r>
            <w:r>
              <w:rPr>
                <w:b/>
                <w:i/>
              </w:rPr>
              <w:t>invita la Commissione a perseguire un programma ambizioso e globale di semplificazione dell'imposta sulle società volto a rafforzare la competitività globale dell'Unione, a ridurre i costi di conformità e ad aumentare la certezza del diritto per le imprese che operano nel mercato interno</w:t>
            </w:r>
            <w:r>
              <w:t xml:space="preserve">;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 e rivedendo ed eventualmente semplificando la direttiva sulle società madri e figlie, la direttiva sulle fusioni, la direttiva sulla comunicazione pubblica paese per paese e il quadro della DAC; </w:t>
            </w:r>
            <w:r>
              <w:rPr>
                <w:b/>
                <w:i/>
              </w:rPr>
              <w:t>sottolinea che gli sforzi di semplificazione dovrebbero andare in particolare a particolare vantaggio delle PMI, delle imprese innovative e delle imprese transfrontaliere, riducendo gli oneri amministrativi eccessivi, la duplicazione degli obblighi di comunicazione e la frammentazione giuridica in tutta 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valuta positivamente i</w:t>
            </w:r>
            <w:r>
              <w:t xml:space="preserve">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w:t>
            </w:r>
            <w:r>
              <w:rPr>
                <w:b/>
                <w:i/>
              </w:rPr>
              <w:t>valutando la necessità di mantenere</w:t>
            </w:r>
            <w:r>
              <w:t xml:space="preserve"> le disposizioni dell'ATAD </w:t>
            </w:r>
            <w:r>
              <w:rPr>
                <w:b/>
                <w:i/>
              </w:rPr>
              <w:t>sulle società controllate estere</w:t>
            </w:r>
            <w:r>
              <w:t xml:space="preserve"> e rivedendo ed eventualmente semplificando la direttiva sulle società madri e figlie, la direttiva sulle fusioni, la direttiva sulla comunicazione pubblica paese per paese e il quadro della DAC;</w:t>
            </w:r>
          </w:p>
        </w:tc>
        <w:tc>
          <w:tcPr>
            <w:tcW w:w="4876" w:type="dxa"/>
            <w:tcBorders>
              <w:top w:val="nil"/>
              <w:left w:val="nil"/>
              <w:bottom w:val="nil"/>
              <w:right w:val="nil"/>
            </w:tcBorders>
          </w:tcPr>
          <w:p>
            <w:pPr>
              <w:pStyle w:val="Normal6a"/>
            </w:pPr>
            <w:r>
              <w:t>8.</w:t>
            </w:r>
            <w:r>
              <w:tab/>
            </w:r>
            <w:r>
              <w:rPr>
                <w:b/>
                <w:i/>
              </w:rPr>
              <w:t>prende atto dei</w:t>
            </w:r>
            <w:r>
              <w:t xml:space="preserve"> lavori preparatori svolti dalla Commissione in vista del pacchetto omnibus sulla fiscalità</w:t>
            </w:r>
            <w:r>
              <w:rPr>
                <w:b/>
                <w:i/>
              </w:rPr>
              <w:t>;</w:t>
            </w:r>
            <w:r>
              <w:t xml:space="preserve"> </w:t>
            </w:r>
            <w:r>
              <w:rPr>
                <w:b/>
                <w:i/>
              </w:rPr>
              <w:t>rileva, in particolare, la necessità di sfruttare il processo di revisione per affrontare l'attuale sovrapposizione normativa e per razionalizzare e semplificare l'applicazione di norme e concetti comuni;</w:t>
            </w:r>
            <w:r>
              <w:t xml:space="preserve"> </w:t>
            </w:r>
            <w:r>
              <w:rPr>
                <w:b/>
                <w:i/>
              </w:rPr>
              <w:t>sottolinea in particolare che la standardizzazione dei termini e dei concetti è fondamentale per semplificare la conformità, dal momento che varie interpretazioni nazionali possono dar luogo a frammentazione e complessità</w:t>
            </w:r>
            <w:r>
              <w:t xml:space="preserve">; invita la Commissione a dare priorità alla semplificazione fiscale rivedendo le misure in materia di comunicazione e antielusione che si sovrappongono nel diritto fiscale dell'UE e riducendo gli oneri amministrativi per le imprese con sede nell'UE, in particolare </w:t>
            </w:r>
            <w:r>
              <w:rPr>
                <w:b/>
                <w:i/>
              </w:rPr>
              <w:t>razionalizzando</w:t>
            </w:r>
            <w:r>
              <w:t xml:space="preserve"> le disposizioni dell'ATAD </w:t>
            </w:r>
            <w:r>
              <w:rPr>
                <w:b/>
                <w:i/>
              </w:rPr>
              <w:t>con il quadro del secondo pilastro, ove possibile,</w:t>
            </w:r>
            <w:r>
              <w:t xml:space="preserve"> e rivedendo ed eventualmente semplificando la direttiva sulle società madri e figlie, la direttiva sulle fusioni, la direttiva sulla comunicazione pubblica paese per paese e il quadro della DAC; </w:t>
            </w:r>
            <w:r>
              <w:rPr>
                <w:b/>
                <w:i/>
              </w:rPr>
              <w:t>sottolinea che gli sforzi volti a semplificare la legislazione dell'UE non devono portare alla deregolamentazione e all'abbassamento degli standard attuali;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valuta positivamente i</w:t>
            </w:r>
            <w:r>
              <w:t xml:space="preserve"> lavori preparatori svolti dalla Commissione in vista del pacchetto omnibus sulla fiscalità; invita la Commissione a dare priorità </w:t>
            </w:r>
            <w:r>
              <w:rPr>
                <w:b/>
                <w:i/>
              </w:rPr>
              <w:t>alla semplificazione fiscale rivedendo le misure in materia di comunicazione e antielusione</w:t>
            </w:r>
            <w:r>
              <w:t xml:space="preserve"> che si sovrappongono </w:t>
            </w:r>
            <w:r>
              <w:rPr>
                <w:b/>
                <w:i/>
              </w:rPr>
              <w:t>nel diritto fiscale dell'UE e riducendo gli oneri amministrativi per le imprese con sede nell'UE, in particolare valutando la necessità di mantenere</w:t>
            </w:r>
            <w:r>
              <w:t xml:space="preserve"> le disposizioni </w:t>
            </w:r>
            <w:r>
              <w:rPr>
                <w:b/>
                <w:i/>
              </w:rPr>
              <w:t>dell'ATAD</w:t>
            </w:r>
            <w:r>
              <w:t xml:space="preserve"> sulle società controllate estere </w:t>
            </w:r>
            <w:r>
              <w:rPr>
                <w:b/>
                <w:i/>
              </w:rPr>
              <w:t>e rivedendo ed eventualmente semplificando la</w:t>
            </w:r>
            <w:r>
              <w:t xml:space="preserve"> direttiva sulle società madri e figlie, </w:t>
            </w:r>
            <w:r>
              <w:rPr>
                <w:b/>
                <w:i/>
              </w:rPr>
              <w:t>la</w:t>
            </w:r>
            <w:r>
              <w:t xml:space="preserve"> direttiva sulle fusioni</w:t>
            </w:r>
            <w:r>
              <w:rPr>
                <w:b/>
                <w:i/>
              </w:rPr>
              <w:t>, la direttiva sulla comunicazione pubblica paese per paese e il</w:t>
            </w:r>
            <w:r>
              <w:t xml:space="preserve"> quadro della </w:t>
            </w:r>
            <w:r>
              <w:rPr>
                <w:b/>
                <w:i/>
              </w:rPr>
              <w:t>DAC</w:t>
            </w:r>
            <w:r>
              <w:t>;</w:t>
            </w:r>
          </w:p>
        </w:tc>
        <w:tc>
          <w:tcPr>
            <w:tcW w:w="4876" w:type="dxa"/>
            <w:tcBorders>
              <w:top w:val="nil"/>
              <w:left w:val="nil"/>
              <w:bottom w:val="nil"/>
              <w:right w:val="nil"/>
            </w:tcBorders>
          </w:tcPr>
          <w:p>
            <w:pPr>
              <w:pStyle w:val="Normal6a"/>
            </w:pPr>
            <w:r>
              <w:t>8.</w:t>
            </w:r>
            <w:r>
              <w:tab/>
            </w:r>
            <w:r>
              <w:rPr>
                <w:b/>
                <w:i/>
              </w:rPr>
              <w:t>prende atto dei</w:t>
            </w:r>
            <w:r>
              <w:t xml:space="preserve"> lavori preparatori svolti dalla Commissione in vista del pacchetto omnibus sulla fiscalità; invita la Commissione a dare priorità </w:t>
            </w:r>
            <w:r>
              <w:rPr>
                <w:b/>
                <w:i/>
              </w:rPr>
              <w:t>all'individuazione delle lacune fiscali rimanenti e alla razionalizzazione delle norme</w:t>
            </w:r>
            <w:r>
              <w:t xml:space="preserve"> che si sovrappongono</w:t>
            </w:r>
            <w:r>
              <w:rPr>
                <w:b/>
                <w:i/>
              </w:rPr>
              <w:t>;</w:t>
            </w:r>
            <w:r>
              <w:t xml:space="preserve"> </w:t>
            </w:r>
            <w:r>
              <w:rPr>
                <w:b/>
                <w:i/>
              </w:rPr>
              <w:t>sottolinea l'efficacia della direttiva antielusione (ATAD) nell'attuazione del piano d'azione dell'OCSE sull'erosione della base imponibile e sul trasferimento degli utili (BEPS);</w:t>
            </w:r>
            <w:r>
              <w:t xml:space="preserve"> </w:t>
            </w:r>
            <w:r>
              <w:rPr>
                <w:b/>
                <w:i/>
              </w:rPr>
              <w:t>riconosce che</w:t>
            </w:r>
            <w:r>
              <w:t xml:space="preserve"> le disposizioni sulle società controllate estere </w:t>
            </w:r>
            <w:r>
              <w:rPr>
                <w:b/>
                <w:i/>
              </w:rPr>
              <w:t>potrebbero essere semplificate mantenendo l'opzione di cui all'articolo 7, paragrafo 2, lettera a), per i redditi non distribuiti;</w:t>
            </w:r>
            <w:r>
              <w:t xml:space="preserve"> </w:t>
            </w:r>
            <w:r>
              <w:rPr>
                <w:b/>
                <w:i/>
              </w:rPr>
              <w:t>ricorda che il secondo pilastro, contrariamente all'ATAD, si applica solo ai gruppi con entrate annuali pari o superiori a 750 000 000 EUR;</w:t>
            </w:r>
            <w:r>
              <w:t xml:space="preserve"> </w:t>
            </w:r>
            <w:r>
              <w:rPr>
                <w:b/>
                <w:i/>
              </w:rPr>
              <w:t>riconosce il potenziale di semplificazione derivante dalla revisione della</w:t>
            </w:r>
            <w:r>
              <w:t xml:space="preserve"> direttiva sulle società madri e figlie, </w:t>
            </w:r>
            <w:r>
              <w:rPr>
                <w:b/>
                <w:i/>
              </w:rPr>
              <w:t>della</w:t>
            </w:r>
            <w:r>
              <w:t xml:space="preserve"> direttiva sulle fusioni </w:t>
            </w:r>
            <w:r>
              <w:rPr>
                <w:b/>
                <w:i/>
              </w:rPr>
              <w:t>e del</w:t>
            </w:r>
            <w:r>
              <w:t xml:space="preserve"> quadro della </w:t>
            </w:r>
            <w:r>
              <w:rPr>
                <w:b/>
                <w:i/>
              </w:rPr>
              <w:t>direttiva relativa alla cooperazione amministrativa (DAC)</w:t>
            </w:r>
            <w:r>
              <w:t xml:space="preserve">; </w:t>
            </w:r>
            <w:r>
              <w:rPr>
                <w:b/>
                <w:i/>
              </w:rPr>
              <w:t>sottolinea che gli sforzi volti a semplificare la legislazione dell'UE non devono portare alla deregolamentazione e all'abbassamento degli standard attuali;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Jussi Saramo, 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w:t>
            </w:r>
            <w:r>
              <w:rPr>
                <w:b/>
                <w:i/>
              </w:rPr>
              <w:t>, in particolare valutando la necessità di mantenere le disposizioni dell'ATAD sulle società controllate estere e rivedendo ed eventualmente semplificando la direttiva sulle società madri e figlie, la direttiva sulle fusioni, la direttiva sulla comunicazione pubblica paese per paese e il</w:t>
            </w:r>
            <w:r>
              <w:t xml:space="preserve"> quadro della </w:t>
            </w:r>
            <w:r>
              <w:rPr>
                <w:b/>
                <w:i/>
              </w:rPr>
              <w:t>DAC</w:t>
            </w:r>
            <w:r>
              <w:t>;</w:t>
            </w:r>
          </w:p>
        </w:tc>
        <w:tc>
          <w:tcPr>
            <w:tcW w:w="4876" w:type="dxa"/>
            <w:tcBorders>
              <w:top w:val="nil"/>
              <w:left w:val="nil"/>
              <w:bottom w:val="nil"/>
              <w:right w:val="nil"/>
            </w:tcBorders>
          </w:tcPr>
          <w:p>
            <w:pPr>
              <w:pStyle w:val="Normal6a"/>
            </w:pPr>
            <w:r>
              <w:t>8.</w:t>
            </w:r>
            <w:r>
              <w:tab/>
            </w:r>
            <w:r>
              <w:t>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w:t>
            </w:r>
            <w:r>
              <w:rPr>
                <w:b/>
                <w:i/>
              </w:rPr>
              <w:t>;</w:t>
            </w:r>
            <w:r>
              <w:t xml:space="preserve"> </w:t>
            </w:r>
            <w:r>
              <w:rPr>
                <w:b/>
                <w:i/>
              </w:rPr>
              <w:t>sottolinea, tuttavia, che qualsiasi esercizio di semplificazione non deve andare a scapito dei meccanismi di trasparenza e del</w:t>
            </w:r>
            <w:r>
              <w:t xml:space="preserve"> quadro </w:t>
            </w:r>
            <w:r>
              <w:rPr>
                <w:b/>
                <w:i/>
              </w:rPr>
              <w:t>di informativa che sono essenziali per un'efficace applicazione</w:t>
            </w:r>
            <w:r>
              <w:t xml:space="preserve"> della </w:t>
            </w:r>
            <w:r>
              <w:rPr>
                <w:b/>
                <w:i/>
              </w:rPr>
              <w:t>normativa fiscale, la protezione delle entrate pubbliche e lo Stato di diritto</w:t>
            </w:r>
            <w:r>
              <w:t xml:space="preserve">; </w:t>
            </w:r>
            <w:r>
              <w:rPr>
                <w:b/>
                <w:i/>
              </w:rPr>
              <w:t>invita la Commissione a provvedere affinché qualsiasi riduzione degli obblighi di trasparenza sia accompagnata da una solida valutazione d'impatto che dimostri l'assenza di una conseguente riduzione della capacità di applicazione;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w:t>
            </w:r>
            <w:r>
              <w:rPr>
                <w:b/>
                <w:i/>
              </w:rPr>
              <w:t>in particolare valutando la necessità di mantenere le disposizioni dell'ATAD sulle società controllate estere e rivedendo ed eventualmente semplificando la direttiva sulle società madri e figlie, la direttiva sulle fusioni, la direttiva</w:t>
            </w:r>
            <w:r>
              <w:t xml:space="preserve"> sulla comunicazione </w:t>
            </w:r>
            <w:r>
              <w:rPr>
                <w:b/>
                <w:i/>
              </w:rPr>
              <w:t>pubblica paese per paese e il quadro della DAC</w:t>
            </w:r>
            <w:r>
              <w:t>;</w:t>
            </w:r>
          </w:p>
        </w:tc>
        <w:tc>
          <w:tcPr>
            <w:tcW w:w="4876" w:type="dxa"/>
            <w:tcBorders>
              <w:top w:val="nil"/>
              <w:left w:val="nil"/>
              <w:bottom w:val="nil"/>
              <w:right w:val="nil"/>
            </w:tcBorders>
          </w:tcPr>
          <w:p>
            <w:pPr>
              <w:pStyle w:val="Normal6a"/>
            </w:pPr>
            <w:r>
              <w:t>8.</w:t>
            </w:r>
            <w:r>
              <w:tab/>
            </w:r>
            <w:r>
              <w:t xml:space="preserve">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sulla </w:t>
            </w:r>
            <w:r>
              <w:rPr>
                <w:b/>
                <w:i/>
              </w:rPr>
              <w:t>base di un rigoroso test della proporzionalità e del principio secondo cui non dovrebbero essere introdotti nuovi obblighi di</w:t>
            </w:r>
            <w:r>
              <w:t xml:space="preserve"> comunicazione </w:t>
            </w:r>
            <w:r>
              <w:rPr>
                <w:b/>
                <w:i/>
              </w:rPr>
              <w:t>fiscale senza eliminare o semplificare un obbligo equivalente esistente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 e rivedendo ed eventualmente semplificando la direttiva sulle società madri e figlie, la direttiva sulle fusioni, la direttiva sulla comunicazione pubblica paese per paese e il quadro della </w:t>
            </w:r>
            <w:r>
              <w:rPr>
                <w:b/>
                <w:i/>
              </w:rPr>
              <w:t>DAC</w:t>
            </w:r>
            <w:r>
              <w:t>;</w:t>
            </w:r>
          </w:p>
        </w:tc>
        <w:tc>
          <w:tcPr>
            <w:tcW w:w="4876" w:type="dxa"/>
            <w:tcBorders>
              <w:top w:val="nil"/>
              <w:left w:val="nil"/>
              <w:bottom w:val="nil"/>
              <w:right w:val="nil"/>
            </w:tcBorders>
          </w:tcPr>
          <w:p>
            <w:pPr>
              <w:pStyle w:val="Normal6a"/>
            </w:pPr>
            <w:r>
              <w:t>8.</w:t>
            </w:r>
            <w:r>
              <w:tab/>
            </w:r>
            <w:r>
              <w:t xml:space="preserve">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 e rivedendo ed eventualmente semplificando la direttiva sulle società madri e figlie, la direttiva sulle fusioni, la direttiva sulla comunicazione pubblica paese per paese e il quadro della </w:t>
            </w:r>
            <w:r>
              <w:rPr>
                <w:b/>
                <w:i/>
              </w:rPr>
              <w:t>direttiva relativa alla cooperazione amministrativa (DAC)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valuta positivamente i lavori preparatori svolti dalla Commissione in vista </w:t>
            </w:r>
            <w:r>
              <w:rPr>
                <w:b/>
                <w:i/>
              </w:rPr>
              <w:t>del pacchetto omnibus</w:t>
            </w:r>
            <w:r>
              <w:t xml:space="preserve">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 e rivedendo ed eventualmente semplificando la direttiva sulle società madri e figlie, la direttiva sulle fusioni, la direttiva sulla comunicazione pubblica paese per paese e il quadro della DAC;</w:t>
            </w:r>
          </w:p>
        </w:tc>
        <w:tc>
          <w:tcPr>
            <w:tcW w:w="4876" w:type="dxa"/>
            <w:tcBorders>
              <w:top w:val="nil"/>
              <w:left w:val="nil"/>
              <w:bottom w:val="nil"/>
              <w:right w:val="nil"/>
            </w:tcBorders>
          </w:tcPr>
          <w:p>
            <w:pPr>
              <w:pStyle w:val="Normal6a"/>
            </w:pPr>
            <w:r>
              <w:t>8.</w:t>
            </w:r>
            <w:r>
              <w:tab/>
            </w:r>
            <w:r>
              <w:t xml:space="preserve">valuta positivamente i lavori preparatori svolti dalla Commissione in vista </w:t>
            </w:r>
            <w:r>
              <w:rPr>
                <w:b/>
                <w:i/>
              </w:rPr>
              <w:t>dell'Omnibus</w:t>
            </w:r>
            <w:r>
              <w:t xml:space="preserve">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 e rivedendo ed eventualmente semplificando la direttiva sulle società madri e figlie, la direttiva sulle fusioni, la direttiva sulla comunicazione pubblica paese per paese e il quadro della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 </w:t>
            </w:r>
            <w:r>
              <w:rPr>
                <w:b/>
                <w:i/>
              </w:rPr>
              <w:t>e rivedendo ed eventualmente semplificando la direttiva sulle società madri e figlie, la direttiva sulle fusioni, la direttiva sulla comunicazione pubblica paese per paese e il quadro della DAC</w:t>
            </w:r>
            <w:r>
              <w:t>;</w:t>
            </w:r>
          </w:p>
        </w:tc>
        <w:tc>
          <w:tcPr>
            <w:tcW w:w="4876" w:type="dxa"/>
            <w:tcBorders>
              <w:top w:val="nil"/>
              <w:left w:val="nil"/>
              <w:bottom w:val="nil"/>
              <w:right w:val="nil"/>
            </w:tcBorders>
          </w:tcPr>
          <w:p>
            <w:pPr>
              <w:pStyle w:val="Normal6a"/>
            </w:pPr>
            <w:r>
              <w:t>8.</w:t>
            </w:r>
            <w:r>
              <w:tab/>
            </w:r>
            <w:r>
              <w:t>valuta positivamente i lavori preparatori svolti dalla Commissione in vista del pacchetto omnibus sulla fiscalità; invita la Commissione a dare priorità alla semplificazione fiscale rivedendo le misure in materia di comunicazione e antielusione che si sovrappongono nel diritto fiscale dell'UE e riducendo gli oneri amministrativi per le imprese con sede nell'UE, in particolare valutando la necessità di mantenere le disposizioni dell'ATAD sulle società controllate estere</w:t>
            </w:r>
            <w:r>
              <w:rPr>
                <w:b/>
                <w:i/>
              </w:rPr>
              <w:t>, provvedendo affinché gli Stati membri più piccoli e le medie imprese non siano gravati in modo sproporzionato da quadri di conformità che si sovrappongono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che la direttiva sul secondo pilastro garantisce un'aliquota effettiva minima d'imposta in ogni Stato membro dell'UE e contiene specifiche disposizioni antiabuso riguardanti gli accordi di finanziamento infragruppo;</w:t>
            </w:r>
            <w:r>
              <w:t xml:space="preserve"> </w:t>
            </w:r>
            <w:r>
              <w:rPr>
                <w:b/>
                <w:i/>
              </w:rPr>
              <w:t>osserva che l'ATAD condivide l'obiettivo più ampio del secondo pilastro di prevenire l'erosione della base imponibile e il trasferimento degli utili, in particolare attraverso la sua norma relativa ai limiti sugli interessi, che circoscrive l'entità degli interessi infragruppo che una società può dedurre;</w:t>
            </w:r>
            <w:r>
              <w:t xml:space="preserve"> </w:t>
            </w:r>
            <w:r>
              <w:rPr>
                <w:b/>
                <w:i/>
              </w:rPr>
              <w:t>ritiene che, una volta che un gruppo è soggetto all'imposta minima globale, tale quadro assorba già gran parte del rischio che ha giustificato la norma relativa ai limiti sugli interessi, cosicché l'applicazione di entrambi i regimi allo stesso gruppo crea duplicazioni senza valore aggiunto;</w:t>
            </w:r>
            <w:r>
              <w:t xml:space="preserve"> </w:t>
            </w:r>
            <w:r>
              <w:rPr>
                <w:b/>
                <w:i/>
              </w:rPr>
              <w:t>invita la Commissione, su tale base, a valutare se i gruppi che rientrano nell'ambito di applicazione della direttiva sul secondo pilastro debbano essere esentati dalle norme relative ai limiti sugli interessi dell'ATAD o se tali norme debbano invece essere loro applicate in forma adattata;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è particolarmente importante garantire che gli obblighi normativi e di rendicontazione fiscale destinati alle grandi imprese non siano estesi direttamente o indirettamente alle PMI.</w:t>
            </w:r>
            <w:r>
              <w:t xml:space="preserve"> </w:t>
            </w:r>
            <w:r>
              <w:rPr>
                <w:b/>
                <w:i/>
              </w:rPr>
              <w:t>Per quanto riguarda la normativa vigente relativa alle grandi imprese (come la normativa in materia di imposizione minima), è giustificato mantenere le limitazioni che escludono le PMI dalla normativa.</w:t>
            </w:r>
            <w:r>
              <w:t xml:space="preserve"> </w:t>
            </w:r>
            <w:r>
              <w:rPr>
                <w:b/>
                <w:i/>
              </w:rPr>
              <w:t>Le PMI non dispongono delle stesse risorse dei grandi gruppi (come uffici interni incaricati della gestione delle questioni fiscali o risorse di consulenza molto ampie) per gestire il carico di lavoro derivante dalla complessa regolamentazione fiscale e dall'onerosa rendicontazione fiscale, motivo per cui una normativa complessa e onerosa in linea di principio grava sulle PMI in misura relativamente maggiore;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che i dati empirici dimostrano che norme più deboli in materia di elusione fiscale da parte delle imprese e di trasferimento degli utili hanno un impatto sull'occupazione e sono associate alla perdita di posti di lavoro;</w:t>
            </w:r>
            <w:r>
              <w:t xml:space="preserve"> </w:t>
            </w:r>
            <w:r>
              <w:rPr>
                <w:b/>
                <w:i/>
              </w:rPr>
              <w:t>invita la Commissione, nel contesto del pacchetto omnibus sulla fiscalità, a effettuare una valutazione approfondita dei relativi effetti sui mercati del lavoro, sui salari e sulle condizioni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la Commissione a rivedere la proposta BEFIT alla luce delle sue incompatibilità fondamentali con le norme del secondo pilastro dell'OCSE;</w:t>
            </w:r>
          </w:p>
        </w:tc>
        <w:tc>
          <w:tcPr>
            <w:tcW w:w="4876" w:type="dxa"/>
            <w:tcBorders>
              <w:top w:val="nil"/>
              <w:left w:val="nil"/>
              <w:bottom w:val="nil"/>
              <w:right w:val="nil"/>
            </w:tcBorders>
          </w:tcPr>
          <w:p>
            <w:pPr>
              <w:pStyle w:val="Normal6a"/>
            </w:pPr>
            <w:r>
              <w:t>9.</w:t>
            </w:r>
            <w:r>
              <w:tab/>
            </w:r>
            <w:r>
              <w:t>invita la Commissione a rivedere la proposta BEFIT alla luce delle sue incompatibilità fondamentali con le norme del secondo pilastro dell'OCSE</w:t>
            </w:r>
            <w:r>
              <w:rPr>
                <w:b/>
                <w:i/>
              </w:rPr>
              <w:t>, in particolare lo squilibrio tra la relativa determinazione della base imponibile e la base imponibile GloBE nell'ambito del secondo pilastro</w:t>
            </w:r>
            <w:r>
              <w:t xml:space="preserve">; </w:t>
            </w:r>
            <w:r>
              <w:rPr>
                <w:b/>
                <w:i/>
              </w:rPr>
              <w:t>deplora che la proposta BEFIT non abbia previsto un reale consolidamento a livello dell'Unione, ma piuttosto l'aggregazione e la successiva assegnazione dei risultati fiscali;</w:t>
            </w:r>
            <w:r>
              <w:t xml:space="preserve"> </w:t>
            </w:r>
            <w:r>
              <w:rPr>
                <w:b/>
                <w:i/>
              </w:rPr>
              <w:t>deplora inoltre che la proposta abbia cercato di introdurre un primo pilastro a livello dell'UE mediante una formula di ripartizione basata su fattori, nonostante l'assenza di un accordo dell'OCSE sul primo pilastro;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invita la Commissione a rivedere la proposta BEFIT </w:t>
            </w:r>
            <w:r>
              <w:rPr>
                <w:b/>
                <w:i/>
              </w:rPr>
              <w:t>alla luce delle sue incompatibilità fondamentali</w:t>
            </w:r>
            <w:r>
              <w:t xml:space="preserve"> con le norme </w:t>
            </w:r>
            <w:r>
              <w:rPr>
                <w:b/>
                <w:i/>
              </w:rPr>
              <w:t>del secondo pilastro dell'OCSE</w:t>
            </w:r>
            <w:r>
              <w:t>;</w:t>
            </w:r>
          </w:p>
        </w:tc>
        <w:tc>
          <w:tcPr>
            <w:tcW w:w="4876" w:type="dxa"/>
            <w:tcBorders>
              <w:top w:val="nil"/>
              <w:left w:val="nil"/>
              <w:bottom w:val="nil"/>
              <w:right w:val="nil"/>
            </w:tcBorders>
          </w:tcPr>
          <w:p>
            <w:pPr>
              <w:pStyle w:val="Normal6a"/>
            </w:pPr>
            <w:r>
              <w:t>9.</w:t>
            </w:r>
            <w:r>
              <w:tab/>
            </w:r>
            <w:r>
              <w:t>invita la Commissione a rivedere la proposta BEFIT</w:t>
            </w:r>
            <w:r>
              <w:rPr>
                <w:b/>
                <w:i/>
              </w:rPr>
              <w:t>, in particolare per quanto riguarda i continui rischi di trasferimento degli utili e di erosione della base imponibile;</w:t>
            </w:r>
            <w:r>
              <w:t xml:space="preserve"> </w:t>
            </w:r>
            <w:r>
              <w:rPr>
                <w:b/>
                <w:i/>
              </w:rPr>
              <w:t>sottolinea la necessità di garantire la piena coerenza</w:t>
            </w:r>
            <w:r>
              <w:t xml:space="preserve"> con le norme </w:t>
            </w:r>
            <w:r>
              <w:rPr>
                <w:b/>
                <w:i/>
              </w:rPr>
              <w:t>in materia di tassazione minima concordate a livello internazionale e di prevenire nuove scappatoie che potrebbero agevolare la pianificazione fiscale aggressiva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invita la Commissione a rivedere la proposta BEFIT </w:t>
            </w:r>
            <w:r>
              <w:rPr>
                <w:b/>
                <w:i/>
              </w:rPr>
              <w:t>alla luce</w:t>
            </w:r>
            <w:r>
              <w:t xml:space="preserve"> delle sue incompatibilità fondamentali con le norme del secondo pilastro dell'OCSE;</w:t>
            </w:r>
          </w:p>
        </w:tc>
        <w:tc>
          <w:tcPr>
            <w:tcW w:w="4876" w:type="dxa"/>
            <w:tcBorders>
              <w:top w:val="nil"/>
              <w:left w:val="nil"/>
              <w:bottom w:val="nil"/>
              <w:right w:val="nil"/>
            </w:tcBorders>
          </w:tcPr>
          <w:p>
            <w:pPr>
              <w:pStyle w:val="Normal6a"/>
            </w:pPr>
            <w:r>
              <w:t>9.</w:t>
            </w:r>
            <w:r>
              <w:tab/>
            </w:r>
            <w:r>
              <w:t xml:space="preserve">invita la Commissione a rivedere </w:t>
            </w:r>
            <w:r>
              <w:rPr>
                <w:b/>
                <w:i/>
              </w:rPr>
              <w:t>e adeguare</w:t>
            </w:r>
            <w:r>
              <w:t xml:space="preserve"> la proposta BEFIT</w:t>
            </w:r>
            <w:r>
              <w:rPr>
                <w:b/>
                <w:i/>
              </w:rPr>
              <w:t>, tenendo pienamente conto</w:t>
            </w:r>
            <w:r>
              <w:t xml:space="preserve"> delle sue incompatibilità fondamentali con le norme del secondo pilastro dell'OCSE </w:t>
            </w:r>
            <w:r>
              <w:rPr>
                <w:b/>
                <w:i/>
              </w:rPr>
              <w:t>e della necessità di evitare la creazione di un quadro fiscale parallelo e sovrapposto che aumenti gli oneri amministrativi e di conformità per le imprese europee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invita</w:t>
            </w:r>
            <w:r>
              <w:t xml:space="preserve"> la Commissione a </w:t>
            </w:r>
            <w:r>
              <w:rPr>
                <w:b/>
                <w:i/>
              </w:rPr>
              <w:t>rivedere</w:t>
            </w:r>
            <w:r>
              <w:t xml:space="preserve"> la proposta BEFIT </w:t>
            </w:r>
            <w:r>
              <w:rPr>
                <w:b/>
                <w:i/>
              </w:rPr>
              <w:t>alla luce</w:t>
            </w:r>
            <w:r>
              <w:t xml:space="preserve"> delle sue incompatibilità fondamentali con le norme del secondo pilastro dell'OCSE;</w:t>
            </w:r>
          </w:p>
        </w:tc>
        <w:tc>
          <w:tcPr>
            <w:tcW w:w="4876" w:type="dxa"/>
            <w:tcBorders>
              <w:top w:val="nil"/>
              <w:left w:val="nil"/>
              <w:bottom w:val="nil"/>
              <w:right w:val="nil"/>
            </w:tcBorders>
          </w:tcPr>
          <w:p>
            <w:pPr>
              <w:pStyle w:val="Normal6a"/>
            </w:pPr>
            <w:r>
              <w:t>9.</w:t>
            </w:r>
            <w:r>
              <w:tab/>
            </w:r>
            <w:r>
              <w:rPr>
                <w:b/>
                <w:i/>
              </w:rPr>
              <w:t>esorta</w:t>
            </w:r>
            <w:r>
              <w:t xml:space="preserve"> la Commissione a </w:t>
            </w:r>
            <w:r>
              <w:rPr>
                <w:b/>
                <w:i/>
              </w:rPr>
              <w:t>ritirare o essenzialmente sospendere</w:t>
            </w:r>
            <w:r>
              <w:t xml:space="preserve"> la proposta BEFIT</w:t>
            </w:r>
            <w:r>
              <w:rPr>
                <w:b/>
                <w:i/>
              </w:rPr>
              <w:t>, a causa</w:t>
            </w:r>
            <w:r>
              <w:t xml:space="preserve"> delle sue incompatibilità fondamentali con le norme del secondo pilastro dell'OCSE</w:t>
            </w:r>
            <w:r>
              <w:rPr>
                <w:b/>
                <w:i/>
              </w:rPr>
              <w:t>, del suo potenziale di distorsione delle basi imponibili nazionali per l'imposta sulle società attraverso formule di consolidamento arbitrarie e degli oneri amministrativi superflui che essa introduce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la Commissione a rivedere la proposta BEFIT alla luce delle sue incompatibilità fondamentali con le norme del secondo pilastro dell'OCSE;</w:t>
            </w:r>
          </w:p>
        </w:tc>
        <w:tc>
          <w:tcPr>
            <w:tcW w:w="4876" w:type="dxa"/>
            <w:tcBorders>
              <w:top w:val="nil"/>
              <w:left w:val="nil"/>
              <w:bottom w:val="nil"/>
              <w:right w:val="nil"/>
            </w:tcBorders>
          </w:tcPr>
          <w:p>
            <w:pPr>
              <w:pStyle w:val="Normal6a"/>
            </w:pPr>
            <w:r>
              <w:t>9.</w:t>
            </w:r>
            <w:r>
              <w:tab/>
            </w:r>
            <w:r>
              <w:t xml:space="preserve">invita la Commissione a rivedere la proposta BEFIT alla luce delle sue incompatibilità fondamentali con le norme del secondo pilastro dell'OCSE </w:t>
            </w:r>
            <w:r>
              <w:rPr>
                <w:b/>
                <w:i/>
              </w:rPr>
              <w:t>e a presentare, se del caso, una proposta più limitata e circoscritta a misure di semplificazione amministrativa che siano pienamente compatibili con il quadro internazionale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la Commissione a rivedere la proposta BEFIT alla luce delle sue incompatibilità fondamentali con le norme del secondo pilastro dell'OCSE;</w:t>
            </w:r>
          </w:p>
        </w:tc>
        <w:tc>
          <w:tcPr>
            <w:tcW w:w="4876" w:type="dxa"/>
            <w:tcBorders>
              <w:top w:val="nil"/>
              <w:left w:val="nil"/>
              <w:bottom w:val="nil"/>
              <w:right w:val="nil"/>
            </w:tcBorders>
          </w:tcPr>
          <w:p>
            <w:pPr>
              <w:pStyle w:val="Normal6a"/>
            </w:pPr>
            <w:r>
              <w:t>9.</w:t>
            </w:r>
            <w:r>
              <w:tab/>
            </w:r>
            <w:r>
              <w:t xml:space="preserve">invita la Commissione a rivedere la proposta BEFIT alla luce delle sue incompatibilità fondamentali con le norme del secondo pilastro dell'OCSE; </w:t>
            </w:r>
            <w:r>
              <w:rPr>
                <w:b/>
                <w:i/>
              </w:rPr>
              <w:t>prende atto della mancanza di progressi in seno al Consiglio su tale fascicolo legislativo e del fatto che i negoziati rimangono bloccati;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invita la Commissione a rivedere la proposta BEFIT </w:t>
            </w:r>
            <w:r>
              <w:rPr>
                <w:b/>
                <w:i/>
              </w:rPr>
              <w:t>alla luce delle sue incompatibilità fondamentali con le norme</w:t>
            </w:r>
            <w:r>
              <w:t xml:space="preserve"> del secondo pilastro </w:t>
            </w:r>
            <w:r>
              <w:rPr>
                <w:b/>
                <w:i/>
              </w:rPr>
              <w:t>dell'OCSE</w:t>
            </w:r>
            <w:r>
              <w:t>;</w:t>
            </w:r>
          </w:p>
        </w:tc>
        <w:tc>
          <w:tcPr>
            <w:tcW w:w="4876" w:type="dxa"/>
            <w:tcBorders>
              <w:top w:val="nil"/>
              <w:left w:val="nil"/>
              <w:bottom w:val="nil"/>
              <w:right w:val="nil"/>
            </w:tcBorders>
          </w:tcPr>
          <w:p>
            <w:pPr>
              <w:pStyle w:val="Normal6a"/>
            </w:pPr>
            <w:r>
              <w:t>9.</w:t>
            </w:r>
            <w:r>
              <w:tab/>
            </w:r>
            <w:r>
              <w:t>invita la Commissione a rivedere la proposta BEFIT</w:t>
            </w:r>
            <w:r>
              <w:rPr>
                <w:b/>
                <w:i/>
              </w:rPr>
              <w:t>, al fine di valutare e affrontare eventuali incoerenze rispetto agli obblighi in capo alle imprese multinazionali nell'ambito di applicazione del quadro</w:t>
            </w:r>
            <w:r>
              <w:t xml:space="preserve"> del secondo pilastro;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la Commissione a rivedere la proposta BEFIT alla luce delle sue incompatibilità fondamentali con le norme del secondo pilastro dell'OCSE;</w:t>
            </w:r>
          </w:p>
        </w:tc>
        <w:tc>
          <w:tcPr>
            <w:tcW w:w="4876" w:type="dxa"/>
            <w:tcBorders>
              <w:top w:val="nil"/>
              <w:left w:val="nil"/>
              <w:bottom w:val="nil"/>
              <w:right w:val="nil"/>
            </w:tcBorders>
          </w:tcPr>
          <w:p>
            <w:pPr>
              <w:pStyle w:val="Normal6a"/>
            </w:pPr>
            <w:r>
              <w:t>9.</w:t>
            </w:r>
            <w:r>
              <w:tab/>
            </w:r>
            <w:r>
              <w:t xml:space="preserve">invita la Commissione a rivedere </w:t>
            </w:r>
            <w:r>
              <w:rPr>
                <w:b/>
                <w:i/>
              </w:rPr>
              <w:t>e ritirare</w:t>
            </w:r>
            <w:r>
              <w:t xml:space="preserve"> la proposta BEFIT alla luce delle sue incompatibilità fondamentali con le norme del secondo pilastro dell'OCSE;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esprime preoccupazione per l'attuazione del sistema "side-by-side" quale porto sicuro a norma dell'articolo 32 della direttiva sul secondo pilastro, piuttosto che attraverso un adeguato processo legislativo;</w:t>
            </w:r>
          </w:p>
        </w:tc>
        <w:tc>
          <w:tcPr>
            <w:tcW w:w="4876" w:type="dxa"/>
            <w:tcBorders>
              <w:top w:val="nil"/>
              <w:left w:val="nil"/>
              <w:bottom w:val="nil"/>
              <w:right w:val="nil"/>
            </w:tcBorders>
          </w:tcPr>
          <w:p>
            <w:pPr>
              <w:pStyle w:val="Normal6a"/>
            </w:pPr>
            <w:r>
              <w:t>10.</w:t>
            </w:r>
            <w:r>
              <w:tab/>
            </w:r>
            <w:r>
              <w:t xml:space="preserve">esprime preoccupazione per l'attuazione del sistema "side-by-side" quale porto sicuro a norma dell'articolo 32 della direttiva sul secondo pilastro, piuttosto che attraverso un adeguato processo legislativo; </w:t>
            </w:r>
            <w:r>
              <w:rPr>
                <w:b/>
                <w:i/>
              </w:rPr>
              <w:t>insiste sul fatto che qualsiasi modifica sostanziale degli obblighi degli Stati membri o delle imprese a norma della direttiva sul secondo pilastro dovrebbe essere apportata attraverso la procedura legislativa appropriata, nel pieno rispetto del requisito dell'unanimità in materia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esprime preoccupazione per l'attuazione del sistema "side-by-side" quale porto sicuro a norma dell'articolo 32 della direttiva sul secondo pilastro, piuttosto che attraverso un adeguato processo legislativo;</w:t>
            </w:r>
          </w:p>
        </w:tc>
        <w:tc>
          <w:tcPr>
            <w:tcW w:w="4876" w:type="dxa"/>
            <w:tcBorders>
              <w:top w:val="nil"/>
              <w:left w:val="nil"/>
              <w:bottom w:val="nil"/>
              <w:right w:val="nil"/>
            </w:tcBorders>
          </w:tcPr>
          <w:p>
            <w:pPr>
              <w:pStyle w:val="Normal6a"/>
            </w:pPr>
            <w:r>
              <w:t>10.</w:t>
            </w:r>
            <w:r>
              <w:tab/>
            </w:r>
            <w:r>
              <w:t xml:space="preserve">esprime preoccupazione per l'attuazione del sistema "side-by-side" quale porto sicuro a norma dell'articolo 32 della direttiva sul secondo pilastro, piuttosto che attraverso un adeguato processo legislativo; </w:t>
            </w:r>
            <w:r>
              <w:rPr>
                <w:b/>
                <w:i/>
              </w:rPr>
              <w:t>deplora che le pressioni politiche degli Stati Uniti abbiano portato a un accordo che rischia di compromettere la parità di condizioni a livello mondiale e l'efficacia del quadro globale in materia di imposizione minima;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osserva che gli Stati membri applicheranno la direttiva sul secondo pilastro a partire da date diverse; invita gli Stati membri a garantire il pieno recepimento della direttiva </w:t>
            </w:r>
            <w:r>
              <w:rPr>
                <w:b/>
                <w:i/>
              </w:rPr>
              <w:t>per attenuare i rischi derivanti dall'applicazione reciproca dei ruling fiscali emanati dalle amministrazioni fiscali nazionali</w:t>
            </w:r>
            <w:r>
              <w:t>;</w:t>
            </w:r>
          </w:p>
        </w:tc>
        <w:tc>
          <w:tcPr>
            <w:tcW w:w="4876" w:type="dxa"/>
            <w:tcBorders>
              <w:top w:val="nil"/>
              <w:left w:val="nil"/>
              <w:bottom w:val="nil"/>
              <w:right w:val="nil"/>
            </w:tcBorders>
          </w:tcPr>
          <w:p>
            <w:pPr>
              <w:pStyle w:val="Normal6a"/>
            </w:pPr>
            <w:r>
              <w:t>11.</w:t>
            </w:r>
            <w:r>
              <w:tab/>
            </w:r>
            <w:r>
              <w:t>osserva che gli Stati membri applicheranno la direttiva sul secondo pilastro a partire da date diverse; invita gli Stati membri a garantire il pieno recepimento della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invita la Commissione a valutare l'introduzione di misure di semplificazione per alleviare gli oneri legati all'attuazione del secondo pilastro per le amministrazioni fiscali degli Stati membri più piccoli;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invita la Commissione a valutare l'introduzione di misure di semplificazione per alleviare gli oneri legati all'attuazione del secondo pilastro per le amministrazioni fiscali degli Stati membri più piccoli;</w:t>
            </w:r>
          </w:p>
        </w:tc>
        <w:tc>
          <w:tcPr>
            <w:tcW w:w="4876" w:type="dxa"/>
            <w:tcBorders>
              <w:top w:val="nil"/>
              <w:left w:val="nil"/>
              <w:bottom w:val="nil"/>
              <w:right w:val="nil"/>
            </w:tcBorders>
          </w:tcPr>
          <w:p>
            <w:pPr>
              <w:pStyle w:val="Normal6a"/>
            </w:pPr>
            <w:r>
              <w:t>12.</w:t>
            </w:r>
            <w:r>
              <w:tab/>
            </w:r>
            <w:r>
              <w:rPr>
                <w:b/>
                <w:i/>
              </w:rPr>
              <w:t>sottolinea che gli oneri amministrativi imposti dal secondo pilastro sia alle imprese sia alle amministrazioni fiscali rischiano di superare i benefici in termini di entrate per gli Stati membri più piccoli;</w:t>
            </w:r>
            <w:r>
              <w:t xml:space="preserve"> invita la Commissione a valutare l'introduzione di misure di semplificazione per alleviare gli oneri legati all'attuazione del secondo pilastro per le amministrazioni fiscali degli Stati membri più piccoli</w:t>
            </w:r>
            <w:r>
              <w:rPr>
                <w:b/>
                <w:i/>
              </w:rPr>
              <w:t>, ad esempio introducendo un percorso di conformità semplificato per le imprese al di sotto di una determinata soglia di ricavi e razionalizzando gli obblighi di rendicontazione che si sovrappongono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invita la Commissione a valutare l'introduzione di misure di semplificazione per alleviare gli oneri legati all'attuazione del secondo pilastro per le amministrazioni fiscali degli Stati membri più piccoli;</w:t>
            </w:r>
          </w:p>
        </w:tc>
        <w:tc>
          <w:tcPr>
            <w:tcW w:w="4876" w:type="dxa"/>
            <w:tcBorders>
              <w:top w:val="nil"/>
              <w:left w:val="nil"/>
              <w:bottom w:val="nil"/>
              <w:right w:val="nil"/>
            </w:tcBorders>
          </w:tcPr>
          <w:p>
            <w:pPr>
              <w:pStyle w:val="Normal6a"/>
            </w:pPr>
            <w:r>
              <w:t>12.</w:t>
            </w:r>
            <w:r>
              <w:tab/>
            </w:r>
            <w:r>
              <w:t xml:space="preserve">invita la Commissione a valutare l'introduzione di misure di semplificazione per alleviare gli oneri legati all'attuazione del secondo pilastro per le amministrazioni fiscali degli Stati membri più piccoli; </w:t>
            </w:r>
            <w:r>
              <w:rPr>
                <w:b/>
                <w:i/>
              </w:rPr>
              <w:t>sottolinea che l'attuazione del secondo pilastro non deve penalizzare i legittimi incentivi fiscali nazionali per l'innovazione e la R&amp;S, come i premi per la ricerca;</w:t>
            </w:r>
            <w:r>
              <w:t xml:space="preserve"> </w:t>
            </w:r>
            <w:r>
              <w:rPr>
                <w:b/>
                <w:i/>
              </w:rPr>
              <w:t>invita la Commissione a sollecitare, in seno all'OCSE, porti sicuri semplici e permanenti per tutelare i siti imprenditoriali competitivi;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invita la Commissione a valutare l'introduzione di misure di semplificazione per alleviare gli oneri legati all'attuazione del secondo pilastro per le amministrazioni fiscali degli Stati membri più piccoli;</w:t>
            </w:r>
          </w:p>
        </w:tc>
        <w:tc>
          <w:tcPr>
            <w:tcW w:w="4876" w:type="dxa"/>
            <w:tcBorders>
              <w:top w:val="nil"/>
              <w:left w:val="nil"/>
              <w:bottom w:val="nil"/>
              <w:right w:val="nil"/>
            </w:tcBorders>
          </w:tcPr>
          <w:p>
            <w:pPr>
              <w:pStyle w:val="Normal6a"/>
            </w:pPr>
            <w:r>
              <w:t>12.</w:t>
            </w:r>
            <w:r>
              <w:tab/>
            </w:r>
            <w:r>
              <w:t xml:space="preserve">invita la Commissione a valutare l'introduzione di misure di semplificazione per alleviare gli oneri legati all'attuazione del secondo pilastro per le amministrazioni fiscali degli Stati membri più piccoli; </w:t>
            </w:r>
            <w:r>
              <w:rPr>
                <w:b/>
                <w:i/>
              </w:rPr>
              <w:t>invita gli Stati membri e la Commissione ad avviare negoziati in seno all'OCSE per vagliare ulteriori opportunità di semplificazione;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invita la Commissione a valutare l'introduzione di misure di semplificazione per alleviare </w:t>
            </w:r>
            <w:r>
              <w:rPr>
                <w:b/>
                <w:i/>
              </w:rPr>
              <w:t>gli</w:t>
            </w:r>
            <w:r>
              <w:t xml:space="preserve"> oneri legati all'attuazione del secondo pilastro per le amministrazioni fiscali degli Stati membri più piccoli;</w:t>
            </w:r>
          </w:p>
        </w:tc>
        <w:tc>
          <w:tcPr>
            <w:tcW w:w="4876" w:type="dxa"/>
            <w:tcBorders>
              <w:top w:val="nil"/>
              <w:left w:val="nil"/>
              <w:bottom w:val="nil"/>
              <w:right w:val="nil"/>
            </w:tcBorders>
          </w:tcPr>
          <w:p>
            <w:pPr>
              <w:pStyle w:val="Normal6a"/>
            </w:pPr>
            <w:r>
              <w:t>12.</w:t>
            </w:r>
            <w:r>
              <w:tab/>
            </w:r>
            <w:r>
              <w:t xml:space="preserve">invita la Commissione a valutare l'introduzione di </w:t>
            </w:r>
            <w:r>
              <w:rPr>
                <w:b/>
                <w:i/>
              </w:rPr>
              <w:t>solide</w:t>
            </w:r>
            <w:r>
              <w:t xml:space="preserve"> misure di semplificazione</w:t>
            </w:r>
            <w:r>
              <w:rPr>
                <w:b/>
                <w:i/>
              </w:rPr>
              <w:t>, quali porti sicuri e procedure di dichiarazione semplificate, e ad attuarle rapidamente</w:t>
            </w:r>
            <w:r>
              <w:t xml:space="preserve"> per alleviare </w:t>
            </w:r>
            <w:r>
              <w:rPr>
                <w:b/>
                <w:i/>
              </w:rPr>
              <w:t>i gravi</w:t>
            </w:r>
            <w:r>
              <w:t xml:space="preserve"> oneri legati all'attuazione </w:t>
            </w:r>
            <w:r>
              <w:rPr>
                <w:b/>
                <w:i/>
              </w:rPr>
              <w:t>e al monitoraggio</w:t>
            </w:r>
            <w:r>
              <w:t xml:space="preserve"> del secondo pilastro per le amministrazioni fiscali degli Stati membri più piccoli;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invita la Commissione a valutare l'introduzione di misure di semplificazione per alleviare gli oneri legati all'attuazione del secondo pilastro per le amministrazioni fiscali </w:t>
            </w:r>
            <w:r>
              <w:rPr>
                <w:b/>
                <w:i/>
              </w:rPr>
              <w:t>degli Stati membri più piccoli</w:t>
            </w:r>
            <w:r>
              <w:t>;</w:t>
            </w:r>
          </w:p>
        </w:tc>
        <w:tc>
          <w:tcPr>
            <w:tcW w:w="4876" w:type="dxa"/>
            <w:tcBorders>
              <w:top w:val="nil"/>
              <w:left w:val="nil"/>
              <w:bottom w:val="nil"/>
              <w:right w:val="nil"/>
            </w:tcBorders>
          </w:tcPr>
          <w:p>
            <w:pPr>
              <w:pStyle w:val="Normal6a"/>
            </w:pPr>
            <w:r>
              <w:t>12.</w:t>
            </w:r>
            <w:r>
              <w:tab/>
            </w:r>
            <w:r>
              <w:t>invita la Commissione a valutare l'introduzione di misure di semplificazione per alleviare gli oneri legati all'attuazione del secondo pilastro per le amministrazioni fiscali;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deplora che l'unanimità in materia fiscale stia bloccando il compimento di progressi significativi verso un quadro armonizzato e più equo in materia di imposta sulle società, anche per quanto riguarda l'armonizzazione della base imponibile per l'imposta sulle società, l'imposizione minima e l'imposizione delle imprese digitali;</w:t>
            </w:r>
            <w:r>
              <w:t xml:space="preserve"> </w:t>
            </w:r>
            <w:r>
              <w:rPr>
                <w:b/>
                <w:i/>
              </w:rPr>
              <w:t>sottolinea che tale situazione ha consentito una concorrenza fiscale dannosa e distorsioni del mercato interno nell'Unione, favorendo le grandi imprese multinazionali a scapito dei bilanci pubblici e delle PMI;</w:t>
            </w:r>
            <w:r>
              <w:t xml:space="preserve"> </w:t>
            </w:r>
            <w:r>
              <w:rPr>
                <w:b/>
                <w:i/>
              </w:rPr>
              <w:t>invita il Consiglio e il Consiglio europeo ad abbandonare l'unanimità in materia fiscale avvalendosi delle clausole passerella previste dai trattati, comprese le misure contro la frode, l'evasione e l'elusione fiscali, la cooperazione amministrativa, la trasparenza fiscale, nonché qualsiasi altra misura necessaria per il corretto funzionamento del mercato interno;</w:t>
            </w:r>
            <w:r>
              <w:t xml:space="preserve"> </w:t>
            </w:r>
            <w:r>
              <w:rPr>
                <w:b/>
                <w:i/>
              </w:rPr>
              <w:t>osserva che tale possibilità non è mai stata sfruttata nel settore dell'imposizione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sottolinea che un quadro comune per l'imposizione delle imprese attraverso l'armonizzazione non solo ridurrà notevolmente i costi di conformità e gli oneri amministrativi, ma creerà anche condizioni di parità per le imprese che operano nel mercato unico, incoraggerà l'espansione, rafforzerà la certezza del diritto e stimolerà gli investimenti e la crescita nell'Unione;</w:t>
            </w:r>
            <w:r>
              <w:t xml:space="preserve"> </w:t>
            </w:r>
            <w:r>
              <w:rPr>
                <w:b/>
                <w:i/>
              </w:rPr>
              <w:t>invita la Commissione, a tale riguardo, a continuare a promuovere attivamente misure analoghe a BEFIT ai fini dell'armonizzazione della base imponibile dell'imposta sulle società e del consolidamento, eventualmente mediante un approccio graduale;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esorta la Commissione a escludere i prestiti per la costruzione, la trasformazione e la ristrutturazione di edifici destinati a ospitare alloggi sociali dalle norme dell'ATAD relative ai limiti sugli interessi;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respinge la proposta di introdurre una risorsa societaria per l'Europa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invita la Commissione a presentare una tabella di marcia aggiornata per un processo decisionale più efficiente e democratico nell'ambito della politica fiscale dell'UE, al fine di passare al voto a maggioranza qualificata e alla procedura legislativa ordinaria in determinati settori della politica fiscale, nonché a valutare sistematicamente il ricorso all'articolo 116 TFUE laddove le divergenze tra le norme fiscali nazionali falsino la concorrenza nel mercato interno e non sia possibile raggiungere un accordo;</w:t>
            </w:r>
            <w:r>
              <w:t xml:space="preserve"> </w:t>
            </w:r>
            <w:r>
              <w:rPr>
                <w:b/>
                <w:i/>
              </w:rPr>
              <w:t>invita inoltre gli Stati membri che lo desiderano a ricorrere alla cooperazione rafforzata qualora l'unanimità impedisca di compiere progressi nelle iniziative di lunga data in materia di imposizione;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ricorda che le misure di trasparenza fiscale, compresa la comunicazione pubblica paese per paese, contribuiscono alla concorrenza leale, rafforzano la responsabilità delle imprese e offrono maggiore certezza agli investitori;</w:t>
            </w:r>
            <w:r>
              <w:t xml:space="preserve"> </w:t>
            </w:r>
            <w:r>
              <w:rPr>
                <w:b/>
                <w:i/>
              </w:rPr>
              <w:t>sottolinea che una maggiore trasparenza contribuisce a creare condizioni di parità all'interno del mercato unico che rafforzano l'attrattiva dell'UE come meta per investimenti solidi e sostenibili;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ricorda l'importanza del principio "una tantum", in base al quale le autorità fiscali che ricevono già informazioni a norma di una direttiva non dovrebbero richiederle allo stesso soggetto in altra forma, a meno che la richiesta supplementare non abbia una chiara finalità di contrasto;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sottolinea che la frammentazione fiscale è una delle ragioni per cui le imprese dell'UE devono far fronte a costi più elevati quando si espandono a livello transfrontaliero, raccolgono capitali o strutturano gli investimenti all'interno del mercato unico;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Titolo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Stato di avanzamento della lotta contro </w:t>
            </w:r>
            <w:r>
              <w:rPr>
                <w:b/>
                <w:i/>
              </w:rPr>
              <w:t>le pratiche fiscali dannose</w:t>
            </w:r>
          </w:p>
        </w:tc>
        <w:tc>
          <w:tcPr>
            <w:tcW w:w="4876" w:type="dxa"/>
            <w:tcBorders>
              <w:top w:val="nil"/>
              <w:left w:val="nil"/>
              <w:bottom w:val="nil"/>
              <w:right w:val="nil"/>
            </w:tcBorders>
          </w:tcPr>
          <w:p>
            <w:pPr>
              <w:pStyle w:val="Normal6a"/>
            </w:pPr>
            <w:r>
              <w:t xml:space="preserve">Stato di avanzamento della lotta contro </w:t>
            </w:r>
            <w:r>
              <w:rPr>
                <w:b/>
                <w:i/>
              </w:rPr>
              <w:t>l'evasione fiscale, l'elusione fiscale e la pianificazione fiscale aggressiva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Titolo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Stato </w:t>
            </w:r>
            <w:r>
              <w:rPr>
                <w:b/>
                <w:i/>
              </w:rPr>
              <w:t>di avanzamento</w:t>
            </w:r>
            <w:r>
              <w:t xml:space="preserve"> della </w:t>
            </w:r>
            <w:r>
              <w:rPr>
                <w:b/>
                <w:i/>
              </w:rPr>
              <w:t>lotta contro le pratiche fiscali dannose</w:t>
            </w:r>
          </w:p>
        </w:tc>
        <w:tc>
          <w:tcPr>
            <w:tcW w:w="4876" w:type="dxa"/>
            <w:tcBorders>
              <w:top w:val="nil"/>
              <w:left w:val="nil"/>
              <w:bottom w:val="nil"/>
              <w:right w:val="nil"/>
            </w:tcBorders>
          </w:tcPr>
          <w:p>
            <w:pPr>
              <w:pStyle w:val="Normal6a"/>
            </w:pPr>
            <w:r>
              <w:t xml:space="preserve">Stato della </w:t>
            </w:r>
            <w:r>
              <w:rPr>
                <w:b/>
                <w:i/>
              </w:rPr>
              <w:t>cooperazione amministrativa in materia fiscale a livello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valuta positivamente il contributo del secondo pilastro alla riduzione del numero di giurisdizioni che applicano aliquote effettive d'imposta sulle società molto basse e all'introduzione di imposte integrative domestiche minime qualificate in molte giurisdizioni, il che rappresenta un importante progresso nell'ottica di prevenire le pratiche di elusione fiscale delle imprese multinazionali;</w:t>
            </w:r>
          </w:p>
        </w:tc>
        <w:tc>
          <w:tcPr>
            <w:tcW w:w="4876" w:type="dxa"/>
            <w:tcBorders>
              <w:top w:val="nil"/>
              <w:left w:val="nil"/>
              <w:bottom w:val="nil"/>
              <w:right w:val="nil"/>
            </w:tcBorders>
          </w:tcPr>
          <w:p>
            <w:pPr>
              <w:pStyle w:val="Normal6a"/>
            </w:pPr>
            <w:r>
              <w:t>13.</w:t>
            </w:r>
            <w:r>
              <w:tab/>
            </w:r>
            <w:r>
              <w:t xml:space="preserve">valuta positivamente il contributo del secondo pilastro alla riduzione del numero di giurisdizioni che applicano aliquote effettive d'imposta sulle società molto basse e all'introduzione di imposte integrative domestiche minime qualificate in molte giurisdizioni, il che rappresenta un importante progresso nell'ottica di prevenire le pratiche di elusione fiscale delle imprese multinazionali; </w:t>
            </w:r>
            <w:r>
              <w:rPr>
                <w:b/>
                <w:i/>
              </w:rPr>
              <w:t>sottolinea, tuttavia, che una concorrenza fiscale leale e sana tra gli Stati membri dell'UE rimane un elemento importante del mercato interno e contribuisce alla competitività dell'Unione a livello mondiale creando un ambiente favorevole alle imprese;</w:t>
            </w:r>
            <w:r>
              <w:t xml:space="preserve"> </w:t>
            </w:r>
            <w:r>
              <w:rPr>
                <w:b/>
                <w:i/>
              </w:rPr>
              <w:t>evidenzia che la garanzia di una flessibilità sufficiente per gli Stati membri nel settore dell'imposizione diretta contribuisce a preservare l'attrattiva dell'Unione in quanto luogo che favorisce l'attività imprenditoriale e l'innovazione, sostenendo in tal modo il mantenimento delle imprese, degli investimenti, dei posti di lavoro altamente qualificati e delle industrie strategiche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valuta positivamente il contributo del secondo pilastro alla riduzione del numero di giurisdizioni che applicano aliquote effettive d'imposta sulle società molto basse e all'introduzione di imposte integrative domestiche minime qualificate in molte giurisdizioni, il che rappresenta un importante progresso nell'ottica di prevenire le pratiche di elusione fiscale delle imprese multinazionali;</w:t>
            </w:r>
          </w:p>
        </w:tc>
        <w:tc>
          <w:tcPr>
            <w:tcW w:w="4876" w:type="dxa"/>
            <w:tcBorders>
              <w:top w:val="nil"/>
              <w:left w:val="nil"/>
              <w:bottom w:val="nil"/>
              <w:right w:val="nil"/>
            </w:tcBorders>
          </w:tcPr>
          <w:p>
            <w:pPr>
              <w:pStyle w:val="Normal6a"/>
            </w:pPr>
            <w:r>
              <w:t>13.</w:t>
            </w:r>
            <w:r>
              <w:tab/>
            </w:r>
            <w:r>
              <w:t xml:space="preserve">valuta positivamente il contributo del secondo pilastro alla riduzione del numero di giurisdizioni che applicano aliquote effettive d'imposta sulle società molto basse e all'introduzione di imposte integrative domestiche minime qualificate in molte giurisdizioni, il che rappresenta un importante progresso nell'ottica di prevenire le pratiche di elusione fiscale delle imprese multinazionali; </w:t>
            </w:r>
            <w:r>
              <w:rPr>
                <w:b/>
                <w:i/>
              </w:rPr>
              <w:t>deplora il fatto che, nonostante gli sforzi normativi profusi nell'ultimo decennio, il trasferimento degli utili verso giurisdizioni a bassa imposizione fiscale rimane una pratica diffusa tra le grandi imprese multinazionali che registra scarsi segni di declino;</w:t>
            </w:r>
            <w:r>
              <w:t xml:space="preserve"> </w:t>
            </w:r>
            <w:r>
              <w:rPr>
                <w:b/>
                <w:i/>
              </w:rPr>
              <w:t>ricorda che, nell'attuale contesto internazionale, è essenziale monitorare le forme emergenti di concorrenza fiscale dannosa, comprese quelle derivanti dalle esclusioni integrate nel quadro del secondo pilastro e dal trattamento dei crediti d'imposta</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https://taxjustice.net/reports/the-state-of-tax-justice-2025/.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valuta positivamente il contributo del secondo pilastro alla riduzione del numero di giurisdizioni che applicano aliquote effettive d'imposta sulle società molto basse e all'introduzione di imposte integrative domestiche minime qualificate in molte giurisdizioni, il che rappresenta un importante progresso nell'ottica di </w:t>
            </w:r>
            <w:r>
              <w:rPr>
                <w:b/>
                <w:i/>
              </w:rPr>
              <w:t>prevenire le pratiche di elusione fiscale delle</w:t>
            </w:r>
            <w:r>
              <w:t xml:space="preserve"> imprese </w:t>
            </w:r>
            <w:r>
              <w:rPr>
                <w:b/>
                <w:i/>
              </w:rPr>
              <w:t>multinazionali</w:t>
            </w:r>
            <w:r>
              <w:t>;</w:t>
            </w:r>
          </w:p>
        </w:tc>
        <w:tc>
          <w:tcPr>
            <w:tcW w:w="4876" w:type="dxa"/>
            <w:tcBorders>
              <w:top w:val="nil"/>
              <w:left w:val="nil"/>
              <w:bottom w:val="nil"/>
              <w:right w:val="nil"/>
            </w:tcBorders>
          </w:tcPr>
          <w:p>
            <w:pPr>
              <w:pStyle w:val="Normal6a"/>
            </w:pPr>
            <w:r>
              <w:t>13.</w:t>
            </w:r>
            <w:r>
              <w:tab/>
            </w:r>
            <w:r>
              <w:t xml:space="preserve">valuta positivamente il contributo del secondo pilastro alla riduzione del numero di giurisdizioni che applicano aliquote effettive d'imposta sulle società molto basse e all'introduzione di imposte integrative domestiche minime qualificate in molte giurisdizioni, il che rappresenta un importante progresso nell'ottica di </w:t>
            </w:r>
            <w:r>
              <w:rPr>
                <w:b/>
                <w:i/>
              </w:rPr>
              <w:t>creare certezza a livello mondiale per le</w:t>
            </w:r>
            <w:r>
              <w:t xml:space="preserve"> imprese </w:t>
            </w:r>
            <w:r>
              <w:rPr>
                <w:b/>
                <w:i/>
              </w:rPr>
              <w:t>imponibili e rendere la cooperazione amministrativa più efficace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osserva che le perdite stimate di gettito dovute alle strategie BEPS delle imprese multinazionali rimangono sostanziali; invita la Commissione e gli Stati membri a intensificare la cooperazione internazionale per affrontare tale sfida e salvaguardare il gettito fiscale nazionale;</w:t>
            </w:r>
          </w:p>
        </w:tc>
        <w:tc>
          <w:tcPr>
            <w:tcW w:w="4876" w:type="dxa"/>
            <w:tcBorders>
              <w:top w:val="nil"/>
              <w:left w:val="nil"/>
              <w:bottom w:val="nil"/>
              <w:right w:val="nil"/>
            </w:tcBorders>
          </w:tcPr>
          <w:p>
            <w:pPr>
              <w:pStyle w:val="Normal6a"/>
            </w:pPr>
            <w:r>
              <w:t>14.</w:t>
            </w:r>
            <w:r>
              <w:tab/>
            </w:r>
            <w:r>
              <w:t xml:space="preserve">osserva che le perdite stimate di gettito dovute alle strategie BEPS delle imprese multinazionali rimangono sostanziali; invita la Commissione e gli Stati membri a intensificare la cooperazione internazionale per affrontare tale sfida e salvaguardare il gettito fiscale nazionale; </w:t>
            </w:r>
            <w:r>
              <w:rPr>
                <w:b/>
                <w:i/>
              </w:rPr>
              <w:t>sottolinea che le perdite di gettito fiscale sono sempre più legate alla presenza di imprese di paesi terzi che operano nel mercato unico senza una contribuzione fiscale adeguata, il che falsa la concorrenza a scapito delle imprese europee;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osserva che le perdite stimate di gettito dovute alle strategie BEPS delle imprese multinazionali rimangono sostanziali; </w:t>
            </w:r>
            <w:r>
              <w:rPr>
                <w:b/>
                <w:i/>
              </w:rPr>
              <w:t>invita la Commissione e gli Stati membri a intensificare la cooperazione internazionale per affrontare tale sfida e salvaguardare il gettito fiscale nazionale;</w:t>
            </w:r>
          </w:p>
        </w:tc>
        <w:tc>
          <w:tcPr>
            <w:tcW w:w="4876" w:type="dxa"/>
            <w:tcBorders>
              <w:top w:val="nil"/>
              <w:left w:val="nil"/>
              <w:bottom w:val="nil"/>
              <w:right w:val="nil"/>
            </w:tcBorders>
          </w:tcPr>
          <w:p>
            <w:pPr>
              <w:pStyle w:val="Normal6a"/>
            </w:pPr>
            <w:r>
              <w:t>14.</w:t>
            </w:r>
            <w:r>
              <w:tab/>
            </w:r>
            <w:r>
              <w:t>osserva che le perdite stimate di gettito dovute alle strategie BEPS delle imprese multinazionali rimangono sostanziali;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osserva che le perdite stimate di gettito dovute alle strategie BEPS delle imprese multinazionali rimangono sostanziali; </w:t>
            </w:r>
            <w:r>
              <w:rPr>
                <w:b/>
                <w:i/>
              </w:rPr>
              <w:t>invita</w:t>
            </w:r>
            <w:r>
              <w:t xml:space="preserve"> la Commissione </w:t>
            </w:r>
            <w:r>
              <w:rPr>
                <w:b/>
                <w:i/>
              </w:rPr>
              <w:t>e gli</w:t>
            </w:r>
            <w:r>
              <w:t xml:space="preserve"> Stati membri </w:t>
            </w:r>
            <w:r>
              <w:rPr>
                <w:b/>
                <w:i/>
              </w:rPr>
              <w:t>a intensificare</w:t>
            </w:r>
            <w:r>
              <w:t xml:space="preserve"> la cooperazione internazionale per affrontare tale sfida e salvaguardare il gettito fiscale nazionale;</w:t>
            </w:r>
          </w:p>
        </w:tc>
        <w:tc>
          <w:tcPr>
            <w:tcW w:w="4876" w:type="dxa"/>
            <w:tcBorders>
              <w:top w:val="nil"/>
              <w:left w:val="nil"/>
              <w:bottom w:val="nil"/>
              <w:right w:val="nil"/>
            </w:tcBorders>
          </w:tcPr>
          <w:p>
            <w:pPr>
              <w:pStyle w:val="Normal6a"/>
            </w:pPr>
            <w:r>
              <w:t>14.</w:t>
            </w:r>
            <w:r>
              <w:tab/>
            </w:r>
            <w:r>
              <w:t xml:space="preserve">osserva che le perdite stimate di gettito dovute alle strategie BEPS delle imprese multinazionali rimangono sostanziali; </w:t>
            </w:r>
            <w:r>
              <w:rPr>
                <w:b/>
                <w:i/>
              </w:rPr>
              <w:t>esorta</w:t>
            </w:r>
            <w:r>
              <w:t xml:space="preserve"> la Commissione</w:t>
            </w:r>
            <w:r>
              <w:rPr>
                <w:b/>
                <w:i/>
              </w:rPr>
              <w:t>, insieme agli</w:t>
            </w:r>
            <w:r>
              <w:t xml:space="preserve"> Stati membri</w:t>
            </w:r>
            <w:r>
              <w:rPr>
                <w:b/>
                <w:i/>
              </w:rPr>
              <w:t>, ad adottare un ruolo più proattivo e ambizioso nel rafforzare</w:t>
            </w:r>
            <w:r>
              <w:t xml:space="preserve"> la cooperazione internazionale </w:t>
            </w:r>
            <w:r>
              <w:rPr>
                <w:b/>
                <w:i/>
              </w:rPr>
              <w:t>e nel promuovere misure efficaci</w:t>
            </w:r>
            <w:r>
              <w:t xml:space="preserve"> per affrontare tale sfida e salvaguardare il gettito fiscale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osserva che le perdite stimate di gettito dovute alle strategie BEPS delle imprese multinazionali rimangono sostanziali; invita la Commissione e gli Stati membri a intensificare la cooperazione internazionale per affrontare tale sfida e salvaguardare il gettito fiscale nazionale;</w:t>
            </w:r>
          </w:p>
        </w:tc>
        <w:tc>
          <w:tcPr>
            <w:tcW w:w="4876" w:type="dxa"/>
            <w:tcBorders>
              <w:top w:val="nil"/>
              <w:left w:val="nil"/>
              <w:bottom w:val="nil"/>
              <w:right w:val="nil"/>
            </w:tcBorders>
          </w:tcPr>
          <w:p>
            <w:pPr>
              <w:pStyle w:val="Normal6a"/>
            </w:pPr>
            <w:r>
              <w:t>14.</w:t>
            </w:r>
            <w:r>
              <w:tab/>
            </w:r>
            <w:r>
              <w:t xml:space="preserve">osserva che le perdite stimate di gettito dovute alle strategie BEPS delle imprese multinazionali rimangono sostanziali; invita la Commissione e gli Stati membri a </w:t>
            </w:r>
            <w:r>
              <w:rPr>
                <w:b/>
                <w:i/>
              </w:rPr>
              <w:t>coordinare le misure antiabuso e a</w:t>
            </w:r>
            <w:r>
              <w:t xml:space="preserve"> intensificare la cooperazione internazionale per affrontare tale sfida e salvaguardare il gettito fiscale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sottolinea che una lotta efficace contro la frode fiscale, l'evasione fiscale e l'elusione fiscale aggressiva continua a essere fondamentale per salvaguardare le finanze pubbliche degli Stati membri e rafforzare la fiducia nei sistemi fiscali;</w:t>
            </w:r>
            <w:r>
              <w:t xml:space="preserve"> </w:t>
            </w:r>
            <w:r>
              <w:rPr>
                <w:b/>
                <w:i/>
              </w:rPr>
              <w:t>invita la Commissione e gli Stati membri a rafforzare la cooperazione amministrativa, migliorare lo scambio di informazioni e promuovere meccanismi efficaci ed efficienti di riscossione delle imposte in tutta l'Unione;</w:t>
            </w:r>
            <w:r>
              <w:t xml:space="preserve"> </w:t>
            </w:r>
            <w:r>
              <w:rPr>
                <w:b/>
                <w:i/>
              </w:rPr>
              <w:t>sottolinea che, per garantire condizioni di parità per le imprese, ridurre le distorsioni nel mercato interno e garantire entrate pubbliche sostenibili, evitando nel contempo oneri amministrativi sproporzionati per i contribuenti adempienti, sono necessari sistemi fiscali ben funzionanti e applicabili;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deplora il ritiro della proposta della Commissione relativa all'imposta sulle transazioni finanziarie, ai prezzi di trasferimento, alla direttiva "Unshell", al voto a maggioranza qualificata su questioni tecniche o non sensibili in materia di IVA e all'agevolazione per ridurre la distorsione a favore del debito rispetto al capitale (DEBRA) dal programma di lavoro della Commissione per il 2026 ed esorta la Commissione ad accelerare le azioni volte a combattere l'evasione fiscale, l'elusione fiscale e la pianificazione fiscale aggressiva, nonché a presentare una proposta per la pubblicazione annuale dell'aliquota effettiva dell'imposta sulle imprese di alcune grandi imprese, come previsto nella comunicazione sulla tassazione delle imprese per il XXI secolo</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https://taxation-customs.ec.europa.eu/system/files/2021-05/communication_on_business_taxation_for_the_21st_century.pdf.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ricorda che, durante l'attuazione del secondo pilastro, è importante monitorare le nuove forme di concorrenza fiscale dannosa che possono svilupparsi, segnatamente in esito alle eccezioni incorporate nel quadro, nonché il trattamento di determinati incentivi fiscali</w:t>
            </w:r>
            <w:r>
              <w:rPr>
                <w:b/>
                <w:i/>
                <w:vertAlign w:val="superscript"/>
              </w:rPr>
              <w:t>16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 bis</w:t>
            </w:r>
            <w:r>
              <w:t xml:space="preserve"> </w:t>
            </w:r>
            <w:r>
              <w:rPr>
                <w:b/>
                <w:i/>
              </w:rPr>
              <w:t>Osservatorio fiscale dell'UE, Global Tax Evasion Report 2024 (Relazione sull'evasione fiscale nel mondo 2024), pag. 36</w:t>
            </w:r>
            <w:r>
              <w:t xml:space="preserve"> </w:t>
            </w:r>
            <w:r>
              <w:rPr>
                <w:b/>
                <w:i/>
              </w:rPr>
              <w:t>;</w:t>
            </w:r>
            <w:r>
              <w:t xml:space="preserve"> </w:t>
            </w:r>
            <w:r>
              <w:rPr>
                <w:b/>
                <w:i/>
              </w:rPr>
              <w:t>Commissione europea, Annual Tax Report 2025 (Relazione fiscale annuale 2025), pag.</w:t>
            </w:r>
            <w:r>
              <w:t xml:space="preserve"> </w:t>
            </w:r>
            <w:r>
              <w:rPr>
                <w:b/>
                <w:i/>
              </w:rPr>
              <w:t>94;</w:t>
            </w:r>
            <w:r>
              <w:t xml:space="preserve"> </w:t>
            </w:r>
            <w:r>
              <w:rPr>
                <w:b/>
                <w:i/>
              </w:rPr>
              <w:t>Osservatorio fiscale dell'UE, Global Tax Evasion Report 2024 (Relazione sull'evasione fiscale nel mondo 2024), pagg. 52-54.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ter.</w:t>
            </w:r>
            <w:r>
              <w:tab/>
            </w:r>
            <w:r>
              <w:rPr>
                <w:b/>
                <w:i/>
              </w:rPr>
              <w:t>deplora il fatto che taluni Stati membri continuano ad agevolare la pianificazione fiscale aggressiva e operano come paradisi fiscali all'interno dell'UE mediante regimi preferenziali, una bassa imposizione effettiva degli utili societari e regimi che agevolano la pianificazione fiscale aggressiva;</w:t>
            </w:r>
            <w:r>
              <w:t xml:space="preserve"> </w:t>
            </w:r>
            <w:r>
              <w:rPr>
                <w:b/>
                <w:i/>
              </w:rPr>
              <w:t>sottolinea che la concorrenza fiscale dannosa all'interno dell'Unione falsa il mercato interno, compromette l'equità e sposta l'onere fiscale sui lavoratori, sulle famiglie e sulle PMI;</w:t>
            </w:r>
            <w:r>
              <w:t xml:space="preserve"> </w:t>
            </w:r>
            <w:r>
              <w:rPr>
                <w:b/>
                <w:i/>
              </w:rPr>
              <w:t>invita la Commissione e il Consiglio ad applicare criteri oggettivi e coerenti alle pratiche fiscali dannose sia all'interno che all'esterno dell'Unione, nonché ad attuare contromisure credibili;</w:t>
            </w:r>
            <w:r>
              <w:t xml:space="preserve"> </w:t>
            </w:r>
            <w:r>
              <w:rPr>
                <w:b/>
                <w:i/>
              </w:rPr>
              <w:t>invita altresì la Commissione e il Consiglio a valutare l'attuazione della revisione del codice di condotta in materia di tassazione delle imprese effettuata nel 2022, al fine di promuovere una concorrenza fiscale leale all'interno e all'esterno dell'UE e di contenere le pratiche fiscali dannose;</w:t>
            </w:r>
            <w:r>
              <w:t xml:space="preserve"> </w:t>
            </w:r>
            <w:r>
              <w:rPr>
                <w:b/>
                <w:i/>
              </w:rPr>
              <w:t>chiede una riforma volta a rafforzarne il mandato, la trasparenza, la responsabilità e i meccanismi di follow-up;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ter.</w:t>
            </w:r>
            <w:r>
              <w:tab/>
            </w:r>
            <w:r>
              <w:rPr>
                <w:b/>
                <w:i/>
              </w:rPr>
              <w:t>ricorda le risoluzioni del Parlamento sulla riforma dell'elenco dei paradisi fiscali e sulla riforma della strategia dell'UE sulle pratiche fiscali dannose (compresa la riforma del gruppo "Codice di condotta");</w:t>
            </w:r>
            <w:r>
              <w:t xml:space="preserve"> </w:t>
            </w:r>
            <w:r>
              <w:rPr>
                <w:b/>
                <w:i/>
              </w:rPr>
              <w:t>invita il Consiglio a rilanciare le discussioni su una riforma globale del codice e ad attuare le raccomandazioni del Parlamento</w:t>
            </w:r>
            <w:r>
              <w:rPr>
                <w:b/>
                <w:i/>
                <w:vertAlign w:val="superscript"/>
              </w:rPr>
              <w:t>17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 bis</w:t>
            </w:r>
            <w:r>
              <w:t xml:space="preserve"> </w:t>
            </w:r>
            <w:r>
              <w:rPr>
                <w:b/>
                <w:i/>
              </w:rPr>
              <w:t>Risoluzione del Parlamento europeo del 21 gennaio 2021 sulla riforma dell'elenco dei paradisi fiscali;</w:t>
            </w:r>
            <w:r>
              <w:t xml:space="preserve"> </w:t>
            </w:r>
            <w:r>
              <w:rPr>
                <w:b/>
                <w:i/>
              </w:rPr>
              <w:t>Risoluzione del Parlamento europeo del 7 ottobre 2021 sulla riforma della strategia dell'UE sulle pratiche fiscali dannose (compresa la riforma del gruppo "Codice di condotta").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quater.</w:t>
            </w:r>
            <w:r>
              <w:tab/>
            </w:r>
            <w:r>
              <w:rPr>
                <w:b/>
                <w:i/>
              </w:rPr>
              <w:t>osserva che le attuali tensioni geopolitiche hanno generato notevoli proventi straordinari in taluni settori;</w:t>
            </w:r>
            <w:r>
              <w:t xml:space="preserve"> </w:t>
            </w:r>
            <w:r>
              <w:rPr>
                <w:b/>
                <w:i/>
              </w:rPr>
              <w:t>invita la Commissione e gli Stati membri a provvedere affinché che tali profitti straordinari siano tassati in maniera equa ed efficace e ad affrontare il trasferimento transfrontaliero dei proventi straordinari che compromette il gettito fiscale e dunque falsa la concorrenza leale;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ribadisce il suo impegno a favore dell'ordine internazionale basato su regole; sottolinea che </w:t>
            </w:r>
            <w:r>
              <w:rPr>
                <w:b/>
                <w:i/>
              </w:rPr>
              <w:t>gli</w:t>
            </w:r>
            <w:r>
              <w:t xml:space="preserve"> strumenti </w:t>
            </w:r>
            <w:r>
              <w:rPr>
                <w:b/>
                <w:i/>
              </w:rPr>
              <w:t>messi a punto a livello internazionale sono</w:t>
            </w:r>
            <w:r>
              <w:t xml:space="preserve"> efficaci </w:t>
            </w:r>
            <w:r>
              <w:rPr>
                <w:b/>
                <w:i/>
              </w:rPr>
              <w:t>solo nella misura in cui si basano su un autentico accordo globale e</w:t>
            </w:r>
            <w:r>
              <w:t xml:space="preserve"> sono attuati in modo </w:t>
            </w:r>
            <w:r>
              <w:rPr>
                <w:b/>
                <w:i/>
              </w:rPr>
              <w:t>efficace</w:t>
            </w:r>
            <w:r>
              <w:t>;</w:t>
            </w:r>
          </w:p>
        </w:tc>
        <w:tc>
          <w:tcPr>
            <w:tcW w:w="4876" w:type="dxa"/>
            <w:tcBorders>
              <w:top w:val="nil"/>
              <w:left w:val="nil"/>
              <w:bottom w:val="nil"/>
              <w:right w:val="nil"/>
            </w:tcBorders>
          </w:tcPr>
          <w:p>
            <w:pPr>
              <w:pStyle w:val="Normal6a"/>
            </w:pPr>
            <w:r>
              <w:t>15.</w:t>
            </w:r>
            <w:r>
              <w:tab/>
            </w:r>
            <w:r>
              <w:t xml:space="preserve">ribadisce il suo impegno a favore dell'ordine internazionale basato su regole; sottolinea che </w:t>
            </w:r>
            <w:r>
              <w:rPr>
                <w:b/>
                <w:i/>
              </w:rPr>
              <w:t>taluni</w:t>
            </w:r>
            <w:r>
              <w:t xml:space="preserve"> strumenti</w:t>
            </w:r>
            <w:r>
              <w:rPr>
                <w:b/>
                <w:i/>
              </w:rPr>
              <w:t>, quali la formula di ripartizione e le imposte sui servizi digitali, possono continuare a essere</w:t>
            </w:r>
            <w:r>
              <w:t xml:space="preserve"> efficaci </w:t>
            </w:r>
            <w:r>
              <w:rPr>
                <w:b/>
                <w:i/>
              </w:rPr>
              <w:t>anche quando non</w:t>
            </w:r>
            <w:r>
              <w:t xml:space="preserve"> sono attuati in modo </w:t>
            </w:r>
            <w:r>
              <w:rPr>
                <w:b/>
                <w:i/>
              </w:rPr>
              <w:t>universale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Jussi Saramo,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ribadisce il suo impegno a favore dell'ordine internazionale basato su regole; sottolinea che gli strumenti messi a punto a livello internazionale </w:t>
            </w:r>
            <w:r>
              <w:rPr>
                <w:b/>
                <w:i/>
              </w:rPr>
              <w:t>sono efficaci solo nella misura in cui si basano su un autentico accordo globale e sono attuati in modo efficace</w:t>
            </w:r>
            <w:r>
              <w:t>;</w:t>
            </w:r>
          </w:p>
        </w:tc>
        <w:tc>
          <w:tcPr>
            <w:tcW w:w="4876" w:type="dxa"/>
            <w:tcBorders>
              <w:top w:val="nil"/>
              <w:left w:val="nil"/>
              <w:bottom w:val="nil"/>
              <w:right w:val="nil"/>
            </w:tcBorders>
          </w:tcPr>
          <w:p>
            <w:pPr>
              <w:pStyle w:val="Normal6a"/>
            </w:pPr>
            <w:r>
              <w:t>15.</w:t>
            </w:r>
            <w:r>
              <w:tab/>
            </w:r>
            <w:r>
              <w:t xml:space="preserve">ribadisce il suo impegno a favore dell'ordine internazionale basato su regole; sottolinea che gli strumenti messi a punto a livello internazionale </w:t>
            </w:r>
            <w:r>
              <w:rPr>
                <w:b/>
                <w:i/>
              </w:rPr>
              <w:t>rappresentano il quadro più ambizioso e strutturalmente solido disponibile per far fronte alle sfide fiscali globali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deplora che si sia creato un forte squilibrio della bilancia commerciale dei servizi digitali dell'UE verso altre giurisdizioni in cui i fornitori di tecnologie digitali e servizi cloud hanno conosciuto una rapida espansione; sottolinea che tale squilibrio pone una sfida significativa per i sistemi fiscali degli Stati membri e comporta la necessità di rivedere la ridistribuzione dei diritti di imposizione;</w:t>
            </w:r>
          </w:p>
        </w:tc>
        <w:tc>
          <w:tcPr>
            <w:tcW w:w="4876" w:type="dxa"/>
            <w:tcBorders>
              <w:top w:val="nil"/>
              <w:left w:val="nil"/>
              <w:bottom w:val="nil"/>
              <w:right w:val="nil"/>
            </w:tcBorders>
          </w:tcPr>
          <w:p>
            <w:pPr>
              <w:pStyle w:val="Normal6a"/>
            </w:pPr>
            <w:r>
              <w:t>16.</w:t>
            </w:r>
            <w:r>
              <w:tab/>
            </w:r>
            <w:r>
              <w:t>deplora che si sia creato un forte squilibrio della bilancia commerciale dei servizi digitali dell'UE verso altre giurisdizioni in cui i fornitori di tecnologie digitali</w:t>
            </w:r>
            <w:r>
              <w:rPr>
                <w:b/>
                <w:i/>
              </w:rPr>
              <w:t>, intelligenza artificiale</w:t>
            </w:r>
            <w:r>
              <w:t xml:space="preserve"> e servizi cloud hanno conosciuto una rapida espansione</w:t>
            </w:r>
            <w:r>
              <w:rPr>
                <w:b/>
                <w:i/>
              </w:rPr>
              <w:t>, che aumenta la concentrazione del potere economico e degli utili imponibili in un numero limitato di imprese digitali multinazionali con sede al di fuori dell'Unione</w:t>
            </w:r>
            <w:r>
              <w:t xml:space="preserve">; sottolinea che tale squilibrio pone una sfida significativa per i sistemi fiscali degli Stati membri e comporta la necessità di rivedere la ridistribuzione dei diritti di imposizione; </w:t>
            </w:r>
            <w:r>
              <w:rPr>
                <w:b/>
                <w:i/>
              </w:rPr>
              <w:t>invita la Commissione e gli Stati membri a sviluppare un approccio coordinato all'assegnazione dei diritti di imposizione nell'economia digitale e dell'IA, al fine di prevenire il trasferimento degli utili e di garantire che gli utili e le rendite generati dagli utenti, dai dati e dalle imprese dell'UE siano soggetti a un'equa imposizione nel luogo in cui è creato il valore;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deplora che si sia creato un forte squilibrio della bilancia commerciale dei servizi digitali dell'UE verso altre giurisdizioni in cui i fornitori di tecnologie digitali e servizi cloud hanno conosciuto una rapida espansione; </w:t>
            </w:r>
            <w:r>
              <w:rPr>
                <w:b/>
                <w:i/>
              </w:rPr>
              <w:t>sottolinea che tale squilibrio pone una sfida significativa per i sistemi fiscali degli Stati membri e comporta la necessità di rivedere la ridistribuzione dei diritti di imposizione;</w:t>
            </w:r>
          </w:p>
        </w:tc>
        <w:tc>
          <w:tcPr>
            <w:tcW w:w="4876" w:type="dxa"/>
            <w:tcBorders>
              <w:top w:val="nil"/>
              <w:left w:val="nil"/>
              <w:bottom w:val="nil"/>
              <w:right w:val="nil"/>
            </w:tcBorders>
          </w:tcPr>
          <w:p>
            <w:pPr>
              <w:pStyle w:val="Normal6a"/>
            </w:pPr>
            <w:r>
              <w:t>16.</w:t>
            </w:r>
            <w:r>
              <w:tab/>
            </w:r>
            <w:r>
              <w:t>deplora che si sia creato un forte squilibrio della bilancia commerciale dei servizi digitali dell'UE verso altre giurisdizioni in cui i fornitori di tecnologie digitali e servizi cloud hanno conosciuto una rapida espansione;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deplora che si sia creato un forte squilibrio della bilancia commerciale dei servizi digitali dell'UE verso altre giurisdizioni in cui i fornitori di tecnologie digitali e servizi cloud hanno conosciuto una rapida espansione; sottolinea che tale squilibrio </w:t>
            </w:r>
            <w:r>
              <w:rPr>
                <w:b/>
                <w:i/>
              </w:rPr>
              <w:t>pone una sfida significativa per i sistemi fiscali degli Stati membri e comporta la necessità di rivedere la ridistribuzione dei diritti di</w:t>
            </w:r>
            <w:r>
              <w:t xml:space="preserve"> imposizione;</w:t>
            </w:r>
          </w:p>
        </w:tc>
        <w:tc>
          <w:tcPr>
            <w:tcW w:w="4876" w:type="dxa"/>
            <w:tcBorders>
              <w:top w:val="nil"/>
              <w:left w:val="nil"/>
              <w:bottom w:val="nil"/>
              <w:right w:val="nil"/>
            </w:tcBorders>
          </w:tcPr>
          <w:p>
            <w:pPr>
              <w:pStyle w:val="Normal6a"/>
            </w:pPr>
            <w:r>
              <w:t>16.</w:t>
            </w:r>
            <w:r>
              <w:tab/>
            </w:r>
            <w:r>
              <w:t xml:space="preserve">deplora che si sia creato un forte squilibrio della bilancia commerciale dei servizi digitali dell'UE verso altre giurisdizioni in cui i fornitori di tecnologie digitali e servizi cloud hanno conosciuto una rapida espansione; sottolinea che tale squilibrio </w:t>
            </w:r>
            <w:r>
              <w:rPr>
                <w:b/>
                <w:i/>
              </w:rPr>
              <w:t>mette in evidenza l'importanza di proseguire la cooperazione internazionale al fine di garantire la certezza fiscale, evitare la doppia</w:t>
            </w:r>
            <w:r>
              <w:t xml:space="preserve"> imposizione </w:t>
            </w:r>
            <w:r>
              <w:rPr>
                <w:b/>
                <w:i/>
              </w:rPr>
              <w:t>e fornire un contesto stabile per gli investimenti, l'innovazione e la crescita economica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invita la Commissione a valutare la possibilità di creare un meccanismo europeo per la ripartizione degli obblighi fiscali relativi ai servizi digitali e online forniti da imprese di paesi terzi ai consumatori e alle imprese nell'Unione;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chiede che siano introdotte norme uniformi volte a prevenire trasferimenti artificiali di profitti al di fuori dell'Unione tramite operazioni infragruppo, diritti di proprietà intellettuale e servizi digitali forniti da società affiliate stabilite in paesi terzi;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prende atto delle preoccupazioni degli Stati Uniti riguardo alle imposte unilaterali</w:t>
            </w:r>
            <w:r>
              <w:t xml:space="preserve"> sui servizi digitali</w:t>
            </w:r>
            <w:r>
              <w:rPr>
                <w:b/>
                <w:i/>
              </w:rPr>
              <w:t>, che considerano discriminatorie nei confronti delle imprese tecnologiche statunitensi;</w:t>
            </w:r>
            <w:r>
              <w:t xml:space="preserve"> </w:t>
            </w:r>
            <w:r>
              <w:rPr>
                <w:b/>
                <w:i/>
              </w:rPr>
              <w:t>accoglie con favore l'apertura</w:t>
            </w:r>
            <w:r>
              <w:t xml:space="preserve"> degli Stati </w:t>
            </w:r>
            <w:r>
              <w:rPr>
                <w:b/>
                <w:i/>
              </w:rPr>
              <w:t>Uniti al dialogo su tali questioni</w:t>
            </w:r>
            <w:r>
              <w:t>;</w:t>
            </w:r>
          </w:p>
        </w:tc>
        <w:tc>
          <w:tcPr>
            <w:tcW w:w="4876" w:type="dxa"/>
            <w:tcBorders>
              <w:top w:val="nil"/>
              <w:left w:val="nil"/>
              <w:bottom w:val="nil"/>
              <w:right w:val="nil"/>
            </w:tcBorders>
          </w:tcPr>
          <w:p>
            <w:pPr>
              <w:pStyle w:val="Normal6a"/>
            </w:pPr>
            <w:r>
              <w:t>17.</w:t>
            </w:r>
            <w:r>
              <w:tab/>
            </w:r>
            <w:r>
              <w:rPr>
                <w:b/>
                <w:i/>
              </w:rPr>
              <w:t>deplora che i negoziati multilaterali sulla ridistribuzione dei diritti di imposizione prevista dal primo pilastro si siano arenati senza prospettive di conclusione a breve termine e che la questione dell'imposizione dell'economia digitale sia rimasta irrisolta dal 2018 nonostante gli sforzi costanti profusi dall'UE e dai suoi partner;</w:t>
            </w:r>
            <w:r>
              <w:t xml:space="preserve"> </w:t>
            </w:r>
            <w:r>
              <w:rPr>
                <w:b/>
                <w:i/>
              </w:rPr>
              <w:t>ritiene che l'assenza di progressi significativi a livello multilaterale non debba differire l'azione dell'UE volta a garantire che i ricavi dell'economia digitale generati nel mercato interno siano soggetti a un'imposizione equa e coerente;</w:t>
            </w:r>
            <w:r>
              <w:t xml:space="preserve"> </w:t>
            </w:r>
            <w:r>
              <w:rPr>
                <w:b/>
                <w:i/>
              </w:rPr>
              <w:t>invita la Commissione a presentare senza ulteriori indugi una nuova proposta relativa a un'imposta</w:t>
            </w:r>
            <w:r>
              <w:t xml:space="preserve"> sui servizi digitali </w:t>
            </w:r>
            <w:r>
              <w:rPr>
                <w:b/>
                <w:i/>
              </w:rPr>
              <w:t>a livello dell'UE, al fine di salvaguardare le entrate</w:t>
            </w:r>
            <w:r>
              <w:t xml:space="preserve"> degli Stati </w:t>
            </w:r>
            <w:r>
              <w:rPr>
                <w:b/>
                <w:i/>
              </w:rPr>
              <w:t>membri e garantire condizioni di parità tra i modelli imprenditoriali digitali e quelli tradizionali;</w:t>
            </w:r>
            <w:r>
              <w:t xml:space="preserve"> </w:t>
            </w:r>
            <w:r>
              <w:rPr>
                <w:b/>
                <w:i/>
              </w:rPr>
              <w:t>osserva che, secondo le stime, un'aliquota di imposta sui servizi digitali a livello dell'UE pari al 5 % genererà 37,5 miliardi di EUR di entrate annuali per il 2026, cifra che dovrebbe aumentare notevolmente negli anni successivi, fornendo un contributo sostanziale e sempre maggiore alla capacità di bilancio dell'UE in un periodo di maggiori necessità in termini di finanze pubbliche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prende atto delle preoccupazioni degli Stati Uniti riguardo alle imposte unilaterali sui servizi digitali</w:t>
            </w:r>
            <w:r>
              <w:rPr>
                <w:b/>
                <w:i/>
              </w:rPr>
              <w:t>, che considerano discriminatorie nei confronti delle</w:t>
            </w:r>
            <w:r>
              <w:t xml:space="preserve"> imprese </w:t>
            </w:r>
            <w:r>
              <w:rPr>
                <w:b/>
                <w:i/>
              </w:rPr>
              <w:t>tecnologiche statunitensi;</w:t>
            </w:r>
            <w:r>
              <w:t xml:space="preserve"> </w:t>
            </w:r>
            <w:r>
              <w:rPr>
                <w:b/>
                <w:i/>
              </w:rPr>
              <w:t>accoglie con favore l'apertura</w:t>
            </w:r>
            <w:r>
              <w:t xml:space="preserve"> degli Stati </w:t>
            </w:r>
            <w:r>
              <w:rPr>
                <w:b/>
                <w:i/>
              </w:rPr>
              <w:t>Uniti al dialogo su tali questioni</w:t>
            </w:r>
            <w:r>
              <w:t>;</w:t>
            </w:r>
          </w:p>
        </w:tc>
        <w:tc>
          <w:tcPr>
            <w:tcW w:w="4876" w:type="dxa"/>
            <w:tcBorders>
              <w:top w:val="nil"/>
              <w:left w:val="nil"/>
              <w:bottom w:val="nil"/>
              <w:right w:val="nil"/>
            </w:tcBorders>
          </w:tcPr>
          <w:p>
            <w:pPr>
              <w:pStyle w:val="Normal6a"/>
            </w:pPr>
            <w:r>
              <w:t>17.</w:t>
            </w:r>
            <w:r>
              <w:tab/>
            </w:r>
            <w:r>
              <w:t>prende atto delle preoccupazioni degli Stati Uniti riguardo alle imposte unilaterali sui servizi digitali</w:t>
            </w:r>
            <w:r>
              <w:rPr>
                <w:b/>
                <w:i/>
              </w:rPr>
              <w:t>; ribadisce tuttavia – in attesa dello sviluppo e dell'attuazione di un quadro multilaterale globale che garantisca un'equa ripartizione dei diritti di imposizione sulle</w:t>
            </w:r>
            <w:r>
              <w:t xml:space="preserve"> imprese </w:t>
            </w:r>
            <w:r>
              <w:rPr>
                <w:b/>
                <w:i/>
              </w:rPr>
              <w:t>multinazionali operanti in più giurisdizioni – il diritto sovrano</w:t>
            </w:r>
            <w:r>
              <w:t xml:space="preserve"> degli Stati </w:t>
            </w:r>
            <w:r>
              <w:rPr>
                <w:b/>
                <w:i/>
              </w:rPr>
              <w:t>di adottare misure unilaterali temporanee al fine di tutelare e preservare le rispettive basi imponibili, comprese le imposte sui servizi digitali, riconoscendo nel contempo che una più ampia adesione internazionale a tali misure può contribuire a ridurre la portata delle azioni ritorsive unilaterali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prende atto delle preoccupazioni degli Stati Uniti riguardo alle imposte unilaterali sui servizi digitali, che considerano discriminatorie nei confronti delle imprese tecnologiche statunitensi; accoglie con favore l'apertura degli Stati Uniti al dialogo su tali questioni;</w:t>
            </w:r>
          </w:p>
        </w:tc>
        <w:tc>
          <w:tcPr>
            <w:tcW w:w="4876" w:type="dxa"/>
            <w:tcBorders>
              <w:top w:val="nil"/>
              <w:left w:val="nil"/>
              <w:bottom w:val="nil"/>
              <w:right w:val="nil"/>
            </w:tcBorders>
          </w:tcPr>
          <w:p>
            <w:pPr>
              <w:pStyle w:val="Normal6a"/>
            </w:pPr>
            <w:r>
              <w:t>17.</w:t>
            </w:r>
            <w:r>
              <w:tab/>
            </w:r>
            <w:r>
              <w:t xml:space="preserve">prende atto delle preoccupazioni degli Stati Uniti riguardo alle imposte unilaterali sui servizi digitali, che considerano discriminatorie nei confronti delle imprese tecnologiche statunitensi; accoglie con favore l'apertura degli Stati Uniti al dialogo su tali questioni; </w:t>
            </w:r>
            <w:r>
              <w:rPr>
                <w:b/>
                <w:i/>
              </w:rPr>
              <w:t>sottolinea tuttavia che, fino a quando non sarà pienamente operativo un accordo globale completo e vincolante nell'ambito del primo pilastro, tali imposte nazionali sui servizi digitali rimangono uno strumento giustificato e fondamentale affinché gli Stati membri garantiscano che tutte le imprese digitali contribuiscano equamente ai bilanci 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prende atto delle preoccupazioni degli Stati Uniti riguardo alle imposte unilaterali sui servizi digitali, che considerano discriminatorie nei confronti delle imprese tecnologiche statunitensi; accoglie con favore l'apertura degli Stati Uniti al dialogo su tali questioni;</w:t>
            </w:r>
          </w:p>
        </w:tc>
        <w:tc>
          <w:tcPr>
            <w:tcW w:w="4876" w:type="dxa"/>
            <w:tcBorders>
              <w:top w:val="nil"/>
              <w:left w:val="nil"/>
              <w:bottom w:val="nil"/>
              <w:right w:val="nil"/>
            </w:tcBorders>
          </w:tcPr>
          <w:p>
            <w:pPr>
              <w:pStyle w:val="Normal6a"/>
            </w:pPr>
            <w:r>
              <w:t>17.</w:t>
            </w:r>
            <w:r>
              <w:tab/>
            </w:r>
            <w:r>
              <w:t xml:space="preserve">prende atto delle preoccupazioni degli Stati Uniti riguardo alle imposte unilaterali sui servizi digitali, che considerano discriminatorie nei confronti delle imprese tecnologiche statunitensi; accoglie con favore l'apertura degli Stati Uniti al dialogo su tali questioni; </w:t>
            </w:r>
            <w:r>
              <w:rPr>
                <w:b/>
                <w:i/>
              </w:rPr>
              <w:t>sottolinea che un'imposizione equa ed efficace dell'economia digitale continua a essere fondamentale per garantire condizioni di parità e salvaguardare le entrate pubbliche;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prende atto delle preoccupazioni degli Stati Uniti riguardo alle imposte unilaterali sui servizi digitali, che considerano discriminatorie nei confronti delle imprese tecnologiche statunitensi; accoglie con favore l'apertura degli Stati Uniti al dialogo su tali questioni;</w:t>
            </w:r>
          </w:p>
        </w:tc>
        <w:tc>
          <w:tcPr>
            <w:tcW w:w="4876" w:type="dxa"/>
            <w:tcBorders>
              <w:top w:val="nil"/>
              <w:left w:val="nil"/>
              <w:bottom w:val="nil"/>
              <w:right w:val="nil"/>
            </w:tcBorders>
          </w:tcPr>
          <w:p>
            <w:pPr>
              <w:pStyle w:val="Normal6a"/>
            </w:pPr>
            <w:r>
              <w:t>17.</w:t>
            </w:r>
            <w:r>
              <w:tab/>
            </w:r>
            <w:r>
              <w:t xml:space="preserve">prende atto delle preoccupazioni degli Stati Uniti riguardo </w:t>
            </w:r>
            <w:r>
              <w:rPr>
                <w:b/>
                <w:i/>
              </w:rPr>
              <w:t>alle soluzioni previste dal primo pilastro e</w:t>
            </w:r>
            <w:r>
              <w:t xml:space="preserve"> alle imposte unilaterali sui servizi digitali, che considerano discriminatorie nei confronti delle imprese tecnologiche statunitensi; accoglie con favore l'apertura degli Stati Uniti al dialogo su tali questioni;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prende atto delle preoccupazioni degli Stati Uniti riguardo alle imposte unilaterali sui servizi digitali, che considerano discriminatorie nei confronti delle imprese tecnologiche statunitensi; accoglie con favore </w:t>
            </w:r>
            <w:r>
              <w:rPr>
                <w:b/>
                <w:i/>
              </w:rPr>
              <w:t>l'apertura degli</w:t>
            </w:r>
            <w:r>
              <w:t xml:space="preserve"> Stati Uniti </w:t>
            </w:r>
            <w:r>
              <w:rPr>
                <w:b/>
                <w:i/>
              </w:rPr>
              <w:t>al dialogo</w:t>
            </w:r>
            <w:r>
              <w:t xml:space="preserve"> su tali questioni;</w:t>
            </w:r>
          </w:p>
        </w:tc>
        <w:tc>
          <w:tcPr>
            <w:tcW w:w="4876" w:type="dxa"/>
            <w:tcBorders>
              <w:top w:val="nil"/>
              <w:left w:val="nil"/>
              <w:bottom w:val="nil"/>
              <w:right w:val="nil"/>
            </w:tcBorders>
          </w:tcPr>
          <w:p>
            <w:pPr>
              <w:pStyle w:val="Normal6a"/>
            </w:pPr>
            <w:r>
              <w:t>17.</w:t>
            </w:r>
            <w:r>
              <w:tab/>
            </w:r>
            <w:r>
              <w:t xml:space="preserve">prende atto delle preoccupazioni degli Stati Uniti riguardo alle imposte unilaterali sui servizi digitali, che considerano discriminatorie nei confronti delle imprese tecnologiche statunitensi; accoglie con favore </w:t>
            </w:r>
            <w:r>
              <w:rPr>
                <w:b/>
                <w:i/>
              </w:rPr>
              <w:t>un dialogo costruttivo tra l'UE e gli</w:t>
            </w:r>
            <w:r>
              <w:t xml:space="preserve"> Stati Uniti su tali questioni;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ritiene che le misure unilaterali e gli accordi contro la doppia imposizione non consentano di affrontare in modo adeguato le sfide fiscali globali e rischino di aprire la strada a misure di ritorsione;</w:t>
            </w:r>
            <w:r>
              <w:t xml:space="preserve"> </w:t>
            </w:r>
            <w:r>
              <w:rPr>
                <w:b/>
                <w:i/>
              </w:rPr>
              <w:t>reputa che una soluzione globale alla tassazione del digitale rappresenterebbe pertanto la via ideale da seguire;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ritiene che le misure unilaterali e gli accordi contro la doppia imposizione non consentano di affrontare in modo adeguato le sfide fiscali globali e rischino di aprire la strada a misure di ritorsione; reputa che una soluzione globale alla tassazione del digitale rappresenterebbe pertanto la via ideale da seguire;</w:t>
            </w:r>
          </w:p>
        </w:tc>
        <w:tc>
          <w:tcPr>
            <w:tcW w:w="4876" w:type="dxa"/>
            <w:tcBorders>
              <w:top w:val="nil"/>
              <w:left w:val="nil"/>
              <w:bottom w:val="nil"/>
              <w:right w:val="nil"/>
            </w:tcBorders>
          </w:tcPr>
          <w:p>
            <w:pPr>
              <w:pStyle w:val="Normal6a"/>
            </w:pPr>
            <w:r>
              <w:t>18.</w:t>
            </w:r>
            <w:r>
              <w:tab/>
            </w:r>
            <w:r>
              <w:t>ritiene che le misure unilaterali e gli accordi contro la doppia imposizione non consentano di affrontare in modo adeguato le sfide fiscali globali e rischino di aprire la strada a misure di ritorsione; reputa che una soluzione globale alla tassazione del digitale rappresenterebbe pertanto la via ideale da seguire</w:t>
            </w:r>
            <w:r>
              <w:rPr>
                <w:b/>
                <w:i/>
              </w:rPr>
              <w:t>, a condizione che qualsiasi soluzione rispetti il principio della sostanza economica e non penalizzi arbitrariamente le economie aperte più piccole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ritiene che le misure unilaterali </w:t>
            </w:r>
            <w:r>
              <w:rPr>
                <w:b/>
                <w:i/>
              </w:rPr>
              <w:t>e gli accordi contro la doppia imposizione non consentano di affrontare in modo adeguato le sfide fiscali globali e rischino</w:t>
            </w:r>
            <w:r>
              <w:t xml:space="preserve"> di aprire la strada a misure di ritorsione</w:t>
            </w:r>
            <w:r>
              <w:rPr>
                <w:b/>
                <w:i/>
              </w:rPr>
              <w:t>;</w:t>
            </w:r>
            <w:r>
              <w:t xml:space="preserve"> </w:t>
            </w:r>
            <w:r>
              <w:rPr>
                <w:b/>
                <w:i/>
              </w:rPr>
              <w:t>reputa che una</w:t>
            </w:r>
            <w:r>
              <w:t xml:space="preserve"> soluzione globale alla tassazione del digitale </w:t>
            </w:r>
            <w:r>
              <w:rPr>
                <w:b/>
                <w:i/>
              </w:rPr>
              <w:t>rappresenterebbe pertanto la via ideale da seguire</w:t>
            </w:r>
            <w:r>
              <w:t>;</w:t>
            </w:r>
          </w:p>
        </w:tc>
        <w:tc>
          <w:tcPr>
            <w:tcW w:w="4876" w:type="dxa"/>
            <w:tcBorders>
              <w:top w:val="nil"/>
              <w:left w:val="nil"/>
              <w:bottom w:val="nil"/>
              <w:right w:val="nil"/>
            </w:tcBorders>
          </w:tcPr>
          <w:p>
            <w:pPr>
              <w:pStyle w:val="Normal6a"/>
            </w:pPr>
            <w:r>
              <w:t>18.</w:t>
            </w:r>
            <w:r>
              <w:tab/>
            </w:r>
            <w:r>
              <w:t xml:space="preserve">ritiene che le misure unilaterali </w:t>
            </w:r>
            <w:r>
              <w:rPr>
                <w:b/>
                <w:i/>
              </w:rPr>
              <w:t>possano rischiare</w:t>
            </w:r>
            <w:r>
              <w:t xml:space="preserve"> di aprire la strada a misure di ritorsione</w:t>
            </w:r>
            <w:r>
              <w:rPr>
                <w:b/>
                <w:i/>
              </w:rPr>
              <w:t>, pur ricordando che gli accordi in materia di doppia imposizione rimangono uno strumento fondamentale per prevenire la doppia imposizione e preservare la certezza del diritto;</w:t>
            </w:r>
            <w:r>
              <w:t xml:space="preserve"> </w:t>
            </w:r>
            <w:r>
              <w:rPr>
                <w:b/>
                <w:i/>
              </w:rPr>
              <w:t>sottolinea che qualsiasi</w:t>
            </w:r>
            <w:r>
              <w:t xml:space="preserve"> soluzione globale alla tassazione del digitale </w:t>
            </w:r>
            <w:r>
              <w:rPr>
                <w:b/>
                <w:i/>
              </w:rPr>
              <w:t>deve basarsi su un ampio consenso e su un'attuazione efficace da parte di tutte le principali economie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ritiene che le misure unilaterali e gli accordi contro la doppia imposizione non consentano di affrontare in modo adeguato le sfide fiscali globali e rischino di aprire la strada a misure di ritorsione; reputa che una soluzione globale alla tassazione del digitale rappresenterebbe pertanto la via ideale da seguire;</w:t>
            </w:r>
          </w:p>
        </w:tc>
        <w:tc>
          <w:tcPr>
            <w:tcW w:w="4876" w:type="dxa"/>
            <w:tcBorders>
              <w:top w:val="nil"/>
              <w:left w:val="nil"/>
              <w:bottom w:val="nil"/>
              <w:right w:val="nil"/>
            </w:tcBorders>
          </w:tcPr>
          <w:p>
            <w:pPr>
              <w:pStyle w:val="Normal6a"/>
            </w:pPr>
            <w:r>
              <w:t>18.</w:t>
            </w:r>
            <w:r>
              <w:tab/>
            </w:r>
            <w:r>
              <w:t xml:space="preserve">ritiene che le misure unilaterali e gli accordi contro la doppia imposizione non consentano di affrontare in modo adeguato le sfide fiscali globali e rischino di aprire la strada a misure di ritorsione; reputa che una soluzione globale alla tassazione del digitale rappresenterebbe pertanto la via ideale da seguire </w:t>
            </w:r>
            <w:r>
              <w:rPr>
                <w:b/>
                <w:i/>
              </w:rPr>
              <w:t>che elabora una soluzione su una base più ampia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ritiene che le misure unilaterali e gli accordi contro la doppia imposizione non consentano di affrontare in modo adeguato le sfide fiscali globali e rischino di aprire la strada a misure di ritorsione; reputa che una soluzione globale alla tassazione del digitale rappresenterebbe </w:t>
            </w:r>
            <w:r>
              <w:rPr>
                <w:b/>
                <w:i/>
              </w:rPr>
              <w:t>pertanto la via ideale</w:t>
            </w:r>
            <w:r>
              <w:t xml:space="preserve"> da seguire;</w:t>
            </w:r>
          </w:p>
        </w:tc>
        <w:tc>
          <w:tcPr>
            <w:tcW w:w="4876" w:type="dxa"/>
            <w:tcBorders>
              <w:top w:val="nil"/>
              <w:left w:val="nil"/>
              <w:bottom w:val="nil"/>
              <w:right w:val="nil"/>
            </w:tcBorders>
          </w:tcPr>
          <w:p>
            <w:pPr>
              <w:pStyle w:val="Normal6a"/>
            </w:pPr>
            <w:r>
              <w:t>18.</w:t>
            </w:r>
            <w:r>
              <w:tab/>
            </w:r>
            <w:r>
              <w:t xml:space="preserve">ritiene che le misure unilaterali e gli accordi contro la doppia imposizione non consentano di affrontare in modo adeguato le sfide fiscali globali e rischino di aprire la strada a misure di ritorsione; reputa che una soluzione globale alla tassazione del digitale rappresenterebbe </w:t>
            </w:r>
            <w:r>
              <w:rPr>
                <w:b/>
                <w:i/>
              </w:rPr>
              <w:t>l'unica via efficace</w:t>
            </w:r>
            <w:r>
              <w:t xml:space="preserve"> da seguire;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sottolinea tuttavia che, in assenza di una soluzione a livello mondiale, le misure regionali o unilaterali possono svolgere un ruolo nel garantire una maggiore equità fiscale;</w:t>
            </w:r>
            <w:r>
              <w:t xml:space="preserve"> </w:t>
            </w:r>
            <w:r>
              <w:rPr>
                <w:b/>
                <w:i/>
              </w:rPr>
              <w:t>esorta la Commissione a rivedere la portata dell'azione dell'UE sull'equa imposizione dell'economia digitale alla luce dei recenti sviluppi politici nel quadro del secondo pilastro dell'OCSE;</w:t>
            </w:r>
            <w:r>
              <w:t xml:space="preserve"> </w:t>
            </w:r>
            <w:r>
              <w:rPr>
                <w:b/>
                <w:i/>
              </w:rPr>
              <w:t>chiede che sia nuovamente preso in considerazione un prelievo dell'UE sul digitale che assicuri un approccio comune in materia di imposizione del settore digitale e rafforzi la competitività dell'UE a livello mondiale garantendo la certezza del diritto e condizioni di parità per le imprese digitali che operano nell'Unione;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sottolinea che qualsiasi futuro accordo internazionale in materia di cooperazione fiscale dovrebbe prevedere clausole di reciprocità affinché le imprese di paesi terzi che beneficiano dell'accesso al mercato unico siano soggette a obblighi fiscali equivalenti a quelli applicati alle imprese dell'Unione;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prende atto dei</w:t>
            </w:r>
            <w:r>
              <w:t xml:space="preserve"> negoziati in corso nell'ambito della Convenzione quadro delle Nazioni Unite sulla cooperazione fiscale internazionale, che mirano a migliorare la cooperazione e la trasparenza fiscali in un contesto globale;</w:t>
            </w:r>
          </w:p>
        </w:tc>
        <w:tc>
          <w:tcPr>
            <w:tcW w:w="4876" w:type="dxa"/>
            <w:tcBorders>
              <w:top w:val="nil"/>
              <w:left w:val="nil"/>
              <w:bottom w:val="nil"/>
              <w:right w:val="nil"/>
            </w:tcBorders>
          </w:tcPr>
          <w:p>
            <w:pPr>
              <w:pStyle w:val="Normal6a"/>
            </w:pPr>
            <w:r>
              <w:t>19.</w:t>
            </w:r>
            <w:r>
              <w:tab/>
            </w:r>
            <w:r>
              <w:rPr>
                <w:b/>
                <w:i/>
              </w:rPr>
              <w:t>accoglie con favore i</w:t>
            </w:r>
            <w:r>
              <w:t xml:space="preserve"> negoziati in corso nell'ambito della Convenzione quadro delle Nazioni Unite sulla cooperazione fiscale internazionale, che mirano a migliorare la cooperazione e la trasparenza fiscali in un contesto globale; </w:t>
            </w:r>
            <w:r>
              <w:rPr>
                <w:b/>
                <w:i/>
              </w:rPr>
              <w:t>ritiene che tale convenzione delle Nazioni Unite in materia fiscale dovrebbe essere concepita in modo da garantire un'equa ripartizione dei diritti di imposizione tra gli Stati nazionali e, pur tenendo in debita considerazione la sovranità fiscale nazionale, sostenere gli sforzi per affrontare le pratiche fiscali dannose e i flussi finanziari illeciti;</w:t>
            </w:r>
            <w:r>
              <w:t xml:space="preserve"> </w:t>
            </w:r>
            <w:r>
              <w:rPr>
                <w:b/>
                <w:i/>
              </w:rPr>
              <w:t>sottolinea, in tale contesto, che l'UE dovrebbe svolgere un ruolo proattivo nel consentire ai paesi in via di sviluppo di mobilitare risorse interne, in particolare attraverso una governance fiscale rafforzata, e che l'UE dovrebbe assumere un ruolo guida nel contrastare i flussi finanziari illeciti;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prende atto dei negoziati in corso nell'ambito della Convenzione quadro delle Nazioni Unite sulla cooperazione fiscale internazionale</w:t>
            </w:r>
            <w:r>
              <w:rPr>
                <w:b/>
                <w:i/>
              </w:rPr>
              <w:t>, che mirano a migliorare la cooperazione e la trasparenza</w:t>
            </w:r>
            <w:r>
              <w:t xml:space="preserve"> fiscali </w:t>
            </w:r>
            <w:r>
              <w:rPr>
                <w:b/>
                <w:i/>
              </w:rPr>
              <w:t>in un contesto globale</w:t>
            </w:r>
            <w:r>
              <w:t>;</w:t>
            </w:r>
          </w:p>
        </w:tc>
        <w:tc>
          <w:tcPr>
            <w:tcW w:w="4876" w:type="dxa"/>
            <w:tcBorders>
              <w:top w:val="nil"/>
              <w:left w:val="nil"/>
              <w:bottom w:val="nil"/>
              <w:right w:val="nil"/>
            </w:tcBorders>
          </w:tcPr>
          <w:p>
            <w:pPr>
              <w:pStyle w:val="Normal6a"/>
            </w:pPr>
            <w:r>
              <w:t>19.</w:t>
            </w:r>
            <w:r>
              <w:tab/>
            </w:r>
            <w:r>
              <w:t xml:space="preserve">prende atto </w:t>
            </w:r>
            <w:r>
              <w:rPr>
                <w:b/>
                <w:i/>
              </w:rPr>
              <w:t>con preoccupazione</w:t>
            </w:r>
            <w:r>
              <w:t xml:space="preserve"> dei negoziati in corso nell'ambito della Convenzione quadro delle Nazioni Unite sulla cooperazione fiscale internazionale</w:t>
            </w:r>
            <w:r>
              <w:rPr>
                <w:b/>
                <w:i/>
              </w:rPr>
              <w:t>;</w:t>
            </w:r>
            <w:r>
              <w:t xml:space="preserve"> </w:t>
            </w:r>
            <w:r>
              <w:rPr>
                <w:b/>
                <w:i/>
              </w:rPr>
              <w:t>si oppone fermamente ai progetti di disposizioni, come l'articolo 5, che potrebbero essere interpretati nel senso che impongono la rinegoziazione obbligatoria degli accordi</w:t>
            </w:r>
            <w:r>
              <w:t xml:space="preserve"> fiscali </w:t>
            </w:r>
            <w:r>
              <w:rPr>
                <w:b/>
                <w:i/>
              </w:rPr>
              <w:t>bilaterali in vigore, compromettendo in tal modo la certezza del diritto consolidata;</w:t>
            </w:r>
            <w:r>
              <w:t xml:space="preserve"> </w:t>
            </w:r>
            <w:r>
              <w:rPr>
                <w:b/>
                <w:i/>
              </w:rPr>
              <w:t>respinge qualsiasi quadro fiscale internazionale che preveda un passaggio dal processo decisionale basato sul consenso al voto a maggioranza semplice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prende atto dei</w:t>
            </w:r>
            <w:r>
              <w:t xml:space="preserve"> negoziati in corso nell'ambito della Convenzione quadro delle Nazioni Unite sulla cooperazione fiscale internazionale, che mirano a </w:t>
            </w:r>
            <w:r>
              <w:rPr>
                <w:b/>
                <w:i/>
              </w:rPr>
              <w:t>migliorare la</w:t>
            </w:r>
            <w:r>
              <w:t xml:space="preserve"> cooperazione </w:t>
            </w:r>
            <w:r>
              <w:rPr>
                <w:b/>
                <w:i/>
              </w:rPr>
              <w:t>e la trasparenza fiscali in un contesto globale</w:t>
            </w:r>
            <w:r>
              <w:t>;</w:t>
            </w:r>
          </w:p>
        </w:tc>
        <w:tc>
          <w:tcPr>
            <w:tcW w:w="4876" w:type="dxa"/>
            <w:tcBorders>
              <w:top w:val="nil"/>
              <w:left w:val="nil"/>
              <w:bottom w:val="nil"/>
              <w:right w:val="nil"/>
            </w:tcBorders>
          </w:tcPr>
          <w:p>
            <w:pPr>
              <w:pStyle w:val="Normal6a"/>
            </w:pPr>
            <w:r>
              <w:t>19.</w:t>
            </w:r>
            <w:r>
              <w:tab/>
            </w:r>
            <w:r>
              <w:rPr>
                <w:b/>
                <w:i/>
              </w:rPr>
              <w:t>accoglie con favore i</w:t>
            </w:r>
            <w:r>
              <w:t xml:space="preserve"> negoziati in corso nell'ambito della Convenzione quadro delle Nazioni Unite sulla cooperazione fiscale internazionale, che mirano a </w:t>
            </w:r>
            <w:r>
              <w:rPr>
                <w:b/>
                <w:i/>
              </w:rPr>
              <w:t>istituire una</w:t>
            </w:r>
            <w:r>
              <w:t xml:space="preserve"> cooperazione </w:t>
            </w:r>
            <w:r>
              <w:rPr>
                <w:b/>
                <w:i/>
              </w:rPr>
              <w:t>fiscale internazionale pienamente inclusiva e a creare un sistema fiscale internazionale giusto, trasparente, efficiente, equo ed efficace per lo sviluppo sostenibile</w:t>
            </w:r>
            <w:r>
              <w:t xml:space="preserve">; </w:t>
            </w:r>
            <w:r>
              <w:rPr>
                <w:b/>
                <w:i/>
              </w:rPr>
              <w:t>invita gli Stati membri a continuare a impegnarsi in modo costruttivo nel processo, nonostante il lavoro svolto in seno all'OCSE;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prende atto dei negoziati in corso nell'ambito della Convenzione quadro delle Nazioni Unite sulla cooperazione fiscale internazionale, che mirano a migliorare la cooperazione e la trasparenza fiscali in un contesto globale;</w:t>
            </w:r>
          </w:p>
        </w:tc>
        <w:tc>
          <w:tcPr>
            <w:tcW w:w="4876" w:type="dxa"/>
            <w:tcBorders>
              <w:top w:val="nil"/>
              <w:left w:val="nil"/>
              <w:bottom w:val="nil"/>
              <w:right w:val="nil"/>
            </w:tcBorders>
          </w:tcPr>
          <w:p>
            <w:pPr>
              <w:pStyle w:val="Normal6a"/>
            </w:pPr>
            <w:r>
              <w:t>19.</w:t>
            </w:r>
            <w:r>
              <w:tab/>
            </w:r>
            <w:r>
              <w:t xml:space="preserve">prende atto dei negoziati in corso nell'ambito della Convenzione quadro delle Nazioni Unite sulla cooperazione fiscale internazionale, che mirano a migliorare la cooperazione e la trasparenza fiscali in un contesto globale; </w:t>
            </w:r>
            <w:r>
              <w:rPr>
                <w:b/>
                <w:i/>
              </w:rPr>
              <w:t>sottolinea che qualsiasi processo guidato dalle Nazioni Unite dovrebbe integrare le norme esistenti dell'OCSE/G20 e non duplicarle o comprometterle, dovrebbe preservare la certezza del diritto e non dovrebbe creare obblighi contrastanti per gli Stati membri, le amministrazioni fiscali o le imprese;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prende atto dei</w:t>
            </w:r>
            <w:r>
              <w:t xml:space="preserve"> negoziati in corso nell'ambito della Convenzione quadro delle Nazioni Unite sulla cooperazione fiscale internazionale, che mirano a migliorare la cooperazione e la trasparenza fiscali in un contesto globale;</w:t>
            </w:r>
          </w:p>
        </w:tc>
        <w:tc>
          <w:tcPr>
            <w:tcW w:w="4876" w:type="dxa"/>
            <w:tcBorders>
              <w:top w:val="nil"/>
              <w:left w:val="nil"/>
              <w:bottom w:val="nil"/>
              <w:right w:val="nil"/>
            </w:tcBorders>
          </w:tcPr>
          <w:p>
            <w:pPr>
              <w:pStyle w:val="Normal6a"/>
            </w:pPr>
            <w:r>
              <w:t>19.</w:t>
            </w:r>
            <w:r>
              <w:tab/>
            </w:r>
            <w:r>
              <w:rPr>
                <w:b/>
                <w:i/>
              </w:rPr>
              <w:t>accoglie con favore i</w:t>
            </w:r>
            <w:r>
              <w:t xml:space="preserve"> negoziati in corso nell'ambito della Convenzione quadro delle Nazioni Unite sulla cooperazione fiscale internazionale, che mirano a migliorare la cooperazione e la trasparenza fiscali in un contesto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invita gli Stati membri a rafforzare il coordinamento e ad adottare una posizione unitaria nei consessi multilaterali; invita inoltre la Commissione ad aiutare gli Stati membri a difendere efficacemente i loro interessi in tali consessi;</w:t>
            </w:r>
          </w:p>
        </w:tc>
        <w:tc>
          <w:tcPr>
            <w:tcW w:w="4876" w:type="dxa"/>
            <w:tcBorders>
              <w:top w:val="nil"/>
              <w:left w:val="nil"/>
              <w:bottom w:val="nil"/>
              <w:right w:val="nil"/>
            </w:tcBorders>
          </w:tcPr>
          <w:p>
            <w:pPr>
              <w:pStyle w:val="Normal6a"/>
            </w:pPr>
            <w:r>
              <w:t>20.</w:t>
            </w:r>
            <w:r>
              <w:tab/>
            </w:r>
            <w:r>
              <w:t>invita gli Stati membri a rafforzare il coordinamento e ad adottare</w:t>
            </w:r>
            <w:r>
              <w:rPr>
                <w:b/>
                <w:i/>
              </w:rPr>
              <w:t>, ove opportuno,</w:t>
            </w:r>
            <w:r>
              <w:t xml:space="preserve"> una posizione unitaria nei consessi multilaterali</w:t>
            </w:r>
            <w:r>
              <w:rPr>
                <w:b/>
                <w:i/>
              </w:rPr>
              <w:t>, mantenendo nel contempo il diritto individuale di negoziare e votare in modo indipendente conformemente agli interessi nazionali;</w:t>
            </w:r>
            <w:r>
              <w:t xml:space="preserve"> </w:t>
            </w:r>
            <w:r>
              <w:rPr>
                <w:b/>
                <w:i/>
              </w:rPr>
              <w:t>respinge fermamente qualsiasi tentativo di trasferire alla Commissione la competenza esterna esclusiva in materia fiscale</w:t>
            </w:r>
            <w:r>
              <w:t>; invita inoltre la Commissione ad aiutare</w:t>
            </w:r>
            <w:r>
              <w:rPr>
                <w:b/>
                <w:i/>
              </w:rPr>
              <w:t>, su richiesta,</w:t>
            </w:r>
            <w:r>
              <w:t xml:space="preserve"> gli Stati membri a difendere efficacemente i loro interessi in tali consessi;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invita gli Stati membri a rafforzare il coordinamento e ad adottare una posizione unitaria nei consessi multilaterali; invita inoltre la Commissione ad aiutare gli Stati membri a difendere efficacemente i loro interessi in tali consessi;</w:t>
            </w:r>
          </w:p>
        </w:tc>
        <w:tc>
          <w:tcPr>
            <w:tcW w:w="4876" w:type="dxa"/>
            <w:tcBorders>
              <w:top w:val="nil"/>
              <w:left w:val="nil"/>
              <w:bottom w:val="nil"/>
              <w:right w:val="nil"/>
            </w:tcBorders>
          </w:tcPr>
          <w:p>
            <w:pPr>
              <w:pStyle w:val="Normal6a"/>
            </w:pPr>
            <w:r>
              <w:t>20.</w:t>
            </w:r>
            <w:r>
              <w:tab/>
            </w:r>
            <w:r>
              <w:t xml:space="preserve">invita gli Stati membri a rafforzare il coordinamento e ad adottare una posizione unitaria nei consessi multilaterali </w:t>
            </w:r>
            <w:r>
              <w:rPr>
                <w:b/>
                <w:i/>
              </w:rPr>
              <w:t>che rifletta gli interessi dell'UE, semplifichi gli obblighi fiscali e garantisca la coerenza all'interno del quadro fiscale internazionale</w:t>
            </w:r>
            <w:r>
              <w:t>; invita inoltre la Commissione ad aiutare gli Stati membri a difendere efficacemente i loro interessi in tali consessi;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invita gli Stati membri a rafforzare il coordinamento e ad adottare </w:t>
            </w:r>
            <w:r>
              <w:rPr>
                <w:b/>
                <w:i/>
              </w:rPr>
              <w:t>una posizione unitaria</w:t>
            </w:r>
            <w:r>
              <w:t xml:space="preserve"> nei consessi multilaterali; </w:t>
            </w:r>
            <w:r>
              <w:rPr>
                <w:b/>
                <w:i/>
              </w:rPr>
              <w:t>invita</w:t>
            </w:r>
            <w:r>
              <w:t xml:space="preserve"> inoltre la Commissione ad </w:t>
            </w:r>
            <w:r>
              <w:rPr>
                <w:b/>
                <w:i/>
              </w:rPr>
              <w:t>aiutare</w:t>
            </w:r>
            <w:r>
              <w:t xml:space="preserve"> gli Stati membri </w:t>
            </w:r>
            <w:r>
              <w:rPr>
                <w:b/>
                <w:i/>
              </w:rPr>
              <w:t>a difendere efficacemente i loro interessi</w:t>
            </w:r>
            <w:r>
              <w:t xml:space="preserve"> in tali consessi;</w:t>
            </w:r>
          </w:p>
        </w:tc>
        <w:tc>
          <w:tcPr>
            <w:tcW w:w="4876" w:type="dxa"/>
            <w:tcBorders>
              <w:top w:val="nil"/>
              <w:left w:val="nil"/>
              <w:bottom w:val="nil"/>
              <w:right w:val="nil"/>
            </w:tcBorders>
          </w:tcPr>
          <w:p>
            <w:pPr>
              <w:pStyle w:val="Normal6a"/>
            </w:pPr>
            <w:r>
              <w:t>20.</w:t>
            </w:r>
            <w:r>
              <w:tab/>
            </w:r>
            <w:r>
              <w:t xml:space="preserve">invita gli Stati membri a rafforzare il coordinamento e ad adottare </w:t>
            </w:r>
            <w:r>
              <w:rPr>
                <w:b/>
                <w:i/>
              </w:rPr>
              <w:t>posizioni ambiziose</w:t>
            </w:r>
            <w:r>
              <w:t xml:space="preserve"> nei consessi multilaterali; </w:t>
            </w:r>
            <w:r>
              <w:rPr>
                <w:b/>
                <w:i/>
              </w:rPr>
              <w:t>esorta</w:t>
            </w:r>
            <w:r>
              <w:t xml:space="preserve"> inoltre la Commissione ad </w:t>
            </w:r>
            <w:r>
              <w:rPr>
                <w:b/>
                <w:i/>
              </w:rPr>
              <w:t>assumere un ruolo più proattivo e ambizioso al fine di rappresentare efficacemente</w:t>
            </w:r>
            <w:r>
              <w:t xml:space="preserve"> gli Stati membri in tali consessi;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invita gli Stati membri a rafforzare il coordinamento e ad adottare una posizione unitaria nei consessi multilaterali; invita inoltre la Commissione ad aiutare gli Stati membri a difendere efficacemente i loro interessi in tali consessi;</w:t>
            </w:r>
          </w:p>
        </w:tc>
        <w:tc>
          <w:tcPr>
            <w:tcW w:w="4876" w:type="dxa"/>
            <w:tcBorders>
              <w:top w:val="nil"/>
              <w:left w:val="nil"/>
              <w:bottom w:val="nil"/>
              <w:right w:val="nil"/>
            </w:tcBorders>
          </w:tcPr>
          <w:p>
            <w:pPr>
              <w:pStyle w:val="Normal6a"/>
            </w:pPr>
            <w:r>
              <w:t>20.</w:t>
            </w:r>
            <w:r>
              <w:tab/>
            </w:r>
            <w:r>
              <w:t xml:space="preserve">invita gli Stati membri a rafforzare il coordinamento e ad adottare una posizione unitaria </w:t>
            </w:r>
            <w:r>
              <w:rPr>
                <w:b/>
                <w:i/>
              </w:rPr>
              <w:t>e forte</w:t>
            </w:r>
            <w:r>
              <w:t xml:space="preserve"> nei consessi multilaterali; invita inoltre la Commissione ad aiutare gli Stati membri a difendere efficacemente i loro interessi in tali consessi;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invita il Consiglio a passare al voto a maggioranza qualificata su determinate questioni in materia di imposta sulle società riguardanti la prevenzione dell'evasione e dell'elusione fiscali e chiede l'attuazione degli accordi fiscali internazionali;</w:t>
            </w:r>
            <w:r>
              <w:t xml:space="preserve"> </w:t>
            </w:r>
            <w:r>
              <w:rPr>
                <w:b/>
                <w:i/>
              </w:rPr>
              <w:t>sottolinea che la mancanza di un ulteriore coordinamento fiscale spinge gli Stati membri a intraprendere una dannosa corsa al ribasso, ostacolando nel contempo anche le attività economiche transfrontaliere;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invita la Commissione a elaborare una relazione annuale sul divario fiscale tra le imprese dell'Unione e quelle di paesi terzi operanti nel mercato unico, che valuti l'impatto sulla competitività, sugli investimenti e sulle entrate pubbliche degli Stati membri, e a proporre misure correttive, ove necessario;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invita la Commissione e gli Stati membri a rafforzare le misure contro i paradisi fiscali internazionali promuovendo la piena trasparenza della titolarità effettiva, sostenendo lo scambio automatico di informazioni e garantendo l'effettiva attuazione di un'aliquota minima globale dell'imposta sulle società;</w:t>
            </w:r>
            <w:r>
              <w:t xml:space="preserve"> </w:t>
            </w:r>
            <w:r>
              <w:rPr>
                <w:b/>
                <w:i/>
              </w:rPr>
              <w:t>sollecita l'introduzione di sanzioni più severe nei confronti delle giurisdizioni non cooperative e chiede obblighi di rendicontazione paese per paese più rigorosi per le imprese multinazionali, al fine di combattere l'elusione e l'evasione fiscali, nonché i flussi finanziari illeciti;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20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sollecita l'introduzione di sanzioni più severe nei confronti delle giurisdizioni non cooperative e chiede obblighi di rendicontazione paese per paese più rigorosi per le imprese multinazionali, al fine di combattere l'elusione e l'evasione fiscali, nonché i flussi finanziari illeciti;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92</w:t>
    </w:r>
    <w:r>
      <w:fldChar w:fldCharType="end"/>
    </w:r>
    <w:r>
      <w:t>/</w:t>
    </w:r>
    <w:r>
      <w:fldChar w:fldCharType="begin"/>
    </w:r>
    <w:r>
      <w:instrText xml:space="preserve"> NUMPAGES </w:instrText>
    </w:r>
    <w:r>
      <w:fldChar w:fldCharType="separate"/>
    </w:r>
    <w:r>
      <w:t>93</w:t>
    </w:r>
    <w:r>
      <w:fldChar w:fldCharType="end"/>
    </w:r>
    <w:r>
      <w:tab/>
    </w:r>
    <w:r>
      <w:rPr>
        <w:rStyle w:val="HideTWBExt"/>
      </w:rPr>
      <w:t>&lt;PathFdR&gt;</w:t>
    </w:r>
    <w:r>
      <w:t>AM\1345549IT.docx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AM\1345549IT.docx</w:t>
    </w:r>
    <w:r>
      <w:rPr>
        <w:rStyle w:val="HideTWBExt"/>
      </w:rPr>
      <w:t>&lt;/PathFdR&gt;</w:t>
    </w:r>
    <w:r>
      <w:tab/>
    </w:r>
    <w:r>
      <w:fldChar w:fldCharType="begin"/>
    </w:r>
    <w:r>
      <w:instrText xml:space="preserve"> PAGE </w:instrText>
    </w:r>
    <w:r>
      <w:fldChar w:fldCharType="separate"/>
    </w:r>
    <w:r>
      <w:t>93</w:t>
    </w:r>
    <w:r>
      <w:fldChar w:fldCharType="end"/>
    </w:r>
    <w:r>
      <w:t>/</w:t>
    </w:r>
    <w:r>
      <w:fldChar w:fldCharType="begin"/>
    </w:r>
    <w:r>
      <w:instrText xml:space="preserve"> NUMPAGES </w:instrText>
    </w:r>
    <w:r>
      <w:fldChar w:fldCharType="separate"/>
    </w:r>
    <w:r>
      <w:t>93</w:t>
    </w:r>
    <w:r>
      <w:fldChar w:fldCharType="end"/>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AM\1345549IT.docx</w:t>
    </w:r>
    <w:r>
      <w:rPr>
        <w:rStyle w:val="HideTWBExt"/>
      </w:rPr>
      <w:t>&lt;/PathFdR&gt;</w:t>
    </w:r>
    <w:r>
      <w:tab/>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93</Pages>
  <Words>20197</Words>
  <Characters>124455</Characters>
  <Application>Microsoft Office Word</Application>
  <DocSecurity>0</DocSecurity>
  <Lines>1</Lines>
  <Paragraphs>1516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546087</vt:lpwstr>
  </property>
  <property fmtid="{D5CDD505-2E9C-101B-9397-08002B2CF9AE}" pid="7" name="dmxml.render.traceId">
    <vt:lpwstr>6a3cf43106c638b210d2a47fed0aa998</vt:lpwstr>
  </property>
  <property fmtid="{D5CDD505-2E9C-101B-9397-08002B2CF9AE}" pid="8" name="FooterPath">
    <vt:lpwstr>AM\1345549IT.docx</vt:lpwstr>
  </property>
  <property fmtid="{D5CDD505-2E9C-101B-9397-08002B2CF9AE}" pid="9" name="PE Number">
    <vt:lpwstr>789.934</vt:lpwstr>
  </property>
  <property fmtid="{D5CDD505-2E9C-101B-9397-08002B2CF9AE}" pid="10" name="UID">
    <vt:lpwstr>eu.europa.europarl-DIN1-2026-0000166805_01.00-it-01.00_text-xml</vt:lpwstr>
  </property>
</Properties>
</file>