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Parlamentul European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{ECON}</w:t>
      </w:r>
      <w:r>
        <w:t>Comisia pentru afaceri economice și monetare</w:t>
      </w:r>
      <w:r>
        <w:rPr>
          <w:rStyle w:val="HideTWBExt"/>
        </w:rPr>
        <w:t>&lt;/Commission&gt;</w:t>
      </w:r>
    </w:p>
    <w:p>
      <w:pPr>
        <w:pStyle w:val="LineBottom"/>
      </w:pPr>
      <w:r>
        <w:t xml:space="preserve"> </w:t>
      </w:r>
    </w:p>
    <w:p>
      <w:pPr>
        <w:pStyle w:val="CoverReference"/>
      </w:pPr>
      <w:r>
        <w:rPr>
          <w:rStyle w:val="HideTWBExt"/>
        </w:rPr>
        <w:t>&lt;RefProc&gt;</w:t>
      </w:r>
      <w:r>
        <w:t>2025/2210</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{10/06/2026}</w:t>
      </w:r>
      <w:r>
        <w:t>10.6.2026</w:t>
      </w:r>
      <w:r>
        <w:rPr>
          <w:rStyle w:val="HideTWBExt"/>
        </w:rPr>
        <w:t>&lt;/Date&gt;</w:t>
      </w:r>
    </w:p>
    <w:p>
      <w:pPr>
        <w:pStyle w:val="CoverDocType"/>
      </w:pPr>
      <w:r>
        <w:rPr>
          <w:rStyle w:val="HideTWBExt"/>
        </w:rPr>
        <w:t>&lt;TypeAM&gt;</w:t>
      </w:r>
      <w:r>
        <w:t>AMENDAMENTELE</w:t>
      </w:r>
      <w:r>
        <w:rPr>
          <w:rStyle w:val="HideTWBExt"/>
        </w:rPr>
        <w:t>&lt;/TypeAM&gt;</w:t>
      </w:r>
    </w:p>
    <w:p>
      <w:pPr>
        <w:pStyle w:val="CoverDocType24a"/>
      </w:pPr>
      <w:r>
        <w:rPr>
          <w:rStyle w:val="HideTWBExt"/>
        </w:rPr>
        <w:t>&lt;RangeAM&gt;</w:t>
      </w:r>
      <w:r>
        <w:t>1</w:t>
      </w:r>
      <w:r>
        <w:t xml:space="preserve"> - </w:t>
      </w:r>
      <w:r>
        <w:t>171</w:t>
      </w:r>
      <w:r>
        <w:rPr>
          <w:rStyle w:val="HideTWBExt"/>
        </w:rPr>
        <w:t>&lt;/RangeAM&gt;</w:t>
      </w:r>
    </w:p>
    <w:p>
      <w:pPr>
        <w:pStyle w:val="CoverBold"/>
      </w:pPr>
      <w:r>
        <w:rPr>
          <w:rStyle w:val="HideTWBExt"/>
        </w:rPr>
        <w:t>&lt;TitreType&gt;</w:t>
      </w:r>
      <w:r>
        <w:t>Proiect de raport</w:t>
      </w:r>
      <w:r>
        <w:rPr>
          <w:rStyle w:val="HideTWBExt"/>
        </w:rPr>
        <w:t>&lt;/TitreType&gt;</w:t>
      </w:r>
    </w:p>
    <w:p>
      <w:pPr>
        <w:pStyle w:val="CoverBold"/>
      </w:pPr>
      <w:r>
        <w:rPr>
          <w:rStyle w:val="HideTWBExt"/>
        </w:rPr>
        <w:t>&lt;Rapporteur&gt;</w:t>
      </w:r>
      <w:r>
        <w:t>Kinga Kollár</w:t>
      </w:r>
      <w:r>
        <w:rPr>
          <w:rStyle w:val="HideTWBExt"/>
        </w:rPr>
        <w:t>&lt;/Rapporteur&gt;</w:t>
      </w:r>
    </w:p>
    <w:p>
      <w:pPr>
        <w:pStyle w:val="CoverNormal24a"/>
      </w:pPr>
      <w:r>
        <w:rPr>
          <w:rStyle w:val="HideTWBExt"/>
        </w:rPr>
        <w:t>&lt;DocRefPE&gt;</w:t>
      </w:r>
      <w:r>
        <w:t>(PE781.467v01-00)</w:t>
      </w:r>
      <w:r>
        <w:rPr>
          <w:rStyle w:val="HideTWBExt"/>
        </w:rPr>
        <w:t>&lt;/DocRefPE&gt;</w:t>
      </w:r>
    </w:p>
    <w:p>
      <w:pPr>
        <w:pStyle w:val="CoverNormal"/>
      </w:pPr>
      <w:r>
        <w:rPr>
          <w:rStyle w:val="HideTWBExt"/>
        </w:rPr>
        <w:t>&lt;Titre&gt;</w:t>
      </w:r>
      <w:r>
        <w:t>Abordarea UE privind politica de impozitare a societăților într-un mediu internațional în schimbare</w:t>
      </w:r>
      <w:r>
        <w:rPr>
          <w:rStyle w:val="HideTWBExt"/>
        </w:rPr>
        <w:t>&lt;/Titre&gt;</w:t>
      </w:r>
    </w:p>
    <w:p>
      <w:pPr>
        <w:pStyle w:val="CoverNormal24a"/>
      </w:pPr>
      <w:r>
        <w:rPr>
          <w:rStyle w:val="HideTWBExt"/>
        </w:rPr>
        <w:t>&lt;DocRef&gt;</w:t>
      </w:r>
      <w:r>
        <w:t>(2025/2210(INI))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Amendamentul</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31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Planul european privind locuințele la prețuri accesibile al Comisiei, care accentuează că este necesar să se simplifice legislația europeană pentru a stimula oferta de locuințe sociale,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31 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rezoluția sa din 10 martie 2026 referitoare la criza locuințelor în Uniunea Europeană, cu scopul de a propune soluții pentru locuințe decente, sustenabile și la prețuri accesibile,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întrucât impozitarea este un factor determinant pentru </w:t>
            </w:r>
            <w:r>
              <w:rPr>
                <w:b/>
                <w:i/>
              </w:rPr>
              <w:t>competitivitatea globală a întreprinderilor din UE</w:t>
            </w:r>
            <w:r>
              <w:t xml:space="preserve">; întrucât impozitarea echitabilă, eficientă și simplă a societăților joacă un rol central în a asigura </w:t>
            </w:r>
            <w:r>
              <w:rPr>
                <w:b/>
                <w:i/>
              </w:rPr>
              <w:t>creșterea economică pe termen lung</w:t>
            </w:r>
            <w:r>
              <w:t xml:space="preserve"> și în a pune la dispoziția statelor membre suficiente </w:t>
            </w:r>
            <w:r>
              <w:rPr>
                <w:b/>
                <w:i/>
              </w:rPr>
              <w:t>resurse</w:t>
            </w:r>
            <w:r>
              <w:t xml:space="preserve"> pentru </w:t>
            </w:r>
            <w:r>
              <w:rPr>
                <w:b/>
                <w:i/>
              </w:rPr>
              <w:t>a-și îndeplini nevoile în materie de cheltuieli</w:t>
            </w:r>
            <w:r>
              <w:t>;</w:t>
            </w:r>
          </w:p>
        </w:tc>
        <w:tc>
          <w:tcPr>
            <w:tcW w:w="4876" w:type="dxa"/>
            <w:tcBorders>
              <w:top w:val="nil"/>
              <w:left w:val="nil"/>
              <w:bottom w:val="nil"/>
              <w:right w:val="nil"/>
            </w:tcBorders>
          </w:tcPr>
          <w:p>
            <w:pPr>
              <w:pStyle w:val="Normal6a"/>
            </w:pPr>
            <w:r>
              <w:t>A.</w:t>
            </w:r>
            <w:r>
              <w:tab/>
            </w:r>
            <w:r>
              <w:t xml:space="preserve">întrucât impozitarea este un factor determinant pentru </w:t>
            </w:r>
            <w:r>
              <w:rPr>
                <w:b/>
                <w:i/>
              </w:rPr>
              <w:t>asigurarea echității și a unor condiții egale pentru întreprinderile care concurează în economia mondială</w:t>
            </w:r>
            <w:r>
              <w:t xml:space="preserve">; întrucât impozitarea echitabilă, eficientă și simplă a societăților joacă un rol central în a </w:t>
            </w:r>
            <w:r>
              <w:rPr>
                <w:b/>
                <w:i/>
              </w:rPr>
              <w:t>crea condiții de concurență echitabile pe piața unică a UE, inclusiv pentru întreprinderile mici și mijlocii, în a</w:t>
            </w:r>
            <w:r>
              <w:t xml:space="preserve"> asigura </w:t>
            </w:r>
            <w:r>
              <w:rPr>
                <w:b/>
                <w:i/>
              </w:rPr>
              <w:t>coeziune socială</w:t>
            </w:r>
            <w:r>
              <w:t xml:space="preserve"> și în a pune la dispoziția statelor membre </w:t>
            </w:r>
            <w:r>
              <w:rPr>
                <w:b/>
                <w:i/>
              </w:rPr>
              <w:t>resurse</w:t>
            </w:r>
            <w:r>
              <w:t xml:space="preserve"> suficiente </w:t>
            </w:r>
            <w:r>
              <w:rPr>
                <w:b/>
                <w:i/>
              </w:rPr>
              <w:t>și stabile</w:t>
            </w:r>
            <w:r>
              <w:t xml:space="preserve"> pentru </w:t>
            </w:r>
            <w:r>
              <w:rPr>
                <w:b/>
                <w:i/>
              </w:rPr>
              <w:t>a finanța bunurile publice și investițiile necesare;</w:t>
            </w:r>
            <w:r>
              <w:t xml:space="preserve"> </w:t>
            </w:r>
            <w:r>
              <w:rPr>
                <w:b/>
                <w:i/>
              </w:rPr>
              <w:t>întrucât cercetările recente</w:t>
            </w:r>
            <w:r>
              <w:rPr>
                <w:b/>
                <w:i/>
                <w:vertAlign w:val="superscript"/>
              </w:rPr>
              <w:t>1a</w:t>
            </w:r>
            <w:r>
              <w:t xml:space="preserve"> </w:t>
            </w:r>
            <w:r>
              <w:rPr>
                <w:b/>
                <w:i/>
              </w:rPr>
              <w:t>arată că o impozitare echitabilă și eficace a societăților poate sprijini locuri de muncă de calitate și poate reduce inegalitatea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https://publicservices.international/resources/publications/corporate-taxation-and-employment-dispelling-the-race-to-the-bottom-myth?lang=en&amp;id=15686&amp;showLogin=true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Arba Kokalari,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întrucât impozitarea este un factor determinant pentru competitivitatea globală a întreprinderilor din UE; întrucât impozitarea </w:t>
            </w:r>
            <w:r>
              <w:rPr>
                <w:b/>
                <w:i/>
              </w:rPr>
              <w:t>echitabilă</w:t>
            </w:r>
            <w:r>
              <w:t>, eficientă și simplă a societăților joacă un rol central în a asigura creșterea economică pe termen lung și în a pune la dispoziția statelor membre suficiente resurse pentru a-și îndeplini nevoile în materie de cheltuieli;</w:t>
            </w:r>
          </w:p>
        </w:tc>
        <w:tc>
          <w:tcPr>
            <w:tcW w:w="4876" w:type="dxa"/>
            <w:tcBorders>
              <w:top w:val="nil"/>
              <w:left w:val="nil"/>
              <w:bottom w:val="nil"/>
              <w:right w:val="nil"/>
            </w:tcBorders>
          </w:tcPr>
          <w:p>
            <w:pPr>
              <w:pStyle w:val="Normal6a"/>
            </w:pPr>
            <w:r>
              <w:t>A.</w:t>
            </w:r>
            <w:r>
              <w:tab/>
            </w:r>
            <w:r>
              <w:t xml:space="preserve">întrucât impozitarea este un factor determinant pentru competitivitatea globală a întreprinderilor din UE; întrucât impozitarea </w:t>
            </w:r>
            <w:r>
              <w:rPr>
                <w:b/>
                <w:i/>
              </w:rPr>
              <w:t>scăzută</w:t>
            </w:r>
            <w:r>
              <w:t>, eficientă</w:t>
            </w:r>
            <w:r>
              <w:rPr>
                <w:b/>
                <w:i/>
              </w:rPr>
              <w:t>, previzibilă</w:t>
            </w:r>
            <w:r>
              <w:t xml:space="preserve"> și simplă a societăților joacă un rol central în a asigura creșterea economică pe termen lung</w:t>
            </w:r>
            <w:r>
              <w:rPr>
                <w:b/>
                <w:i/>
              </w:rPr>
              <w:t>, în a încuraja investițiile</w:t>
            </w:r>
            <w:r>
              <w:t xml:space="preserve"> și în a pune la dispoziția statelor membre suficiente resurse pentru a-și îndeplini nevoile în materie de cheltuieli;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Katri Kulmuni, Billy Kelleher,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întrucât impozitarea este un factor </w:t>
            </w:r>
            <w:r>
              <w:rPr>
                <w:b/>
                <w:i/>
              </w:rPr>
              <w:t>determinant</w:t>
            </w:r>
            <w:r>
              <w:t xml:space="preserve"> pentru competitivitatea globală a întreprinderilor din UE; întrucât impozitarea echitabilă, eficientă și simplă a societăților joacă un rol central în a asigura creșterea economică pe termen lung și în a pune la dispoziția statelor membre suficiente resurse pentru a-și îndeplini nevoile în materie de cheltuieli;</w:t>
            </w:r>
          </w:p>
        </w:tc>
        <w:tc>
          <w:tcPr>
            <w:tcW w:w="4876" w:type="dxa"/>
            <w:tcBorders>
              <w:top w:val="nil"/>
              <w:left w:val="nil"/>
              <w:bottom w:val="nil"/>
              <w:right w:val="nil"/>
            </w:tcBorders>
          </w:tcPr>
          <w:p>
            <w:pPr>
              <w:pStyle w:val="Normal6a"/>
            </w:pPr>
            <w:r>
              <w:t>A.</w:t>
            </w:r>
            <w:r>
              <w:tab/>
            </w:r>
            <w:r>
              <w:t xml:space="preserve">întrucât impozitarea este un factor </w:t>
            </w:r>
            <w:r>
              <w:rPr>
                <w:b/>
                <w:i/>
              </w:rPr>
              <w:t>semnificativ</w:t>
            </w:r>
            <w:r>
              <w:t xml:space="preserve"> pentru competitivitatea globală a întreprinderilor din UE; întrucât impozitarea echitabilă, eficientă și simplă a societăților joacă un rol central în a asigura creșterea economică pe termen lung și în a pune la dispoziția statelor membre suficiente resurse pentru a-și îndeplini nevoile în materie de cheltuieli;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întrucât evitarea obligațiilor fiscale de către întreprinderi și transferul profiturilor au un impact distributiv semnificativ, erodează veniturile publice și transferă sarcina fiscală asupra lucrătorilor, IMM-urilor și gospodăriilor, exacerbând astfel inegalitățile, slăbind finanțarea serviciilor publice esențiale și subminând încrederea în echitatea sistemului fiscal;</w:t>
            </w:r>
            <w:r>
              <w:t xml:space="preserve"> </w:t>
            </w:r>
            <w:r>
              <w:rPr>
                <w:b/>
                <w:i/>
              </w:rPr>
              <w:t>întrucât cercetările empirice arată că norme mai slabe de combatere a evitării obligațiilor fiscale și transferul profiturilor întreprinderilor sunt asociate cu pierderi măsurabile de locuri de muncă în activitatea întreprinderilor multinaționale pe piețele interne ale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întrucât impozitarea directă rămâne o competență națională a statelor membre, iar impozitarea internațională a societăților este reglementată de un set complex de tratate bilaterale privind evitarea dublei impuneri și prevenirea evaziunii fiscale în ceea ce privește impozitele pe venit și pe capital, cunoscute sub denumirea de convenții de evitare a dublei impuneri, precum și de instrumente multilaterale de prevenire a BEPS și de directive ale UE privind combaterea evitării obligațiilor fiscale (ATAD) și consolidarea cooperării administrative (DAC);</w:t>
            </w:r>
          </w:p>
        </w:tc>
        <w:tc>
          <w:tcPr>
            <w:tcW w:w="4876" w:type="dxa"/>
            <w:tcBorders>
              <w:top w:val="nil"/>
              <w:left w:val="nil"/>
              <w:bottom w:val="nil"/>
              <w:right w:val="nil"/>
            </w:tcBorders>
          </w:tcPr>
          <w:p>
            <w:pPr>
              <w:pStyle w:val="Normal6a"/>
            </w:pPr>
            <w:r>
              <w:t>B.</w:t>
            </w:r>
            <w:r>
              <w:tab/>
            </w:r>
            <w:r>
              <w:t xml:space="preserve">întrucât impozitarea directă rămâne </w:t>
            </w:r>
            <w:r>
              <w:rPr>
                <w:b/>
                <w:i/>
              </w:rPr>
              <w:t>în mare măsură</w:t>
            </w:r>
            <w:r>
              <w:t xml:space="preserve"> o competență națională a statelor membre, iar impozitarea internațională a societăților este reglementată de un set complex de tratate bilaterale privind evitarea dublei impuneri și prevenirea evaziunii fiscale în ceea ce privește impozitele pe venit și pe capital, cunoscute sub denumirea de convenții de evitare a dublei impuneri, precum și de instrumente multilaterale de prevenire a BEPS și de directive ale UE privind combaterea evitării obligațiilor fiscale (ATAD) și consolidarea cooperării administrative (DAC); </w:t>
            </w:r>
            <w:r>
              <w:rPr>
                <w:b/>
                <w:i/>
              </w:rPr>
              <w:t>întrucât cerința de unanimitate pentru deciziile Consiliului privind impozitarea a împiedicat adesea progresele în ceea ce privește inițiativele fiscale comune, limitând capacitatea Uniunii de a răspunde cu eficacitate provocărilor fiscale globale, de a combate evitarea obligațiilor fiscale și evaziunea fiscală și de a asigura o impozitare echitabilă pe întreaga piață unică;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întrucât impozitarea directă rămâne o competență națională a statelor membre, iar impozitarea internațională a societăților este reglementată de un set complex de tratate bilaterale privind evitarea dublei impuneri și prevenirea evaziunii fiscale în ceea ce privește impozitele pe venit și pe capital, cunoscute sub denumirea de convenții de evitare a dublei impuneri, precum și de instrumente multilaterale de prevenire a BEPS </w:t>
            </w:r>
            <w:r>
              <w:rPr>
                <w:b/>
                <w:i/>
              </w:rPr>
              <w:t>și de directive ale UE privind combaterea evitării obligațiilor fiscale (ATAD) și consolidarea cooperării administrative (DAC)</w:t>
            </w:r>
            <w:r>
              <w:t>;</w:t>
            </w:r>
          </w:p>
        </w:tc>
        <w:tc>
          <w:tcPr>
            <w:tcW w:w="4876" w:type="dxa"/>
            <w:tcBorders>
              <w:top w:val="nil"/>
              <w:left w:val="nil"/>
              <w:bottom w:val="nil"/>
              <w:right w:val="nil"/>
            </w:tcBorders>
          </w:tcPr>
          <w:p>
            <w:pPr>
              <w:pStyle w:val="Normal6a"/>
            </w:pPr>
            <w:r>
              <w:t>B.</w:t>
            </w:r>
            <w:r>
              <w:tab/>
            </w:r>
            <w:r>
              <w:t xml:space="preserve">întrucât impozitarea directă rămâne o competență națională a statelor membre, iar </w:t>
            </w:r>
            <w:r>
              <w:rPr>
                <w:b/>
                <w:i/>
              </w:rPr>
              <w:t>acțiunea la nivelul UE continuă să joace un rol esențial, în special prin intermediul directivelor care vizează combaterea evitării obligațiilor fiscale (ATAD) și consolidarea cooperării dintre autoritățile fiscale (DAC), în timp ce</w:t>
            </w:r>
            <w:r>
              <w:t xml:space="preserve"> impozitarea internațională a societăților este reglementată de un set complex de tratate bilaterale privind evitarea dublei impuneri și prevenirea evaziunii fiscale în ceea ce privește impozitele pe venit și pe capital, cunoscute sub denumirea de convenții de evitare a dublei impuneri, precum și de instrumente multilaterale de prevenire a BEPS;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întrucât impozitarea directă rămâne o competență națională a statelor membre, </w:t>
            </w:r>
            <w:r>
              <w:rPr>
                <w:b/>
                <w:i/>
              </w:rPr>
              <w:t>iar</w:t>
            </w:r>
            <w:r>
              <w:t xml:space="preserve"> impozitarea internațională a societăților este reglementată de un set complex de tratate bilaterale privind evitarea dublei impuneri și prevenirea evaziunii fiscale în ceea ce privește impozitele pe venit și pe capital, cunoscute sub denumirea de convenții de evitare a dublei impuneri, precum și de instrumente multilaterale de prevenire a BEPS și de directive ale UE privind combaterea evitării obligațiilor fiscale (ATAD) și consolidarea cooperării administrative (DAC);</w:t>
            </w:r>
          </w:p>
        </w:tc>
        <w:tc>
          <w:tcPr>
            <w:tcW w:w="4876" w:type="dxa"/>
            <w:tcBorders>
              <w:top w:val="nil"/>
              <w:left w:val="nil"/>
              <w:bottom w:val="nil"/>
              <w:right w:val="nil"/>
            </w:tcBorders>
          </w:tcPr>
          <w:p>
            <w:pPr>
              <w:pStyle w:val="Normal6a"/>
            </w:pPr>
            <w:r>
              <w:t>B.</w:t>
            </w:r>
            <w:r>
              <w:tab/>
            </w:r>
            <w:r>
              <w:t xml:space="preserve">întrucât impozitarea directă rămâne o competență națională </w:t>
            </w:r>
            <w:r>
              <w:rPr>
                <w:b/>
                <w:i/>
              </w:rPr>
              <w:t>exclusivă și fundamentală</w:t>
            </w:r>
            <w:r>
              <w:t xml:space="preserve"> a statelor membre, </w:t>
            </w:r>
            <w:r>
              <w:rPr>
                <w:b/>
                <w:i/>
              </w:rPr>
              <w:t>care trebuie respectată pe deplin;</w:t>
            </w:r>
            <w:r>
              <w:t xml:space="preserve"> </w:t>
            </w:r>
            <w:r>
              <w:rPr>
                <w:b/>
                <w:i/>
              </w:rPr>
              <w:t>întrucât</w:t>
            </w:r>
            <w:r>
              <w:t xml:space="preserve"> impozitarea internațională a societăților este reglementată de un set complex de tratate bilaterale privind evitarea dublei impuneri și prevenirea evaziunii fiscale în ceea ce privește impozitele pe venit și pe capital, cunoscute sub denumirea de convenții de evitare a dublei impuneri, precum și de instrumente multilaterale de prevenire a BEPS și de directive ale UE privind combaterea evitării obligațiilor fiscale (ATAD) și consolidarea cooperării administrative (DAC);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Regina Doherty, 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întrucât impozitarea directă rămâne o competență națională a statelor membre, iar impozitarea internațională a societăților este reglementată de un set complex de tratate bilaterale privind evitarea dublei impuneri și prevenirea evaziunii fiscale în ceea ce privește impozitele pe venit și pe capital, cunoscute sub denumirea de convenții de evitare a dublei impuneri, precum și de instrumente multilaterale de prevenire a BEPS și de directive ale UE privind combaterea evitării obligațiilor fiscale (ATAD) și consolidarea cooperării administrative (DAC);</w:t>
            </w:r>
          </w:p>
        </w:tc>
        <w:tc>
          <w:tcPr>
            <w:tcW w:w="4876" w:type="dxa"/>
            <w:tcBorders>
              <w:top w:val="nil"/>
              <w:left w:val="nil"/>
              <w:bottom w:val="nil"/>
              <w:right w:val="nil"/>
            </w:tcBorders>
          </w:tcPr>
          <w:p>
            <w:pPr>
              <w:pStyle w:val="Normal6a"/>
            </w:pPr>
            <w:r>
              <w:t>B.</w:t>
            </w:r>
            <w:r>
              <w:tab/>
            </w:r>
            <w:r>
              <w:t xml:space="preserve">întrucât impozitarea directă rămâne o competență națională </w:t>
            </w:r>
            <w:r>
              <w:rPr>
                <w:b/>
                <w:i/>
              </w:rPr>
              <w:t>exclusivă</w:t>
            </w:r>
            <w:r>
              <w:t xml:space="preserve"> a statelor membre, iar impozitarea internațională a societăților este reglementată de un set complex de tratate bilaterale privind evitarea dublei impuneri și prevenirea evaziunii fiscale în ceea ce privește impozitele pe venit și pe capital, cunoscute sub denumirea de convenții de evitare a dublei impuneri, precum și de instrumente multilaterale de prevenire a BEPS și de directive ale UE privind combaterea evitării obligațiilor fiscale (ATAD) și consolidarea cooperării administrative (DAC);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întrucât normele privind impozitul pe dobânzi și pe capital și normele privind impozitul pe profit nu sunt pe deplin armonizate în întreaga UE, ceea ce face ca pentru participanții pe piață să fie mai dificil și mai costisitor să fie activi în mai multe state membre ale UE</w:t>
            </w:r>
            <w:r>
              <w:rPr>
                <w:b/>
                <w:i/>
                <w:vertAlign w:val="superscript"/>
              </w:rPr>
              <w:t>13a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13a</w:t>
            </w:r>
            <w:r>
              <w:t xml:space="preserve"> </w:t>
            </w:r>
            <w:r>
              <w:rPr>
                <w:b/>
                <w:i/>
              </w:rPr>
              <w:t>Banca Centrală Europeană, Financial Integration and Structure in the Euro Area 2026 (Integrarea financiară și structura în zona euro - 2026), p. 38.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întrucât OCDE estimează că pierderile anuale de venituri la nivel mondial care rezultă din BEPS se situează între 100 și 240 de miliarde USD, însemnând aproximativ </w:t>
            </w:r>
            <w:r>
              <w:rPr>
                <w:b/>
                <w:i/>
              </w:rPr>
              <w:t>410</w:t>
            </w:r>
            <w:r>
              <w:t> % din veniturile globale din impozitul pe profit, ceea ce duce la pierderi considerabile pentru bugetele statelor membre;</w:t>
            </w:r>
          </w:p>
        </w:tc>
        <w:tc>
          <w:tcPr>
            <w:tcW w:w="4876" w:type="dxa"/>
            <w:tcBorders>
              <w:top w:val="nil"/>
              <w:left w:val="nil"/>
              <w:bottom w:val="nil"/>
              <w:right w:val="nil"/>
            </w:tcBorders>
          </w:tcPr>
          <w:p>
            <w:pPr>
              <w:pStyle w:val="Normal6a"/>
            </w:pPr>
            <w:r>
              <w:t>C.</w:t>
            </w:r>
            <w:r>
              <w:tab/>
            </w:r>
            <w:r>
              <w:t xml:space="preserve">întrucât OCDE estimează că pierderile anuale de venituri la nivel mondial care rezultă din BEPS se situează între 100 și 240 de miliarde USD, însemnând aproximativ </w:t>
            </w:r>
            <w:r>
              <w:rPr>
                <w:b/>
                <w:i/>
              </w:rPr>
              <w:t>4-10</w:t>
            </w:r>
            <w:r>
              <w:t xml:space="preserve"> % din veniturile globale din impozitul pe profit, ceea ce duce la pierderi considerabile pentru bugetele statelor membre; </w:t>
            </w:r>
            <w:r>
              <w:rPr>
                <w:b/>
                <w:i/>
              </w:rPr>
              <w:t>întrucât, potrivit Observatorului fiscal internațional, rata efectivă de impozitare a întreprinderilor multinaționale a scăzut cu 2,7 puncte procentuale în Uniunea Europeană între 2014 și 2022</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https://taxobservatory.eu/eutax-publication/the-new-face-of-corporate-tax-competition/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întrucât OCDE estimează că pierderile anuale de venituri la nivel mondial care rezultă din BEPS se situează între 100 și 240 de miliarde USD, însemnând aproximativ </w:t>
            </w:r>
            <w:r>
              <w:rPr>
                <w:b/>
                <w:i/>
              </w:rPr>
              <w:t>410</w:t>
            </w:r>
            <w:r>
              <w:t> % din veniturile globale din impozitul pe profit, ceea ce duce la pierderi considerabile pentru bugetele statelor membre;</w:t>
            </w:r>
          </w:p>
        </w:tc>
        <w:tc>
          <w:tcPr>
            <w:tcW w:w="4876" w:type="dxa"/>
            <w:tcBorders>
              <w:top w:val="nil"/>
              <w:left w:val="nil"/>
              <w:bottom w:val="nil"/>
              <w:right w:val="nil"/>
            </w:tcBorders>
          </w:tcPr>
          <w:p>
            <w:pPr>
              <w:pStyle w:val="Normal6a"/>
            </w:pPr>
            <w:r>
              <w:t>C.</w:t>
            </w:r>
            <w:r>
              <w:tab/>
            </w:r>
            <w:r>
              <w:t xml:space="preserve">întrucât OCDE estimează că pierderile anuale de venituri la nivel mondial care rezultă din BEPS se situează între 100 și 240 de miliarde USD, însemnând aproximativ </w:t>
            </w:r>
            <w:r>
              <w:rPr>
                <w:b/>
                <w:i/>
              </w:rPr>
              <w:t>4-10</w:t>
            </w:r>
            <w:r>
              <w:t xml:space="preserve"> % din veniturile globale din impozitul pe profit, ceea ce duce la pierderi considerabile pentru bugetele statelor membre; </w:t>
            </w:r>
            <w:r>
              <w:rPr>
                <w:b/>
                <w:i/>
              </w:rPr>
              <w:t>întrucât aceste pierderi sunt adesea o consecință a lipsei de coordonare între sistemele fiscale naționale și a complexității normelor internaționale;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întrucât indicatorii de nivel înalt ai potențialei activități BEPS au scăzut în centrele de investiții în ultimii ani, dar ei rămân mult mai ridicați în centrele de investiții în raport cu alte jurisdicții, ceea ce indică faptul că există în continuare activitate BEPS, potrivit OCDE</w:t>
            </w:r>
            <w:r>
              <w:rPr>
                <w:b/>
                <w:i/>
                <w:vertAlign w:val="superscript"/>
              </w:rPr>
              <w:t>14a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14a</w:t>
            </w:r>
            <w:r>
              <w:t xml:space="preserve"> </w:t>
            </w:r>
            <w:r>
              <w:rPr>
                <w:b/>
                <w:i/>
              </w:rPr>
              <w:t>https://www.oecd.org/en/publications/corporate-tax-statistics-2025_6a915941-en.html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întrucât marea majoritate a întreprinderilor acționează conform principiului responsabilității sociale a întreprinderilor, generând cea mai mare parte a veniturilor fiscale, stimulând inovarea și susținând modelul social european prin crearea de locuri de muncă;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Katri Kulmuni, Billy Kelleher,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întrucât activitatea economică s-a decuplat, în general și în mod semnificativ, de prezența fizică, generând neconcordanțe între locurile în care sunt generate profiturile și cele în care sunt impozitate;</w:t>
            </w:r>
          </w:p>
        </w:tc>
        <w:tc>
          <w:tcPr>
            <w:tcW w:w="4876" w:type="dxa"/>
            <w:tcBorders>
              <w:top w:val="nil"/>
              <w:left w:val="nil"/>
              <w:bottom w:val="nil"/>
              <w:right w:val="nil"/>
            </w:tcBorders>
          </w:tcPr>
          <w:p>
            <w:pPr>
              <w:pStyle w:val="Normal6a"/>
            </w:pPr>
            <w:r>
              <w:t>D.</w:t>
            </w:r>
            <w:r>
              <w:tab/>
            </w:r>
            <w:r>
              <w:t>întrucât activitatea economică s-a decuplat, în general și în mod semnificativ, de prezența fizică</w:t>
            </w:r>
            <w:r>
              <w:rPr>
                <w:b/>
                <w:i/>
              </w:rPr>
              <w:t>, odată cu evoluția caracteristicilor economiei digitale</w:t>
            </w:r>
            <w:r>
              <w:t>, generând neconcordanțe între locurile în care sunt generate profiturile și cele în care sunt impozitate;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Arba Kokalari,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întrucât activitatea economică </w:t>
            </w:r>
            <w:r>
              <w:rPr>
                <w:b/>
                <w:i/>
              </w:rPr>
              <w:t>s-a decuplat, în general și în mod semnificativ,</w:t>
            </w:r>
            <w:r>
              <w:t xml:space="preserve"> de prezența fizică, generând neconcordanțe între locurile în care sunt generate profiturile și cele în care sunt impozitate;</w:t>
            </w:r>
          </w:p>
        </w:tc>
        <w:tc>
          <w:tcPr>
            <w:tcW w:w="4876" w:type="dxa"/>
            <w:tcBorders>
              <w:top w:val="nil"/>
              <w:left w:val="nil"/>
              <w:bottom w:val="nil"/>
              <w:right w:val="nil"/>
            </w:tcBorders>
          </w:tcPr>
          <w:p>
            <w:pPr>
              <w:pStyle w:val="Normal6a"/>
            </w:pPr>
            <w:r>
              <w:t>D.</w:t>
            </w:r>
            <w:r>
              <w:tab/>
            </w:r>
            <w:r>
              <w:t>întrucât activitatea economică</w:t>
            </w:r>
            <w:r>
              <w:rPr>
                <w:b/>
                <w:i/>
              </w:rPr>
              <w:t>, mai ales în modelele de afaceri puternic digitalizate, a devenit din ce în ce mai puțin dependentă</w:t>
            </w:r>
            <w:r>
              <w:t xml:space="preserve"> de prezența fizică, generând neconcordanțe între locurile în care sunt generate profiturile și cele în care sunt impozitate;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întrucât activitatea economică s-a decuplat, în general și în mod semnificativ, de prezența fizică</w:t>
            </w:r>
            <w:r>
              <w:rPr>
                <w:b/>
                <w:i/>
              </w:rPr>
              <w:t>, generând</w:t>
            </w:r>
            <w:r>
              <w:t xml:space="preserve"> neconcordanțe între locurile în care sunt generate profiturile și cele în care sunt impozitate;</w:t>
            </w:r>
          </w:p>
        </w:tc>
        <w:tc>
          <w:tcPr>
            <w:tcW w:w="4876" w:type="dxa"/>
            <w:tcBorders>
              <w:top w:val="nil"/>
              <w:left w:val="nil"/>
              <w:bottom w:val="nil"/>
              <w:right w:val="nil"/>
            </w:tcBorders>
          </w:tcPr>
          <w:p>
            <w:pPr>
              <w:pStyle w:val="Normal6a"/>
            </w:pPr>
            <w:r>
              <w:t>D.</w:t>
            </w:r>
            <w:r>
              <w:tab/>
            </w:r>
            <w:r>
              <w:t xml:space="preserve">întrucât activitatea economică s-a decuplat, în general și în mod semnificativ, de prezența fizică </w:t>
            </w:r>
            <w:r>
              <w:rPr>
                <w:b/>
                <w:i/>
              </w:rPr>
              <w:t>și există</w:t>
            </w:r>
            <w:r>
              <w:t xml:space="preserve"> neconcordanțe între locurile în care sunt generate profiturile și cele în care sunt impozitate;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întrucât mobilitatea tot mai mare a capitalului, alături de tendințele mai ample ale globalizării și digitalizării din ultimele decenii, a diminuat treptat capacitatea țărilor individuale de a asigura eficacitatea politicii lor fiscale și protecția bazei lor de impozitare – în special a impozitelor pe profit, dar și a impozitelor din ce în ce mai mari pe venitul persoanelor fizice – erodând astfel bazele veniturilor publice</w:t>
            </w:r>
            <w:r>
              <w:rPr>
                <w:b/>
                <w:i/>
                <w:vertAlign w:val="superscript"/>
              </w:rPr>
              <w:t>15a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15a</w:t>
            </w:r>
            <w:r>
              <w:t xml:space="preserve"> </w:t>
            </w:r>
            <w:r>
              <w:rPr>
                <w:b/>
                <w:i/>
              </w:rPr>
              <w:t>de la Feria, R. (2023).</w:t>
            </w:r>
            <w:r>
              <w:t xml:space="preserve"> </w:t>
            </w:r>
            <w:r>
              <w:rPr>
                <w:b/>
                <w:i/>
              </w:rPr>
              <w:t>Pillar 2, Fiat, and the EU Unanimity rule on tax matters.</w:t>
            </w:r>
            <w:r>
              <w:t xml:space="preserve"> </w:t>
            </w:r>
            <w:r>
              <w:rPr>
                <w:b/>
                <w:i/>
              </w:rPr>
              <w:t>Fiat, and the EU Unanimity Rule on Tax Matters (January 3, 2023), 2-8.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întrucât întreprinderile mici și mijlocii, care de obicei își desfășoară activitatea în principal la nivel național, pot avea un dezavantaj concurențial în comparație cu întreprinderile multinaționale care pot exploata posibilitățile de planificare fiscală transfrontalieră, în timp ce este posibil ca întreprinderile multinaționale mari să nu contribuie echitabil și proporțional la nevoile societale;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întrucât soluția bazată pe doi piloni a Cadrului incluziv al OCDE/G20 privind BEPS urmărește să modernizeze normele fiscale internaționale prin realocarea drepturilor de impozitare către jurisdicțiile de piață (pilonul unu) și prin instituirea unei cote minime globale efective a impozitului pe profit de 15 % (pilonul doi);</w:t>
            </w:r>
          </w:p>
        </w:tc>
        <w:tc>
          <w:tcPr>
            <w:tcW w:w="4876" w:type="dxa"/>
            <w:tcBorders>
              <w:top w:val="nil"/>
              <w:left w:val="nil"/>
              <w:bottom w:val="nil"/>
              <w:right w:val="nil"/>
            </w:tcBorders>
          </w:tcPr>
          <w:p>
            <w:pPr>
              <w:pStyle w:val="Normal6a"/>
            </w:pPr>
            <w:r>
              <w:t>E.</w:t>
            </w:r>
            <w:r>
              <w:tab/>
            </w:r>
            <w:r>
              <w:t xml:space="preserve">întrucât soluția bazată pe doi piloni a Cadrului incluziv al OCDE/G20 privind BEPS urmărește să modernizeze normele fiscale internaționale </w:t>
            </w:r>
            <w:r>
              <w:rPr>
                <w:b/>
                <w:i/>
              </w:rPr>
              <w:t>ca răspuns la digitalizare și globalizare</w:t>
            </w:r>
            <w:r>
              <w:t xml:space="preserve"> prin realocarea drepturilor de impozitare către jurisdicțiile de piață (pilonul unu) și prin instituirea unei cote minime globale efective a impozitului pe profit de 15 % (pilonul doi);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întrucât negocierile privind primul pilon au stagnat la nivel internațional; întrucât, în acest context, mai multe state membre au introdus sau au menținut impozite pe serviciile digitale la nivel național; întrucât pilonul doi a fost pus în aplicare integral sau parțial de aproximativ o treime din cele 148 de jurisdicții care participă la Cadrul incluziv al OCDE/G20, iar unele state membre l-au pus în aplicare pe deplin prin Directiva privind pilonul doi;</w:t>
            </w:r>
          </w:p>
        </w:tc>
        <w:tc>
          <w:tcPr>
            <w:tcW w:w="4876" w:type="dxa"/>
            <w:tcBorders>
              <w:top w:val="nil"/>
              <w:left w:val="nil"/>
              <w:bottom w:val="nil"/>
              <w:right w:val="nil"/>
            </w:tcBorders>
          </w:tcPr>
          <w:p>
            <w:pPr>
              <w:pStyle w:val="Normal6a"/>
            </w:pPr>
            <w:r>
              <w:t>F.</w:t>
            </w:r>
            <w:r>
              <w:tab/>
            </w:r>
            <w:r>
              <w:t>întrucât negocierile privind primul pilon au stagnat la nivel internațional; întrucât, în acest context, mai multe state membre au introdus sau au menținut impozite pe serviciile digitale la nivel național</w:t>
            </w:r>
            <w:r>
              <w:rPr>
                <w:b/>
                <w:i/>
              </w:rPr>
              <w:t>;</w:t>
            </w:r>
            <w:r>
              <w:t xml:space="preserve"> </w:t>
            </w:r>
            <w:r>
              <w:rPr>
                <w:b/>
                <w:i/>
              </w:rPr>
              <w:t>întrucât un impozit european uniform pe serviciile digitale ar contribui la o mai mare echitate fiscală internațională și la condiții de concurență mai echitabile la nivel internațional și pe piața unică</w:t>
            </w:r>
            <w:r>
              <w:t>; întrucât pilonul doi a fost pus în aplicare integral sau parțial de aproximativ o treime din cele 148 de jurisdicții care participă la Cadrul incluziv al OCDE/G20, iar unele state membre l-au pus în aplicare pe deplin prin Directiva privind pilonul doi;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întrucât negocierile privind primul pilon au stagnat la nivel internațional; întrucât, în acest context, mai multe state membre au introdus sau au menținut impozite pe serviciile digitale la nivel național; întrucât pilonul doi a fost pus în aplicare integral sau parțial de aproximativ o treime din cele 148 de jurisdicții care participă la Cadrul incluziv al OCDE/G20, iar unele state membre l-au pus în aplicare pe deplin prin Directiva privind pilonul doi;</w:t>
            </w:r>
          </w:p>
        </w:tc>
        <w:tc>
          <w:tcPr>
            <w:tcW w:w="4876" w:type="dxa"/>
            <w:tcBorders>
              <w:top w:val="nil"/>
              <w:left w:val="nil"/>
              <w:bottom w:val="nil"/>
              <w:right w:val="nil"/>
            </w:tcBorders>
          </w:tcPr>
          <w:p>
            <w:pPr>
              <w:pStyle w:val="Normal6a"/>
            </w:pPr>
            <w:r>
              <w:t>F.</w:t>
            </w:r>
            <w:r>
              <w:tab/>
            </w:r>
            <w:r>
              <w:t>întrucât negocierile privind primul pilon au stagnat la nivel internațional; întrucât, în acest context, mai multe state membre au introdus sau au menținut impozite pe serviciile digitale la nivel național</w:t>
            </w:r>
            <w:r>
              <w:rPr>
                <w:b/>
                <w:i/>
              </w:rPr>
              <w:t>;</w:t>
            </w:r>
            <w:r>
              <w:t xml:space="preserve"> </w:t>
            </w:r>
            <w:r>
              <w:rPr>
                <w:b/>
                <w:i/>
              </w:rPr>
              <w:t>întrucât aceste măsuri naționale reprezintă fluxuri de venituri vitale și legitime pentru statele membre în absența unui acord global</w:t>
            </w:r>
            <w:r>
              <w:t>; întrucât pilonul doi a fost pus în aplicare integral sau parțial de aproximativ o treime din cele 148 de jurisdicții care participă la Cadrul incluziv al OCDE/G20, iar unele state membre l-au pus în aplicare pe deplin prin Directiva privind pilonul doi;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întrucât negocierile privind primul pilon au stagnat la nivel internațional; întrucât, în acest context, mai multe state membre au introdus sau au menținut impozite pe serviciile digitale la nivel național; întrucât pilonul doi a fost pus în aplicare integral sau parțial de aproximativ o treime din cele 148 de jurisdicții care participă la Cadrul incluziv al OCDE/G20, iar unele state membre l-au pus în aplicare pe deplin prin Directiva privind pilonul doi;</w:t>
            </w:r>
          </w:p>
        </w:tc>
        <w:tc>
          <w:tcPr>
            <w:tcW w:w="4876" w:type="dxa"/>
            <w:tcBorders>
              <w:top w:val="nil"/>
              <w:left w:val="nil"/>
              <w:bottom w:val="nil"/>
              <w:right w:val="nil"/>
            </w:tcBorders>
          </w:tcPr>
          <w:p>
            <w:pPr>
              <w:pStyle w:val="Normal6a"/>
            </w:pPr>
            <w:r>
              <w:t>F.</w:t>
            </w:r>
            <w:r>
              <w:tab/>
            </w:r>
            <w:r>
              <w:t xml:space="preserve">întrucât negocierile privind primul pilon au stagnat la nivel internațional; întrucât, în acest context, mai multe state membre au introdus sau au menținut </w:t>
            </w:r>
            <w:r>
              <w:rPr>
                <w:b/>
                <w:i/>
              </w:rPr>
              <w:t>cu succes</w:t>
            </w:r>
            <w:r>
              <w:t xml:space="preserve"> impozite pe serviciile digitale la nivel național; întrucât pilonul doi a fost pus în aplicare integral sau parțial de aproximativ o treime din cele 148 de jurisdicții care participă la Cadrul incluziv al OCDE/G20, iar unele state membre l-au pus în aplicare pe deplin prin Directiva privind pilonul doi;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Jussi Saramo, Martin Schirdewan, Pasquale Tridico,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întrucât, la inițiativa Statelor Unite, s-a ajuns la un acord în Cadrul incluziv al OCDE/G20 privind BEPS cu privire la o abordare pe bază de coexistență, care stabilește o aplicare coordonată și simultană a mai multor regimuri de impozitare minimă diferite; întrucât, în ianuarie 2026, sistemului NCTI din SUA i s-a acordat statutul de regim de protecție în contextul abordării pe bază de coexistență, aspect recunoscut de Comisie într-o comunicare a sa emisă la 12 ianuarie 2026;</w:t>
            </w:r>
          </w:p>
        </w:tc>
        <w:tc>
          <w:tcPr>
            <w:tcW w:w="4876" w:type="dxa"/>
            <w:tcBorders>
              <w:top w:val="nil"/>
              <w:left w:val="nil"/>
              <w:bottom w:val="nil"/>
              <w:right w:val="nil"/>
            </w:tcBorders>
          </w:tcPr>
          <w:p>
            <w:pPr>
              <w:pStyle w:val="Normal6a"/>
            </w:pPr>
            <w:r>
              <w:t>G.</w:t>
            </w:r>
            <w:r>
              <w:tab/>
            </w:r>
            <w:r>
              <w:t xml:space="preserve">întrucât, la inițiativa Statelor Unite, s-a ajuns la un acord în Cadrul incluziv al OCDE/G20 privind BEPS cu privire la o abordare pe bază de coexistență, care stabilește o aplicare coordonată și simultană a mai multor regimuri de impozitare minimă diferite; întrucât, în ianuarie 2026, sistemului NCTI din SUA i s-a acordat statutul de regim de protecție în contextul abordării pe bază de coexistență, aspect recunoscut de Comisie într-o comunicare a sa emisă la 12 ianuarie 2026; </w:t>
            </w:r>
            <w:r>
              <w:rPr>
                <w:b/>
                <w:i/>
              </w:rPr>
              <w:t>întrucât abordarea pe bază de coexistență scutește întreprinderile multinaționale cu sediul în SUA de aplicarea integrală a normelor pilonului doi, conferind un avantaj competitiv structural întreprinderilor cu sediul în SUA care își desfășoară activitatea pe piața internă a UE și subminând integritatea cadrului fiscal minim global;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întrucât, la inițiativa Statelor Unite, s-a ajuns la un acord în Cadrul incluziv al OCDE/G20 privind BEPS cu privire la o abordare pe bază de coexistență, care stabilește o aplicare coordonată și simultană a mai multor regimuri de impozitare minimă diferite; întrucât, în ianuarie 2026, sistemului NCTI din SUA i s-a acordat statutul de regim de protecție în contextul abordării pe bază de coexistență, aspect recunoscut de Comisie într-o comunicare a sa emisă la 12 ianuarie 2026;</w:t>
            </w:r>
          </w:p>
        </w:tc>
        <w:tc>
          <w:tcPr>
            <w:tcW w:w="4876" w:type="dxa"/>
            <w:tcBorders>
              <w:top w:val="nil"/>
              <w:left w:val="nil"/>
              <w:bottom w:val="nil"/>
              <w:right w:val="nil"/>
            </w:tcBorders>
          </w:tcPr>
          <w:p>
            <w:pPr>
              <w:pStyle w:val="Normal6a"/>
            </w:pPr>
            <w:r>
              <w:t>G.</w:t>
            </w:r>
            <w:r>
              <w:tab/>
            </w:r>
            <w:r>
              <w:t xml:space="preserve">întrucât, la inițiativa Statelor Unite, s-a ajuns la un acord în Cadrul incluziv al OCDE/G20 privind BEPS cu privire la o abordare pe bază de coexistență, care stabilește o aplicare coordonată și simultană a mai multor regimuri de impozitare minimă diferite; întrucât, în ianuarie 2026, sistemului NCTI din SUA i s-a acordat statutul de regim de protecție în contextul abordării pe bază de coexistență, aspect recunoscut de Comisie într-o comunicare a sa emisă la 12 ianuarie 2026; </w:t>
            </w:r>
            <w:r>
              <w:rPr>
                <w:b/>
                <w:i/>
              </w:rPr>
              <w:t>întrucât în februarie 2026, Brazilia a solicitat statutul de regim de protecție în contextul abordării pe bază de coexistență;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Katri Kulmuni, Billy Kelleher,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întrucât</w:t>
            </w:r>
            <w:r>
              <w:rPr>
                <w:b/>
                <w:i/>
              </w:rPr>
              <w:t>, la inițiativa Statelor Unite,</w:t>
            </w:r>
            <w:r>
              <w:t xml:space="preserve"> s-a ajuns la un acord în Cadrul incluziv al OCDE/G20 privind BEPS cu privire la o abordare pe bază de coexistență, care stabilește o aplicare coordonată și simultană a mai multor regimuri de impozitare minimă diferite; întrucât, în ianuarie 2026, sistemului NCTI din SUA i s-a acordat statutul de regim de protecție în contextul abordării pe bază de coexistență, aspect recunoscut de Comisie într-o comunicare a sa emisă la 12 ianuarie 2026;</w:t>
            </w:r>
          </w:p>
        </w:tc>
        <w:tc>
          <w:tcPr>
            <w:tcW w:w="4876" w:type="dxa"/>
            <w:tcBorders>
              <w:top w:val="nil"/>
              <w:left w:val="nil"/>
              <w:bottom w:val="nil"/>
              <w:right w:val="nil"/>
            </w:tcBorders>
          </w:tcPr>
          <w:p>
            <w:pPr>
              <w:pStyle w:val="Normal6a"/>
            </w:pPr>
            <w:r>
              <w:t>G.</w:t>
            </w:r>
            <w:r>
              <w:tab/>
            </w:r>
            <w:r>
              <w:t>întrucât s-a ajuns la un acord în Cadrul incluziv al OCDE/G20 privind BEPS cu privire la o abordare pe bază de coexistență</w:t>
            </w:r>
            <w:r>
              <w:rPr>
                <w:b/>
                <w:i/>
              </w:rPr>
              <w:t>, incluzând particularitățile Statelor Unite</w:t>
            </w:r>
            <w:r>
              <w:t>, care stabilește o aplicare coordonată și simultană a mai multor regimuri de impozitare minimă diferite; întrucât, în ianuarie 2026, sistemului NCTI din SUA i s-a acordat statutul de regim de protecție în contextul abordării pe bază de coexistență, aspect recunoscut de Comisie într-o comunicare a sa emisă la 12 ianuarie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Ga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întrucât nici OCDE, nici Comisia nu au prezentat studii sau estimări privind impactul economic al abordării pe bază de coexistență;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întrucât rapoartele recente ale UE subliniază importanța simplificării fiscale</w:t>
            </w:r>
            <w:r>
              <w:rPr>
                <w:b/>
                <w:i/>
              </w:rPr>
              <w:t>, a asanării</w:t>
            </w:r>
            <w:r>
              <w:t xml:space="preserve"> normelor fiscale și a stimulentelor fiscale eficace ca instrumente-cheie pentru a </w:t>
            </w:r>
            <w:r>
              <w:rPr>
                <w:b/>
                <w:i/>
              </w:rPr>
              <w:t>restabili</w:t>
            </w:r>
            <w:r>
              <w:t xml:space="preserve"> competitivitatea UE,</w:t>
            </w:r>
          </w:p>
        </w:tc>
        <w:tc>
          <w:tcPr>
            <w:tcW w:w="4876" w:type="dxa"/>
            <w:tcBorders>
              <w:top w:val="nil"/>
              <w:left w:val="nil"/>
              <w:bottom w:val="nil"/>
              <w:right w:val="nil"/>
            </w:tcBorders>
          </w:tcPr>
          <w:p>
            <w:pPr>
              <w:pStyle w:val="Normal6a"/>
            </w:pPr>
            <w:r>
              <w:t>H.</w:t>
            </w:r>
            <w:r>
              <w:tab/>
            </w:r>
            <w:r>
              <w:t xml:space="preserve">întrucât rapoartele recente ale UE subliniază importanța simplificării fiscale </w:t>
            </w:r>
            <w:r>
              <w:rPr>
                <w:b/>
                <w:i/>
              </w:rPr>
              <w:t>și a armonizării</w:t>
            </w:r>
            <w:r>
              <w:t xml:space="preserve"> normelor fiscale</w:t>
            </w:r>
            <w:r>
              <w:rPr>
                <w:b/>
                <w:i/>
              </w:rPr>
              <w:t>, precum</w:t>
            </w:r>
            <w:r>
              <w:t xml:space="preserve"> și a stimulentelor fiscale eficace </w:t>
            </w:r>
            <w:r>
              <w:rPr>
                <w:b/>
                <w:i/>
              </w:rPr>
              <w:t>din perspectiva costurilor</w:t>
            </w:r>
            <w:r>
              <w:t xml:space="preserve"> ca instrumente-cheie pentru a </w:t>
            </w:r>
            <w:r>
              <w:rPr>
                <w:b/>
                <w:i/>
              </w:rPr>
              <w:t>mări</w:t>
            </w:r>
            <w:r>
              <w:t xml:space="preserve"> competitivitatea UE, </w:t>
            </w:r>
            <w:r>
              <w:rPr>
                <w:b/>
                <w:i/>
              </w:rPr>
              <w:t>întrucât stimulentele fiscale bine concepute și bazate pe considerente de substanță, coordonate la nivelul UE, pot fi un instrument de promovare a obiectivelor publice pe piața unică, cum ar fi decarbonizarea economiei, cu condiția să se evite denaturările și să se atenueze în mod adecvat posibilitățile de evaziune fiscală și de evitare a obligațiilor fiscale;</w:t>
            </w:r>
            <w:r>
              <w:t xml:space="preserve"> </w:t>
            </w:r>
            <w:r>
              <w:rPr>
                <w:b/>
                <w:i/>
              </w:rPr>
              <w:t>întrucât guvernele ar trebui să se asigure că sistemele de stimulente fiscale pentru C&amp;D includ mecanisme solide de combatere a lacunelor fiscale, precum și constituționalități sociale și de mediu, și oferă un bun raport calitate-preț printr-o evaluare periodică și riguroasă, bazată pe date transparente și de înaltă calitate la nivelul întreprinderilor;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întrucât rapoartele recente ale UE subliniază importanța simplificării fiscale, a asanării normelor fiscale și a stimulentelor fiscale eficace ca instrumente-cheie pentru a restabili competitivitatea UE,</w:t>
            </w:r>
          </w:p>
        </w:tc>
        <w:tc>
          <w:tcPr>
            <w:tcW w:w="4876" w:type="dxa"/>
            <w:tcBorders>
              <w:top w:val="nil"/>
              <w:left w:val="nil"/>
              <w:bottom w:val="nil"/>
              <w:right w:val="nil"/>
            </w:tcBorders>
          </w:tcPr>
          <w:p>
            <w:pPr>
              <w:pStyle w:val="Normal6a"/>
            </w:pPr>
            <w:r>
              <w:t>H.</w:t>
            </w:r>
            <w:r>
              <w:tab/>
            </w:r>
            <w:r>
              <w:t xml:space="preserve">întrucât rapoartele recente ale UE subliniază importanța simplificării fiscale, a asanării normelor fiscale și a stimulentelor fiscale eficace ca instrumente-cheie pentru a restabili competitivitatea UE, </w:t>
            </w:r>
            <w:r>
              <w:rPr>
                <w:b/>
                <w:i/>
              </w:rPr>
              <w:t>accentuează că stimulentele fiscale naționale bazate pe considerente de substanță, cum ar fi o rată de impozitare de 0 % pentru profiturile nedistribuite și reinvestite ale întreprinderilor, sunt instrumente legitime și extrem de eficace de politică economică pentru formarea de capital și creștere în economiile aflate în proces de recuperare a decalajelor;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Arba Kokalari,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întrucât rapoartele recente ale UE subliniază importanța simplificării fiscale, a asanării normelor fiscale și a stimulentelor fiscale eficace ca instrumente-cheie pentru a restabili competitivitatea UE,</w:t>
            </w:r>
          </w:p>
        </w:tc>
        <w:tc>
          <w:tcPr>
            <w:tcW w:w="4876" w:type="dxa"/>
            <w:tcBorders>
              <w:top w:val="nil"/>
              <w:left w:val="nil"/>
              <w:bottom w:val="nil"/>
              <w:right w:val="nil"/>
            </w:tcBorders>
          </w:tcPr>
          <w:p>
            <w:pPr>
              <w:pStyle w:val="Normal6a"/>
            </w:pPr>
            <w:r>
              <w:t>H.</w:t>
            </w:r>
            <w:r>
              <w:tab/>
            </w:r>
            <w:r>
              <w:t xml:space="preserve">întrucât rapoartele recente ale UE subliniază importanța simplificării fiscale, a asanării normelor fiscale și a stimulentelor fiscale eficace ca instrumente-cheie pentru a restabili competitivitatea UE, </w:t>
            </w:r>
            <w:r>
              <w:rPr>
                <w:b/>
                <w:i/>
              </w:rPr>
              <w:t>a sprijini investițiile și a reduce sarcinile administrative,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întrucât rapoartele recente ale UE subliniază importanța simplificării </w:t>
            </w:r>
            <w:r>
              <w:rPr>
                <w:b/>
                <w:i/>
              </w:rPr>
              <w:t>fiscale, a asanării</w:t>
            </w:r>
            <w:r>
              <w:t xml:space="preserve"> normelor fiscale </w:t>
            </w:r>
            <w:r>
              <w:rPr>
                <w:b/>
                <w:i/>
              </w:rPr>
              <w:t>și a stimulentelor fiscale eficace</w:t>
            </w:r>
            <w:r>
              <w:t xml:space="preserve"> ca instrumente-cheie pentru </w:t>
            </w:r>
            <w:r>
              <w:rPr>
                <w:b/>
                <w:i/>
              </w:rPr>
              <w:t>a restabili competitivitatea UE,</w:t>
            </w:r>
          </w:p>
        </w:tc>
        <w:tc>
          <w:tcPr>
            <w:tcW w:w="4876" w:type="dxa"/>
            <w:tcBorders>
              <w:top w:val="nil"/>
              <w:left w:val="nil"/>
              <w:bottom w:val="nil"/>
              <w:right w:val="nil"/>
            </w:tcBorders>
          </w:tcPr>
          <w:p>
            <w:pPr>
              <w:pStyle w:val="Normal6a"/>
            </w:pPr>
            <w:r>
              <w:t>H.</w:t>
            </w:r>
            <w:r>
              <w:tab/>
            </w:r>
            <w:r>
              <w:t xml:space="preserve">întrucât rapoartele recente ale UE subliniază importanța simplificării </w:t>
            </w:r>
            <w:r>
              <w:rPr>
                <w:b/>
                <w:i/>
              </w:rPr>
              <w:t>administrative în domeniul fiscal și asanarea</w:t>
            </w:r>
            <w:r>
              <w:t xml:space="preserve"> normelor fiscale ca instrumente-cheie pentru </w:t>
            </w:r>
            <w:r>
              <w:rPr>
                <w:b/>
                <w:i/>
              </w:rPr>
              <w:t>o asigurare armonizată și eficace a respectării normelor;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întrucât negocierile privind Convenția-cadru a ONU privind cooperarea fiscală internațională sunt în curs, textul final al convenției și două protocoale urmând să fie finalizate până în 2027;</w:t>
            </w:r>
            <w:r>
              <w:t xml:space="preserve"> </w:t>
            </w:r>
            <w:r>
              <w:rPr>
                <w:b/>
                <w:i/>
              </w:rPr>
              <w:t>întrucât aceste negocieri reprezintă o șansă de a se ajunge la un acord mondial printr-un proces incluziv;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Subtitlul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Competitivitatea în domeniul impozitării internaționale</w:t>
            </w:r>
          </w:p>
        </w:tc>
        <w:tc>
          <w:tcPr>
            <w:tcW w:w="4876" w:type="dxa"/>
            <w:tcBorders>
              <w:top w:val="nil"/>
              <w:left w:val="nil"/>
              <w:bottom w:val="nil"/>
              <w:right w:val="nil"/>
            </w:tcBorders>
          </w:tcPr>
          <w:p>
            <w:pPr>
              <w:pStyle w:val="Normal6a"/>
            </w:pPr>
            <w:r>
              <w:rPr>
                <w:b/>
                <w:i/>
              </w:rPr>
              <w:t>Impozitarea internațională eficientă și echitabilă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subliniază că restabilirea competitivității UE este o prioritate absolută; reamintește că atractivitatea investițiilor necesită un mediu fiscal stabil, previzibil și ușor de navigat, </w:t>
            </w:r>
            <w:r>
              <w:rPr>
                <w:b/>
                <w:i/>
              </w:rPr>
              <w:t>precum și</w:t>
            </w:r>
            <w:r>
              <w:t xml:space="preserve"> o administrare fiscală optimă;</w:t>
            </w:r>
          </w:p>
        </w:tc>
        <w:tc>
          <w:tcPr>
            <w:tcW w:w="4876" w:type="dxa"/>
            <w:tcBorders>
              <w:top w:val="nil"/>
              <w:left w:val="nil"/>
              <w:bottom w:val="nil"/>
              <w:right w:val="nil"/>
            </w:tcBorders>
          </w:tcPr>
          <w:p>
            <w:pPr>
              <w:pStyle w:val="Normal6a"/>
            </w:pPr>
            <w:r>
              <w:t>1.</w:t>
            </w:r>
            <w:r>
              <w:tab/>
            </w:r>
            <w:r>
              <w:t xml:space="preserve">subliniază că restabilirea competitivității UE este o prioritate absolută; reamintește că atractivitatea investițiilor necesită un mediu fiscal stabil, previzibil și ușor de navigat, o administrare fiscală optimă </w:t>
            </w:r>
            <w:r>
              <w:rPr>
                <w:b/>
                <w:i/>
              </w:rPr>
              <w:t>și respectarea deplină a flexibilității statelor membre de a-și adapta sistemele fiscale naționale pentru a respecta condițiile economice naționale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subliniază că restabilirea competitivității UE este o prioritate absolută; reamintește că atractivitatea investițiilor necesită un mediu fiscal stabil, previzibil și ușor de navigat, precum și o administrare fiscală </w:t>
            </w:r>
            <w:r>
              <w:rPr>
                <w:b/>
                <w:i/>
              </w:rPr>
              <w:t>optimă</w:t>
            </w:r>
            <w:r>
              <w:t>;</w:t>
            </w:r>
          </w:p>
        </w:tc>
        <w:tc>
          <w:tcPr>
            <w:tcW w:w="4876" w:type="dxa"/>
            <w:tcBorders>
              <w:top w:val="nil"/>
              <w:left w:val="nil"/>
              <w:bottom w:val="nil"/>
              <w:right w:val="nil"/>
            </w:tcBorders>
          </w:tcPr>
          <w:p>
            <w:pPr>
              <w:pStyle w:val="Normal6a"/>
            </w:pPr>
            <w:r>
              <w:t>1.</w:t>
            </w:r>
            <w:r>
              <w:tab/>
            </w:r>
            <w:r>
              <w:t xml:space="preserve">subliniază că restabilirea competitivității UE este o prioritate absolută; reamintește că atractivitatea investițiilor necesită un mediu fiscal stabil, previzibil și ușor de navigat, </w:t>
            </w:r>
            <w:r>
              <w:rPr>
                <w:b/>
                <w:i/>
              </w:rPr>
              <w:t>axat mai degrabă pe stimularea creșterii decât pe crearea de restricții nejustificate,</w:t>
            </w:r>
            <w:r>
              <w:t xml:space="preserve"> precum și o administrare fiscală </w:t>
            </w:r>
            <w:r>
              <w:rPr>
                <w:b/>
                <w:i/>
              </w:rPr>
              <w:t>proporțională, cu cheltuieli generale de conformitate minime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subliniază că </w:t>
            </w:r>
            <w:r>
              <w:rPr>
                <w:b/>
                <w:i/>
              </w:rPr>
              <w:t>restabilirea</w:t>
            </w:r>
            <w:r>
              <w:t xml:space="preserve"> competitivității UE este </w:t>
            </w:r>
            <w:r>
              <w:rPr>
                <w:b/>
                <w:i/>
              </w:rPr>
              <w:t>o prioritate absolută</w:t>
            </w:r>
            <w:r>
              <w:t>; reamintește că atractivitatea investițiilor necesită un mediu fiscal stabil, previzibil și ușor de navigat, precum și o administrare fiscală optimă;</w:t>
            </w:r>
          </w:p>
        </w:tc>
        <w:tc>
          <w:tcPr>
            <w:tcW w:w="4876" w:type="dxa"/>
            <w:tcBorders>
              <w:top w:val="nil"/>
              <w:left w:val="nil"/>
              <w:bottom w:val="nil"/>
              <w:right w:val="nil"/>
            </w:tcBorders>
          </w:tcPr>
          <w:p>
            <w:pPr>
              <w:pStyle w:val="Normal6a"/>
            </w:pPr>
            <w:r>
              <w:t>1.</w:t>
            </w:r>
            <w:r>
              <w:tab/>
            </w:r>
            <w:r>
              <w:t xml:space="preserve">subliniază că </w:t>
            </w:r>
            <w:r>
              <w:rPr>
                <w:b/>
                <w:i/>
              </w:rPr>
              <w:t>creșterea</w:t>
            </w:r>
            <w:r>
              <w:t xml:space="preserve"> competitivității UE este </w:t>
            </w:r>
            <w:r>
              <w:rPr>
                <w:b/>
                <w:i/>
              </w:rPr>
              <w:t>una dintre prioritățile Uniunii, alături de transformarea verde și cea digitală</w:t>
            </w:r>
            <w:r>
              <w:t>; reamintește că atractivitatea investițiilor necesită un mediu fiscal stabil, previzibil</w:t>
            </w:r>
            <w:r>
              <w:rPr>
                <w:b/>
                <w:i/>
              </w:rPr>
              <w:t>, transparent</w:t>
            </w:r>
            <w:r>
              <w:t xml:space="preserve"> și ușor de navigat, precum și o administrare fiscală optimă;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subliniază că restabilirea competitivității UE este o prioritate absolută;</w:t>
            </w:r>
            <w:r>
              <w:t xml:space="preserve"> reamintește că atractivitatea investițiilor necesită un mediu fiscal stabil, previzibil și ușor de navigat, precum și o administrare fiscală optimă;</w:t>
            </w:r>
          </w:p>
        </w:tc>
        <w:tc>
          <w:tcPr>
            <w:tcW w:w="4876" w:type="dxa"/>
            <w:tcBorders>
              <w:top w:val="nil"/>
              <w:left w:val="nil"/>
              <w:bottom w:val="nil"/>
              <w:right w:val="nil"/>
            </w:tcBorders>
          </w:tcPr>
          <w:p>
            <w:pPr>
              <w:pStyle w:val="Normal6a"/>
            </w:pPr>
            <w:r>
              <w:t>1.</w:t>
            </w:r>
            <w:r>
              <w:tab/>
            </w:r>
            <w:r>
              <w:t xml:space="preserve">reamintește că atractivitatea investițiilor necesită un mediu fiscal </w:t>
            </w:r>
            <w:r>
              <w:rPr>
                <w:b/>
                <w:i/>
              </w:rPr>
              <w:t>echitabil,</w:t>
            </w:r>
            <w:r>
              <w:t xml:space="preserve"> stabil, previzibil și ușor de navigat, precum și o administrare fiscală optimă; </w:t>
            </w:r>
            <w:r>
              <w:rPr>
                <w:b/>
                <w:i/>
              </w:rPr>
              <w:t>evidențiază că pentru competitivitatea UE este nevoie de activități transfrontaliere și subliniază rolul unei impozitări echitabile și armonizate în acest sens;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Pierre Pimpie, Tomáš Kubín, Enikő Győri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subliniază că restabilirea competitivității UE este o prioritate absolută; reamintește că atractivitatea investițiilor necesită un mediu fiscal stabil, previzibil și ușor de navigat, </w:t>
            </w:r>
            <w:r>
              <w:rPr>
                <w:b/>
                <w:i/>
              </w:rPr>
              <w:t>precum</w:t>
            </w:r>
            <w:r>
              <w:t xml:space="preserve"> și o administrare fiscală </w:t>
            </w:r>
            <w:r>
              <w:rPr>
                <w:b/>
                <w:i/>
              </w:rPr>
              <w:t>optimă</w:t>
            </w:r>
            <w:r>
              <w:t>;</w:t>
            </w:r>
          </w:p>
        </w:tc>
        <w:tc>
          <w:tcPr>
            <w:tcW w:w="4876" w:type="dxa"/>
            <w:tcBorders>
              <w:top w:val="nil"/>
              <w:left w:val="nil"/>
              <w:bottom w:val="nil"/>
              <w:right w:val="nil"/>
            </w:tcBorders>
          </w:tcPr>
          <w:p>
            <w:pPr>
              <w:pStyle w:val="Normal6a"/>
            </w:pPr>
            <w:r>
              <w:t>1.</w:t>
            </w:r>
            <w:r>
              <w:tab/>
            </w:r>
            <w:r>
              <w:t xml:space="preserve">subliniază că restabilirea competitivității UE este o prioritate absolută; reamintește că atractivitatea investițiilor necesită un mediu fiscal stabil, previzibil și ușor de navigat, </w:t>
            </w:r>
            <w:r>
              <w:rPr>
                <w:b/>
                <w:i/>
              </w:rPr>
              <w:t>sarcini fiscale competitive</w:t>
            </w:r>
            <w:r>
              <w:t xml:space="preserve"> și o administrare fiscală </w:t>
            </w:r>
            <w:r>
              <w:rPr>
                <w:b/>
                <w:i/>
              </w:rPr>
              <w:t>eficientă, proporțională și favorabilă întreprinderilor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Regina Doherty, 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subliniază că restabilirea competitivității UE este o prioritate absolută; reamintește că atractivitatea investițiilor necesită un mediu fiscal stabil, previzibil și ușor de navigat, precum și o administrare fiscală optimă;</w:t>
            </w:r>
          </w:p>
        </w:tc>
        <w:tc>
          <w:tcPr>
            <w:tcW w:w="4876" w:type="dxa"/>
            <w:tcBorders>
              <w:top w:val="nil"/>
              <w:left w:val="nil"/>
              <w:bottom w:val="nil"/>
              <w:right w:val="nil"/>
            </w:tcBorders>
          </w:tcPr>
          <w:p>
            <w:pPr>
              <w:pStyle w:val="Normal6a"/>
            </w:pPr>
            <w:r>
              <w:t>1.</w:t>
            </w:r>
            <w:r>
              <w:tab/>
            </w:r>
            <w:r>
              <w:t>subliniază că restabilirea competitivității UE este o prioritate absolută; reamintește că atractivitatea investițiilor necesită un mediu fiscal stabil, previzibil</w:t>
            </w:r>
            <w:r>
              <w:rPr>
                <w:b/>
                <w:i/>
              </w:rPr>
              <w:t>, competitiv, atractiv</w:t>
            </w:r>
            <w:r>
              <w:t xml:space="preserve"> și ușor de navigat, precum și o administrare fiscală optimă;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Arba Kokalari,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regretă că combinația dintre ratele ridicate ale impozitului pe profit în UE, complexitatea cerințelor de conformitate, normele de reținere la sursă, compensarea limitată a pierderilor în unele țări și regimurile naționale fragmentate creează dezavantaje competitive pentru întreprinderile din UE care încearcă să concureze la nivel mondial;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salută eforturile internaționale, cum ar fi cele întreprinse de OCDE, care urmăresc să pună capăt cursei spre nivelurile cele mai scăzute și să creeze condiții de concurență mai echitabile prin stabilirea unui prag global pentru obligațiile fiscale ale întreprinderilor multinaționale printr-o cotă minimă efectivă de impozitare;</w:t>
            </w:r>
          </w:p>
        </w:tc>
        <w:tc>
          <w:tcPr>
            <w:tcW w:w="4876" w:type="dxa"/>
            <w:tcBorders>
              <w:top w:val="nil"/>
              <w:left w:val="nil"/>
              <w:bottom w:val="nil"/>
              <w:right w:val="nil"/>
            </w:tcBorders>
          </w:tcPr>
          <w:p>
            <w:pPr>
              <w:pStyle w:val="Normal6a"/>
            </w:pPr>
            <w:r>
              <w:t>2.</w:t>
            </w:r>
            <w:r>
              <w:tab/>
            </w:r>
            <w:r>
              <w:t xml:space="preserve">salută eforturile internaționale, cum ar fi cele întreprinse de OCDE, care urmăresc să pună capăt cursei spre nivelurile cele mai scăzute și să creeze condiții de concurență mai echitabile prin stabilirea unui prag global pentru obligațiile fiscale ale întreprinderilor multinaționale printr-o cotă minimă efectivă de impozitare; </w:t>
            </w:r>
            <w:r>
              <w:rPr>
                <w:b/>
                <w:i/>
              </w:rPr>
              <w:t>invită Comisia și statele membre să pledeze în forumurile internaționale relevante pentru creșterea progresivă a cotei minime efective globale a impozitului pe profit, în conformitate cu recomandările ICRICT și ale economiștilor independenți, la un nivel care să poată genera venituri suplimentare pentru investițiile publice, acțiunile climatice și cheltuielile sociale;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Pierre Pimpie, Enikő Győri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salută</w:t>
            </w:r>
            <w:r>
              <w:t xml:space="preserve"> eforturile internaționale, cum ar fi cele întreprinse de OCDE, care urmăresc să </w:t>
            </w:r>
            <w:r>
              <w:rPr>
                <w:b/>
                <w:i/>
              </w:rPr>
              <w:t>pună capăt cursei spre nivelurile cele mai scăzute și să</w:t>
            </w:r>
            <w:r>
              <w:t xml:space="preserve"> creeze condiții de concurență mai echitabile </w:t>
            </w:r>
            <w:r>
              <w:rPr>
                <w:b/>
                <w:i/>
              </w:rPr>
              <w:t>prin stabilirea unui prag global</w:t>
            </w:r>
            <w:r>
              <w:t xml:space="preserve"> pentru </w:t>
            </w:r>
            <w:r>
              <w:rPr>
                <w:b/>
                <w:i/>
              </w:rPr>
              <w:t>obligațiile fiscale ale întreprinderilor</w:t>
            </w:r>
            <w:r>
              <w:t xml:space="preserve"> multinaționale printr-o cotă minimă efectivă de impozitare;</w:t>
            </w:r>
          </w:p>
        </w:tc>
        <w:tc>
          <w:tcPr>
            <w:tcW w:w="4876" w:type="dxa"/>
            <w:tcBorders>
              <w:top w:val="nil"/>
              <w:left w:val="nil"/>
              <w:bottom w:val="nil"/>
              <w:right w:val="nil"/>
            </w:tcBorders>
          </w:tcPr>
          <w:p>
            <w:pPr>
              <w:pStyle w:val="Normal6a"/>
            </w:pPr>
            <w:r>
              <w:t>2.</w:t>
            </w:r>
            <w:r>
              <w:tab/>
            </w:r>
            <w:r>
              <w:rPr>
                <w:b/>
                <w:i/>
              </w:rPr>
              <w:t>ia act de</w:t>
            </w:r>
            <w:r>
              <w:t xml:space="preserve"> eforturile internaționale, cum ar fi cele întreprinse de OCDE, care urmăresc să creeze condiții de concurență mai echitabile pentru </w:t>
            </w:r>
            <w:r>
              <w:rPr>
                <w:b/>
                <w:i/>
              </w:rPr>
              <w:t>întreprinderile</w:t>
            </w:r>
            <w:r>
              <w:t xml:space="preserve"> multinaționale printr-o cotă minimă efectivă de impozitare; </w:t>
            </w:r>
            <w:r>
              <w:rPr>
                <w:b/>
                <w:i/>
              </w:rPr>
              <w:t>accentuează, cu toate acestea, că o concurență fiscală echitabilă, transparentă și bazată pe considerente de substanță între jurisdicții poate rămâne un instrument legitim de atragere a investițiilor, de sprijinire a ocupării forței de muncă și de consolidare a competitivității și nu ar trebui să fie echivalată cu practici fiscale dăunătoare;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salută eforturile internaționale, cum ar fi cele întreprinse de OCDE</w:t>
            </w:r>
            <w:r>
              <w:rPr>
                <w:b/>
                <w:i/>
              </w:rPr>
              <w:t>, care urmăresc să pună capăt cursei spre nivelurile cele mai scăzute și să creeze condiții de concurență mai echitabile prin stabilirea unui prag global pentru obligațiile fiscale ale întreprinderilor multinaționale printr-o cotă minimă efectivă de impozitare</w:t>
            </w:r>
            <w:r>
              <w:t>;</w:t>
            </w:r>
          </w:p>
        </w:tc>
        <w:tc>
          <w:tcPr>
            <w:tcW w:w="4876" w:type="dxa"/>
            <w:tcBorders>
              <w:top w:val="nil"/>
              <w:left w:val="nil"/>
              <w:bottom w:val="nil"/>
              <w:right w:val="nil"/>
            </w:tcBorders>
          </w:tcPr>
          <w:p>
            <w:pPr>
              <w:pStyle w:val="Normal6a"/>
            </w:pPr>
            <w:r>
              <w:t>2.</w:t>
            </w:r>
            <w:r>
              <w:tab/>
            </w:r>
            <w:r>
              <w:t>salută eforturile internaționale, cum ar fi cele întreprinse de OCDE;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accentuează că viitorul impozitării întreprinderilor în Uniune trebuie să rămână ferm ancorat în principiile substanței economice și acumulării reale de capital;</w:t>
            </w:r>
            <w:r>
              <w:t xml:space="preserve"> </w:t>
            </w:r>
            <w:r>
              <w:rPr>
                <w:b/>
                <w:i/>
              </w:rPr>
              <w:t>susține că modelele competitive de impozite pe profit, mai ales cele care folosesc o cotă de impozitare de 0 % pentru profiturile nedistribuite și reinvestite, reprezintă instrumente economice foarte eficace și orientate spre viitor, care stimulează investițiile interne, inovarea și formarea de capital pe termen lung;</w:t>
            </w:r>
            <w:r>
              <w:t xml:space="preserve"> </w:t>
            </w:r>
            <w:r>
              <w:rPr>
                <w:b/>
                <w:i/>
              </w:rPr>
              <w:t>respinge orice strategie care vizează tranziția cadrului fiscal european către o consolidare obligatorie bazată pe formule sau către realocări centralizate ale profitului, care îndepărtează sistematic obligațiile în materie de impozit pe profit de amprentele fizice și economice reale ale întreprinderilor din fiecare stat membru;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salută eforturile Comitetul interguvernamental de negociere al Organizației Națiunilor Unite privind cooperarea fiscală internațională de a elabora o convenție-cadru a Organizației Națiunilor Unite privind cooperarea fiscală internațională pentru a consolida cooperarea fiscală internațională, a combate evaziunea fiscală și a asigura sisteme fiscale mai echitabile la nivel mondial;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salută eforturile ONU de a crea un acord multilateral coerent și cuprinzător privind fiscalitatea internațională, inclusiv privind alocarea echitabilă a drepturilor de impozitare, fluxurile financiare ilicite și practicile fiscale dăunătoare;</w:t>
            </w:r>
            <w:r>
              <w:t xml:space="preserve"> </w:t>
            </w:r>
            <w:r>
              <w:rPr>
                <w:b/>
                <w:i/>
              </w:rPr>
              <w:t>sprijină obiectivul de aliniere a fiscalității internaționale la drepturile omului și la obiectivele de dezvoltare durabilă;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evidențiază că pentru a naviga într-un mediu internațional în schimbare, este necesară o tranziție structurală de la suprareglementarea legislativă continuă către stabilizarea administrativă și simplificarea sistemică;</w:t>
            </w:r>
            <w:r>
              <w:t xml:space="preserve"> </w:t>
            </w:r>
            <w:r>
              <w:rPr>
                <w:b/>
                <w:i/>
              </w:rPr>
              <w:t>solicită ca viitoarea politică privind impozitul pe profit să acorde cu strictețe prioritate atenuării sarcinilor aferente asigurării conformității prin instituirea unui moratoriu privind suprapunerea cerințelor de raportare și prin asigurarea punerii imediate în aplicare a unor regimuri de protecție solide și permanente în temeiul normelor pilonului doi;</w:t>
            </w:r>
            <w:r>
              <w:t xml:space="preserve"> </w:t>
            </w:r>
            <w:r>
              <w:rPr>
                <w:b/>
                <w:i/>
              </w:rPr>
              <w:t>insistă că capacitățile operaționale și structurale reale ale administrațiilor fiscale naționale mai mici trebuie să servească drept constrângere principală de bază pentru orice viitor cadru fiscal la nivelul UE sau la nivel mondial, protejând astfel statele membre mai mici de extinderea birocratică excesivă și de epuizarea resurselor;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2c.</w:t>
            </w:r>
            <w:r>
              <w:tab/>
            </w:r>
            <w:r>
              <w:rPr>
                <w:b/>
                <w:i/>
              </w:rPr>
              <w:t>avertizează că orice trecere la mecanisme de vot cu majoritate simplă pentru stabilirea standardelor fiscale mondiale riscă să marginalizeze economiile mai mici și deschise, să perturbe rețelele consacrate de tratate și să creeze un regim fiscal internațional fragmentat și dual;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regretă că punerea în aplicare la nivel mondial a pilonului doi rămâne incompletă și că economiile majore, cum ar fi China </w:t>
            </w:r>
            <w:r>
              <w:rPr>
                <w:b/>
                <w:i/>
              </w:rPr>
              <w:t>și</w:t>
            </w:r>
            <w:r>
              <w:t xml:space="preserve"> India, nu au pus în aplicare reforma; </w:t>
            </w:r>
            <w:r>
              <w:rPr>
                <w:b/>
                <w:i/>
              </w:rPr>
              <w:t>este de părere că coexistența</w:t>
            </w:r>
            <w:r>
              <w:t xml:space="preserve"> pilonului doi </w:t>
            </w:r>
            <w:r>
              <w:rPr>
                <w:b/>
                <w:i/>
              </w:rPr>
              <w:t>cu regimuri naționale concomitente de impozitare minimă duce la fragmentare și îi slăbește aplicarea la nivel mondial</w:t>
            </w:r>
            <w:r>
              <w:t>;</w:t>
            </w:r>
          </w:p>
        </w:tc>
        <w:tc>
          <w:tcPr>
            <w:tcW w:w="4876" w:type="dxa"/>
            <w:tcBorders>
              <w:top w:val="nil"/>
              <w:left w:val="nil"/>
              <w:bottom w:val="nil"/>
              <w:right w:val="nil"/>
            </w:tcBorders>
          </w:tcPr>
          <w:p>
            <w:pPr>
              <w:pStyle w:val="Normal6a"/>
            </w:pPr>
            <w:r>
              <w:t>3.</w:t>
            </w:r>
            <w:r>
              <w:tab/>
            </w:r>
            <w:r>
              <w:t>regretă că punerea în aplicare la nivel mondial a pilonului doi rămâne incompletă și că economiile majore, cum ar fi China</w:t>
            </w:r>
            <w:r>
              <w:rPr>
                <w:b/>
                <w:i/>
              </w:rPr>
              <w:t>,</w:t>
            </w:r>
            <w:r>
              <w:t xml:space="preserve"> India </w:t>
            </w:r>
            <w:r>
              <w:rPr>
                <w:b/>
                <w:i/>
              </w:rPr>
              <w:t>și SUA</w:t>
            </w:r>
            <w:r>
              <w:t xml:space="preserve">, nu au pus în aplicare reforma; </w:t>
            </w:r>
            <w:r>
              <w:rPr>
                <w:b/>
                <w:i/>
              </w:rPr>
              <w:t>îndeamnă statele membre să pună în aplicare pe deplin pilonul 2, în special regula profitului subimpozitat (UTPR);</w:t>
            </w:r>
            <w:r>
              <w:t xml:space="preserve"> </w:t>
            </w:r>
            <w:r>
              <w:rPr>
                <w:b/>
                <w:i/>
              </w:rPr>
              <w:t>constată că UTPR este un element esențial pentru buna funcționare a</w:t>
            </w:r>
            <w:r>
              <w:t xml:space="preserve"> pilonului doi</w:t>
            </w:r>
            <w:r>
              <w:rPr>
                <w:b/>
                <w:i/>
              </w:rPr>
              <w:t>, asigurând condiții de concurență echitabile pentru întreprinderile europene;</w:t>
            </w:r>
            <w:r>
              <w:t xml:space="preserve"> </w:t>
            </w:r>
            <w:r>
              <w:rPr>
                <w:b/>
                <w:i/>
              </w:rPr>
              <w:t>invită statele membre să nu extindă regimul de protecție tranzitoriu al UTPR după 2026, întrucât ar dezavantaja întreprinderile din UE;</w:t>
            </w:r>
            <w:r>
              <w:t xml:space="preserve"> </w:t>
            </w:r>
            <w:r>
              <w:rPr>
                <w:b/>
                <w:i/>
              </w:rPr>
              <w:t>salută angajamentul clar față de UTPR al comisarului Hoekstra în răspunsurile sale scrise adresate Parlamentului în contextul audierilor privind numirea sa;</w:t>
            </w:r>
            <w:r>
              <w:t xml:space="preserve"> </w:t>
            </w:r>
            <w:r>
              <w:rPr>
                <w:b/>
                <w:i/>
              </w:rPr>
              <w:t>reamintește că, în 2021, Statele Unite au convenit asupra impozitului minim al OCDE la nivelul G7, al G20 și al Cadrului incluziv al OCDE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Pierre Pimpie,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regretă că punerea în aplicare la nivel mondial a pilonului doi rămâne incompletă și că economiile majore, cum ar fi China și India, nu au pus în aplicare reforma; </w:t>
            </w:r>
            <w:r>
              <w:rPr>
                <w:b/>
                <w:i/>
              </w:rPr>
              <w:t>este de părere că coexistența pilonului doi cu regimuri naționale concomitente de impozitare minimă duce la fragmentare și îi slăbește aplicarea</w:t>
            </w:r>
            <w:r>
              <w:t xml:space="preserve"> la nivel mondial;</w:t>
            </w:r>
          </w:p>
        </w:tc>
        <w:tc>
          <w:tcPr>
            <w:tcW w:w="4876" w:type="dxa"/>
            <w:tcBorders>
              <w:top w:val="nil"/>
              <w:left w:val="nil"/>
              <w:bottom w:val="nil"/>
              <w:right w:val="nil"/>
            </w:tcBorders>
          </w:tcPr>
          <w:p>
            <w:pPr>
              <w:pStyle w:val="Normal6a"/>
            </w:pPr>
            <w:r>
              <w:t>3.</w:t>
            </w:r>
            <w:r>
              <w:tab/>
            </w:r>
            <w:r>
              <w:t xml:space="preserve">regretă că punerea în aplicare la nivel mondial a pilonului doi rămâne incompletă și că economiile majore, cum ar fi China și India, nu au pus în aplicare reforma; </w:t>
            </w:r>
            <w:r>
              <w:rPr>
                <w:b/>
                <w:i/>
              </w:rPr>
              <w:t>accentuează că un impozit minim</w:t>
            </w:r>
            <w:r>
              <w:t xml:space="preserve"> la nivel mondial </w:t>
            </w:r>
            <w:r>
              <w:rPr>
                <w:b/>
                <w:i/>
              </w:rPr>
              <w:t>poate asigura condiții de concurență cu adevărat echitabile numai dacă este aplicat efectiv și consecvent de toate economiile majore</w:t>
            </w:r>
            <w:r>
              <w:t xml:space="preserve">; </w:t>
            </w:r>
            <w:r>
              <w:rPr>
                <w:b/>
                <w:i/>
              </w:rPr>
              <w:t>consideră, prin urmare, că UE ar trebui să evalueze abordări alternative și mai pragmatice în cazul în care punerea în aplicare la nivel mondial rămâne incompletă, inclusiv o simplificare specifică, regimuri de protecție reciproce și măsuri de menținere a competitivității întreprinderilor cu sediul în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Katri Kulmuni, Billy Kelleher,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regretă că punerea în aplicare la nivel mondial a pilonului doi rămâne incompletă și că economiile majore, cum ar fi China și India, nu au pus în aplicare reforma; este de părere că coexistența pilonului doi cu regimuri naționale concomitente de impozitare minimă duce la fragmentare și îi slăbește aplicarea la nivel mondial;</w:t>
            </w:r>
          </w:p>
        </w:tc>
        <w:tc>
          <w:tcPr>
            <w:tcW w:w="4876" w:type="dxa"/>
            <w:tcBorders>
              <w:top w:val="nil"/>
              <w:left w:val="nil"/>
              <w:bottom w:val="nil"/>
              <w:right w:val="nil"/>
            </w:tcBorders>
          </w:tcPr>
          <w:p>
            <w:pPr>
              <w:pStyle w:val="Normal6a"/>
            </w:pPr>
            <w:r>
              <w:t>3.</w:t>
            </w:r>
            <w:r>
              <w:tab/>
            </w:r>
            <w:r>
              <w:t xml:space="preserve">regretă că punerea în aplicare la nivel mondial a pilonului doi rămâne incompletă </w:t>
            </w:r>
            <w:r>
              <w:rPr>
                <w:b/>
                <w:i/>
              </w:rPr>
              <w:t>și impune o sarcină administrativă semnificativă și costuri excepționale contribuabililor fără venituri fiscale corespunzătoare</w:t>
            </w:r>
            <w:r>
              <w:t xml:space="preserve"> și că economiile majore, cum ar fi China și India, nu au pus în aplicare reforma; este de părere că coexistența pilonului doi cu regimuri naționale concomitente de impozitare minimă duce la fragmentare și îi slăbește aplicarea la nivel mondial;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regretă că punerea în aplicare la nivel mondial a pilonului doi rămâne incompletă și că economiile majore, cum ar fi China și India, nu au pus în aplicare reforma; este de părere că coexistența pilonului doi cu regimuri naționale concomitente de impozitare minimă duce la fragmentare și îi slăbește aplicarea la nivel mondial;</w:t>
            </w:r>
          </w:p>
        </w:tc>
        <w:tc>
          <w:tcPr>
            <w:tcW w:w="4876" w:type="dxa"/>
            <w:tcBorders>
              <w:top w:val="nil"/>
              <w:left w:val="nil"/>
              <w:bottom w:val="nil"/>
              <w:right w:val="nil"/>
            </w:tcBorders>
          </w:tcPr>
          <w:p>
            <w:pPr>
              <w:pStyle w:val="Normal6a"/>
            </w:pPr>
            <w:r>
              <w:t>3.</w:t>
            </w:r>
            <w:r>
              <w:tab/>
            </w:r>
            <w:r>
              <w:t>regretă că punerea în aplicare la nivel mondial a pilonului doi rămâne incompletă și că economiile majore, cum ar fi China și India, nu au pus în aplicare reforma; este de părere că coexistența pilonului doi cu regimuri naționale concomitente de impozitare minimă</w:t>
            </w:r>
            <w:r>
              <w:rPr>
                <w:b/>
                <w:i/>
              </w:rPr>
              <w:t>, cum ar fi regimul NCTI din SUA și alte regimuri naționale care pot obține un statut de regim de protecție în contextul abordării pe bază de coexistență,</w:t>
            </w:r>
            <w:r>
              <w:t xml:space="preserve"> duce la fragmentare și îi slăbește aplicarea la nivel mondial;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regretă</w:t>
            </w:r>
            <w:r>
              <w:t xml:space="preserve"> că punerea în aplicare la nivel mondial a pilonului doi rămâne incompletă și că economiile majore, cum ar fi China și India, nu au pus în aplicare reforma; este de părere că coexistența pilonului doi cu regimuri naționale concomitente de impozitare minimă duce la fragmentare </w:t>
            </w:r>
            <w:r>
              <w:rPr>
                <w:b/>
                <w:i/>
              </w:rPr>
              <w:t>și îi slăbește aplicarea la nivel mondial</w:t>
            </w:r>
            <w:r>
              <w:t>;</w:t>
            </w:r>
          </w:p>
        </w:tc>
        <w:tc>
          <w:tcPr>
            <w:tcW w:w="4876" w:type="dxa"/>
            <w:tcBorders>
              <w:top w:val="nil"/>
              <w:left w:val="nil"/>
              <w:bottom w:val="nil"/>
              <w:right w:val="nil"/>
            </w:tcBorders>
          </w:tcPr>
          <w:p>
            <w:pPr>
              <w:pStyle w:val="Normal6a"/>
            </w:pPr>
            <w:r>
              <w:t>3.</w:t>
            </w:r>
            <w:r>
              <w:tab/>
            </w:r>
            <w:r>
              <w:rPr>
                <w:b/>
                <w:i/>
              </w:rPr>
              <w:t>constată</w:t>
            </w:r>
            <w:r>
              <w:t xml:space="preserve"> că punerea în aplicare la nivel mondial a pilonului doi rămâne incompletă și că economiile majore, cum ar fi China și India, nu au pus în aplicare reforma; este de părere că coexistența pilonului doi cu regimuri naționale concomitente de impozitare minimă duce la fragmentare</w:t>
            </w:r>
            <w:r>
              <w:rPr>
                <w:b/>
                <w:i/>
              </w:rPr>
              <w:t>, crește riscul unor dezavantaje concurențiale asimetrice pentru întreprinderile europene și complică inutil spațiul de manevră al politicii fiscale naționale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regretă că punerea în aplicare la nivel mondial a pilonului doi rămâne incompletă și că economiile majore, cum ar fi China și India, nu au pus în aplicare reforma; </w:t>
            </w:r>
            <w:r>
              <w:rPr>
                <w:b/>
                <w:i/>
              </w:rPr>
              <w:t>este de părere că coexistența pilonului doi cu regimuri naționale concomitente de impozitare minimă duce la fragmentare și îi slăbește aplicarea la nivel mondial</w:t>
            </w:r>
            <w:r>
              <w:t>;</w:t>
            </w:r>
          </w:p>
        </w:tc>
        <w:tc>
          <w:tcPr>
            <w:tcW w:w="4876" w:type="dxa"/>
            <w:tcBorders>
              <w:top w:val="nil"/>
              <w:left w:val="nil"/>
              <w:bottom w:val="nil"/>
              <w:right w:val="nil"/>
            </w:tcBorders>
          </w:tcPr>
          <w:p>
            <w:pPr>
              <w:pStyle w:val="Normal6a"/>
            </w:pPr>
            <w:r>
              <w:t>3.</w:t>
            </w:r>
            <w:r>
              <w:tab/>
            </w:r>
            <w:r>
              <w:t xml:space="preserve">regretă că punerea în aplicare la nivel mondial a pilonului doi rămâne incompletă și că economiile majore, cum ar fi China și India, nu au pus în aplicare reforma; </w:t>
            </w:r>
            <w:r>
              <w:rPr>
                <w:b/>
                <w:i/>
              </w:rPr>
              <w:t>reamintește că acordul privind pilonul doi este un instrument-cheie pentru asigurarea unei impozitări echitabile, reducerea practicilor fiscale dăunătoare și stabilirea unor condiții de concurență mai echitabile pentru întreprinderile mari care își desfășoară activitatea în economia mondială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constată cu îngrijorare că diferențele structurale semnificative dintre regimul NCTI din SUA și pilonul doi </w:t>
            </w:r>
            <w:r>
              <w:rPr>
                <w:b/>
                <w:i/>
              </w:rPr>
              <w:t>conduc</w:t>
            </w:r>
            <w:r>
              <w:t xml:space="preserve"> la cote de impozitare efective diferite</w:t>
            </w:r>
            <w:r>
              <w:rPr>
                <w:b/>
                <w:i/>
              </w:rPr>
              <w:t>, în detrimentul întreprinderilor multinaționale cu sediul în UE care își desfășoară activitatea în Statele Unite</w:t>
            </w:r>
            <w:r>
              <w:t xml:space="preserve">; observă, de asemenea, că, drept urmare a abordării pe bază de coexistență, întreprinderile multinaționale cu sediul în SUA sunt scutite din punct de vedere tehnic de majoritatea obligațiilor din cadrul pilonului doi, </w:t>
            </w:r>
            <w:r>
              <w:rPr>
                <w:b/>
                <w:i/>
              </w:rPr>
              <w:t>creând</w:t>
            </w:r>
            <w:r>
              <w:t xml:space="preserve"> astfel </w:t>
            </w:r>
            <w:r>
              <w:rPr>
                <w:b/>
                <w:i/>
              </w:rPr>
              <w:t>un dezavantaj concurențial</w:t>
            </w:r>
            <w:r>
              <w:t xml:space="preserve"> pentru </w:t>
            </w:r>
            <w:r>
              <w:rPr>
                <w:b/>
                <w:i/>
              </w:rPr>
              <w:t>întreprinderile europene</w:t>
            </w:r>
            <w:r>
              <w:t>;</w:t>
            </w:r>
          </w:p>
        </w:tc>
        <w:tc>
          <w:tcPr>
            <w:tcW w:w="4876" w:type="dxa"/>
            <w:tcBorders>
              <w:top w:val="nil"/>
              <w:left w:val="nil"/>
              <w:bottom w:val="nil"/>
              <w:right w:val="nil"/>
            </w:tcBorders>
          </w:tcPr>
          <w:p>
            <w:pPr>
              <w:pStyle w:val="Normal6a"/>
            </w:pPr>
            <w:r>
              <w:t>4.</w:t>
            </w:r>
            <w:r>
              <w:tab/>
            </w:r>
            <w:r>
              <w:t xml:space="preserve">constată cu îngrijorare că diferențele structurale semnificative dintre regimul NCTI din SUA și pilonul doi </w:t>
            </w:r>
            <w:r>
              <w:rPr>
                <w:b/>
                <w:i/>
              </w:rPr>
              <w:t>pot conduce</w:t>
            </w:r>
            <w:r>
              <w:t xml:space="preserve"> la cote de impozitare efective diferite </w:t>
            </w:r>
            <w:r>
              <w:rPr>
                <w:b/>
                <w:i/>
              </w:rPr>
              <w:t>și la o aplicare inconsecventă între jurisdicții</w:t>
            </w:r>
            <w:r>
              <w:t xml:space="preserve">; observă, de asemenea, că, drept urmare a abordării pe bază de coexistență, întreprinderile multinaționale cu sediul în SUA sunt scutite din punct de vedere tehnic de majoritatea obligațiilor din cadrul pilonului doi, </w:t>
            </w:r>
            <w:r>
              <w:rPr>
                <w:b/>
                <w:i/>
              </w:rPr>
              <w:t>reintroducându-se</w:t>
            </w:r>
            <w:r>
              <w:t xml:space="preserve"> astfel </w:t>
            </w:r>
            <w:r>
              <w:rPr>
                <w:b/>
                <w:i/>
              </w:rPr>
              <w:t>stimulente</w:t>
            </w:r>
            <w:r>
              <w:t xml:space="preserve"> pentru </w:t>
            </w:r>
            <w:r>
              <w:rPr>
                <w:b/>
                <w:i/>
              </w:rPr>
              <w:t>transferul profiturilor întreprinderilor și subminând condițiile de concurență echitabile pentru întreprinderi și jurisdicțiile fiscale din întreaga lume</w:t>
            </w:r>
            <w:r>
              <w:t xml:space="preserve">; </w:t>
            </w:r>
            <w:r>
              <w:rPr>
                <w:b/>
                <w:i/>
              </w:rPr>
              <w:t>constată că incertitudinea persistentă în materie de reglementare și schimbările recente din politica economică și comercială a SUA continuă să genereze prudență în rândul investitorilor și al întreprinderilor internaționale;</w:t>
            </w:r>
            <w:r>
              <w:t xml:space="preserve"> </w:t>
            </w:r>
            <w:r>
              <w:rPr>
                <w:b/>
                <w:i/>
              </w:rPr>
              <w:t>subliniază că mediul internațional actual se caracterizează din ce în ce mai mult prin concurență geopolitică, măsuri de politică unilaterale și fragmentarea tot mai mare a ordinii multilaterale bazate pe norme;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Katri Kulmuni, Billy Kelleher,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constată cu îngrijorare</w:t>
            </w:r>
            <w:r>
              <w:t xml:space="preserve"> că diferențele structurale semnificative dintre regimul NCTI din SUA și pilonul doi conduc la cote de impozitare efective diferite, în detrimentul întreprinderilor multinaționale cu sediul în UE care își desfășoară activitatea în Statele Unite; observă, de asemenea, că, drept urmare a abordării pe bază de coexistență, întreprinderile multinaționale cu sediul în SUA sunt scutite din punct de vedere tehnic de majoritatea obligațiilor din cadrul pilonului doi, creând astfel un dezavantaj concurențial pentru întreprinderile europene;</w:t>
            </w:r>
          </w:p>
        </w:tc>
        <w:tc>
          <w:tcPr>
            <w:tcW w:w="4876" w:type="dxa"/>
            <w:tcBorders>
              <w:top w:val="nil"/>
              <w:left w:val="nil"/>
              <w:bottom w:val="nil"/>
              <w:right w:val="nil"/>
            </w:tcBorders>
          </w:tcPr>
          <w:p>
            <w:pPr>
              <w:pStyle w:val="Normal6a"/>
            </w:pPr>
            <w:r>
              <w:t>4.</w:t>
            </w:r>
            <w:r>
              <w:tab/>
            </w:r>
            <w:r>
              <w:rPr>
                <w:b/>
                <w:i/>
              </w:rPr>
              <w:t>accentuează</w:t>
            </w:r>
            <w:r>
              <w:t xml:space="preserve"> că diferențele structurale semnificative dintre regimul NCTI din SUA și pilonul doi conduc la cote de impozitare efective diferite, în detrimentul întreprinderilor multinaționale cu sediul în UE care își desfășoară activitatea în Statele Unite; observă, de asemenea, că, drept urmare a abordării pe bază de coexistență, întreprinderile multinaționale cu sediul în SUA sunt scutite din punct de vedere tehnic de majoritatea obligațiilor din cadrul pilonului doi, creând astfel un dezavantaj concurențial </w:t>
            </w:r>
            <w:r>
              <w:rPr>
                <w:b/>
                <w:i/>
              </w:rPr>
              <w:t>semnificativ</w:t>
            </w:r>
            <w:r>
              <w:t xml:space="preserve"> pentru întreprinderile europene;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își exprimă profunda îngrijorare cu privire la efectele abordării pe bază de coexistență;</w:t>
            </w:r>
            <w:r>
              <w:t xml:space="preserve"> </w:t>
            </w:r>
            <w:r>
              <w:rPr>
                <w:b/>
                <w:i/>
              </w:rPr>
              <w:t>constată că, deși acordul urmărește să aducă stabilitate în materie de reglementare, el riscă să afecteze condițiile de concurență echitabile și să relanseze practicile fiscale dăunătoare ale întreprinderilor pe care cadrul pilonului doi trebuia să le limiteze;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Katri Kulmuni, Billy Kelleher,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accentuează că, în timp ce pilonul doi prevede un impozit minim de 15 % pentru fiecare jurisdicție, combinarea globală aferentă NCTI din SUA compensează profiturile subimpozitate, creând un dezechilibru structural între cele două regimuri;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invită Comisia să publice datele sau analizele disponibile privind pierderile de venituri estimate pentru statele membre ale UE ca urmare a punerii în aplicare a abordării pe bază de coexistență;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invită Comisia să publice, în plus, o evaluare a impactului introducerii în cadrul pilonului doi, prin intermediul abordării pe bază de coexistență, a unui nou regim de protecție specific pentru stimulentele fiscale bazate pe considerente de substanță;</w:t>
            </w:r>
            <w:r>
              <w:t xml:space="preserve"> </w:t>
            </w:r>
            <w:r>
              <w:rPr>
                <w:b/>
                <w:i/>
              </w:rPr>
              <w:t>subliniază că este important să se analizeze măsura în care admisibilitatea acestor stimulente, care sunt folosite în principal în Statele Unite, subminează obiectivele generale de prevenire a uniformizării la un nivel inferior a impozitării și introduce un dezavantaj concurențial în ceea ce privește întreprinderile cu sediul în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Regina Doherty, 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îndeamnă Comisia să analizeze și să propună soluții pentru a corecta dezechilibrele structurale create de abordarea pe bază de coexistență, pentru a garanta condiții de concurență echitabile pentru întreprinderile europene și competitivitatea globală a UE;</w:t>
            </w:r>
          </w:p>
        </w:tc>
        <w:tc>
          <w:tcPr>
            <w:tcW w:w="4876" w:type="dxa"/>
            <w:tcBorders>
              <w:top w:val="nil"/>
              <w:left w:val="nil"/>
              <w:bottom w:val="nil"/>
              <w:right w:val="nil"/>
            </w:tcBorders>
          </w:tcPr>
          <w:p>
            <w:pPr>
              <w:pStyle w:val="Normal6a"/>
            </w:pPr>
            <w:r>
              <w:t>5.</w:t>
            </w:r>
            <w:r>
              <w:tab/>
            </w:r>
            <w:r>
              <w:t>îndeamnă Comisia să analizeze și să propună soluții pentru a corecta dezechilibrele structurale create de abordarea pe bază de coexistență, pentru a garanta condiții de concurență echitabile pentru întreprinderile europene și competitivitatea globală a UE</w:t>
            </w:r>
            <w:r>
              <w:rPr>
                <w:b/>
                <w:i/>
              </w:rPr>
              <w:t>, recunoscând totodată principiul subsidiarității și faptul că impozitarea este o competență a statelor membre</w:t>
            </w:r>
            <w:r>
              <w:t xml:space="preserve">; </w:t>
            </w:r>
            <w:r>
              <w:rPr>
                <w:b/>
                <w:i/>
              </w:rPr>
              <w:t>invită Comisia să țină seama în permanență de competitivitatea economică a UE și să se asigure că propunerile sale măresc atractivitatea economică a UE și nu o subminează;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îndeamnă Comisia să analizeze </w:t>
            </w:r>
            <w:r>
              <w:rPr>
                <w:b/>
                <w:i/>
              </w:rPr>
              <w:t>și să propună soluții pentru a corecta dezechilibrele structurale create de abordarea</w:t>
            </w:r>
            <w:r>
              <w:t xml:space="preserve"> pe bază de coexistență, pentru a </w:t>
            </w:r>
            <w:r>
              <w:rPr>
                <w:b/>
                <w:i/>
              </w:rPr>
              <w:t>garanta condiții de concurență echitabile</w:t>
            </w:r>
            <w:r>
              <w:t xml:space="preserve"> pentru întreprinderile </w:t>
            </w:r>
            <w:r>
              <w:rPr>
                <w:b/>
                <w:i/>
              </w:rPr>
              <w:t>europene și competitivitatea globală a UE</w:t>
            </w:r>
            <w:r>
              <w:t>;</w:t>
            </w:r>
          </w:p>
        </w:tc>
        <w:tc>
          <w:tcPr>
            <w:tcW w:w="4876" w:type="dxa"/>
            <w:tcBorders>
              <w:top w:val="nil"/>
              <w:left w:val="nil"/>
              <w:bottom w:val="nil"/>
              <w:right w:val="nil"/>
            </w:tcBorders>
          </w:tcPr>
          <w:p>
            <w:pPr>
              <w:pStyle w:val="Normal6a"/>
            </w:pPr>
            <w:r>
              <w:t>5.</w:t>
            </w:r>
            <w:r>
              <w:tab/>
            </w:r>
            <w:r>
              <w:t xml:space="preserve">îndeamnă Comisia să analizeze </w:t>
            </w:r>
            <w:r>
              <w:rPr>
                <w:b/>
                <w:i/>
              </w:rPr>
              <w:t>urgent și în detaliu impactul abordării</w:t>
            </w:r>
            <w:r>
              <w:t xml:space="preserve"> pe bază de coexistență </w:t>
            </w:r>
            <w:r>
              <w:rPr>
                <w:b/>
                <w:i/>
              </w:rPr>
              <w:t>asupra facilitării transferului profiturilor la nivel mondial și asupra reducerii cotelor de impozitare efective și să propună măsuri corective și soluții pentru a proteja integritatea cadrului fiscal minim global</w:t>
            </w:r>
            <w:r>
              <w:t xml:space="preserve">, pentru a </w:t>
            </w:r>
            <w:r>
              <w:rPr>
                <w:b/>
                <w:i/>
              </w:rPr>
              <w:t>preveni uniformizarea la un nivel inferior și</w:t>
            </w:r>
            <w:r>
              <w:t xml:space="preserve"> pentru </w:t>
            </w:r>
            <w:r>
              <w:rPr>
                <w:b/>
                <w:i/>
              </w:rPr>
              <w:t>a se asigura că</w:t>
            </w:r>
            <w:r>
              <w:t xml:space="preserve"> întreprinderile </w:t>
            </w:r>
            <w:r>
              <w:rPr>
                <w:b/>
                <w:i/>
              </w:rPr>
              <w:t>multinaționale care își desfășoară activitatea pe piața unică contribuie la un nivel echitabil și eficace de impozitare, indiferent de locul în care își au sediul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îndeamnă Comisia să analizeze și să propună soluții pentru a corecta dezechilibrele structurale create de abordarea pe bază de coexistență, pentru a garanta condiții de concurență echitabile pentru întreprinderile europene și competitivitatea globală a UE;</w:t>
            </w:r>
          </w:p>
        </w:tc>
        <w:tc>
          <w:tcPr>
            <w:tcW w:w="4876" w:type="dxa"/>
            <w:tcBorders>
              <w:top w:val="nil"/>
              <w:left w:val="nil"/>
              <w:bottom w:val="nil"/>
              <w:right w:val="nil"/>
            </w:tcBorders>
          </w:tcPr>
          <w:p>
            <w:pPr>
              <w:pStyle w:val="Normal6a"/>
            </w:pPr>
            <w:r>
              <w:t>5.</w:t>
            </w:r>
            <w:r>
              <w:tab/>
            </w:r>
            <w:r>
              <w:t>îndeamnă Comisia să analizeze și să propună soluții pentru a corecta dezechilibrele structurale create de abordarea pe bază de coexistență, pentru a garanta condiții de concurență echitabile pentru întreprinderile europene</w:t>
            </w:r>
            <w:r>
              <w:rPr>
                <w:b/>
                <w:i/>
              </w:rPr>
              <w:t>, a asigura o impozitare echitabilă, a proteja veniturile publice, a preveni practicile fiscale dăunătoare și a sprijini creșterea economică sustenabilă</w:t>
            </w:r>
            <w:r>
              <w:t xml:space="preserve"> și competitivitatea globală 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Pierre Pimpie, Enikő Győri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îndeamnă Comisia să analizeze și să propună soluții pentru a corecta dezechilibrele structurale create de abordarea pe bază de coexistență, pentru a garanta condiții de concurență echitabile pentru întreprinderile europene și competitivitatea globală a UE;</w:t>
            </w:r>
          </w:p>
        </w:tc>
        <w:tc>
          <w:tcPr>
            <w:tcW w:w="4876" w:type="dxa"/>
            <w:tcBorders>
              <w:top w:val="nil"/>
              <w:left w:val="nil"/>
              <w:bottom w:val="nil"/>
              <w:right w:val="nil"/>
            </w:tcBorders>
          </w:tcPr>
          <w:p>
            <w:pPr>
              <w:pStyle w:val="Normal6a"/>
            </w:pPr>
            <w:r>
              <w:t>5.</w:t>
            </w:r>
            <w:r>
              <w:tab/>
            </w:r>
            <w:r>
              <w:t xml:space="preserve">îndeamnă Comisia să analizeze </w:t>
            </w:r>
            <w:r>
              <w:rPr>
                <w:b/>
                <w:i/>
              </w:rPr>
              <w:t>de urgență</w:t>
            </w:r>
            <w:r>
              <w:t xml:space="preserve"> și să propună soluții</w:t>
            </w:r>
            <w:r>
              <w:rPr>
                <w:b/>
                <w:i/>
              </w:rPr>
              <w:t>, inclusiv soluții legislative, dacă este cazul,</w:t>
            </w:r>
            <w:r>
              <w:t xml:space="preserve"> pentru a corecta dezechilibrele structurale create de abordarea pe bază de coexistență, pentru a garanta condiții de concurență echitabile pentru întreprinderile europene și competitivitatea globală 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Katri Kulmuni,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îndeamnă Comisia să analizeze și să propună soluții pentru a corecta dezechilibrele structurale create de abordarea pe bază de coexistență, pentru a garanta condiții de concurență echitabile pentru întreprinderile europene și competitivitatea globală a UE;</w:t>
            </w:r>
          </w:p>
        </w:tc>
        <w:tc>
          <w:tcPr>
            <w:tcW w:w="4876" w:type="dxa"/>
            <w:tcBorders>
              <w:top w:val="nil"/>
              <w:left w:val="nil"/>
              <w:bottom w:val="nil"/>
              <w:right w:val="nil"/>
            </w:tcBorders>
          </w:tcPr>
          <w:p>
            <w:pPr>
              <w:pStyle w:val="Normal6a"/>
            </w:pPr>
            <w:r>
              <w:t>5.</w:t>
            </w:r>
            <w:r>
              <w:tab/>
            </w:r>
            <w:r>
              <w:t xml:space="preserve">îndeamnă Comisia să analizeze și să propună soluții pentru a corecta dezechilibrele structurale create de abordarea pe bază de coexistență, pentru a garanta condiții de concurență echitabile pentru întreprinderile europene și competitivitatea globală a UE </w:t>
            </w:r>
            <w:r>
              <w:rPr>
                <w:b/>
                <w:i/>
              </w:rPr>
              <w:t>și să încerce în mod activ să simplifice normele aferente pilonului doi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Jussi Saramo, Martin Schirdewan, Pasquale Tridico,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își exprimă îngrijorarea că acordarea statutului de regim de protecție regimurilor de impozitare minimă din țările terțe care funcționează în afara cadrului pilonului doi stabilește un precedent dăunător de excepționalism în cadrul unui sistem a cărui valoare derivă din aplicarea universală și consecventă;</w:t>
            </w:r>
            <w:r>
              <w:t xml:space="preserve"> </w:t>
            </w:r>
            <w:r>
              <w:rPr>
                <w:b/>
                <w:i/>
              </w:rPr>
              <w:t>subliniază că acest tip de concesii, atunci când sunt făcute sub amenințarea explicită a unor măsuri comerciale unilaterale, normalizează utilizarea presiunii economice extrateritoriale ca pârghie asupra autonomiei de reglementare a UE, o formă de constrângere care, prin natura sa, ar putea fi extinsă la orice domeniu al politicii UE, erodând astfel suveranitatea Uniunii;</w:t>
            </w:r>
            <w:r>
              <w:t xml:space="preserve"> </w:t>
            </w:r>
            <w:r>
              <w:rPr>
                <w:b/>
                <w:i/>
              </w:rPr>
              <w:t>reafirmă că angajamentul UE de a combate evitarea obligațiilor fiscale și de a se asigura că toate întreprinderile multinaționale contribuie în mod echitabil trebuie să rămână necondiționat;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respinge solicitările privind o nouă resursă proprie statistică a UE bazată pe profiturile societăților;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invită Comisia să utilizeze pe deplin instrumente de contracarare a avantajelor fiscale anticoncurențiale care afectează întreprinderile europene, cum ar fi ajutoarele de stat și măsurile antisubvenție;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invită Comisia să </w:t>
            </w:r>
            <w:r>
              <w:rPr>
                <w:b/>
                <w:i/>
              </w:rPr>
              <w:t>utilizeze pe deplin instrumente de contracarare a avantajelor fiscale anticoncurențiale care afectează întreprinderile europene, cum ar fi ajutoarele de stat și măsurile antisubvenție</w:t>
            </w:r>
            <w:r>
              <w:t>;</w:t>
            </w:r>
          </w:p>
        </w:tc>
        <w:tc>
          <w:tcPr>
            <w:tcW w:w="4876" w:type="dxa"/>
            <w:tcBorders>
              <w:top w:val="nil"/>
              <w:left w:val="nil"/>
              <w:bottom w:val="nil"/>
              <w:right w:val="nil"/>
            </w:tcBorders>
          </w:tcPr>
          <w:p>
            <w:pPr>
              <w:pStyle w:val="Normal6a"/>
            </w:pPr>
            <w:r>
              <w:t>6.</w:t>
            </w:r>
            <w:r>
              <w:tab/>
            </w:r>
            <w:r>
              <w:t xml:space="preserve">invită Comisia să </w:t>
            </w:r>
            <w:r>
              <w:rPr>
                <w:b/>
                <w:i/>
              </w:rPr>
              <w:t>prezinte o propunere privind un impozit pe serviciile digitale pentru a restabili echitatea în impozitarea economiei digitale;</w:t>
            </w:r>
            <w:r>
              <w:t xml:space="preserve"> </w:t>
            </w:r>
            <w:r>
              <w:rPr>
                <w:b/>
                <w:i/>
              </w:rPr>
              <w:t>constată că anumite întreprinderi multinaționale foarte digitalizate beneficiază în continuare de structuri de afaceri care facilitează transferul profiturilor către jurisdicții cu un nivel scăzut de impozitare, ceea ce duce la cote de impozitare efective semnificativ mai mici decât cele ale multor alți actori economici;</w:t>
            </w:r>
            <w:r>
              <w:t xml:space="preserve"> </w:t>
            </w:r>
            <w:r>
              <w:rPr>
                <w:b/>
                <w:i/>
              </w:rPr>
              <w:t>accentuează că, în absența unei soluții cuprinzătoare la nivel mondial, un impozit pe serviciile digitale la nivelul Uniunii ar constitui un instrument simplu, eficace și flexibil pentru a asigura faptul că valoarea creată în Uniune este impozitată în mod echitabil și concurența în cadrul pieței unice nu este denaturată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invită Comisia să utilizeze pe deplin instrumente de contracarare a avantajelor fiscale anticoncurențiale care afectează întreprinderile europene, cum ar fi ajutoarele de stat și măsurile antisubvenție;</w:t>
            </w:r>
          </w:p>
        </w:tc>
        <w:tc>
          <w:tcPr>
            <w:tcW w:w="4876" w:type="dxa"/>
            <w:tcBorders>
              <w:top w:val="nil"/>
              <w:left w:val="nil"/>
              <w:bottom w:val="nil"/>
              <w:right w:val="nil"/>
            </w:tcBorders>
          </w:tcPr>
          <w:p>
            <w:pPr>
              <w:pStyle w:val="Normal6a"/>
            </w:pPr>
            <w:r>
              <w:t>6.</w:t>
            </w:r>
            <w:r>
              <w:tab/>
            </w:r>
            <w:r>
              <w:t xml:space="preserve">invită Comisia să utilizeze pe deplin instrumente de contracarare a avantajelor fiscale anticoncurențiale care afectează întreprinderile europene, cum ar fi ajutoarele de stat și măsurile antisubvenție; </w:t>
            </w:r>
            <w:r>
              <w:rPr>
                <w:b/>
                <w:i/>
              </w:rPr>
              <w:t>reamintește că este necesar să se revină la un cadru strict al ajutoarelor de stat după încetarea circumstanțelor excepționale, ceea ce ar consolida un ecosistem sănătos de concurență fiscală în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invită Comisia să utilizeze pe deplin instrumente de contracarare a avantajelor fiscale anticoncurențiale care </w:t>
            </w:r>
            <w:r>
              <w:rPr>
                <w:b/>
                <w:i/>
              </w:rPr>
              <w:t>afectează întreprinderile europene, cum ar fi ajutoarele de stat și măsurile antisubvenție</w:t>
            </w:r>
            <w:r>
              <w:t>;</w:t>
            </w:r>
          </w:p>
        </w:tc>
        <w:tc>
          <w:tcPr>
            <w:tcW w:w="4876" w:type="dxa"/>
            <w:tcBorders>
              <w:top w:val="nil"/>
              <w:left w:val="nil"/>
              <w:bottom w:val="nil"/>
              <w:right w:val="nil"/>
            </w:tcBorders>
          </w:tcPr>
          <w:p>
            <w:pPr>
              <w:pStyle w:val="Normal6a"/>
            </w:pPr>
            <w:r>
              <w:t>6.</w:t>
            </w:r>
            <w:r>
              <w:tab/>
            </w:r>
            <w:r>
              <w:t xml:space="preserve">invită Comisia să utilizeze pe deplin instrumente de contracarare a avantajelor fiscale anticoncurențiale care </w:t>
            </w:r>
            <w:r>
              <w:rPr>
                <w:b/>
                <w:i/>
              </w:rPr>
              <w:t>ar putea rezulta din abordarea pe bază de coexistență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constată cu îngrijorare că o parte semnificativă a profiturilor generate de extracția petrolului, a gazelor și a minereurilor este transferată către jurisdicții cu impozite scăzute, dovezile arătând că transferul profiturilor crește în perioadele în care prețurile materiilor prime sunt ridicate;</w:t>
            </w:r>
            <w:r>
              <w:t xml:space="preserve"> </w:t>
            </w:r>
            <w:r>
              <w:rPr>
                <w:b/>
                <w:i/>
              </w:rPr>
              <w:t>invită Comisia să prezinte o propunere privind o suprataxă pe profiturile consolidate ale întreprinderilor din sectorul combustibililor fosili, asigurând impozitarea echitabilă a rentelor din combustibilii fosili, redirecționarea veniturilor către tranziția verde și trecerea de la activitățile dăunătoare mediului la un cadru fiscal mai sustenabil în materie de mediu;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accentuează că o parte substanțială a bogăției este concentrată în activele și profiturile întreprinderilor;</w:t>
            </w:r>
            <w:r>
              <w:t xml:space="preserve"> </w:t>
            </w:r>
            <w:r>
              <w:rPr>
                <w:b/>
                <w:i/>
              </w:rPr>
              <w:t>subliniază că este nevoie de o impozitare echitabilă și eficace a întreprinderilor pentru a asigura venituri publice suficiente, permițând statelor membre să răspundă consecințelor crizelor anterioare și să se pregătească pentru viitoarele probleme economice, sociale și geopolitice;</w:t>
            </w:r>
            <w:r>
              <w:t xml:space="preserve"> </w:t>
            </w:r>
            <w:r>
              <w:rPr>
                <w:b/>
                <w:i/>
              </w:rPr>
              <w:t>constată că planificarea fiscală agresivă și subimpozitarea profiturilor întreprinderilor denaturează concurența, subminează echitatea fiscală și slăbesc condițiile de concurență echitabile, la nivel mondial și intern;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invită Comisia să propună un cadru legislativ pentru a se asigura că întreprinderile multinaționale care au rezidența fiscală în țări terțe sunt impozitate în Uniune într-un mod echivalent cu modul de taxare a celor care au rezidența fiscală într-un stat membru, atunci când generează o parte semnificativă a veniturilor lor pe piața unică;</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evidențiază rolul stimulentelor și scutirilor fiscale specifice în stimularea competitivității și promovarea inovării;</w:t>
            </w:r>
            <w:r>
              <w:t xml:space="preserve"> </w:t>
            </w:r>
            <w:r>
              <w:rPr>
                <w:b/>
                <w:i/>
              </w:rPr>
              <w:t>îndeamnă Comisia și statele membre să dezvolte și să folosească instrumente fiscale care respectă normele UE privind ajutoarele de stat pentru a atrage și a menține activități cu valoare adăugată ridicată în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constată cu îngrijorare că, de la apariția șocului energetic provocat de războiul din Iran, profiturile companiilor petroliere și gaziere au explodat, în timp ce facturile la energie pentru gospodării și întreprinderile europene au crescut foarte mult și se preconizează că profiturile vor continua să crească în următorii ani;</w:t>
            </w:r>
            <w:r>
              <w:t xml:space="preserve"> </w:t>
            </w:r>
            <w:r>
              <w:rPr>
                <w:b/>
                <w:i/>
              </w:rPr>
              <w:t>constată că cele mai mari cinci companii petroliere au înregistrat profituri de peste 100 de miliarde de dolari numai în 2024;</w:t>
            </w:r>
            <w:r>
              <w:t xml:space="preserve"> </w:t>
            </w:r>
            <w:r>
              <w:rPr>
                <w:b/>
                <w:i/>
              </w:rPr>
              <w:t>invită Comisia să propună fără întârziere un impozit specific pe profiturile excepționale în cazul profiturilor excedentare consolidate ale marilor companii petroliere și gaziere, stabilit la o rată de cel puțin 50 %, calculată în raport cu profiturile medii realizate de companiile energetice în ultimii ani;</w:t>
            </w:r>
            <w:r>
              <w:t xml:space="preserve"> </w:t>
            </w:r>
            <w:r>
              <w:rPr>
                <w:b/>
                <w:i/>
              </w:rPr>
              <w:t>accentuează că veniturile provenite dintr-o astfel de măsură ar trebui utilizate pentru a oferi sprijin specific gospodăriilor și IMM-urilor și pentru a contribui la reducerea dependenței Uniunii de combustibilii fosili importați și la accelerarea tranziției energetice sustenabile;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invită Comisia să introducă un mecanism de „prezență fiscală europeană” prin care întreprinderile din țări terțe cu o cifră de afaceri care depășește un anumit prag în Uniune să fie considerate ca având o prezență fiscală în UE, indiferent de sediul lor fizic;</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invită Comisia să evalueze posibilitatea de a impune un impozit compensatoriu suplimentar întreprinderilor din țări terțe care își desfășoară activitatea pe piața internă și care sunt supuse unei cote efective de impozitare semnificativ mai mici decât cea aplicată în statele membre;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6d.</w:t>
            </w:r>
            <w:r>
              <w:tab/>
            </w:r>
            <w:r>
              <w:rPr>
                <w:b/>
                <w:i/>
              </w:rPr>
              <w:t>evidențiază că accesul la instrumentele de finanțare europene, la programele de cercetare și inovare și la achizițiile publice ar trebui să fie condiționat de o prezență fiscală semnificativă în Uniune și de respectarea deplină a normelor fiscale ale UE;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Subtitlul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Necesitatea de a simplifica </w:t>
            </w:r>
            <w:r>
              <w:rPr>
                <w:b/>
                <w:i/>
              </w:rPr>
              <w:t>și</w:t>
            </w:r>
            <w:r>
              <w:t xml:space="preserve"> clarifica legislația UE</w:t>
            </w:r>
          </w:p>
        </w:tc>
        <w:tc>
          <w:tcPr>
            <w:tcW w:w="4876" w:type="dxa"/>
            <w:tcBorders>
              <w:top w:val="nil"/>
              <w:left w:val="nil"/>
              <w:bottom w:val="nil"/>
              <w:right w:val="nil"/>
            </w:tcBorders>
          </w:tcPr>
          <w:p>
            <w:pPr>
              <w:pStyle w:val="Normal6a"/>
            </w:pPr>
            <w:r>
              <w:t>Necesitatea de a simplifica</w:t>
            </w:r>
            <w:r>
              <w:rPr>
                <w:b/>
                <w:i/>
              </w:rPr>
              <w:t>, a</w:t>
            </w:r>
            <w:r>
              <w:t xml:space="preserve"> clarifica </w:t>
            </w:r>
            <w:r>
              <w:rPr>
                <w:b/>
                <w:i/>
              </w:rPr>
              <w:t>și a asigura un proces decizional eficient și democratic în</w:t>
            </w:r>
            <w:r>
              <w:t xml:space="preserve"> legislația </w:t>
            </w:r>
            <w:r>
              <w:rPr>
                <w:b/>
                <w:i/>
              </w:rPr>
              <w:t>fiscală a</w:t>
            </w:r>
            <w:r>
              <w:t xml:space="preserve">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Subtitlul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Necesitatea de a simplifica și clarifica legislația UE</w:t>
            </w:r>
          </w:p>
        </w:tc>
        <w:tc>
          <w:tcPr>
            <w:tcW w:w="4876" w:type="dxa"/>
            <w:tcBorders>
              <w:top w:val="nil"/>
              <w:left w:val="nil"/>
              <w:bottom w:val="nil"/>
              <w:right w:val="nil"/>
            </w:tcBorders>
          </w:tcPr>
          <w:p>
            <w:pPr>
              <w:pStyle w:val="Normal6a"/>
            </w:pPr>
            <w:r>
              <w:t xml:space="preserve">Necesitatea de a simplifica și clarifica legislația UE </w:t>
            </w:r>
            <w:r>
              <w:rPr>
                <w:b/>
                <w:i/>
              </w:rPr>
              <w:t>și de a-i asigura transparența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constată cu îngrijorare că abordarea pe bază de coexistență crește complexitatea juridică și administrativă, precum și costurile de conformare pentru întreprinderile multinaționale cu sediul în UE care își desfășoară activitatea în Statele Unite;</w:t>
            </w:r>
          </w:p>
        </w:tc>
        <w:tc>
          <w:tcPr>
            <w:tcW w:w="4876" w:type="dxa"/>
            <w:tcBorders>
              <w:top w:val="nil"/>
              <w:left w:val="nil"/>
              <w:bottom w:val="nil"/>
              <w:right w:val="nil"/>
            </w:tcBorders>
          </w:tcPr>
          <w:p>
            <w:pPr>
              <w:pStyle w:val="Normal6a"/>
            </w:pPr>
            <w:r>
              <w:t>7.</w:t>
            </w:r>
            <w:r>
              <w:tab/>
            </w:r>
            <w:r>
              <w:t xml:space="preserve">constată cu îngrijorare </w:t>
            </w:r>
            <w:r>
              <w:rPr>
                <w:b/>
                <w:i/>
              </w:rPr>
              <w:t>că modul în care a fost conceput pilonul doi a introdus un nivel separat și împovărător de contabilitate în cerințele de raportare, deoarece, pentru a calcula impozitele minime globale, pe lângă codurile fiscale locale, trebuie aplicate cadre financiare (cum ar fi IFRS sau GAAP din SUA) combinate cu ajustări complexe ale OCDE;</w:t>
            </w:r>
            <w:r>
              <w:t xml:space="preserve"> </w:t>
            </w:r>
            <w:r>
              <w:rPr>
                <w:b/>
                <w:i/>
              </w:rPr>
              <w:t>regretă</w:t>
            </w:r>
            <w:r>
              <w:t xml:space="preserve"> că abordarea pe bază de coexistență crește </w:t>
            </w:r>
            <w:r>
              <w:rPr>
                <w:b/>
                <w:i/>
              </w:rPr>
              <w:t>și mai mult</w:t>
            </w:r>
            <w:r>
              <w:t xml:space="preserve"> complexitatea juridică și administrativă, precum și costurile de conformare pentru întreprinderile multinaționale cu sediul în UE care își desfășoară activitatea în Statele Unite;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constată cu îngrijorare că abordarea pe bază de coexistență crește complexitatea juridică și administrativă, precum și </w:t>
            </w:r>
            <w:r>
              <w:rPr>
                <w:b/>
                <w:i/>
              </w:rPr>
              <w:t>costurile</w:t>
            </w:r>
            <w:r>
              <w:t xml:space="preserve"> de conformare pentru întreprinderile multinaționale cu sediul în UE care își desfășoară activitatea în Statele Unite;</w:t>
            </w:r>
          </w:p>
        </w:tc>
        <w:tc>
          <w:tcPr>
            <w:tcW w:w="4876" w:type="dxa"/>
            <w:tcBorders>
              <w:top w:val="nil"/>
              <w:left w:val="nil"/>
              <w:bottom w:val="nil"/>
              <w:right w:val="nil"/>
            </w:tcBorders>
          </w:tcPr>
          <w:p>
            <w:pPr>
              <w:pStyle w:val="Normal6a"/>
            </w:pPr>
            <w:r>
              <w:t>7.</w:t>
            </w:r>
            <w:r>
              <w:tab/>
            </w:r>
            <w:r>
              <w:t xml:space="preserve">constată cu îngrijorare că abordarea pe bază de coexistență crește complexitatea juridică și administrativă </w:t>
            </w:r>
            <w:r>
              <w:rPr>
                <w:b/>
                <w:i/>
              </w:rPr>
              <w:t>și creează noi lacune</w:t>
            </w:r>
            <w:r>
              <w:t xml:space="preserve">, precum și </w:t>
            </w:r>
            <w:r>
              <w:rPr>
                <w:b/>
                <w:i/>
              </w:rPr>
              <w:t>costuri</w:t>
            </w:r>
            <w:r>
              <w:t xml:space="preserve"> de conformare</w:t>
            </w:r>
            <w:r>
              <w:rPr>
                <w:b/>
                <w:i/>
              </w:rPr>
              <w:t>, inclusiv</w:t>
            </w:r>
            <w:r>
              <w:t xml:space="preserve"> pentru întreprinderile multinaționale cu sediul în UE care își desfășoară activitatea în Statele Unite</w:t>
            </w:r>
            <w:r>
              <w:rPr>
                <w:b/>
                <w:i/>
              </w:rPr>
              <w:t>, protejând în același timp întreprinderile cu sediul în SUA de elemente esențiale ale cadrului pilonului doi al OCDE și permițând continuarea abuzurilor fiscale dăunătoare ale întreprinderilor</w:t>
            </w:r>
            <w:r>
              <w:rPr>
                <w:b/>
                <w:i/>
                <w:vertAlign w:val="superscript"/>
              </w:rPr>
              <w:t>1b</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https://thefactcoalition.orgn/oecd-side-by-side-agreement/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Katri Kulmuni, Billy Kelleher,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constată cu îngrijorare că abordarea pe bază de coexistență crește complexitatea juridică și administrativă, precum și costurile de conformare pentru întreprinderile multinaționale cu sediul în UE care își desfășoară activitatea în Statele Unite;</w:t>
            </w:r>
          </w:p>
        </w:tc>
        <w:tc>
          <w:tcPr>
            <w:tcW w:w="4876" w:type="dxa"/>
            <w:tcBorders>
              <w:top w:val="nil"/>
              <w:left w:val="nil"/>
              <w:bottom w:val="nil"/>
              <w:right w:val="nil"/>
            </w:tcBorders>
          </w:tcPr>
          <w:p>
            <w:pPr>
              <w:pStyle w:val="Normal6a"/>
            </w:pPr>
            <w:r>
              <w:t>7.</w:t>
            </w:r>
            <w:r>
              <w:tab/>
            </w:r>
            <w:r>
              <w:t>constată cu îngrijorare că abordarea pe bază de coexistență crește complexitatea juridică și administrativă, precum și costurile de conformare pentru întreprinderile multinaționale cu sediul în UE care își desfășoară activitatea în Statele Unite</w:t>
            </w:r>
            <w:r>
              <w:rPr>
                <w:b/>
                <w:i/>
              </w:rPr>
              <w:t>, subminând astfel competitivitatea 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consideră că armonizarea procedurilor de impozitare a societăților, inclusiv calcularea bazelor de impozitare, asigurarea respectării normelor și definițiile, ar oferi beneficii clare pentru mediul de afaceri, deoarece ar facilita desfășurarea de activități de investiții de către întreprinderi într-un alt stat membru al UE, contribuind, în același timp, la reducerea evaziunii fiscale și a evitării obligațiilor fiscale;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salută</w:t>
            </w:r>
            <w:r>
              <w:t xml:space="preserve"> activitatea Comisiei de pregătire a pachetului Omnibus privind impozitele; solicită Comisiei să acorde prioritate simplificării </w:t>
            </w:r>
            <w:r>
              <w:rPr>
                <w:b/>
                <w:i/>
              </w:rPr>
              <w:t>fiscale</w:t>
            </w:r>
            <w:r>
              <w:t xml:space="preserve"> prin revizuirea măsurilor suprapuse </w:t>
            </w:r>
            <w:r>
              <w:rPr>
                <w:b/>
                <w:i/>
              </w:rPr>
              <w:t>prevăzute de legislația UE</w:t>
            </w:r>
            <w:r>
              <w:t xml:space="preserve"> în materie de informare și de combatere a evitării obligațiilor fiscale </w:t>
            </w:r>
            <w:r>
              <w:rPr>
                <w:b/>
                <w:i/>
              </w:rPr>
              <w:t>și prin</w:t>
            </w:r>
            <w:r>
              <w:t xml:space="preserve"> reducerea sarcinii administrative pentru întreprinderile cu sediul în UE, în special </w:t>
            </w:r>
            <w:r>
              <w:rPr>
                <w:b/>
                <w:i/>
              </w:rPr>
              <w:t>prin examinarea necesității de a menține</w:t>
            </w:r>
            <w:r>
              <w:t xml:space="preserve"> dispozițiile Directivei împotriva evitării obligațiilor fiscale privind societățile străine controlate și </w:t>
            </w:r>
            <w:r>
              <w:rPr>
                <w:b/>
                <w:i/>
              </w:rPr>
              <w:t>prin revizuirea și, eventual, simplificarea Directivei privind societățile‑mamă și filialele acestora, a Directivei privind fuziunile,</w:t>
            </w:r>
            <w:r>
              <w:t xml:space="preserve"> a Directivei privind raportarea pentru fiecare țară în parte </w:t>
            </w:r>
            <w:r>
              <w:rPr>
                <w:b/>
                <w:i/>
              </w:rPr>
              <w:t>și</w:t>
            </w:r>
            <w:r>
              <w:t xml:space="preserve"> a cadrului </w:t>
            </w:r>
            <w:r>
              <w:rPr>
                <w:b/>
                <w:i/>
              </w:rPr>
              <w:t>DAC</w:t>
            </w:r>
            <w:r>
              <w:t>;</w:t>
            </w:r>
          </w:p>
        </w:tc>
        <w:tc>
          <w:tcPr>
            <w:tcW w:w="4876" w:type="dxa"/>
            <w:tcBorders>
              <w:top w:val="nil"/>
              <w:left w:val="nil"/>
              <w:bottom w:val="nil"/>
              <w:right w:val="nil"/>
            </w:tcBorders>
          </w:tcPr>
          <w:p>
            <w:pPr>
              <w:pStyle w:val="Normal6a"/>
            </w:pPr>
            <w:r>
              <w:t>8.</w:t>
            </w:r>
            <w:r>
              <w:tab/>
            </w:r>
            <w:r>
              <w:rPr>
                <w:b/>
                <w:i/>
              </w:rPr>
              <w:t>ia act de</w:t>
            </w:r>
            <w:r>
              <w:t xml:space="preserve"> activitatea Comisiei de pregătire a pachetului Omnibus privind impozitele; solicită Comisiei să acorde prioritate simplificării </w:t>
            </w:r>
            <w:r>
              <w:rPr>
                <w:b/>
                <w:i/>
              </w:rPr>
              <w:t>administrative</w:t>
            </w:r>
            <w:r>
              <w:t xml:space="preserve"> prin revizuirea măsurilor suprapuse în materie de informare și </w:t>
            </w:r>
            <w:r>
              <w:rPr>
                <w:b/>
                <w:i/>
              </w:rPr>
              <w:t>să evalueze și să îmbunătățească coerența măsurilor</w:t>
            </w:r>
            <w:r>
              <w:t xml:space="preserve"> de combatere a evitării obligațiilor fiscale </w:t>
            </w:r>
            <w:r>
              <w:rPr>
                <w:b/>
                <w:i/>
              </w:rPr>
              <w:t>în temeiul legislației fiscale a UE, simplificând în același timp raportarea și procedurile pentru</w:t>
            </w:r>
            <w:r>
              <w:t xml:space="preserve"> reducerea sarcinii administrative </w:t>
            </w:r>
            <w:r>
              <w:rPr>
                <w:b/>
                <w:i/>
              </w:rPr>
              <w:t>inutile</w:t>
            </w:r>
            <w:r>
              <w:t xml:space="preserve"> pentru întreprinderile cu sediul în UE</w:t>
            </w:r>
            <w:r>
              <w:rPr>
                <w:b/>
                <w:i/>
              </w:rPr>
              <w:t>;</w:t>
            </w:r>
            <w:r>
              <w:t xml:space="preserve"> </w:t>
            </w:r>
            <w:r>
              <w:rPr>
                <w:b/>
                <w:i/>
              </w:rPr>
              <w:t>invită, de asemenea, Comisia să reziste presiunii de dereglementare exercitate de marile întreprinderi multinaționale care desfășoară activități de lobby cu scopul de a slăbi normele fiscale ale UE și să se asigure că acest exercițiu nu conduce la reducerea transparenței fiscale sau la norme fiscale mai slabe împotriva evitării obligațiilor fiscale;</w:t>
            </w:r>
            <w:r>
              <w:t xml:space="preserve"> </w:t>
            </w:r>
            <w:r>
              <w:rPr>
                <w:b/>
                <w:i/>
              </w:rPr>
              <w:t>se opune</w:t>
            </w:r>
            <w:r>
              <w:t>, în special</w:t>
            </w:r>
            <w:r>
              <w:rPr>
                <w:b/>
                <w:i/>
              </w:rPr>
              <w:t>, oricărui regres în legătură cu</w:t>
            </w:r>
            <w:r>
              <w:t xml:space="preserve"> dispozițiile Directivei împotriva evitării obligațiilor fiscale privind societățile străine controlate și </w:t>
            </w:r>
            <w:r>
              <w:rPr>
                <w:b/>
                <w:i/>
              </w:rPr>
              <w:t>oricărei revizuiri premature</w:t>
            </w:r>
            <w:r>
              <w:t xml:space="preserve"> a Directivei privind raportarea pentru fiecare țară în parte</w:t>
            </w:r>
            <w:r>
              <w:rPr>
                <w:b/>
                <w:i/>
              </w:rPr>
              <w:t>, întrucât efectele sale practice nu pot fi încă evaluate corespunzător deoarece punerea sa în aplicare este încă recentă;</w:t>
            </w:r>
            <w:r>
              <w:t xml:space="preserve"> </w:t>
            </w:r>
            <w:r>
              <w:rPr>
                <w:b/>
                <w:i/>
              </w:rPr>
              <w:t>invită, în schimb, Comisia să acorde suficient timp pentru punerea în aplicare înainte de a lua în considerare orice modificări legislative, să efectueze o evaluare bazată pe dovezi a primilor doi ani de punere în aplicare și să prezinte propuneri de consolidare</w:t>
            </w:r>
            <w:r>
              <w:t xml:space="preserve"> a cadrului</w:t>
            </w:r>
            <w:r>
              <w:rPr>
                <w:b/>
                <w:i/>
              </w:rPr>
              <w:t>, inclusiv prin trecerea la o raportare publică dezagregată completă pentru fiecare țară în parte în toate jurisdicțiile</w:t>
            </w:r>
            <w:r>
              <w:t xml:space="preserve">; </w:t>
            </w:r>
            <w:r>
              <w:rPr>
                <w:b/>
                <w:i/>
              </w:rPr>
              <w:t>accentuează, de asemenea, că este important să se consolideze cooperarea dintre statele membre și administrațiile fiscale naționale pentru a promova o interpretare și o aplicare mai coerente atât a legislației fiscale directe, cât și a celei indirecte în întreaga Uniune;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Enikő Győri, Tomáš Kubín,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salută activitatea Comisiei de pregătire a pachetului Omnibus privind impozitele; solicită Comisiei să acorde prioritate simplificării fiscale prin revizuirea măsurilor suprapuse prevăzute de legislația UE în materie de informare și de combatere a evitării obligațiilor fiscale și prin reducerea sarcinii administrative pentru întreprinderile cu sediul în UE, în special prin examinarea necesității de a menține dispozițiile Directivei împotriva evitării obligațiilor fiscale privind societățile străine controlate și prin revizuirea și, eventual, simplificarea Directivei privind societățile‑mamă și filialele acestora, a Directivei privind fuziunile, a Directivei privind raportarea pentru fiecare țară în parte și a cadrului DAC;</w:t>
            </w:r>
          </w:p>
        </w:tc>
        <w:tc>
          <w:tcPr>
            <w:tcW w:w="4876" w:type="dxa"/>
            <w:tcBorders>
              <w:top w:val="nil"/>
              <w:left w:val="nil"/>
              <w:bottom w:val="nil"/>
              <w:right w:val="nil"/>
            </w:tcBorders>
          </w:tcPr>
          <w:p>
            <w:pPr>
              <w:pStyle w:val="Normal6a"/>
            </w:pPr>
            <w:r>
              <w:t>8.</w:t>
            </w:r>
            <w:r>
              <w:tab/>
            </w:r>
            <w:r>
              <w:t>salută activitatea Comisiei de pregătire a pachetului Omnibus privind impozitele</w:t>
            </w:r>
            <w:r>
              <w:rPr>
                <w:b/>
                <w:i/>
              </w:rPr>
              <w:t>;</w:t>
            </w:r>
            <w:r>
              <w:t xml:space="preserve"> </w:t>
            </w:r>
            <w:r>
              <w:rPr>
                <w:b/>
                <w:i/>
              </w:rPr>
              <w:t>invită Comisia să urmărească o agendă ambițioasă și cuprinzătoare de simplificare a impozitării societăților, care să consolideze competitivitatea Uniunii la nivel mondial, să scadă costurile de asigurare a conformității și să îmbunătățească securitatea juridică pentru întreprinderile care își desfășoară activitatea pe piața internă</w:t>
            </w:r>
            <w:r>
              <w:t xml:space="preserve">; solicită Comisiei să acorde prioritate simplificării fiscale prin revizuirea măsurilor suprapuse prevăzute de legislația UE în materie de informare și de combatere a evitării obligațiilor fiscale și prin reducerea sarcinii administrative pentru întreprinderile cu sediul în UE, în special prin examinarea necesității de a menține dispozițiile Directivei împotriva evitării obligațiilor fiscale privind societățile străine controlate și prin revizuirea și, eventual, simplificarea Directivei privind societățile‑mamă și filialele acestora, a Directivei privind fuziunile, a Directivei privind raportarea pentru fiecare țară în parte și a cadrului DAC; </w:t>
            </w:r>
            <w:r>
              <w:rPr>
                <w:b/>
                <w:i/>
              </w:rPr>
              <w:t>evidențiază că demersurile de simplificare ar trebui să aducă beneficii în special IMM-urilor, societăților inovatoare și întreprinderilor transfrontaliere prin reducerea sarcinilor administrative excesive, a obligațiilor de raportare redundante și a fragmentării juridice în întreaga Uniune;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salută</w:t>
            </w:r>
            <w:r>
              <w:t xml:space="preserve"> activitatea Comisiei de pregătire a pachetului Omnibus privind impozitele; solicită Comisiei să acorde prioritate simplificării fiscale prin revizuirea măsurilor suprapuse prevăzute de legislația UE în materie de informare și de combatere a evitării obligațiilor fiscale și prin reducerea sarcinii administrative pentru întreprinderile cu sediul în UE, în special prin </w:t>
            </w:r>
            <w:r>
              <w:rPr>
                <w:b/>
                <w:i/>
              </w:rPr>
              <w:t>examinarea necesității de a menține dispozițiile</w:t>
            </w:r>
            <w:r>
              <w:t xml:space="preserve"> Directivei împotriva evitării obligațiilor fiscale </w:t>
            </w:r>
            <w:r>
              <w:rPr>
                <w:b/>
                <w:i/>
              </w:rPr>
              <w:t>privind societățile străine controlate</w:t>
            </w:r>
            <w:r>
              <w:t xml:space="preserve"> și prin revizuirea și, eventual, simplificarea Directivei privind societățile‑mamă și filialele acestora, a Directivei privind fuziunile, a Directivei privind raportarea pentru fiecare țară în parte și a cadrului DAC;</w:t>
            </w:r>
          </w:p>
        </w:tc>
        <w:tc>
          <w:tcPr>
            <w:tcW w:w="4876" w:type="dxa"/>
            <w:tcBorders>
              <w:top w:val="nil"/>
              <w:left w:val="nil"/>
              <w:bottom w:val="nil"/>
              <w:right w:val="nil"/>
            </w:tcBorders>
          </w:tcPr>
          <w:p>
            <w:pPr>
              <w:pStyle w:val="Normal6a"/>
            </w:pPr>
            <w:r>
              <w:t>8.</w:t>
            </w:r>
            <w:r>
              <w:tab/>
            </w:r>
            <w:r>
              <w:rPr>
                <w:b/>
                <w:i/>
              </w:rPr>
              <w:t>ia act de</w:t>
            </w:r>
            <w:r>
              <w:t xml:space="preserve"> activitatea Comisiei de pregătire a pachetului Omnibus privind impozitele</w:t>
            </w:r>
            <w:r>
              <w:rPr>
                <w:b/>
                <w:i/>
              </w:rPr>
              <w:t>;</w:t>
            </w:r>
            <w:r>
              <w:t xml:space="preserve"> </w:t>
            </w:r>
            <w:r>
              <w:rPr>
                <w:b/>
                <w:i/>
              </w:rPr>
              <w:t>constată, în special, că este necesar să se valorifice procesul de revizuire pentru a aborda normele care în prezent se suprapun și pentru a raționaliza și simplifica aplicarea normelor și a conceptelor comune;</w:t>
            </w:r>
            <w:r>
              <w:t xml:space="preserve"> </w:t>
            </w:r>
            <w:r>
              <w:rPr>
                <w:b/>
                <w:i/>
              </w:rPr>
              <w:t>subliniază îndeosebi că standardizarea termenilor și a conceptelor este esențială pentru simplificarea conformității, deoarece diferitele interpretări interne pot conduce la fragmentare și complexitate</w:t>
            </w:r>
            <w:r>
              <w:t xml:space="preserve">; solicită Comisiei să acorde prioritate simplificării fiscale prin revizuirea măsurilor suprapuse prevăzute de legislația UE în materie de informare și de combatere a evitării obligațiilor fiscale și prin reducerea sarcinii administrative pentru întreprinderile cu sediul în UE, în special prin </w:t>
            </w:r>
            <w:r>
              <w:rPr>
                <w:b/>
                <w:i/>
              </w:rPr>
              <w:t>armonizarea prevederilor</w:t>
            </w:r>
            <w:r>
              <w:t xml:space="preserve"> Directivei împotriva evitării obligațiilor fiscale </w:t>
            </w:r>
            <w:r>
              <w:rPr>
                <w:b/>
                <w:i/>
              </w:rPr>
              <w:t>cu cadrul pilonului doi, în măsura posibilului,</w:t>
            </w:r>
            <w:r>
              <w:t xml:space="preserve"> și prin revizuirea și, eventual, simplificarea Directivei privind societățile‑mamă și filialele acestora, a Directivei privind fuziunile, a Directivei privind raportarea pentru fiecare țară în parte și a cadrului DAC; </w:t>
            </w:r>
            <w:r>
              <w:rPr>
                <w:b/>
                <w:i/>
              </w:rPr>
              <w:t>subliniază că eforturile de simplificare a legislației UE nu trebuie să conducă la dereglementare și la scăderea standardelor actuale;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salută</w:t>
            </w:r>
            <w:r>
              <w:t xml:space="preserve"> activitatea Comisiei de pregătire a pachetului Omnibus privind </w:t>
            </w:r>
            <w:r>
              <w:rPr>
                <w:b/>
                <w:i/>
              </w:rPr>
              <w:t>impozitele</w:t>
            </w:r>
            <w:r>
              <w:t xml:space="preserve">; solicită Comisiei să acorde prioritate </w:t>
            </w:r>
            <w:r>
              <w:rPr>
                <w:b/>
                <w:i/>
              </w:rPr>
              <w:t>simplificării</w:t>
            </w:r>
            <w:r>
              <w:t xml:space="preserve"> fiscale </w:t>
            </w:r>
            <w:r>
              <w:rPr>
                <w:b/>
                <w:i/>
              </w:rPr>
              <w:t>prin revizuirea măsurilor suprapuse prevăzute de legislația UE în materie de informare și de combatere a evitării obligațiilor fiscale și prin reducerea sarcinii administrative pentru întreprinderile cu sediul în UE, în special prin examinarea necesității de a menține dispozițiile</w:t>
            </w:r>
            <w:r>
              <w:t xml:space="preserve"> Directivei împotriva evitării obligațiilor fiscale privind societățile străine controlate </w:t>
            </w:r>
            <w:r>
              <w:rPr>
                <w:b/>
                <w:i/>
              </w:rPr>
              <w:t>și</w:t>
            </w:r>
            <w:r>
              <w:t xml:space="preserve"> prin revizuirea </w:t>
            </w:r>
            <w:r>
              <w:rPr>
                <w:b/>
                <w:i/>
              </w:rPr>
              <w:t>și, eventual, simplificarea</w:t>
            </w:r>
            <w:r>
              <w:t xml:space="preserve"> Directivei privind societățile‑mamă și filialele acestora, a Directivei privind fuziunile</w:t>
            </w:r>
            <w:r>
              <w:rPr>
                <w:b/>
                <w:i/>
              </w:rPr>
              <w:t>, a</w:t>
            </w:r>
            <w:r>
              <w:t xml:space="preserve"> Directivei privind </w:t>
            </w:r>
            <w:r>
              <w:rPr>
                <w:b/>
                <w:i/>
              </w:rPr>
              <w:t>raportarea pentru fiecare țară în parte și a cadrului DAC</w:t>
            </w:r>
            <w:r>
              <w:t>;</w:t>
            </w:r>
          </w:p>
        </w:tc>
        <w:tc>
          <w:tcPr>
            <w:tcW w:w="4876" w:type="dxa"/>
            <w:tcBorders>
              <w:top w:val="nil"/>
              <w:left w:val="nil"/>
              <w:bottom w:val="nil"/>
              <w:right w:val="nil"/>
            </w:tcBorders>
          </w:tcPr>
          <w:p>
            <w:pPr>
              <w:pStyle w:val="Normal6a"/>
            </w:pPr>
            <w:r>
              <w:t>8.</w:t>
            </w:r>
            <w:r>
              <w:tab/>
            </w:r>
            <w:r>
              <w:rPr>
                <w:b/>
                <w:i/>
              </w:rPr>
              <w:t>ia act de</w:t>
            </w:r>
            <w:r>
              <w:t xml:space="preserve"> activitatea Comisiei de pregătire a pachetului Omnibus privind </w:t>
            </w:r>
            <w:r>
              <w:rPr>
                <w:b/>
                <w:i/>
              </w:rPr>
              <w:t>impozitarea</w:t>
            </w:r>
            <w:r>
              <w:t xml:space="preserve">; solicită Comisiei să acorde prioritate </w:t>
            </w:r>
            <w:r>
              <w:rPr>
                <w:b/>
                <w:i/>
              </w:rPr>
              <w:t>identificării lacunelor</w:t>
            </w:r>
            <w:r>
              <w:t xml:space="preserve"> fiscale </w:t>
            </w:r>
            <w:r>
              <w:rPr>
                <w:b/>
                <w:i/>
              </w:rPr>
              <w:t>rămase și raționalizării normelor care se suprapun;</w:t>
            </w:r>
            <w:r>
              <w:t xml:space="preserve"> </w:t>
            </w:r>
            <w:r>
              <w:rPr>
                <w:b/>
                <w:i/>
              </w:rPr>
              <w:t>subliniază eficacitatea</w:t>
            </w:r>
            <w:r>
              <w:t xml:space="preserve"> Directivei împotriva evitării obligațiilor fiscale </w:t>
            </w:r>
            <w:r>
              <w:rPr>
                <w:b/>
                <w:i/>
              </w:rPr>
              <w:t>în punerea în aplicare a Planului de acțiune al OCDE privind erodarea bazei impozabile și transferul profiturilor (BEPS);</w:t>
            </w:r>
            <w:r>
              <w:t xml:space="preserve"> </w:t>
            </w:r>
            <w:r>
              <w:rPr>
                <w:b/>
                <w:i/>
              </w:rPr>
              <w:t>recunoaște că dispozițiile</w:t>
            </w:r>
            <w:r>
              <w:t xml:space="preserve"> privind societățile străine controlate </w:t>
            </w:r>
            <w:r>
              <w:rPr>
                <w:b/>
                <w:i/>
              </w:rPr>
              <w:t>(SSC) ar putea fi simplificate prin menținerea opțiunii prevăzute la articolul 7 alineatul (2) litera (a) pentru veniturile nedistribuite;</w:t>
            </w:r>
            <w:r>
              <w:t xml:space="preserve"> </w:t>
            </w:r>
            <w:r>
              <w:rPr>
                <w:b/>
                <w:i/>
              </w:rPr>
              <w:t>reamintește că pilonul doi, spre deosebire de Directiva împotriva evitării obligațiilor fiscale, se aplică numai grupurilor cu un venit anual de cel puțin 750 000 000 EUR;</w:t>
            </w:r>
            <w:r>
              <w:t xml:space="preserve"> </w:t>
            </w:r>
            <w:r>
              <w:rPr>
                <w:b/>
                <w:i/>
              </w:rPr>
              <w:t>recunoaște potențialul de simplificare</w:t>
            </w:r>
            <w:r>
              <w:t xml:space="preserve"> prin revizuirea Directivei privind societățile‑mamă și filialele acestora, a Directivei privind fuziunile </w:t>
            </w:r>
            <w:r>
              <w:rPr>
                <w:b/>
                <w:i/>
              </w:rPr>
              <w:t>și a cadrului</w:t>
            </w:r>
            <w:r>
              <w:t xml:space="preserve"> Directivei privind </w:t>
            </w:r>
            <w:r>
              <w:rPr>
                <w:b/>
                <w:i/>
              </w:rPr>
              <w:t>cooperarea administrativă (DAC);</w:t>
            </w:r>
            <w:r>
              <w:t xml:space="preserve"> </w:t>
            </w:r>
            <w:r>
              <w:rPr>
                <w:b/>
                <w:i/>
              </w:rPr>
              <w:t>subliniază că demersurile de simplificare a legislației UE nu trebuie să conducă la dereglementare și la scăderea standardelor actuale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Jussi Saramo, 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salută activitatea Comisiei de pregătire a pachetului Omnibus privind impozitele; solicită Comisiei să acorde prioritate simplificării fiscale prin revizuirea măsurilor suprapuse prevăzute de legislația UE în materie de informare și de combatere a evitării obligațiilor fiscale și prin reducerea sarcinii administrative pentru întreprinderile cu sediul în UE</w:t>
            </w:r>
            <w:r>
              <w:rPr>
                <w:b/>
                <w:i/>
              </w:rPr>
              <w:t>, în special prin examinarea necesității de a menține dispozițiile Directivei împotriva evitării</w:t>
            </w:r>
            <w:r>
              <w:t xml:space="preserve"> obligațiilor </w:t>
            </w:r>
            <w:r>
              <w:rPr>
                <w:b/>
                <w:i/>
              </w:rPr>
              <w:t>fiscale privind societățile străine controlate și prin revizuirea și, eventual, simplificarea Directivei privind societățile‑mamă și filialele acestora, a Directivei privind fuziunile, a Directivei privind raportarea pentru fiecare țară în parte și a cadrului DAC</w:t>
            </w:r>
            <w:r>
              <w:t>;</w:t>
            </w:r>
          </w:p>
        </w:tc>
        <w:tc>
          <w:tcPr>
            <w:tcW w:w="4876" w:type="dxa"/>
            <w:tcBorders>
              <w:top w:val="nil"/>
              <w:left w:val="nil"/>
              <w:bottom w:val="nil"/>
              <w:right w:val="nil"/>
            </w:tcBorders>
          </w:tcPr>
          <w:p>
            <w:pPr>
              <w:pStyle w:val="Normal6a"/>
            </w:pPr>
            <w:r>
              <w:t>8.</w:t>
            </w:r>
            <w:r>
              <w:tab/>
            </w:r>
            <w:r>
              <w:t>salută activitatea Comisiei de pregătire a pachetului Omnibus privind impozitele; solicită Comisiei să acorde prioritate simplificării fiscale prin revizuirea măsurilor suprapuse prevăzute de legislația UE în materie de informare și de combatere a evitării obligațiilor fiscale și prin reducerea sarcinii administrative pentru întreprinderile cu sediul în UE</w:t>
            </w:r>
            <w:r>
              <w:rPr>
                <w:b/>
                <w:i/>
              </w:rPr>
              <w:t>;</w:t>
            </w:r>
            <w:r>
              <w:t xml:space="preserve"> </w:t>
            </w:r>
            <w:r>
              <w:rPr>
                <w:b/>
                <w:i/>
              </w:rPr>
              <w:t>subliniază, cu toate acestea, că niciun exercițiu de simplificare nu trebuie să fie în detrimentul mecanismelor de transparență și al cadrului de publicare a informațiilor, care sunt esențiale pentru aplicarea eficace a normelor fiscale, protecția veniturilor publice și statul de drept;</w:t>
            </w:r>
            <w:r>
              <w:t xml:space="preserve"> </w:t>
            </w:r>
            <w:r>
              <w:rPr>
                <w:b/>
                <w:i/>
              </w:rPr>
              <w:t>invită Comisia să garanteze că orice reducere a</w:t>
            </w:r>
            <w:r>
              <w:t xml:space="preserve"> obligațiilor </w:t>
            </w:r>
            <w:r>
              <w:rPr>
                <w:b/>
                <w:i/>
              </w:rPr>
              <w:t>de transparență este însoțită de o evaluare temeinică de impact care să demonstreze că nu scade astfel sub nicio formă capacitatea de a asigura respectarea legii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salută activitatea Comisiei de pregătire a pachetului Omnibus privind impozitele; solicită Comisiei să acorde prioritate simplificării fiscale prin revizuirea măsurilor suprapuse prevăzute de legislația UE în materie de informare și de combatere a evitării obligațiilor fiscale și prin reducerea sarcinii administrative pentru întreprinderile cu sediul în UE, </w:t>
            </w:r>
            <w:r>
              <w:rPr>
                <w:b/>
                <w:i/>
              </w:rPr>
              <w:t>în special prin examinarea necesității de a menține dispozițiile Directivei împotriva evitării obligațiilor fiscale privind societățile străine controlate și prin revizuirea și, eventual, simplificarea Directivei privind societățile‑mamă și filialele acestora, a Directivei privind fuziunile, a Directivei privind raportarea pentru fiecare țară în parte și a cadrului DAC</w:t>
            </w:r>
            <w:r>
              <w:t>;</w:t>
            </w:r>
          </w:p>
        </w:tc>
        <w:tc>
          <w:tcPr>
            <w:tcW w:w="4876" w:type="dxa"/>
            <w:tcBorders>
              <w:top w:val="nil"/>
              <w:left w:val="nil"/>
              <w:bottom w:val="nil"/>
              <w:right w:val="nil"/>
            </w:tcBorders>
          </w:tcPr>
          <w:p>
            <w:pPr>
              <w:pStyle w:val="Normal6a"/>
            </w:pPr>
            <w:r>
              <w:t>8.</w:t>
            </w:r>
            <w:r>
              <w:tab/>
            </w:r>
            <w:r>
              <w:t xml:space="preserve">salută activitatea Comisiei de pregătire a pachetului Omnibus privind impozitele; solicită Comisiei să acorde prioritate simplificării fiscale prin revizuirea măsurilor suprapuse prevăzute de legislația UE în materie de informare și de combatere a evitării obligațiilor fiscale și prin reducerea sarcinii administrative pentru întreprinderile cu sediul în UE, </w:t>
            </w:r>
            <w:r>
              <w:rPr>
                <w:b/>
                <w:i/>
              </w:rPr>
              <w:t>pe baza unui test strict de proporționalitate și a principiului că nu ar trebui introdusă nicio nouă obligație de raportare fiscală fără a elimina sau a simplifica o obligație echivalentă existentă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salută activitatea Comisiei de pregătire a pachetului Omnibus privind impozitele; solicită Comisiei să acorde prioritate simplificării fiscale prin revizuirea măsurilor suprapuse prevăzute de legislația UE în materie de informare și de combatere a evitării obligațiilor fiscale și prin reducerea sarcinii administrative pentru întreprinderile cu sediul în UE, în special prin examinarea necesității de a menține dispozițiile Directivei împotriva evitării obligațiilor fiscale privind societățile străine controlate și prin revizuirea și, eventual, simplificarea Directivei privind societățile‑mamă și filialele acestora, a Directivei privind fuziunile, a Directivei privind raportarea pentru fiecare țară în parte și a cadrului </w:t>
            </w:r>
            <w:r>
              <w:rPr>
                <w:b/>
                <w:i/>
              </w:rPr>
              <w:t>DAC</w:t>
            </w:r>
            <w:r>
              <w:t>;</w:t>
            </w:r>
          </w:p>
        </w:tc>
        <w:tc>
          <w:tcPr>
            <w:tcW w:w="4876" w:type="dxa"/>
            <w:tcBorders>
              <w:top w:val="nil"/>
              <w:left w:val="nil"/>
              <w:bottom w:val="nil"/>
              <w:right w:val="nil"/>
            </w:tcBorders>
          </w:tcPr>
          <w:p>
            <w:pPr>
              <w:pStyle w:val="Normal6a"/>
            </w:pPr>
            <w:r>
              <w:t>8.</w:t>
            </w:r>
            <w:r>
              <w:tab/>
            </w:r>
            <w:r>
              <w:t xml:space="preserve">salută activitatea Comisiei de pregătire a pachetului Omnibus privind impozitele; solicită Comisiei să acorde prioritate simplificării fiscale prin revizuirea măsurilor suprapuse prevăzute de legislația UE în materie de informare și de combatere a evitării obligațiilor fiscale și prin reducerea sarcinii administrative pentru întreprinderile cu sediul în UE, în special prin examinarea necesității de a menține dispozițiile Directivei împotriva evitării obligațiilor fiscale privind societățile străine controlate și prin revizuirea și, eventual, simplificarea Directivei privind societățile‑mamă și filialele acestora, a Directivei privind fuziunile, a Directivei privind raportarea pentru fiecare țară în parte și a cadrului </w:t>
            </w:r>
            <w:r>
              <w:rPr>
                <w:b/>
                <w:i/>
              </w:rPr>
              <w:t>pentru cooperarea administrativă (DAC)</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salută activitatea Comisiei de pregătire a pachetului Omnibus privind </w:t>
            </w:r>
            <w:r>
              <w:rPr>
                <w:b/>
                <w:i/>
              </w:rPr>
              <w:t>impozitele</w:t>
            </w:r>
            <w:r>
              <w:t>; solicită Comisiei să acorde prioritate simplificării fiscale prin revizuirea măsurilor suprapuse prevăzute de legislația UE în materie de informare și de combatere a evitării obligațiilor fiscale și prin reducerea sarcinii administrative pentru întreprinderile cu sediul în UE, în special prin examinarea necesității de a menține dispozițiile Directivei împotriva evitării obligațiilor fiscale privind societățile străine controlate și prin revizuirea și, eventual, simplificarea Directivei privind societățile‑mamă și filialele acestora, a Directivei privind fuziunile, a Directivei privind raportarea pentru fiecare țară în parte și a cadrului DAC;</w:t>
            </w:r>
          </w:p>
        </w:tc>
        <w:tc>
          <w:tcPr>
            <w:tcW w:w="4876" w:type="dxa"/>
            <w:tcBorders>
              <w:top w:val="nil"/>
              <w:left w:val="nil"/>
              <w:bottom w:val="nil"/>
              <w:right w:val="nil"/>
            </w:tcBorders>
          </w:tcPr>
          <w:p>
            <w:pPr>
              <w:pStyle w:val="Normal6a"/>
            </w:pPr>
            <w:r>
              <w:t>8.</w:t>
            </w:r>
            <w:r>
              <w:tab/>
            </w:r>
            <w:r>
              <w:t xml:space="preserve">salută activitatea Comisiei de pregătire a pachetului Omnibus privind </w:t>
            </w:r>
            <w:r>
              <w:rPr>
                <w:b/>
                <w:i/>
              </w:rPr>
              <w:t>impozitarea</w:t>
            </w:r>
            <w:r>
              <w:t>; solicită Comisiei să acorde prioritate simplificării fiscale prin revizuirea măsurilor suprapuse prevăzute de legislația UE în materie de informare și de combatere a evitării obligațiilor fiscale și prin reducerea sarcinii administrative pentru întreprinderile cu sediul în UE, în special prin examinarea necesității de a menține dispozițiile Directivei împotriva evitării obligațiilor fiscale privind societățile străine controlate și prin revizuirea și, eventual, simplificarea Directivei privind societățile‑mamă și filialele acestora, a Directivei privind fuziunile, a Directivei privind raportarea pentru fiecare țară în parte și a cadrului DAC;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salută activitatea Comisiei de pregătire a pachetului Omnibus privind impozitele; solicită Comisiei să acorde prioritate simplificării fiscale prin revizuirea măsurilor suprapuse prevăzute de legislația UE în materie de informare și de combatere a evitării obligațiilor fiscale și prin reducerea sarcinii administrative pentru întreprinderile cu sediul în UE, </w:t>
            </w:r>
            <w:r>
              <w:rPr>
                <w:b/>
                <w:i/>
              </w:rPr>
              <w:t>în special prin examinarea necesității de a menține dispozițiile Directivei împotriva evitării obligațiilor fiscale privind societățile străine controlate și prin revizuirea și, eventual, simplificarea Directivei privind societățile‑mamă și filialele acestora, a Directivei privind fuziunile, a Directivei privind raportarea pentru fiecare țară în parte și a cadrului DAC</w:t>
            </w:r>
            <w:r>
              <w:t>;</w:t>
            </w:r>
          </w:p>
        </w:tc>
        <w:tc>
          <w:tcPr>
            <w:tcW w:w="4876" w:type="dxa"/>
            <w:tcBorders>
              <w:top w:val="nil"/>
              <w:left w:val="nil"/>
              <w:bottom w:val="nil"/>
              <w:right w:val="nil"/>
            </w:tcBorders>
          </w:tcPr>
          <w:p>
            <w:pPr>
              <w:pStyle w:val="Normal6a"/>
            </w:pPr>
            <w:r>
              <w:t>8.</w:t>
            </w:r>
            <w:r>
              <w:tab/>
            </w:r>
            <w:r>
              <w:t xml:space="preserve">salută activitatea Comisiei de pregătire a pachetului Omnibus privind impozitele; solicită Comisiei să acorde prioritate simplificării fiscale prin revizuirea măsurilor suprapuse prevăzute de legislația UE în materie de informare și de combatere a evitării obligațiilor fiscale și prin reducerea sarcinii administrative pentru întreprinderile cu sediul în UE, </w:t>
            </w:r>
            <w:r>
              <w:rPr>
                <w:b/>
                <w:i/>
              </w:rPr>
              <w:t>garantând că statele membre mai mici și întreprinderile mijlocii nu sunt împovărate disproporționat de cadre suprapuse de conformitate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reamintește că Directiva privind pilonul doi garantează o cotă minimă efectivă de impozitare în fiecare stat membru al UE și cuprinde dispoziții specifice antiabuz care acoperă mecanismele de finanțare intragrup;</w:t>
            </w:r>
            <w:r>
              <w:t xml:space="preserve"> </w:t>
            </w:r>
            <w:r>
              <w:rPr>
                <w:b/>
                <w:i/>
              </w:rPr>
              <w:t>observă că Directiva împotriva evitării obligațiilor fiscale împărtășește obiectivul mai amplu al pilonului doi de a preveni erodarea bazei impozabile și transferul profiturilor, în special prin norma sa privind limitarea deductibilității dobânzii, care limitează valoarea dobânzilor intragrup pe care o întreprindere le poate deduce;</w:t>
            </w:r>
            <w:r>
              <w:t xml:space="preserve"> </w:t>
            </w:r>
            <w:r>
              <w:rPr>
                <w:b/>
                <w:i/>
              </w:rPr>
              <w:t>consideră că, odată ce un grup este supus impozitului minim global, cadrul respectiv absoarbe deja o mare parte din riscul care a justificat norma privind limitarea deductibilității dobânzii, astfel încât aplicarea ambelor regimuri aceluiași grup creează suprapuneri fără valoare adăugată;</w:t>
            </w:r>
            <w:r>
              <w:t xml:space="preserve"> </w:t>
            </w:r>
            <w:r>
              <w:rPr>
                <w:b/>
                <w:i/>
              </w:rPr>
              <w:t>invită Comisia, pornind de la acest aspect, să evalueze dacă grupurile care intră în domeniul de aplicare al Directivei privind pilonul doi ar trebui să fie exceptate de la normele privind limitarea deductibilității dobânzii în temeiul Directivei împotriva evitării obligațiilor fiscale sau dacă, în schimb, ar trebui să li se aplice normele respective într-o formă ajustată;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Katri Kulmuni, Billy Kelleher,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este deosebit de important să se garanteze că reglementările împovărătoare și sarcinile de raportare fiscală destinate întreprinderilor mari nu sunt extinse direct sau indirect la IMM-uri.</w:t>
            </w:r>
            <w:r>
              <w:t xml:space="preserve"> </w:t>
            </w:r>
            <w:r>
              <w:rPr>
                <w:b/>
                <w:i/>
              </w:rPr>
              <w:t>În ceea ce privește regulamentul existent privind întreprinderile mari (cum ar fi regulamentul privind impozitul minim), este justificat să se mențină limitările care exclud IMM-urile din regulament.</w:t>
            </w:r>
            <w:r>
              <w:t xml:space="preserve"> </w:t>
            </w:r>
            <w:r>
              <w:rPr>
                <w:b/>
                <w:i/>
              </w:rPr>
              <w:t>IMM-urile nu au la dispoziție aceleași resurse (cum ar fi propriile lor departamente fiscale sau resurse de consiliere foarte extinse) ca grupurile mari pentru a face față volumului de muncă generat de reglementări fiscale complexe și de sarcini semnificative de raportare fiscală, motiv pentru care reglementările complexe și stufoase reprezintă, în principiu, o povară relativ mai mare pentru IMM-uri;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reamintește că dovezile empirice arată că normele mai puțin stricte privind evitarea obligațiilor fiscale și transferul profiturilor de către societăți subminează ocuparea forței de muncă și sunt însoțite de pierderi ale locurilor de muncă;</w:t>
            </w:r>
            <w:r>
              <w:t xml:space="preserve"> </w:t>
            </w:r>
            <w:r>
              <w:rPr>
                <w:b/>
                <w:i/>
              </w:rPr>
              <w:t>invită Comisia, în contextul pachetului Omnibus în domeniul fiscal, să efectueze o evaluare aprofundată a efectelor sale asupra piețelor forței de muncă, a salariilor și a condițiilor de muncă;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invită Comisia să își reexamineze propunerea privind BEFIT, din cauza incompatibilităților sale fundamentale cu normele pilonului doi al OCDE;</w:t>
            </w:r>
          </w:p>
        </w:tc>
        <w:tc>
          <w:tcPr>
            <w:tcW w:w="4876" w:type="dxa"/>
            <w:tcBorders>
              <w:top w:val="nil"/>
              <w:left w:val="nil"/>
              <w:bottom w:val="nil"/>
              <w:right w:val="nil"/>
            </w:tcBorders>
          </w:tcPr>
          <w:p>
            <w:pPr>
              <w:pStyle w:val="Normal6a"/>
            </w:pPr>
            <w:r>
              <w:t>9.</w:t>
            </w:r>
            <w:r>
              <w:tab/>
            </w:r>
            <w:r>
              <w:t>invită Comisia să își reexamineze propunerea privind BEFIT, din cauza incompatibilităților sale fundamentale cu normele pilonului doi al OCDE</w:t>
            </w:r>
            <w:r>
              <w:rPr>
                <w:b/>
                <w:i/>
              </w:rPr>
              <w:t>, în special a neconcordanței dintre determinarea sa privind baza de impozitare și baza de impozitare GloBE în cadrul pilonului doi</w:t>
            </w:r>
            <w:r>
              <w:t xml:space="preserve">; </w:t>
            </w:r>
            <w:r>
              <w:rPr>
                <w:b/>
                <w:i/>
              </w:rPr>
              <w:t>regretă că propunerea privind BEFIT nu a prevăzut o consolidare reală la nivelul Uniunii, ci mai degrabă agregarea și alocarea ulterioară a rezultatelor fiscale;</w:t>
            </w:r>
            <w:r>
              <w:t xml:space="preserve"> </w:t>
            </w:r>
            <w:r>
              <w:rPr>
                <w:b/>
                <w:i/>
              </w:rPr>
              <w:t>regretă, de asemenea, că propunerea a urmărit să introducă un pilon unu la nivelul UE prin intermediul unei metode de repartizare pe bază de formulă și de factori, în ciuda absenței unui acord al OCDE privind pilonul unu;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invită Comisia să își reexamineze propunerea privind BEFIT, </w:t>
            </w:r>
            <w:r>
              <w:rPr>
                <w:b/>
                <w:i/>
              </w:rPr>
              <w:t>din cauza incompatibilităților sale fundamentale cu normele pilonului doi al OCDE</w:t>
            </w:r>
            <w:r>
              <w:t>;</w:t>
            </w:r>
          </w:p>
        </w:tc>
        <w:tc>
          <w:tcPr>
            <w:tcW w:w="4876" w:type="dxa"/>
            <w:tcBorders>
              <w:top w:val="nil"/>
              <w:left w:val="nil"/>
              <w:bottom w:val="nil"/>
              <w:right w:val="nil"/>
            </w:tcBorders>
          </w:tcPr>
          <w:p>
            <w:pPr>
              <w:pStyle w:val="Normal6a"/>
            </w:pPr>
            <w:r>
              <w:t>9.</w:t>
            </w:r>
            <w:r>
              <w:tab/>
            </w:r>
            <w:r>
              <w:t xml:space="preserve">invită Comisia să își reexamineze propunerea privind BEFIT, </w:t>
            </w:r>
            <w:r>
              <w:rPr>
                <w:b/>
                <w:i/>
              </w:rPr>
              <w:t>în special din perspectiva riscurilor continue de transfer al profiturilor și de erodare a bazei impozabile</w:t>
            </w:r>
            <w:r>
              <w:t xml:space="preserve">; </w:t>
            </w:r>
            <w:r>
              <w:rPr>
                <w:b/>
                <w:i/>
              </w:rPr>
              <w:t>subliniază necesitatea de a asigura coerența deplină cu standardele minime de impozitare convenite la nivel internațional și de a preveni noi lacune care ar putea facilita o planificare fiscală agresivă;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invită Comisia să își reexamineze propunerea privind BEFIT, </w:t>
            </w:r>
            <w:r>
              <w:rPr>
                <w:b/>
                <w:i/>
              </w:rPr>
              <w:t>din cauza incompatibilităților</w:t>
            </w:r>
            <w:r>
              <w:t xml:space="preserve"> sale fundamentale cu normele pilonului doi al OCDE;</w:t>
            </w:r>
          </w:p>
        </w:tc>
        <w:tc>
          <w:tcPr>
            <w:tcW w:w="4876" w:type="dxa"/>
            <w:tcBorders>
              <w:top w:val="nil"/>
              <w:left w:val="nil"/>
              <w:bottom w:val="nil"/>
              <w:right w:val="nil"/>
            </w:tcBorders>
          </w:tcPr>
          <w:p>
            <w:pPr>
              <w:pStyle w:val="Normal6a"/>
            </w:pPr>
            <w:r>
              <w:t>9.</w:t>
            </w:r>
            <w:r>
              <w:tab/>
            </w:r>
            <w:r>
              <w:t xml:space="preserve">Invită Comisia să își reexamineze </w:t>
            </w:r>
            <w:r>
              <w:rPr>
                <w:b/>
                <w:i/>
              </w:rPr>
              <w:t>și să își ajusteze</w:t>
            </w:r>
            <w:r>
              <w:t xml:space="preserve"> propunerea privind BEFIT, </w:t>
            </w:r>
            <w:r>
              <w:rPr>
                <w:b/>
                <w:i/>
              </w:rPr>
              <w:t>ținând seama pe deplin de incompatibilitățile</w:t>
            </w:r>
            <w:r>
              <w:t xml:space="preserve"> sale fundamentale cu normele pilonului doi al OCDE </w:t>
            </w:r>
            <w:r>
              <w:rPr>
                <w:b/>
                <w:i/>
              </w:rPr>
              <w:t>și de necesitatea de a evita crearea unui cadru fiscal paralel și suprapus care să crească sarcina administrativă și de asigurare a conformității pentru întreprinderile europene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invită</w:t>
            </w:r>
            <w:r>
              <w:t xml:space="preserve"> Comisia să își </w:t>
            </w:r>
            <w:r>
              <w:rPr>
                <w:b/>
                <w:i/>
              </w:rPr>
              <w:t>reexamineze</w:t>
            </w:r>
            <w:r>
              <w:t xml:space="preserve"> propunerea privind BEFIT, din cauza incompatibilităților sale fundamentale cu normele pilonului doi al OCDE;</w:t>
            </w:r>
          </w:p>
        </w:tc>
        <w:tc>
          <w:tcPr>
            <w:tcW w:w="4876" w:type="dxa"/>
            <w:tcBorders>
              <w:top w:val="nil"/>
              <w:left w:val="nil"/>
              <w:bottom w:val="nil"/>
              <w:right w:val="nil"/>
            </w:tcBorders>
          </w:tcPr>
          <w:p>
            <w:pPr>
              <w:pStyle w:val="Normal6a"/>
            </w:pPr>
            <w:r>
              <w:t>9.</w:t>
            </w:r>
            <w:r>
              <w:tab/>
            </w:r>
            <w:r>
              <w:rPr>
                <w:b/>
                <w:i/>
              </w:rPr>
              <w:t>îndeamnă</w:t>
            </w:r>
            <w:r>
              <w:t xml:space="preserve"> Comisia să își </w:t>
            </w:r>
            <w:r>
              <w:rPr>
                <w:b/>
                <w:i/>
              </w:rPr>
              <w:t>retragă sau să își oprească întru totul</w:t>
            </w:r>
            <w:r>
              <w:t xml:space="preserve"> propunerea privind BEFIT, din cauza incompatibilităților sale fundamentale cu normele pilonului doi al OCDE</w:t>
            </w:r>
            <w:r>
              <w:rPr>
                <w:b/>
                <w:i/>
              </w:rPr>
              <w:t>, a potențialului său de a denatura bazele naționale de impozitare a societăților prin formule arbitrare de consolidare și a sarcinii administrative inutile pe care o introduce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invită Comisia să își reexamineze propunerea privind BEFIT, din cauza incompatibilităților sale fundamentale cu normele pilonului doi al OCDE;</w:t>
            </w:r>
          </w:p>
        </w:tc>
        <w:tc>
          <w:tcPr>
            <w:tcW w:w="4876" w:type="dxa"/>
            <w:tcBorders>
              <w:top w:val="nil"/>
              <w:left w:val="nil"/>
              <w:bottom w:val="nil"/>
              <w:right w:val="nil"/>
            </w:tcBorders>
          </w:tcPr>
          <w:p>
            <w:pPr>
              <w:pStyle w:val="Normal6a"/>
            </w:pPr>
            <w:r>
              <w:t>9.</w:t>
            </w:r>
            <w:r>
              <w:tab/>
            </w:r>
            <w:r>
              <w:t>invită Comisia să își reexamineze propunerea privind BEFIT, din cauza incompatibilităților sale fundamentale cu normele pilonului doi al OCDE</w:t>
            </w:r>
            <w:r>
              <w:rPr>
                <w:b/>
                <w:i/>
              </w:rPr>
              <w:t>, și să prezinte, dacă este cazul, o propunere mai restrânsă, limitată la măsuri de simplificare administrativă pe deplin compatibile cu cadrul internațional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invită Comisia să își reexamineze propunerea privind BEFIT, din cauza incompatibilităților sale fundamentale cu normele pilonului doi al OCDE;</w:t>
            </w:r>
          </w:p>
        </w:tc>
        <w:tc>
          <w:tcPr>
            <w:tcW w:w="4876" w:type="dxa"/>
            <w:tcBorders>
              <w:top w:val="nil"/>
              <w:left w:val="nil"/>
              <w:bottom w:val="nil"/>
              <w:right w:val="nil"/>
            </w:tcBorders>
          </w:tcPr>
          <w:p>
            <w:pPr>
              <w:pStyle w:val="Normal6a"/>
            </w:pPr>
            <w:r>
              <w:t>9.</w:t>
            </w:r>
            <w:r>
              <w:tab/>
            </w:r>
            <w:r>
              <w:t xml:space="preserve">invită Comisia să își reexamineze propunerea privind BEFIT, din cauza incompatibilităților sale fundamentale cu normele pilonului doi al OCDE; </w:t>
            </w:r>
            <w:r>
              <w:rPr>
                <w:b/>
                <w:i/>
              </w:rPr>
              <w:t>observă că nu s-au înregistrat progrese în Consiliu cu privire la acest dosar legislativ și că negocierile rămân blocate;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invită Comisia să își reexamineze propunerea privind BEFIT, </w:t>
            </w:r>
            <w:r>
              <w:rPr>
                <w:b/>
                <w:i/>
              </w:rPr>
              <w:t>din cauza incompatibilităților sale fundamentale cu normele</w:t>
            </w:r>
            <w:r>
              <w:t xml:space="preserve"> pilonului doi </w:t>
            </w:r>
            <w:r>
              <w:rPr>
                <w:b/>
                <w:i/>
              </w:rPr>
              <w:t>al OCDE</w:t>
            </w:r>
            <w:r>
              <w:t>;</w:t>
            </w:r>
          </w:p>
        </w:tc>
        <w:tc>
          <w:tcPr>
            <w:tcW w:w="4876" w:type="dxa"/>
            <w:tcBorders>
              <w:top w:val="nil"/>
              <w:left w:val="nil"/>
              <w:bottom w:val="nil"/>
              <w:right w:val="nil"/>
            </w:tcBorders>
          </w:tcPr>
          <w:p>
            <w:pPr>
              <w:pStyle w:val="Normal6a"/>
            </w:pPr>
            <w:r>
              <w:t>9.</w:t>
            </w:r>
            <w:r>
              <w:tab/>
            </w:r>
            <w:r>
              <w:t xml:space="preserve">invită Comisia să își reexamineze propunerea privind BEFIT, </w:t>
            </w:r>
            <w:r>
              <w:rPr>
                <w:b/>
                <w:i/>
              </w:rPr>
              <w:t>cu scopul de a evalua și de a aborda orice inconsecvență referitoare la obligațiile întreprinderilor multinaționale care intră în domeniul de aplicare al cadrului</w:t>
            </w:r>
            <w:r>
              <w:t xml:space="preserve"> pilonului doi;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invită Comisia să își reexamineze propunerea privind BEFIT, din cauza incompatibilităților sale fundamentale cu normele pilonului doi al OCDE;</w:t>
            </w:r>
          </w:p>
        </w:tc>
        <w:tc>
          <w:tcPr>
            <w:tcW w:w="4876" w:type="dxa"/>
            <w:tcBorders>
              <w:top w:val="nil"/>
              <w:left w:val="nil"/>
              <w:bottom w:val="nil"/>
              <w:right w:val="nil"/>
            </w:tcBorders>
          </w:tcPr>
          <w:p>
            <w:pPr>
              <w:pStyle w:val="Normal6a"/>
            </w:pPr>
            <w:r>
              <w:t>9.</w:t>
            </w:r>
            <w:r>
              <w:tab/>
            </w:r>
            <w:r>
              <w:t xml:space="preserve">invită Comisia să își reexamineze </w:t>
            </w:r>
            <w:r>
              <w:rPr>
                <w:b/>
                <w:i/>
              </w:rPr>
              <w:t>și să își retragă</w:t>
            </w:r>
            <w:r>
              <w:t xml:space="preserve"> propunerea privind BEFIT, din cauza incompatibilităților sale fundamentale cu normele pilonului doi al OCDE;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Pierre Pimpie, Tomáš Kubín, Enikő Győri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este îngrijorat de punerea în aplicare a sistemului de coexistență ca regim de protecție în temeiul articolului 32 din Directiva privind pilonul doi, în locul unui proces legislativ adecvat;</w:t>
            </w:r>
          </w:p>
        </w:tc>
        <w:tc>
          <w:tcPr>
            <w:tcW w:w="4876" w:type="dxa"/>
            <w:tcBorders>
              <w:top w:val="nil"/>
              <w:left w:val="nil"/>
              <w:bottom w:val="nil"/>
              <w:right w:val="nil"/>
            </w:tcBorders>
          </w:tcPr>
          <w:p>
            <w:pPr>
              <w:pStyle w:val="Normal6a"/>
            </w:pPr>
            <w:r>
              <w:t>10.</w:t>
            </w:r>
            <w:r>
              <w:tab/>
            </w:r>
            <w:r>
              <w:t xml:space="preserve">este îngrijorat de punerea în aplicare a sistemului de coexistență ca regim de protecție în temeiul articolului 32 din Directiva privind pilonul doi, în locul unui proces legislativ adecvat; </w:t>
            </w:r>
            <w:r>
              <w:rPr>
                <w:b/>
                <w:i/>
              </w:rPr>
              <w:t>insistă că orice modificare substanțială a obligațiilor statelor membre sau ale întreprinderilor în temeiul Directivei privind pilonul doi ar trebui efectuată prin procedura legislativă corespunzătoare, cu respectarea deplină a cerinței privind unanimitatea în domeniul fiscalității;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este îngrijorat de punerea în aplicare a sistemului de coexistență ca regim de protecție în temeiul articolului 32 din Directiva privind pilonul doi, în locul unui proces legislativ adecvat;</w:t>
            </w:r>
          </w:p>
        </w:tc>
        <w:tc>
          <w:tcPr>
            <w:tcW w:w="4876" w:type="dxa"/>
            <w:tcBorders>
              <w:top w:val="nil"/>
              <w:left w:val="nil"/>
              <w:bottom w:val="nil"/>
              <w:right w:val="nil"/>
            </w:tcBorders>
          </w:tcPr>
          <w:p>
            <w:pPr>
              <w:pStyle w:val="Normal6a"/>
            </w:pPr>
            <w:r>
              <w:t>10.</w:t>
            </w:r>
            <w:r>
              <w:tab/>
            </w:r>
            <w:r>
              <w:t xml:space="preserve">este îngrijorat de punerea în aplicare a sistemului de coexistență ca regim de protecție în temeiul articolului 32 din Directiva privind pilonul doi, în locul unui proces legislativ adecvat; </w:t>
            </w:r>
            <w:r>
              <w:rPr>
                <w:b/>
                <w:i/>
              </w:rPr>
              <w:t>regretă că presiunea politică exercitată de Statele Unite a condus la un acord care amenință să submineze condițiile de concurență echitabile la nivel mondial și eficacitatea cadrului fiscal minim global;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constată că statele membre vor aplica Directiva privind pilonul doi de la date diferite; invită statele membre să </w:t>
            </w:r>
            <w:r>
              <w:rPr>
                <w:b/>
                <w:i/>
              </w:rPr>
              <w:t>garanteze</w:t>
            </w:r>
            <w:r>
              <w:t xml:space="preserve"> transpunerea </w:t>
            </w:r>
            <w:r>
              <w:rPr>
                <w:b/>
                <w:i/>
              </w:rPr>
              <w:t>integrală</w:t>
            </w:r>
            <w:r>
              <w:t xml:space="preserve"> a directivei </w:t>
            </w:r>
            <w:r>
              <w:rPr>
                <w:b/>
                <w:i/>
              </w:rPr>
              <w:t>pentru a atenua riscurile care decurg din încrederea reciprocă în deciziile fiscale emise de administrațiile fiscale naționale</w:t>
            </w:r>
            <w:r>
              <w:t>;</w:t>
            </w:r>
          </w:p>
        </w:tc>
        <w:tc>
          <w:tcPr>
            <w:tcW w:w="4876" w:type="dxa"/>
            <w:tcBorders>
              <w:top w:val="nil"/>
              <w:left w:val="nil"/>
              <w:bottom w:val="nil"/>
              <w:right w:val="nil"/>
            </w:tcBorders>
          </w:tcPr>
          <w:p>
            <w:pPr>
              <w:pStyle w:val="Normal6a"/>
            </w:pPr>
            <w:r>
              <w:t>11.</w:t>
            </w:r>
            <w:r>
              <w:tab/>
            </w:r>
            <w:r>
              <w:t xml:space="preserve">constată că statele membre vor aplica Directiva privind pilonul doi de la date diferite; invită statele membre să </w:t>
            </w:r>
            <w:r>
              <w:rPr>
                <w:b/>
                <w:i/>
              </w:rPr>
              <w:t>asigure</w:t>
            </w:r>
            <w:r>
              <w:t xml:space="preserve"> transpunerea </w:t>
            </w:r>
            <w:r>
              <w:rPr>
                <w:b/>
                <w:i/>
              </w:rPr>
              <w:t>deplină</w:t>
            </w:r>
            <w:r>
              <w:t xml:space="preserve"> a directivei;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îndeamnă Comisia să exploreze măsuri de simplificare pentru a reduce sarcina reprezentată de punerea în aplicare a pilonului doi asupra administrațiilor fiscale ale statelor membre mai mici;</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îndeamnă Comisia să exploreze măsuri de simplificare pentru a reduce sarcina reprezentată de punerea în aplicare a pilonului doi asupra administrațiilor fiscale ale statelor membre mai mici;</w:t>
            </w:r>
          </w:p>
        </w:tc>
        <w:tc>
          <w:tcPr>
            <w:tcW w:w="4876" w:type="dxa"/>
            <w:tcBorders>
              <w:top w:val="nil"/>
              <w:left w:val="nil"/>
              <w:bottom w:val="nil"/>
              <w:right w:val="nil"/>
            </w:tcBorders>
          </w:tcPr>
          <w:p>
            <w:pPr>
              <w:pStyle w:val="Normal6a"/>
            </w:pPr>
            <w:r>
              <w:t>12.</w:t>
            </w:r>
            <w:r>
              <w:tab/>
            </w:r>
            <w:r>
              <w:rPr>
                <w:b/>
                <w:i/>
              </w:rPr>
              <w:t>evidențiază că sarcina administrativă impusă de pilonul doi atât întreprinderilor, cât și administrațiilor fiscale amenință să îi depășească beneficiile în materie de venituri pentru statele membre mai mici;</w:t>
            </w:r>
            <w:r>
              <w:t xml:space="preserve"> îndeamnă Comisia să exploreze măsuri de simplificare pentru a reduce sarcina reprezentată de punerea în aplicare a pilonului doi asupra administrațiilor fiscale ale statelor membre mai mici</w:t>
            </w:r>
            <w:r>
              <w:rPr>
                <w:b/>
                <w:i/>
              </w:rPr>
              <w:t>, de exemplu prin introducerea unei căi simplificate de a asigurare a conformității pentru întreprinderile care se situează sub un anumit prag al veniturilor și prin raționalizarea cerințelor de raportare care se suprapun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îndeamnă Comisia să exploreze măsuri de simplificare pentru a reduce sarcina reprezentată de punerea în aplicare a pilonului doi asupra administrațiilor fiscale ale statelor membre mai mici;</w:t>
            </w:r>
          </w:p>
        </w:tc>
        <w:tc>
          <w:tcPr>
            <w:tcW w:w="4876" w:type="dxa"/>
            <w:tcBorders>
              <w:top w:val="nil"/>
              <w:left w:val="nil"/>
              <w:bottom w:val="nil"/>
              <w:right w:val="nil"/>
            </w:tcBorders>
          </w:tcPr>
          <w:p>
            <w:pPr>
              <w:pStyle w:val="Normal6a"/>
            </w:pPr>
            <w:r>
              <w:t>12.</w:t>
            </w:r>
            <w:r>
              <w:tab/>
            </w:r>
            <w:r>
              <w:t xml:space="preserve">îndeamnă Comisia să exploreze măsuri de simplificare pentru a reduce sarcina reprezentată de punerea în aplicare a pilonului doi asupra administrațiilor fiscale ale statelor membre mai mici; </w:t>
            </w:r>
            <w:r>
              <w:rPr>
                <w:b/>
                <w:i/>
              </w:rPr>
              <w:t>evidențiază că punerea în aplicare a pilonului doi nu trebuie să penalizeze stimulentele fiscale naționale legitime pentru inovare și C-D, cum ar fi primele pentru cercetare;</w:t>
            </w:r>
            <w:r>
              <w:t xml:space="preserve"> </w:t>
            </w:r>
            <w:r>
              <w:rPr>
                <w:b/>
                <w:i/>
              </w:rPr>
              <w:t>invită Comisia să insiste, în cadrul OCDE, asupra unor regimuri de protecție simple și permanente pentru a proteja locurile competitive de desfășurare a activității;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îndeamnă Comisia să exploreze măsuri de simplificare pentru a reduce sarcina reprezentată de punerea în aplicare a pilonului doi asupra administrațiilor fiscale ale statelor membre mai mici;</w:t>
            </w:r>
          </w:p>
        </w:tc>
        <w:tc>
          <w:tcPr>
            <w:tcW w:w="4876" w:type="dxa"/>
            <w:tcBorders>
              <w:top w:val="nil"/>
              <w:left w:val="nil"/>
              <w:bottom w:val="nil"/>
              <w:right w:val="nil"/>
            </w:tcBorders>
          </w:tcPr>
          <w:p>
            <w:pPr>
              <w:pStyle w:val="Normal6a"/>
            </w:pPr>
            <w:r>
              <w:t>12.</w:t>
            </w:r>
            <w:r>
              <w:tab/>
            </w:r>
            <w:r>
              <w:t xml:space="preserve">îndeamnă Comisia să exploreze măsuri de simplificare pentru a reduce sarcina reprezentată de punerea în aplicare a pilonului doi asupra administrațiilor fiscale ale statelor membre mai mici; </w:t>
            </w:r>
            <w:r>
              <w:rPr>
                <w:b/>
                <w:i/>
              </w:rPr>
              <w:t>invită statele membre și Comisia să inițieze negocieri în cadrul OCDE pentru a explora noi perspective de simplificare;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îndeamnă Comisia să exploreze măsuri de simplificare pentru a reduce sarcina reprezentată de punerea în aplicare </w:t>
            </w:r>
            <w:r>
              <w:rPr>
                <w:b/>
                <w:i/>
              </w:rPr>
              <w:t>a</w:t>
            </w:r>
            <w:r>
              <w:t xml:space="preserve"> pilonului doi asupra administrațiilor fiscale ale statelor membre mai mici;</w:t>
            </w:r>
          </w:p>
        </w:tc>
        <w:tc>
          <w:tcPr>
            <w:tcW w:w="4876" w:type="dxa"/>
            <w:tcBorders>
              <w:top w:val="nil"/>
              <w:left w:val="nil"/>
              <w:bottom w:val="nil"/>
              <w:right w:val="nil"/>
            </w:tcBorders>
          </w:tcPr>
          <w:p>
            <w:pPr>
              <w:pStyle w:val="Normal6a"/>
            </w:pPr>
            <w:r>
              <w:t>12.</w:t>
            </w:r>
            <w:r>
              <w:tab/>
            </w:r>
            <w:r>
              <w:t xml:space="preserve">îndeamnă Comisia să exploreze </w:t>
            </w:r>
            <w:r>
              <w:rPr>
                <w:b/>
                <w:i/>
              </w:rPr>
              <w:t>și să pună rapid în aplicare</w:t>
            </w:r>
            <w:r>
              <w:t xml:space="preserve"> măsuri </w:t>
            </w:r>
            <w:r>
              <w:rPr>
                <w:b/>
                <w:i/>
              </w:rPr>
              <w:t>solide</w:t>
            </w:r>
            <w:r>
              <w:t xml:space="preserve"> de simplificare</w:t>
            </w:r>
            <w:r>
              <w:rPr>
                <w:b/>
                <w:i/>
              </w:rPr>
              <w:t>, cum ar fi regimuri de protecție și proceduri simplificate de depunere a declarațiilor,</w:t>
            </w:r>
            <w:r>
              <w:t xml:space="preserve"> pentru a reduce sarcina </w:t>
            </w:r>
            <w:r>
              <w:rPr>
                <w:b/>
                <w:i/>
              </w:rPr>
              <w:t>considerabilă</w:t>
            </w:r>
            <w:r>
              <w:t xml:space="preserve"> reprezentată de punerea în aplicare </w:t>
            </w:r>
            <w:r>
              <w:rPr>
                <w:b/>
                <w:i/>
              </w:rPr>
              <w:t>și monitorizarea</w:t>
            </w:r>
            <w:r>
              <w:t xml:space="preserve"> pilonului doi asupra administrațiilor fiscale ale statelor membre mai mici;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îndeamnă Comisia să exploreze măsuri de simplificare pentru a reduce sarcina reprezentată de punerea în aplicare a pilonului doi asupra administrațiilor fiscale </w:t>
            </w:r>
            <w:r>
              <w:rPr>
                <w:b/>
                <w:i/>
              </w:rPr>
              <w:t>ale statelor membre mai mici</w:t>
            </w:r>
            <w:r>
              <w:t>;</w:t>
            </w:r>
          </w:p>
        </w:tc>
        <w:tc>
          <w:tcPr>
            <w:tcW w:w="4876" w:type="dxa"/>
            <w:tcBorders>
              <w:top w:val="nil"/>
              <w:left w:val="nil"/>
              <w:bottom w:val="nil"/>
              <w:right w:val="nil"/>
            </w:tcBorders>
          </w:tcPr>
          <w:p>
            <w:pPr>
              <w:pStyle w:val="Normal6a"/>
            </w:pPr>
            <w:r>
              <w:t>12.</w:t>
            </w:r>
            <w:r>
              <w:tab/>
            </w:r>
            <w:r>
              <w:t>îndeamnă Comisia să exploreze măsuri de simplificare pentru a reduce sarcina reprezentată de punerea în aplicare a pilonului doi asupra administrațiilor fiscale;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regretă că unanimitatea în domeniul fiscalității împiedică înregistrarea unor progrese reale către un cadru de impozitare a societăților armonizat și mai echitabil, inclusiv în ceea ce privește armonizarea bazei de impozitare a societăților, impozitarea minimă și impozitarea întreprinderilor digitale;</w:t>
            </w:r>
            <w:r>
              <w:t xml:space="preserve"> </w:t>
            </w:r>
            <w:r>
              <w:rPr>
                <w:b/>
                <w:i/>
              </w:rPr>
              <w:t>evidențiază că situația respectivă a permis o concurență fiscală dăunătoare și denaturări ale pieței interne în Uniune, favorizând marile întreprinderi multinaționale în detrimentul bugetelor publice și al IMM-urilor;</w:t>
            </w:r>
            <w:r>
              <w:t xml:space="preserve"> </w:t>
            </w:r>
            <w:r>
              <w:rPr>
                <w:b/>
                <w:i/>
              </w:rPr>
              <w:t>invită Consiliul și Consiliul European să renunțe la unanimitatea în domeniul fiscalității prin utilizarea clauzelor pasarelă prevăzute în tratate, inclusiv a măsurilor menite să combată frauda fiscală, evaziunea fiscală și evitarea obligațiilor fiscale, a cooperării administrative, a transparenței fiscale și a oricărei altei măsuri necesare pentru buna funcționare a pieței interne;</w:t>
            </w:r>
            <w:r>
              <w:t xml:space="preserve"> </w:t>
            </w:r>
            <w:r>
              <w:rPr>
                <w:b/>
                <w:i/>
              </w:rPr>
              <w:t>constată că o astfel de posibilitate nu a fost niciodată utilizată în domeniul fiscal;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subliniază că un cadru comun pentru impozitarea societăților prin armonizare nu numai că va reduce semnificativ costurile de asigurare a conformității și sarcina administrativă, ci va și crea condiții de concurență echitabile pentru întreprinderile care își desfășoară activitatea pe piața unică, va încuraja extinderea, va consolida securitatea juridică și va stimula investițiile și creșterea în Uniune;</w:t>
            </w:r>
            <w:r>
              <w:t xml:space="preserve"> </w:t>
            </w:r>
            <w:r>
              <w:rPr>
                <w:b/>
                <w:i/>
              </w:rPr>
              <w:t>invită Comisia, în acest sens, să rămână activă în promovarea măsurilor de tip BEFIT pentru armonizarea bazei de impozitare a societăților și consolidare, eventual printr-o abordare etapizată;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îndeamnă Comisia să excludă împrumuturile pentru construirea, transformarea și renovarea clădirilor destinate locuințelor sociale din normele Directivei împotriva evitării obligațiilor fiscale referitoare la limitarea deductibilității dobânzii;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respinge propunerea privind o resursă corporativă pentru Europa (CORE);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invită Comisia să prezinte o foaie de parcurs actualizată privind un proces decizional mai eficient și mai democratic în domeniul politicii fiscale a UE, pentru a trece la votul cu majoritate calificată și la procedura legislativă ordinară în anumite domenii ale politicii fiscale, și să evalueze sistematic utilizarea articolului 116 din TFUE în cazul în care normele fiscale naționale divergente denaturează concurența pe piața internă și nu se poate ajunge la un acord;</w:t>
            </w:r>
            <w:r>
              <w:t xml:space="preserve"> </w:t>
            </w:r>
            <w:r>
              <w:rPr>
                <w:b/>
                <w:i/>
              </w:rPr>
              <w:t>invită, de asemenea, statele membre care își doresc acest lucru să utilizeze cooperarea consolidată în cazul în care unanimitatea împiedică înregistrarea progreselor în ceea ce privește inițiativele fiscale de lungă durată;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reamintește că măsurile de transparență fiscală, inclusiv raportarea publică pentru fiecare țară în parte, contribuie la concurența loială, consolidează responsabilitatea întreprinderilor și le oferă o mai mare certitudine investitorilor;</w:t>
            </w:r>
            <w:r>
              <w:t xml:space="preserve"> </w:t>
            </w:r>
            <w:r>
              <w:rPr>
                <w:b/>
                <w:i/>
              </w:rPr>
              <w:t>subliniază că creșterea transparenței contribuie la crearea unor condiții de concurență echitabile în cadrul pieței unice, care consolidează atractivitatea UE ca destinație pentru investiții solide și sustenabile;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Arba Kokalari,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reamintește importanța principiului „doar o singură dată”, conform căruia autoritățile fiscale care primesc deja informații în temeiul unei directive nu ar trebui să prezinte o nouă cerere aceleiași entități într-o formă diferită decât dacă cererea respectivă are scopul clar de a asigura respectarea legii;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Arba Kokalari,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reliefează că fragmentarea fiscală constituie unul dintre motivele pentru care întreprinderile din UE se confruntă cu costuri mai mari atunci când se extind, inclusiv la nivel transfrontalier, când mobilizează capital sau când structurează investiții în cadrul pieței unice;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Subtitlul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Stadiul luptei împotriva </w:t>
            </w:r>
            <w:r>
              <w:rPr>
                <w:b/>
                <w:i/>
              </w:rPr>
              <w:t>practicilor</w:t>
            </w:r>
            <w:r>
              <w:t xml:space="preserve"> fiscale </w:t>
            </w:r>
            <w:r>
              <w:rPr>
                <w:b/>
                <w:i/>
              </w:rPr>
              <w:t>dăunătoare</w:t>
            </w:r>
          </w:p>
        </w:tc>
        <w:tc>
          <w:tcPr>
            <w:tcW w:w="4876" w:type="dxa"/>
            <w:tcBorders>
              <w:top w:val="nil"/>
              <w:left w:val="nil"/>
              <w:bottom w:val="nil"/>
              <w:right w:val="nil"/>
            </w:tcBorders>
          </w:tcPr>
          <w:p>
            <w:pPr>
              <w:pStyle w:val="Normal6a"/>
            </w:pPr>
            <w:r>
              <w:t xml:space="preserve">Stadiul luptei împotriva </w:t>
            </w:r>
            <w:r>
              <w:rPr>
                <w:b/>
                <w:i/>
              </w:rPr>
              <w:t>evaziunii fiscale, a evitării obligațiilor</w:t>
            </w:r>
            <w:r>
              <w:t xml:space="preserve"> fiscale </w:t>
            </w:r>
            <w:r>
              <w:rPr>
                <w:b/>
                <w:i/>
              </w:rPr>
              <w:t>și a planificării fiscale agresive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Subtitlul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Stadiul </w:t>
            </w:r>
            <w:r>
              <w:rPr>
                <w:b/>
                <w:i/>
              </w:rPr>
              <w:t>luptei împotriva practicilor fiscale dăunătoare</w:t>
            </w:r>
          </w:p>
        </w:tc>
        <w:tc>
          <w:tcPr>
            <w:tcW w:w="4876" w:type="dxa"/>
            <w:tcBorders>
              <w:top w:val="nil"/>
              <w:left w:val="nil"/>
              <w:bottom w:val="nil"/>
              <w:right w:val="nil"/>
            </w:tcBorders>
          </w:tcPr>
          <w:p>
            <w:pPr>
              <w:pStyle w:val="Normal6a"/>
            </w:pPr>
            <w:r>
              <w:t xml:space="preserve">Stadiul </w:t>
            </w:r>
            <w:r>
              <w:rPr>
                <w:b/>
                <w:i/>
              </w:rPr>
              <w:t>cooperării administrative în domeniul fiscalității la nivel mondial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Enikő Győri,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salută contribuția pilonului doi la a reduce numărul jurisdicțiilor care aplică cote efective foarte scăzute ale impozitului pe profit și la a introduce impozite suplimentare minime naționale calificate în multe jurisdicții, ceea ce reprezintă un pas important către a împiedica practicile de evitare a obligațiilor fiscale ale întreprinderilor multinaționale;</w:t>
            </w:r>
          </w:p>
        </w:tc>
        <w:tc>
          <w:tcPr>
            <w:tcW w:w="4876" w:type="dxa"/>
            <w:tcBorders>
              <w:top w:val="nil"/>
              <w:left w:val="nil"/>
              <w:bottom w:val="nil"/>
              <w:right w:val="nil"/>
            </w:tcBorders>
          </w:tcPr>
          <w:p>
            <w:pPr>
              <w:pStyle w:val="Normal6a"/>
            </w:pPr>
            <w:r>
              <w:t>13.</w:t>
            </w:r>
            <w:r>
              <w:tab/>
            </w:r>
            <w:r>
              <w:t xml:space="preserve">salută contribuția pilonului doi la a reduce numărul jurisdicțiilor care aplică cote efective foarte scăzute ale impozitului pe profit și la a introduce impozite suplimentare minime naționale calificate în multe jurisdicții, ceea ce reprezintă un pas important către a împiedica practicile de evitare a obligațiilor fiscale ale întreprinderilor multinaționale; </w:t>
            </w:r>
            <w:r>
              <w:rPr>
                <w:b/>
                <w:i/>
              </w:rPr>
              <w:t>subliniază, cu toate acestea, că o concurență fiscală loială și sănătoasă între statele membre ale UE constituie în continuare un element important al pieței interne și contribuie la competitivitatea globală a Uniunii prin crearea unui mediu favorabil întreprinderilor;</w:t>
            </w:r>
            <w:r>
              <w:t xml:space="preserve"> </w:t>
            </w:r>
            <w:r>
              <w:rPr>
                <w:b/>
                <w:i/>
              </w:rPr>
              <w:t>evidențiază că menținerea unei flexibilități suficiente pentru statele membre în domeniul impozitării directe contribuie la a asigura în continuare atractivitatea Uniunii ca loc de desfășurare a activităților economice și de inovare, sprijinind astfel menținerea întreprinderilor, a investițiilor, a locurilor de muncă de înaltă calificare și a industriilor strategice în cadrul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salută contribuția pilonului doi la a reduce numărul jurisdicțiilor care aplică cote efective foarte scăzute ale impozitului pe profit și la a introduce impozite suplimentare minime naționale calificate în multe jurisdicții, ceea ce reprezintă un pas important către a împiedica practicile de evitare a obligațiilor fiscale ale întreprinderilor multinaționale;</w:t>
            </w:r>
          </w:p>
        </w:tc>
        <w:tc>
          <w:tcPr>
            <w:tcW w:w="4876" w:type="dxa"/>
            <w:tcBorders>
              <w:top w:val="nil"/>
              <w:left w:val="nil"/>
              <w:bottom w:val="nil"/>
              <w:right w:val="nil"/>
            </w:tcBorders>
          </w:tcPr>
          <w:p>
            <w:pPr>
              <w:pStyle w:val="Normal6a"/>
            </w:pPr>
            <w:r>
              <w:t>13.</w:t>
            </w:r>
            <w:r>
              <w:tab/>
            </w:r>
            <w:r>
              <w:t xml:space="preserve">salută contribuția pilonului doi la a reduce numărul jurisdicțiilor care aplică cote efective foarte scăzute ale impozitului pe profit și la a introduce impozite suplimentare minime naționale calificate în multe jurisdicții, ceea ce reprezintă un pas important către a împiedica practicile de evitare a obligațiilor fiscale ale întreprinderilor multinaționale; </w:t>
            </w:r>
            <w:r>
              <w:rPr>
                <w:b/>
                <w:i/>
              </w:rPr>
              <w:t>regretă că, în pofida demersurilor de reglementare din ultimul deceniu, transferul profiturilor către jurisdicții cu nivel redus de impozitare rămâne o practică larg răspândită în rândul marilor întreprinderi multinaționale și prezintă puține semne de diminuare;</w:t>
            </w:r>
            <w:r>
              <w:t xml:space="preserve"> </w:t>
            </w:r>
            <w:r>
              <w:rPr>
                <w:b/>
                <w:i/>
              </w:rPr>
              <w:t>reamintește că, în contextul internațional actual, este esențial să se monitorizeze formele emergente de concurență fiscală dăunătoare, inclusiv cele care decurg din excepțiile incluse în cadrul pilonului doi și din tratamentul creditelor fiscale</w:t>
            </w:r>
            <w:r>
              <w:rPr>
                <w:b/>
                <w:i/>
                <w:vertAlign w:val="superscript"/>
              </w:rPr>
              <w:t>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https://taxjustice.net/reports/the-state-of-tax-justice-2025/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salută contribuția pilonului doi la a reduce numărul jurisdicțiilor care aplică cote efective foarte scăzute ale impozitului pe profit și la a introduce impozite suplimentare minime naționale calificate în multe jurisdicții, ceea ce reprezintă un pas important către a </w:t>
            </w:r>
            <w:r>
              <w:rPr>
                <w:b/>
                <w:i/>
              </w:rPr>
              <w:t>împiedica practicile de evitare a obligațiilor fiscale ale întreprinderilor multinaționale</w:t>
            </w:r>
            <w:r>
              <w:t>;</w:t>
            </w:r>
          </w:p>
        </w:tc>
        <w:tc>
          <w:tcPr>
            <w:tcW w:w="4876" w:type="dxa"/>
            <w:tcBorders>
              <w:top w:val="nil"/>
              <w:left w:val="nil"/>
              <w:bottom w:val="nil"/>
              <w:right w:val="nil"/>
            </w:tcBorders>
          </w:tcPr>
          <w:p>
            <w:pPr>
              <w:pStyle w:val="Normal6a"/>
            </w:pPr>
            <w:r>
              <w:t>13.</w:t>
            </w:r>
            <w:r>
              <w:tab/>
            </w:r>
            <w:r>
              <w:t xml:space="preserve">salută contribuția pilonului doi la a reduce numărul jurisdicțiilor care aplică cote efective foarte scăzute ale impozitului pe profit și la a introduce impozite suplimentare minime naționale calificate în multe jurisdicții, ceea ce reprezintă un pas important către a </w:t>
            </w:r>
            <w:r>
              <w:rPr>
                <w:b/>
                <w:i/>
              </w:rPr>
              <w:t>garanta o securitate globală pentru societățile supuse impozitului de profit și către o cooperare administrativă mai eficace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observă că pierderile de venituri estimate ca urmare a strategiilor în materie de BEPS ale întreprinderilor multinaționale rămân substanțiale; invită Comisia și statele membre să intensifice cooperarea internațională pentru a aborda provocarea respectivă și pentru a-și proteja veniturile fiscale interne;</w:t>
            </w:r>
          </w:p>
        </w:tc>
        <w:tc>
          <w:tcPr>
            <w:tcW w:w="4876" w:type="dxa"/>
            <w:tcBorders>
              <w:top w:val="nil"/>
              <w:left w:val="nil"/>
              <w:bottom w:val="nil"/>
              <w:right w:val="nil"/>
            </w:tcBorders>
          </w:tcPr>
          <w:p>
            <w:pPr>
              <w:pStyle w:val="Normal6a"/>
            </w:pPr>
            <w:r>
              <w:t>14.</w:t>
            </w:r>
            <w:r>
              <w:tab/>
            </w:r>
            <w:r>
              <w:t xml:space="preserve">observă că pierderile de venituri estimate ca urmare a strategiilor în materie de BEPS ale întreprinderilor multinaționale rămân substanțiale; invită Comisia și statele membre să intensifice cooperarea internațională pentru a aborda provocarea respectivă și pentru a-și proteja veniturile fiscale interne; </w:t>
            </w:r>
            <w:r>
              <w:rPr>
                <w:b/>
                <w:i/>
              </w:rPr>
              <w:t>accentuează că pierderile de venituri fiscale sunt din ce în ce mai mult legate de întreprinderile din țări terțe care își desfășoară activitatea pe piața unică fără o contribuție fiscală corespunzătoare, ceea ce denaturează concurența în detrimentul întreprinderilor europene;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observă că pierderile de venituri estimate ca urmare a strategiilor în materie de BEPS ale întreprinderilor multinaționale rămân substanțiale; </w:t>
            </w:r>
            <w:r>
              <w:rPr>
                <w:b/>
                <w:i/>
              </w:rPr>
              <w:t>invită Comisia și statele membre să intensifice cooperarea internațională pentru a aborda provocarea respectivă și pentru a-și proteja veniturile fiscale interne;</w:t>
            </w:r>
          </w:p>
        </w:tc>
        <w:tc>
          <w:tcPr>
            <w:tcW w:w="4876" w:type="dxa"/>
            <w:tcBorders>
              <w:top w:val="nil"/>
              <w:left w:val="nil"/>
              <w:bottom w:val="nil"/>
              <w:right w:val="nil"/>
            </w:tcBorders>
          </w:tcPr>
          <w:p>
            <w:pPr>
              <w:pStyle w:val="Normal6a"/>
            </w:pPr>
            <w:r>
              <w:t>14.</w:t>
            </w:r>
            <w:r>
              <w:tab/>
            </w:r>
            <w:r>
              <w:t>observă că pierderile de venituri estimate ca urmare a strategiilor în materie de BEPS ale întreprinderilor multinaționale rămân substanțiale;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observă că pierderile de venituri estimate ca urmare a strategiilor în materie de BEPS ale întreprinderilor multinaționale rămân substanțiale; </w:t>
            </w:r>
            <w:r>
              <w:rPr>
                <w:b/>
                <w:i/>
              </w:rPr>
              <w:t>invită</w:t>
            </w:r>
            <w:r>
              <w:t xml:space="preserve"> Comisia </w:t>
            </w:r>
            <w:r>
              <w:rPr>
                <w:b/>
                <w:i/>
              </w:rPr>
              <w:t>și</w:t>
            </w:r>
            <w:r>
              <w:t xml:space="preserve"> statele membre </w:t>
            </w:r>
            <w:r>
              <w:rPr>
                <w:b/>
                <w:i/>
              </w:rPr>
              <w:t>să intensifice</w:t>
            </w:r>
            <w:r>
              <w:t xml:space="preserve"> cooperarea internațională pentru a aborda provocarea respectivă și pentru a-și proteja veniturile fiscale interne;</w:t>
            </w:r>
          </w:p>
        </w:tc>
        <w:tc>
          <w:tcPr>
            <w:tcW w:w="4876" w:type="dxa"/>
            <w:tcBorders>
              <w:top w:val="nil"/>
              <w:left w:val="nil"/>
              <w:bottom w:val="nil"/>
              <w:right w:val="nil"/>
            </w:tcBorders>
          </w:tcPr>
          <w:p>
            <w:pPr>
              <w:pStyle w:val="Normal6a"/>
            </w:pPr>
            <w:r>
              <w:t>14.</w:t>
            </w:r>
            <w:r>
              <w:tab/>
            </w:r>
            <w:r>
              <w:t xml:space="preserve">observă că pierderile de venituri estimate ca urmare a strategiilor în materie de BEPS ale întreprinderilor multinaționale rămân substanțiale; </w:t>
            </w:r>
            <w:r>
              <w:rPr>
                <w:b/>
                <w:i/>
              </w:rPr>
              <w:t>îndeamnă</w:t>
            </w:r>
            <w:r>
              <w:t xml:space="preserve"> Comisia </w:t>
            </w:r>
            <w:r>
              <w:rPr>
                <w:b/>
                <w:i/>
              </w:rPr>
              <w:t>să își asume un rol mai proactiv și mai ambițios, împreună cu</w:t>
            </w:r>
            <w:r>
              <w:t xml:space="preserve"> statele membre</w:t>
            </w:r>
            <w:r>
              <w:rPr>
                <w:b/>
                <w:i/>
              </w:rPr>
              <w:t>, în a consolida</w:t>
            </w:r>
            <w:r>
              <w:t xml:space="preserve"> cooperarea internațională </w:t>
            </w:r>
            <w:r>
              <w:rPr>
                <w:b/>
                <w:i/>
              </w:rPr>
              <w:t>și în a promova măsuri eficace</w:t>
            </w:r>
            <w:r>
              <w:t xml:space="preserve"> pentru a aborda provocarea respectivă și pentru a-și proteja veniturile fiscale interne;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observă că pierderile de venituri estimate ca urmare a strategiilor în materie de BEPS ale întreprinderilor multinaționale rămân substanțiale; invită Comisia și statele membre să intensifice cooperarea internațională pentru a aborda provocarea respectivă și pentru a-și proteja veniturile fiscale interne;</w:t>
            </w:r>
          </w:p>
        </w:tc>
        <w:tc>
          <w:tcPr>
            <w:tcW w:w="4876" w:type="dxa"/>
            <w:tcBorders>
              <w:top w:val="nil"/>
              <w:left w:val="nil"/>
              <w:bottom w:val="nil"/>
              <w:right w:val="nil"/>
            </w:tcBorders>
          </w:tcPr>
          <w:p>
            <w:pPr>
              <w:pStyle w:val="Normal6a"/>
            </w:pPr>
            <w:r>
              <w:t>14.</w:t>
            </w:r>
            <w:r>
              <w:tab/>
            </w:r>
            <w:r>
              <w:t xml:space="preserve">observă că pierderile de venituri estimate ca urmare a strategiilor în materie de BEPS ale întreprinderilor multinaționale rămân substanțiale; invită Comisia și statele membre să </w:t>
            </w:r>
            <w:r>
              <w:rPr>
                <w:b/>
                <w:i/>
              </w:rPr>
              <w:t>își coordoneze măsurile antiabuz și să</w:t>
            </w:r>
            <w:r>
              <w:t xml:space="preserve"> intensifice cooperarea internațională pentru a aborda provocarea respectivă și pentru a-și proteja veniturile fiscale interne;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Enikő Győri, Tomáš Kubín,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accentuează că o combatere eficace a fraudei fiscale, a evaziunii fiscale și a evitării agresive a obligațiilor fiscale rămâne esențială pentru a proteja finanțele publice ale statelor membre și a consolida încrederea în sistemele fiscale;</w:t>
            </w:r>
            <w:r>
              <w:t xml:space="preserve"> </w:t>
            </w:r>
            <w:r>
              <w:rPr>
                <w:b/>
                <w:i/>
              </w:rPr>
              <w:t>invită Comisia și statele membre să consolideze cooperarea administrativă, să îmbunătățească schimbul de informații și să promoveze mecanisme eficace și eficiente de colectare a impozitelor în întreaga Uniune;</w:t>
            </w:r>
            <w:r>
              <w:t xml:space="preserve"> </w:t>
            </w:r>
            <w:r>
              <w:rPr>
                <w:b/>
                <w:i/>
              </w:rPr>
              <w:t>subliniază că sunt necesare sisteme fiscale funcționale și executorii pentru a asigura condiții de concurență echitabile pentru întreprinderi, a reduce denaturările de pe piața internă și a asigura venituri publice sustenabile, evitând, în același timp, sarcinile administrative disproporționate pentru contribuabilii care respectă normele;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regretă retragerea propunerii Comisiei privind taxa pe tranzacțiile financiare, stabilirea prețurilor de transfer, „Unshell”, autorizarea votului cu majoritate calificată în ceea ce privește aspectele tehnice sau nesensibile legate de TVA și indemnizațiile pentru reducerea favorizării îndatorării (DEBRA) din programul de lucru al Comisiei pentru 2026 și îndeamnă Comisia să accelereze acțiunile de combatere a evaziunii fiscale, a evitării obligațiilor fiscale și a planificării fiscale agresive și să prezinte propunerea de publicare anuală a cotei efective a impozitului pe profit pentru anumite societăți mari, astfel cum se prevede în Comunicarea privind impozitarea întreprinderilor pentru secolul XXI</w:t>
            </w:r>
            <w:r>
              <w:rPr>
                <w:b/>
                <w:i/>
                <w:vertAlign w:val="superscript"/>
              </w:rPr>
              <w:t>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https://eur-lex.europa.eu/legal-content/RO/TXT/PDF/?uri=CELEX:52021DC0251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reamintește că, pe măsură ce pilonul doi este pus în aplicare, este important să se monitorizeze noile forme de concurență fiscală dăunătoare care se pot dezvolta, în special ca urmare a excepțiilor încorporate în cadru, și tratamentul anumitor stimulente fiscale</w:t>
            </w:r>
            <w:r>
              <w:rPr>
                <w:b/>
                <w:i/>
                <w:vertAlign w:val="superscript"/>
              </w:rPr>
              <w:t>16a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16a</w:t>
            </w:r>
            <w:r>
              <w:t xml:space="preserve"> </w:t>
            </w:r>
            <w:r>
              <w:rPr>
                <w:b/>
                <w:i/>
              </w:rPr>
              <w:t>Observatorul fiscal european, „Global Tax Evasion Report 2024” (Raportul din 2024 privind evaziunea fiscală globală), p.</w:t>
            </w:r>
            <w:r>
              <w:t xml:space="preserve"> </w:t>
            </w:r>
            <w:r>
              <w:rPr>
                <w:b/>
                <w:i/>
              </w:rPr>
              <w:t>36;</w:t>
            </w:r>
            <w:r>
              <w:t xml:space="preserve"> </w:t>
            </w:r>
            <w:r>
              <w:rPr>
                <w:b/>
                <w:i/>
              </w:rPr>
              <w:t>Comisia Europeană, „Annual Tax Report 2025” (Raportul din 2025 privind fiscalitatea), p.</w:t>
            </w:r>
            <w:r>
              <w:t xml:space="preserve"> </w:t>
            </w:r>
            <w:r>
              <w:rPr>
                <w:b/>
                <w:i/>
              </w:rPr>
              <w:t>94;</w:t>
            </w:r>
            <w:r>
              <w:t xml:space="preserve"> </w:t>
            </w:r>
            <w:r>
              <w:rPr>
                <w:b/>
                <w:i/>
              </w:rPr>
              <w:t>Observatorul fiscal european, „Global Tax Evasion Report 2024” (Raportul din 2024 privind evaziunea fiscală globală), p. 52-54.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regretă că anumite state membre continuă să faciliteze planificarea fiscală agresivă și să funcționeze ca paradisuri fiscale în UE prin regimuri preferențiale, impozitarea efectivă scăzută a profiturilor întreprinderilor și sisteme care facilitează planificarea fiscală agresivă;</w:t>
            </w:r>
            <w:r>
              <w:t xml:space="preserve"> </w:t>
            </w:r>
            <w:r>
              <w:rPr>
                <w:b/>
                <w:i/>
              </w:rPr>
              <w:t>accentuează că concurența fiscală dăunătoare din Uniune denaturează piața internă, subminează echitatea și transferă sarcina fiscală asupra lucrătorilor, a gospodăriilor și a IMM-urilor;</w:t>
            </w:r>
            <w:r>
              <w:t xml:space="preserve"> </w:t>
            </w:r>
            <w:r>
              <w:rPr>
                <w:b/>
                <w:i/>
              </w:rPr>
              <w:t>invită Comisia și Consiliul să aplice criterii obiective și coerente practicilor fiscale dăunătoare, atât în interiorul, cât și în afara Uniunii, și să instituie contramăsuri credibile;</w:t>
            </w:r>
            <w:r>
              <w:t xml:space="preserve"> </w:t>
            </w:r>
            <w:r>
              <w:rPr>
                <w:b/>
                <w:i/>
              </w:rPr>
              <w:t>invită, de asemenea, Comisia și Consiliul să evalueze punerea în aplicare a revizuirii din 2022 a Codului de conduită în domeniul impozitării întreprinderilor în ceea ce privește promovarea concurenței fiscale loiale în interiorul și în afara UE și reducerea practicilor fiscale dăunătoare;</w:t>
            </w:r>
            <w:r>
              <w:t xml:space="preserve"> </w:t>
            </w:r>
            <w:r>
              <w:rPr>
                <w:b/>
                <w:i/>
              </w:rPr>
              <w:t>solicită o reformă pentru a-i consolida mandatul, transparența, responsabilitatea și mecanismele de monitorizare;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reamintește rezoluțiile Parlamentului referitoare la reformarea listei UE a paradisurilor fiscale și la reformarea politicii UE privind practicile fiscale dăunătoare (inclusiv reforma Grupului de lucru pentru codul de conduită);</w:t>
            </w:r>
            <w:r>
              <w:t xml:space="preserve"> </w:t>
            </w:r>
            <w:r>
              <w:rPr>
                <w:b/>
                <w:i/>
              </w:rPr>
              <w:t>invită Consiliul să relanseze discuțiile privind o reformă cuprinzătoare a codului și să pună în aplicare recomandările Parlamentului</w:t>
            </w:r>
            <w:r>
              <w:rPr>
                <w:b/>
                <w:i/>
                <w:vertAlign w:val="superscript"/>
              </w:rPr>
              <w:t>17a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17a</w:t>
            </w:r>
            <w:r>
              <w:t xml:space="preserve"> </w:t>
            </w:r>
            <w:r>
              <w:rPr>
                <w:b/>
                <w:i/>
              </w:rPr>
              <w:t>Rezoluția Parlamentului European din 21 ianuarie 2021 referitoare la reformarea listei UE a paradisurilor fiscale;</w:t>
            </w:r>
            <w:r>
              <w:t xml:space="preserve"> </w:t>
            </w:r>
            <w:r>
              <w:rPr>
                <w:b/>
                <w:i/>
              </w:rPr>
              <w:t>Rezoluția Parlamentului European din 7 octombrie 2021 referitoare la reformarea politicii UE privind practicile fiscale dăunătoare (inclusiv reforma Grupului de lucru pentru codul de conduită).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14c.</w:t>
            </w:r>
            <w:r>
              <w:tab/>
            </w:r>
            <w:r>
              <w:rPr>
                <w:b/>
                <w:i/>
              </w:rPr>
              <w:t>constată că tensiunile geopolitice actuale au generat profituri excepționale semnificative în anumite sectoare;</w:t>
            </w:r>
            <w:r>
              <w:t xml:space="preserve"> </w:t>
            </w:r>
            <w:r>
              <w:rPr>
                <w:b/>
                <w:i/>
              </w:rPr>
              <w:t>invită Comisia și statele membre să garanteze că aceste câștiguri extraordinare sunt impozitate în mod echitabil și eficace și să abordeze transferul transfrontalier al profiturilor excepționale care subminează veniturile fiscale și, prin urmare, denaturează concurența loială;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își reafirmă angajamentul față de ordinea internațională bazată pe norme; subliniază că </w:t>
            </w:r>
            <w:r>
              <w:rPr>
                <w:b/>
                <w:i/>
              </w:rPr>
              <w:t>instrumentele dezvoltate la nivel internațional sunt</w:t>
            </w:r>
            <w:r>
              <w:t xml:space="preserve"> eficace </w:t>
            </w:r>
            <w:r>
              <w:rPr>
                <w:b/>
                <w:i/>
              </w:rPr>
              <w:t>numai în măsura în care sunt susținute de un acord global veritabil și de o punere</w:t>
            </w:r>
            <w:r>
              <w:t xml:space="preserve"> în aplicare </w:t>
            </w:r>
            <w:r>
              <w:rPr>
                <w:b/>
                <w:i/>
              </w:rPr>
              <w:t>eficace</w:t>
            </w:r>
            <w:r>
              <w:t>;</w:t>
            </w:r>
          </w:p>
        </w:tc>
        <w:tc>
          <w:tcPr>
            <w:tcW w:w="4876" w:type="dxa"/>
            <w:tcBorders>
              <w:top w:val="nil"/>
              <w:left w:val="nil"/>
              <w:bottom w:val="nil"/>
              <w:right w:val="nil"/>
            </w:tcBorders>
          </w:tcPr>
          <w:p>
            <w:pPr>
              <w:pStyle w:val="Normal6a"/>
            </w:pPr>
            <w:r>
              <w:t>15.</w:t>
            </w:r>
            <w:r>
              <w:tab/>
            </w:r>
            <w:r>
              <w:t xml:space="preserve">își reafirmă angajamentul față de ordinea internațională bazată pe norme; subliniază că </w:t>
            </w:r>
            <w:r>
              <w:rPr>
                <w:b/>
                <w:i/>
              </w:rPr>
              <w:t>anumite instrumente, cum ar fi formula de repartizare și impozitele pe serviciile digitale, pot rămâne</w:t>
            </w:r>
            <w:r>
              <w:t xml:space="preserve"> eficace </w:t>
            </w:r>
            <w:r>
              <w:rPr>
                <w:b/>
                <w:i/>
              </w:rPr>
              <w:t>chiar și în lipsa unei puneri</w:t>
            </w:r>
            <w:r>
              <w:t xml:space="preserve"> în aplicare </w:t>
            </w:r>
            <w:r>
              <w:rPr>
                <w:b/>
                <w:i/>
              </w:rPr>
              <w:t>universale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Jussi Saramo, Pasquale Tridico,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își reafirmă angajamentul față de ordinea internațională bazată pe norme; subliniază că instrumentele dezvoltate la nivel internațional </w:t>
            </w:r>
            <w:r>
              <w:rPr>
                <w:b/>
                <w:i/>
              </w:rPr>
              <w:t>sunt eficace numai în măsura în care sunt susținute de un acord global veritabil și de o punere în aplicare eficace;</w:t>
            </w:r>
          </w:p>
        </w:tc>
        <w:tc>
          <w:tcPr>
            <w:tcW w:w="4876" w:type="dxa"/>
            <w:tcBorders>
              <w:top w:val="nil"/>
              <w:left w:val="nil"/>
              <w:bottom w:val="nil"/>
              <w:right w:val="nil"/>
            </w:tcBorders>
          </w:tcPr>
          <w:p>
            <w:pPr>
              <w:pStyle w:val="Normal6a"/>
            </w:pPr>
            <w:r>
              <w:t>15.</w:t>
            </w:r>
            <w:r>
              <w:tab/>
            </w:r>
            <w:r>
              <w:t xml:space="preserve">își reafirmă angajamentul față de ordinea internațională bazată pe norme; subliniază că instrumentele dezvoltate la nivel internațional </w:t>
            </w:r>
            <w:r>
              <w:rPr>
                <w:b/>
                <w:i/>
              </w:rPr>
              <w:t>reprezintă cadrul cel mai ambițios și mai solid din punct de vedere structural disponibil pentru a aborda provocările fiscale globale.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regretă că balanța comercială a UE în domeniul serviciilor digitale s-a înclinat puternic către alte jurisdicții în care furnizorii de tehnologie digitală și de servicii de cloud s-au extins rapid; subliniază că schimbarea respectivă constituie o provocare majoră pentru regimurile fiscale ale statelor membre și necesită să se regândească realocarea drepturilor de impozitare;</w:t>
            </w:r>
          </w:p>
        </w:tc>
        <w:tc>
          <w:tcPr>
            <w:tcW w:w="4876" w:type="dxa"/>
            <w:tcBorders>
              <w:top w:val="nil"/>
              <w:left w:val="nil"/>
              <w:bottom w:val="nil"/>
              <w:right w:val="nil"/>
            </w:tcBorders>
          </w:tcPr>
          <w:p>
            <w:pPr>
              <w:pStyle w:val="Normal6a"/>
            </w:pPr>
            <w:r>
              <w:t>16.</w:t>
            </w:r>
            <w:r>
              <w:tab/>
            </w:r>
            <w:r>
              <w:t>regretă că balanța comercială a UE în domeniul serviciilor digitale s-a înclinat puternic către alte jurisdicții în care furnizorii de tehnologie digitală</w:t>
            </w:r>
            <w:r>
              <w:rPr>
                <w:b/>
                <w:i/>
              </w:rPr>
              <w:t>, de inteligență artificială</w:t>
            </w:r>
            <w:r>
              <w:t xml:space="preserve"> și de servicii de cloud s-au extins rapid</w:t>
            </w:r>
            <w:r>
              <w:rPr>
                <w:b/>
                <w:i/>
              </w:rPr>
              <w:t>, crescând concentrarea puterii economice și a profiturilor impozabile într-un număr mic de întreprinderi digitale multinaționale cu sediul în afara Uniunii</w:t>
            </w:r>
            <w:r>
              <w:t xml:space="preserve">; subliniază că schimbarea respectivă constituie o provocare majoră pentru regimurile fiscale ale statelor membre și necesită să se regândească realocarea drepturilor de impozitare; </w:t>
            </w:r>
            <w:r>
              <w:rPr>
                <w:b/>
                <w:i/>
              </w:rPr>
              <w:t>invită Comisia și statele membre să elaboreze o abordare coordonată în ceea ce privește alocarea drepturilor de impozitare în economia digitală și a IA, pentru a preveni transferul profiturilor și a garanta că profiturile și sumele obținute din chirii generate de utilizatorii, datele și întreprinderile din UE sunt impozitate în mod echitabil acolo unde este creată valoarea;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regretă că balanța comercială a UE în domeniul serviciilor digitale s-a înclinat puternic către alte jurisdicții în care furnizorii de tehnologie digitală și de servicii de cloud s-au extins rapid; </w:t>
            </w:r>
            <w:r>
              <w:rPr>
                <w:b/>
                <w:i/>
              </w:rPr>
              <w:t>subliniază că schimbarea respectivă constituie o provocare majoră pentru regimurile fiscale ale statelor membre și necesită să se regândească realocarea drepturilor de impozitare;</w:t>
            </w:r>
          </w:p>
        </w:tc>
        <w:tc>
          <w:tcPr>
            <w:tcW w:w="4876" w:type="dxa"/>
            <w:tcBorders>
              <w:top w:val="nil"/>
              <w:left w:val="nil"/>
              <w:bottom w:val="nil"/>
              <w:right w:val="nil"/>
            </w:tcBorders>
          </w:tcPr>
          <w:p>
            <w:pPr>
              <w:pStyle w:val="Normal6a"/>
            </w:pPr>
            <w:r>
              <w:t>16.</w:t>
            </w:r>
            <w:r>
              <w:tab/>
            </w:r>
            <w:r>
              <w:t>regretă că balanța comercială a UE în domeniul serviciilor digitale s-a înclinat puternic către alte jurisdicții în care furnizorii de tehnologie digitală și de servicii de cloud s-au extins rapid;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Regina Doherty, 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regretă că balanța comercială a UE în domeniul serviciilor digitale s-a înclinat puternic către alte jurisdicții în care furnizorii de tehnologie digitală și de servicii de cloud s-au extins rapid; subliniază că schimbarea respectivă </w:t>
            </w:r>
            <w:r>
              <w:rPr>
                <w:b/>
                <w:i/>
              </w:rPr>
              <w:t>constituie o provocare majoră</w:t>
            </w:r>
            <w:r>
              <w:t xml:space="preserve"> pentru </w:t>
            </w:r>
            <w:r>
              <w:rPr>
                <w:b/>
                <w:i/>
              </w:rPr>
              <w:t>regimurile fiscale ale statelor membre și necesită să se regândească realocarea drepturilor de impozitare</w:t>
            </w:r>
            <w:r>
              <w:t>;</w:t>
            </w:r>
          </w:p>
        </w:tc>
        <w:tc>
          <w:tcPr>
            <w:tcW w:w="4876" w:type="dxa"/>
            <w:tcBorders>
              <w:top w:val="nil"/>
              <w:left w:val="nil"/>
              <w:bottom w:val="nil"/>
              <w:right w:val="nil"/>
            </w:tcBorders>
          </w:tcPr>
          <w:p>
            <w:pPr>
              <w:pStyle w:val="Normal6a"/>
            </w:pPr>
            <w:r>
              <w:t>16.</w:t>
            </w:r>
            <w:r>
              <w:tab/>
            </w:r>
            <w:r>
              <w:t xml:space="preserve">regretă că balanța comercială a UE în domeniul serviciilor digitale s-a înclinat puternic către alte jurisdicții în care furnizorii de tehnologie digitală și de servicii de cloud s-au extins rapid; subliniază că schimbarea respectivă </w:t>
            </w:r>
            <w:r>
              <w:rPr>
                <w:b/>
                <w:i/>
              </w:rPr>
              <w:t>evidențiază că este important să se continue cooperarea internațională</w:t>
            </w:r>
            <w:r>
              <w:t xml:space="preserve"> pentru </w:t>
            </w:r>
            <w:r>
              <w:rPr>
                <w:b/>
                <w:i/>
              </w:rPr>
              <w:t>a garanta securitatea fiscală, a evita dubla impunere și a oferi un mediu stabil pentru investiții, inovare și creștere economică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invită Comisia să ia în considerare crearea unui mecanism european de alocare a obligațiilor fiscale pentru serviciile digitale și online furnizate de întreprinderile din țări terțe consumatorilor și întreprinderilor din Uniune;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solicită instituirea de norme uniforme pentru a preveni transferul artificial al profiturilor în afara Uniunii prin tranzacții intragrup, drepturi de proprietate intelectuală și servicii digitale furnizate de întreprinderi asociate stabilite în țări terțe;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Jussi Saramo, Martin Schirdewan, Pasquale Tridico,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ia act de preocupările Statelor Unite cu privire la impozitele unilaterale</w:t>
            </w:r>
            <w:r>
              <w:t xml:space="preserve"> pe serviciile digitale</w:t>
            </w:r>
            <w:r>
              <w:rPr>
                <w:b/>
                <w:i/>
              </w:rPr>
              <w:t>, pe care le consideră discriminatorii față de întreprinderile tehnologice din SUA;</w:t>
            </w:r>
            <w:r>
              <w:t xml:space="preserve"> </w:t>
            </w:r>
            <w:r>
              <w:rPr>
                <w:b/>
                <w:i/>
              </w:rPr>
              <w:t>salută deschiderea</w:t>
            </w:r>
            <w:r>
              <w:t xml:space="preserve"> Statelor </w:t>
            </w:r>
            <w:r>
              <w:rPr>
                <w:b/>
                <w:i/>
              </w:rPr>
              <w:t>Unite față de dialogul cu privire la aceste chestiuni</w:t>
            </w:r>
            <w:r>
              <w:t>;</w:t>
            </w:r>
          </w:p>
        </w:tc>
        <w:tc>
          <w:tcPr>
            <w:tcW w:w="4876" w:type="dxa"/>
            <w:tcBorders>
              <w:top w:val="nil"/>
              <w:left w:val="nil"/>
              <w:bottom w:val="nil"/>
              <w:right w:val="nil"/>
            </w:tcBorders>
          </w:tcPr>
          <w:p>
            <w:pPr>
              <w:pStyle w:val="Normal6a"/>
            </w:pPr>
            <w:r>
              <w:t>17.</w:t>
            </w:r>
            <w:r>
              <w:tab/>
            </w:r>
            <w:r>
              <w:rPr>
                <w:b/>
                <w:i/>
              </w:rPr>
              <w:t>regretă că negocierile multilaterale privind realocarea drepturilor de impozitare în cadrul primului pilon au stagnat fără perspectiva unei încheieri pe termen scurt și că problema impozitării economiei digitale este nesoluționată din 2018, în pofida eforturilor susținute ale UE și ale partenerilor săi;</w:t>
            </w:r>
            <w:r>
              <w:t xml:space="preserve"> </w:t>
            </w:r>
            <w:r>
              <w:rPr>
                <w:b/>
                <w:i/>
              </w:rPr>
              <w:t>consideră că lipsa unor progrese multilaterale semnificative nu ar trebui să amâne acțiunea UE în vederea garanției că veniturile economiei digitale generate în cadrul pieței sale interne sunt impozitate în mod echitabil și consecvent;</w:t>
            </w:r>
            <w:r>
              <w:t xml:space="preserve"> </w:t>
            </w:r>
            <w:r>
              <w:rPr>
                <w:b/>
                <w:i/>
              </w:rPr>
              <w:t>invită Comisia să prezinte fără întârziere o nouă propunere privind un impozit</w:t>
            </w:r>
            <w:r>
              <w:t xml:space="preserve"> pe serviciile digitale </w:t>
            </w:r>
            <w:r>
              <w:rPr>
                <w:b/>
                <w:i/>
              </w:rPr>
              <w:t>la nivelul UE, astfel încât să protejeze bazele de venituri ale</w:t>
            </w:r>
            <w:r>
              <w:t xml:space="preserve"> statelor </w:t>
            </w:r>
            <w:r>
              <w:rPr>
                <w:b/>
                <w:i/>
              </w:rPr>
              <w:t>membre și să garanteze condiții de concurență echitabile între modelele de afaceri digitale și cele tradiționale;</w:t>
            </w:r>
            <w:r>
              <w:t xml:space="preserve"> </w:t>
            </w:r>
            <w:r>
              <w:rPr>
                <w:b/>
                <w:i/>
              </w:rPr>
              <w:t>ia act de estimarea că o taxă pe serviciile digitale de 5 % la nivelul UE va genera venituri anuale de 37,5 miliarde EUR în 2026, cifră despre care se preconizează că va crește semnificativ în anii următori, reprezentând o contribuție substanțială și tot mai mare la capacitatea bugetară a UE într-o perioadă cu nevoi sporite de finanțe publice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ia act de preocupările Statelor Unite cu privire la impozitele unilaterale pe serviciile digitale, </w:t>
            </w:r>
            <w:r>
              <w:rPr>
                <w:b/>
                <w:i/>
              </w:rPr>
              <w:t>pe care le consideră discriminatorii față de întreprinderile tehnologice din SUA;</w:t>
            </w:r>
            <w:r>
              <w:t xml:space="preserve"> </w:t>
            </w:r>
            <w:r>
              <w:rPr>
                <w:b/>
                <w:i/>
              </w:rPr>
              <w:t>salută deschiderea</w:t>
            </w:r>
            <w:r>
              <w:t xml:space="preserve"> Statelor </w:t>
            </w:r>
            <w:r>
              <w:rPr>
                <w:b/>
                <w:i/>
              </w:rPr>
              <w:t>Unite față de dialogul cu privire la aceste chestiuni</w:t>
            </w:r>
            <w:r>
              <w:t>;</w:t>
            </w:r>
          </w:p>
        </w:tc>
        <w:tc>
          <w:tcPr>
            <w:tcW w:w="4876" w:type="dxa"/>
            <w:tcBorders>
              <w:top w:val="nil"/>
              <w:left w:val="nil"/>
              <w:bottom w:val="nil"/>
              <w:right w:val="nil"/>
            </w:tcBorders>
          </w:tcPr>
          <w:p>
            <w:pPr>
              <w:pStyle w:val="Normal6a"/>
            </w:pPr>
            <w:r>
              <w:t>17.</w:t>
            </w:r>
            <w:r>
              <w:tab/>
            </w:r>
            <w:r>
              <w:t xml:space="preserve">ia act de preocupările Statelor Unite cu privire la impozitele unilaterale pe serviciile digitale, </w:t>
            </w:r>
            <w:r>
              <w:rPr>
                <w:b/>
                <w:i/>
              </w:rPr>
              <w:t>dar reafirmă, până la elaborarea și aplicarea unui cadru multilateral cuprinzător care să asigure o alocare echitabilă a drepturilor de impozitare la nivelul întreprinderilor multinaționale care își desfășoară activitatea în mai multe jurisdicții, dreptul suveran al</w:t>
            </w:r>
            <w:r>
              <w:t xml:space="preserve"> statelor </w:t>
            </w:r>
            <w:r>
              <w:rPr>
                <w:b/>
                <w:i/>
              </w:rPr>
              <w:t>de a adopta măsuri unilaterale temporare pentru a-și proteja și menține bazele de impozitare, inclusiv impozite pe serviciile digitale, recunoscând, în același timp, că o participare internațională mai largă la astfel de măsuri poate contribui la reducerea domeniului de aplicare al acțiunilor unilaterale de retorsiune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ia act de preocupările Statelor Unite cu privire la impozitele unilaterale pe serviciile digitale, pe care le consideră discriminatorii față de întreprinderile tehnologice din SUA; salută deschiderea Statelor Unite față de dialogul cu privire la aceste chestiuni;</w:t>
            </w:r>
          </w:p>
        </w:tc>
        <w:tc>
          <w:tcPr>
            <w:tcW w:w="4876" w:type="dxa"/>
            <w:tcBorders>
              <w:top w:val="nil"/>
              <w:left w:val="nil"/>
              <w:bottom w:val="nil"/>
              <w:right w:val="nil"/>
            </w:tcBorders>
          </w:tcPr>
          <w:p>
            <w:pPr>
              <w:pStyle w:val="Normal6a"/>
            </w:pPr>
            <w:r>
              <w:t>17.</w:t>
            </w:r>
            <w:r>
              <w:tab/>
            </w:r>
            <w:r>
              <w:t xml:space="preserve">ia act de preocupările Statelor Unite cu privire la impozitele unilaterale pe serviciile digitale, pe care le consideră discriminatorii față de întreprinderile tehnologice din SUA; salută deschiderea Statelor Unite față de dialogul cu privire la aceste chestiuni; </w:t>
            </w:r>
            <w:r>
              <w:rPr>
                <w:b/>
                <w:i/>
              </w:rPr>
              <w:t>subliniază, cu toate acestea, că, până când un acord global cuprinzător și obligatoriu în cadrul primului pilon va fi pe deplin operațional, impozitele naționale respective pe serviciile digitale rămân un instrument justificat și esențial pentru ca statele membre să garanteze că toate întreprinderile digitale contribuie în mod echitabil la bugetele naționale;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ia act de preocupările Statelor Unite cu privire la impozitele unilaterale pe serviciile digitale, pe care le consideră discriminatorii față de întreprinderile tehnologice din SUA; salută deschiderea Statelor Unite față de dialogul cu privire la aceste chestiuni;</w:t>
            </w:r>
          </w:p>
        </w:tc>
        <w:tc>
          <w:tcPr>
            <w:tcW w:w="4876" w:type="dxa"/>
            <w:tcBorders>
              <w:top w:val="nil"/>
              <w:left w:val="nil"/>
              <w:bottom w:val="nil"/>
              <w:right w:val="nil"/>
            </w:tcBorders>
          </w:tcPr>
          <w:p>
            <w:pPr>
              <w:pStyle w:val="Normal6a"/>
            </w:pPr>
            <w:r>
              <w:t>17.</w:t>
            </w:r>
            <w:r>
              <w:tab/>
            </w:r>
            <w:r>
              <w:t xml:space="preserve">ia act de preocupările Statelor Unite cu privire la impozitele unilaterale pe serviciile digitale, pe care le consideră discriminatorii față de întreprinderile tehnologice din SUA; salută deschiderea Statelor Unite față de dialogul cu privire la aceste chestiuni; </w:t>
            </w:r>
            <w:r>
              <w:rPr>
                <w:b/>
                <w:i/>
              </w:rPr>
              <w:t>subliniază că impozitarea echitabilă și eficace a economiei digitale rămâne esențială pentru a asigura condiții de concurență echitabile și a proteja veniturile publice;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ia act de preocupările Statelor Unite cu privire la impozitele unilaterale pe serviciile digitale, pe care le consideră discriminatorii față de întreprinderile tehnologice din SUA; salută deschiderea Statelor Unite față de dialogul cu privire la aceste chestiuni;</w:t>
            </w:r>
          </w:p>
        </w:tc>
        <w:tc>
          <w:tcPr>
            <w:tcW w:w="4876" w:type="dxa"/>
            <w:tcBorders>
              <w:top w:val="nil"/>
              <w:left w:val="nil"/>
              <w:bottom w:val="nil"/>
              <w:right w:val="nil"/>
            </w:tcBorders>
          </w:tcPr>
          <w:p>
            <w:pPr>
              <w:pStyle w:val="Normal6a"/>
            </w:pPr>
            <w:r>
              <w:t>17.</w:t>
            </w:r>
            <w:r>
              <w:tab/>
            </w:r>
            <w:r>
              <w:t xml:space="preserve">ia act de preocupările Statelor Unite cu privire la </w:t>
            </w:r>
            <w:r>
              <w:rPr>
                <w:b/>
                <w:i/>
              </w:rPr>
              <w:t>soluțiile prevăzute în cadrul pilonului unu și</w:t>
            </w:r>
            <w:r>
              <w:t xml:space="preserve"> impozitele unilaterale pe serviciile digitale, pe care le consideră discriminatorii față de întreprinderile tehnologice din SUA; salută deschiderea Statelor Unite față de dialogul cu privire la aceste chestiuni;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Katri Kulmuni, Billy Kelleher,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ia act de preocupările Statelor Unite cu privire la impozitele unilaterale pe serviciile digitale, pe care le consideră discriminatorii față de întreprinderile tehnologice din SUA; salută </w:t>
            </w:r>
            <w:r>
              <w:rPr>
                <w:b/>
                <w:i/>
              </w:rPr>
              <w:t>deschiderea Statelor Unite față de dialogul</w:t>
            </w:r>
            <w:r>
              <w:t xml:space="preserve"> cu privire la aceste chestiuni;</w:t>
            </w:r>
          </w:p>
        </w:tc>
        <w:tc>
          <w:tcPr>
            <w:tcW w:w="4876" w:type="dxa"/>
            <w:tcBorders>
              <w:top w:val="nil"/>
              <w:left w:val="nil"/>
              <w:bottom w:val="nil"/>
              <w:right w:val="nil"/>
            </w:tcBorders>
          </w:tcPr>
          <w:p>
            <w:pPr>
              <w:pStyle w:val="Normal6a"/>
            </w:pPr>
            <w:r>
              <w:t>17.</w:t>
            </w:r>
            <w:r>
              <w:tab/>
            </w:r>
            <w:r>
              <w:t xml:space="preserve">ia act de preocupările Statelor Unite cu privire la impozitele unilaterale pe serviciile digitale, pe care le consideră discriminatorii față de întreprinderile tehnologice din SUA; salută </w:t>
            </w:r>
            <w:r>
              <w:rPr>
                <w:b/>
                <w:i/>
              </w:rPr>
              <w:t>un dialog constructiv dintre UE și SUA</w:t>
            </w:r>
            <w:r>
              <w:t xml:space="preserve"> cu privire la aceste chestiuni;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consideră că măsurile unilaterale sau convențiile de evitare a dublei impuneri nu pot aborda în mod adecvat provocările fiscale la nivel global și amenință să deschidă calea către măsuri de retorsiune, iar o soluție globală la impozitarea digitalului ar fi, prin urmare, calea ideală de urmat;</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consideră că măsurile unilaterale sau convențiile de evitare a dublei impuneri nu pot aborda în mod adecvat provocările fiscale la nivel global și amenință să deschidă calea către măsuri de retorsiune, iar o soluție globală la impozitarea digitalului ar fi, prin urmare, calea ideală de urmat;</w:t>
            </w:r>
          </w:p>
        </w:tc>
        <w:tc>
          <w:tcPr>
            <w:tcW w:w="4876" w:type="dxa"/>
            <w:tcBorders>
              <w:top w:val="nil"/>
              <w:left w:val="nil"/>
              <w:bottom w:val="nil"/>
              <w:right w:val="nil"/>
            </w:tcBorders>
          </w:tcPr>
          <w:p>
            <w:pPr>
              <w:pStyle w:val="Normal6a"/>
            </w:pPr>
            <w:r>
              <w:t>18.</w:t>
            </w:r>
            <w:r>
              <w:tab/>
            </w:r>
            <w:r>
              <w:t>consideră că măsurile unilaterale sau convențiile de evitare a dublei impuneri nu pot aborda în mod adecvat provocările fiscale la nivel global și amenință să deschidă calea către măsuri de retorsiune, iar o soluție globală la impozitarea digitalului ar fi, prin urmare, calea ideală de urmat</w:t>
            </w:r>
            <w:r>
              <w:rPr>
                <w:b/>
                <w:i/>
              </w:rPr>
              <w:t>, cu condiția ca orice soluție să respecte principiul substanței economice și să nu dezavantajeze arbitrar economiile deschise mai mici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consideră că măsurile unilaterale </w:t>
            </w:r>
            <w:r>
              <w:rPr>
                <w:b/>
                <w:i/>
              </w:rPr>
              <w:t>sau convențiile de evitare a dublei impuneri nu pot aborda în mod adecvat provocările fiscale la nivel global și amenință</w:t>
            </w:r>
            <w:r>
              <w:t xml:space="preserve"> să deschidă calea către măsuri de retorsiune</w:t>
            </w:r>
            <w:r>
              <w:rPr>
                <w:b/>
                <w:i/>
              </w:rPr>
              <w:t>, iar o</w:t>
            </w:r>
            <w:r>
              <w:t xml:space="preserve"> soluție globală la impozitarea digitalului </w:t>
            </w:r>
            <w:r>
              <w:rPr>
                <w:b/>
                <w:i/>
              </w:rPr>
              <w:t>ar fi, prin urmare, calea ideală de urmat</w:t>
            </w:r>
            <w:r>
              <w:t>;</w:t>
            </w:r>
          </w:p>
        </w:tc>
        <w:tc>
          <w:tcPr>
            <w:tcW w:w="4876" w:type="dxa"/>
            <w:tcBorders>
              <w:top w:val="nil"/>
              <w:left w:val="nil"/>
              <w:bottom w:val="nil"/>
              <w:right w:val="nil"/>
            </w:tcBorders>
          </w:tcPr>
          <w:p>
            <w:pPr>
              <w:pStyle w:val="Normal6a"/>
            </w:pPr>
            <w:r>
              <w:t>18.</w:t>
            </w:r>
            <w:r>
              <w:tab/>
            </w:r>
            <w:r>
              <w:t xml:space="preserve">consideră că măsurile unilaterale </w:t>
            </w:r>
            <w:r>
              <w:rPr>
                <w:b/>
                <w:i/>
              </w:rPr>
              <w:t>pot amenința</w:t>
            </w:r>
            <w:r>
              <w:t xml:space="preserve"> să deschidă calea către măsuri de retorsiune </w:t>
            </w:r>
            <w:r>
              <w:rPr>
                <w:b/>
                <w:i/>
              </w:rPr>
              <w:t>și reamintește, în același timp, că acordurile privind dubla impunere rămân un instrument central pentru a preveni dubla impunere și a menține securitatea juridică;</w:t>
            </w:r>
            <w:r>
              <w:t xml:space="preserve"> </w:t>
            </w:r>
            <w:r>
              <w:rPr>
                <w:b/>
                <w:i/>
              </w:rPr>
              <w:t>subliniază că orice</w:t>
            </w:r>
            <w:r>
              <w:t xml:space="preserve"> soluție globală la impozitarea digitalului </w:t>
            </w:r>
            <w:r>
              <w:rPr>
                <w:b/>
                <w:i/>
              </w:rPr>
              <w:t>trebuie să se bazeze pe un consens larg și pe o punere în aplicare eficace în rândul tuturor economiilor majore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consideră că măsurile unilaterale sau convențiile de evitare a dublei impuneri nu pot aborda în mod adecvat provocările fiscale la nivel global și amenință să deschidă calea către măsuri de retorsiune, iar o soluție globală la impozitarea digitalului ar fi, prin urmare, calea ideală de urmat;</w:t>
            </w:r>
          </w:p>
        </w:tc>
        <w:tc>
          <w:tcPr>
            <w:tcW w:w="4876" w:type="dxa"/>
            <w:tcBorders>
              <w:top w:val="nil"/>
              <w:left w:val="nil"/>
              <w:bottom w:val="nil"/>
              <w:right w:val="nil"/>
            </w:tcBorders>
          </w:tcPr>
          <w:p>
            <w:pPr>
              <w:pStyle w:val="Normal6a"/>
            </w:pPr>
            <w:r>
              <w:t>18.</w:t>
            </w:r>
            <w:r>
              <w:tab/>
            </w:r>
            <w:r>
              <w:t>consideră că măsurile unilaterale sau convențiile de evitare a dublei impuneri nu pot aborda în mod adecvat provocările fiscale la nivel global și amenință să deschidă calea către măsuri de retorsiune, iar o soluție globală la impozitarea digitalului ar fi, prin urmare, calea ideală de urmat</w:t>
            </w:r>
            <w:r>
              <w:rPr>
                <w:b/>
                <w:i/>
              </w:rPr>
              <w:t>, contribuind la o soluție la nivel mai amplu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Regina Doherty, 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consideră că măsurile unilaterale sau convențiile de evitare a dublei impuneri nu pot aborda în mod adecvat provocările fiscale la nivel global și amenință să deschidă calea către măsuri de retorsiune, iar o soluție globală la impozitarea digitalului ar fi</w:t>
            </w:r>
            <w:r>
              <w:rPr>
                <w:b/>
                <w:i/>
              </w:rPr>
              <w:t>, prin urmare, calea ideală</w:t>
            </w:r>
            <w:r>
              <w:t xml:space="preserve"> de urmat;</w:t>
            </w:r>
          </w:p>
        </w:tc>
        <w:tc>
          <w:tcPr>
            <w:tcW w:w="4876" w:type="dxa"/>
            <w:tcBorders>
              <w:top w:val="nil"/>
              <w:left w:val="nil"/>
              <w:bottom w:val="nil"/>
              <w:right w:val="nil"/>
            </w:tcBorders>
          </w:tcPr>
          <w:p>
            <w:pPr>
              <w:pStyle w:val="Normal6a"/>
            </w:pPr>
            <w:r>
              <w:t>18.</w:t>
            </w:r>
            <w:r>
              <w:tab/>
            </w:r>
            <w:r>
              <w:t xml:space="preserve">consideră că măsurile unilaterale sau convențiile de evitare a dublei impuneri nu pot aborda în mod adecvat provocările fiscale la nivel global și amenință să deschidă calea către măsuri de retorsiune, iar o soluție globală la impozitarea digitalului ar fi </w:t>
            </w:r>
            <w:r>
              <w:rPr>
                <w:b/>
                <w:i/>
              </w:rPr>
              <w:t>singura cale eficace</w:t>
            </w:r>
            <w:r>
              <w:t xml:space="preserve"> de urmat;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subliniază însă că, în lipsa unei soluții globale, măsurile regionale sau unilaterale pot juca un rol în a asigura o mai mare echitate fiscală;</w:t>
            </w:r>
            <w:r>
              <w:t xml:space="preserve"> </w:t>
            </w:r>
            <w:r>
              <w:rPr>
                <w:b/>
                <w:i/>
              </w:rPr>
              <w:t>îndeamnă Comisia să revizuiască domeniul de aplicare al acțiunii UE privind impozitarea echitabilă a economiei digitale în contextul evoluțiilor politice recente din cadrul pilonului doi al OCDE;</w:t>
            </w:r>
            <w:r>
              <w:t xml:space="preserve"> </w:t>
            </w:r>
            <w:r>
              <w:rPr>
                <w:b/>
                <w:i/>
              </w:rPr>
              <w:t>solicită să se ia din nou în considerare posibilitatea introducerii unei taxe digitale a UE care să asigure o abordare comună în ceea ce privește impozitarea sectorului digital și să consolideze competitivitatea globală a UE prin instituirea securității juridice și a unor condiții de concurență echitabile pentru întreprinderile digitale care își desfășoară activitatea în Uniune;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accentuează că orice viitor acord internațional de cooperare fiscală ar trebui să includă clauze de reciprocitate, astfel încât întreprinderile din țări terțe care beneficiază de acces la piața unică să fie supuse unor obligații fiscale echivalente celor aplicabile întreprinderilor din Uniune;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ia act de</w:t>
            </w:r>
            <w:r>
              <w:t xml:space="preserve"> negocierile în curs din cadrul Convenției-cadru a ONU privind cooperarea fiscală internațională, care vizează îmbunătățirea cooperării și a transparenței fiscale într-un context global;</w:t>
            </w:r>
          </w:p>
        </w:tc>
        <w:tc>
          <w:tcPr>
            <w:tcW w:w="4876" w:type="dxa"/>
            <w:tcBorders>
              <w:top w:val="nil"/>
              <w:left w:val="nil"/>
              <w:bottom w:val="nil"/>
              <w:right w:val="nil"/>
            </w:tcBorders>
          </w:tcPr>
          <w:p>
            <w:pPr>
              <w:pStyle w:val="Normal6a"/>
            </w:pPr>
            <w:r>
              <w:t>19.</w:t>
            </w:r>
            <w:r>
              <w:tab/>
            </w:r>
            <w:r>
              <w:rPr>
                <w:b/>
                <w:i/>
              </w:rPr>
              <w:t>salută</w:t>
            </w:r>
            <w:r>
              <w:t xml:space="preserve"> negocierile în curs din cadrul Convenției-cadru a ONU privind cooperarea fiscală internațională, care vizează îmbunătățirea cooperării și a transparenței fiscale într-un context global; </w:t>
            </w:r>
            <w:r>
              <w:rPr>
                <w:b/>
                <w:i/>
              </w:rPr>
              <w:t>consideră că respectiva convenție ONU privind fiscalitatea ar trebui să fie concepută astfel încât să asigure o repartizare echitabilă a drepturilor de impozitare între statele-națiuni și, ținând seama în mod corespunzător de suveranitatea fiscală națională, să sprijine eforturile de combatere a practicilor fiscale dăunătoare și a fluxurilor financiare ilicite;</w:t>
            </w:r>
            <w:r>
              <w:t xml:space="preserve"> </w:t>
            </w:r>
            <w:r>
              <w:rPr>
                <w:b/>
                <w:i/>
              </w:rPr>
              <w:t>subliniază, în acest context, că UE ar trebui să joace un rol proactiv pentru a oferi țărilor în curs de dezvoltare posibilitatea de a mobiliza resursele naționale, în special prin îmbunătățirea guvernanței fiscale, și că UE ar trebui să își asume rolul de lider în combaterea fluxurilor financiare ilicite;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ia act de negocierile în curs din cadrul Convenției-cadru a ONU privind cooperarea fiscală internațională</w:t>
            </w:r>
            <w:r>
              <w:rPr>
                <w:b/>
                <w:i/>
              </w:rPr>
              <w:t>, care vizează îmbunătățirea cooperării și a transparenței</w:t>
            </w:r>
            <w:r>
              <w:t xml:space="preserve"> fiscale </w:t>
            </w:r>
            <w:r>
              <w:rPr>
                <w:b/>
                <w:i/>
              </w:rPr>
              <w:t>într-un context global</w:t>
            </w:r>
            <w:r>
              <w:t>;</w:t>
            </w:r>
          </w:p>
        </w:tc>
        <w:tc>
          <w:tcPr>
            <w:tcW w:w="4876" w:type="dxa"/>
            <w:tcBorders>
              <w:top w:val="nil"/>
              <w:left w:val="nil"/>
              <w:bottom w:val="nil"/>
              <w:right w:val="nil"/>
            </w:tcBorders>
          </w:tcPr>
          <w:p>
            <w:pPr>
              <w:pStyle w:val="Normal6a"/>
            </w:pPr>
            <w:r>
              <w:t>19.</w:t>
            </w:r>
            <w:r>
              <w:tab/>
            </w:r>
            <w:r>
              <w:t xml:space="preserve">ia act </w:t>
            </w:r>
            <w:r>
              <w:rPr>
                <w:b/>
                <w:i/>
              </w:rPr>
              <w:t>cu îngrijorare</w:t>
            </w:r>
            <w:r>
              <w:t xml:space="preserve"> de negocierile în curs din cadrul Convenției-cadru a ONU privind cooperarea fiscală internațională</w:t>
            </w:r>
            <w:r>
              <w:rPr>
                <w:b/>
                <w:i/>
              </w:rPr>
              <w:t>;</w:t>
            </w:r>
            <w:r>
              <w:t xml:space="preserve"> </w:t>
            </w:r>
            <w:r>
              <w:rPr>
                <w:b/>
                <w:i/>
              </w:rPr>
              <w:t>se opune ferm proiectelor de dispoziții, cum ar fi articolul 5, care ar putea fi interpretate ca impunând renegocierea obligatorie a acordurilor</w:t>
            </w:r>
            <w:r>
              <w:t xml:space="preserve"> fiscale </w:t>
            </w:r>
            <w:r>
              <w:rPr>
                <w:b/>
                <w:i/>
              </w:rPr>
              <w:t>bilaterale existente, subminând astfel securitatea juridică de lungă durată</w:t>
            </w:r>
            <w:r>
              <w:t xml:space="preserve">; </w:t>
            </w:r>
            <w:r>
              <w:rPr>
                <w:b/>
                <w:i/>
              </w:rPr>
              <w:t>respinge orice cadru fiscal internațional care trece de la un proces decizional bazat pe consens la un vot cu majoritate simplă;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ia act de</w:t>
            </w:r>
            <w:r>
              <w:t xml:space="preserve"> negocierile în curs din cadrul Convenției-cadru a ONU privind cooperarea fiscală internațională, care vizează </w:t>
            </w:r>
            <w:r>
              <w:rPr>
                <w:b/>
                <w:i/>
              </w:rPr>
              <w:t>îmbunătățirea cooperării și a transparenței</w:t>
            </w:r>
            <w:r>
              <w:t xml:space="preserve"> fiscale </w:t>
            </w:r>
            <w:r>
              <w:rPr>
                <w:b/>
                <w:i/>
              </w:rPr>
              <w:t>într-un context global</w:t>
            </w:r>
            <w:r>
              <w:t>;</w:t>
            </w:r>
          </w:p>
        </w:tc>
        <w:tc>
          <w:tcPr>
            <w:tcW w:w="4876" w:type="dxa"/>
            <w:tcBorders>
              <w:top w:val="nil"/>
              <w:left w:val="nil"/>
              <w:bottom w:val="nil"/>
              <w:right w:val="nil"/>
            </w:tcBorders>
          </w:tcPr>
          <w:p>
            <w:pPr>
              <w:pStyle w:val="Normal6a"/>
            </w:pPr>
            <w:r>
              <w:t>19.</w:t>
            </w:r>
            <w:r>
              <w:tab/>
            </w:r>
            <w:r>
              <w:rPr>
                <w:b/>
                <w:i/>
              </w:rPr>
              <w:t>salută</w:t>
            </w:r>
            <w:r>
              <w:t xml:space="preserve"> negocierile în curs din cadrul Convenției-cadru a ONU privind cooperarea fiscală internațională, care vizează </w:t>
            </w:r>
            <w:r>
              <w:rPr>
                <w:b/>
                <w:i/>
              </w:rPr>
              <w:t>instituirea unei cooperări</w:t>
            </w:r>
            <w:r>
              <w:t xml:space="preserve"> fiscale </w:t>
            </w:r>
            <w:r>
              <w:rPr>
                <w:b/>
                <w:i/>
              </w:rPr>
              <w:t>internaționale pe deplin incluzive și crearea unui sistem fiscal internațional corect, transparent, eficient, echitabil și eficace pentru dezvoltarea durabilă</w:t>
            </w:r>
            <w:r>
              <w:t xml:space="preserve">; </w:t>
            </w:r>
            <w:r>
              <w:rPr>
                <w:b/>
                <w:i/>
              </w:rPr>
              <w:t>invită statele membre să se implice în continuare în mod constructiv în acest proces, în pofida activității desfășurate în cadrul OCDE;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Pierre Pimpie, Tomáš Kubín, Enikő Győri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ia act de negocierile în curs din cadrul Convenției-cadru a ONU privind cooperarea fiscală internațională, care vizează îmbunătățirea cooperării și a transparenței fiscale într-un context global;</w:t>
            </w:r>
          </w:p>
        </w:tc>
        <w:tc>
          <w:tcPr>
            <w:tcW w:w="4876" w:type="dxa"/>
            <w:tcBorders>
              <w:top w:val="nil"/>
              <w:left w:val="nil"/>
              <w:bottom w:val="nil"/>
              <w:right w:val="nil"/>
            </w:tcBorders>
          </w:tcPr>
          <w:p>
            <w:pPr>
              <w:pStyle w:val="Normal6a"/>
            </w:pPr>
            <w:r>
              <w:t>19.</w:t>
            </w:r>
            <w:r>
              <w:tab/>
            </w:r>
            <w:r>
              <w:t xml:space="preserve">ia act de negocierile în curs din cadrul Convenției-cadru a ONU privind cooperarea fiscală internațională, care vizează îmbunătățirea cooperării și a transparenței fiscale într-un context global; </w:t>
            </w:r>
            <w:r>
              <w:rPr>
                <w:b/>
                <w:i/>
              </w:rPr>
              <w:t>subliniază că orice proces condus de ONU ar trebui să completeze, și nu să dubleze sau să submineze standardele OCDE/G20 existente, ar trebui să mențină securitatea juridică și nu ar trebui să creeze obligații contradictorii pentru statele membre, administrațiile fiscale sau întreprinderi;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Jussi Saramo, Martin Schirdewan, Pasquale Tridico,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ia act de</w:t>
            </w:r>
            <w:r>
              <w:t xml:space="preserve"> negocierile în curs din cadrul Convenției-cadru a ONU privind cooperarea fiscală internațională, care vizează îmbunătățirea cooperării și a transparenței fiscale într-un context global;</w:t>
            </w:r>
          </w:p>
        </w:tc>
        <w:tc>
          <w:tcPr>
            <w:tcW w:w="4876" w:type="dxa"/>
            <w:tcBorders>
              <w:top w:val="nil"/>
              <w:left w:val="nil"/>
              <w:bottom w:val="nil"/>
              <w:right w:val="nil"/>
            </w:tcBorders>
          </w:tcPr>
          <w:p>
            <w:pPr>
              <w:pStyle w:val="Normal6a"/>
            </w:pPr>
            <w:r>
              <w:t>19.</w:t>
            </w:r>
            <w:r>
              <w:tab/>
            </w:r>
            <w:r>
              <w:rPr>
                <w:b/>
                <w:i/>
              </w:rPr>
              <w:t>salută</w:t>
            </w:r>
            <w:r>
              <w:t xml:space="preserve"> negocierile în curs din cadrul Convenției-cadru a ONU privind cooperarea fiscală internațională, care vizează îmbunătățirea cooperării și a transparenței fiscale într-un context global;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invită statele membre să își consolideze coordonarea și să prezinte o poziție unitară în forurile multilaterale; invită, de asemenea, Comisia să sprijine statele membre în reprezentarea efectivă a intereselor lor în astfel de forumuri;</w:t>
            </w:r>
          </w:p>
        </w:tc>
        <w:tc>
          <w:tcPr>
            <w:tcW w:w="4876" w:type="dxa"/>
            <w:tcBorders>
              <w:top w:val="nil"/>
              <w:left w:val="nil"/>
              <w:bottom w:val="nil"/>
              <w:right w:val="nil"/>
            </w:tcBorders>
          </w:tcPr>
          <w:p>
            <w:pPr>
              <w:pStyle w:val="Normal6a"/>
            </w:pPr>
            <w:r>
              <w:t>20.</w:t>
            </w:r>
            <w:r>
              <w:tab/>
            </w:r>
            <w:r>
              <w:t>invită statele membre să își consolideze coordonarea și să prezinte o poziție unitară în forurile multilaterale</w:t>
            </w:r>
            <w:r>
              <w:rPr>
                <w:b/>
                <w:i/>
              </w:rPr>
              <w:t>, după caz, menținându-și, în același timp, dreptul individual de a negocia și de a vota în mod independent, în conformitate cu interesele naționale;</w:t>
            </w:r>
            <w:r>
              <w:t xml:space="preserve"> </w:t>
            </w:r>
            <w:r>
              <w:rPr>
                <w:b/>
                <w:i/>
              </w:rPr>
              <w:t>respinge ferm orice încercare de a transfera Comisiei competența externă exclusivă în materie fiscală</w:t>
            </w:r>
            <w:r>
              <w:t>; invită, de asemenea, Comisia să sprijine statele membre</w:t>
            </w:r>
            <w:r>
              <w:rPr>
                <w:b/>
                <w:i/>
              </w:rPr>
              <w:t>, la cerere,</w:t>
            </w:r>
            <w:r>
              <w:t xml:space="preserve"> în reprezentarea efectivă a intereselor lor în astfel de forumuri;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invită statele membre să își consolideze coordonarea și să prezinte o poziție unitară în forurile multilaterale; invită, de asemenea, Comisia să sprijine statele membre în reprezentarea efectivă a intereselor lor în astfel de forumuri;</w:t>
            </w:r>
          </w:p>
        </w:tc>
        <w:tc>
          <w:tcPr>
            <w:tcW w:w="4876" w:type="dxa"/>
            <w:tcBorders>
              <w:top w:val="nil"/>
              <w:left w:val="nil"/>
              <w:bottom w:val="nil"/>
              <w:right w:val="nil"/>
            </w:tcBorders>
          </w:tcPr>
          <w:p>
            <w:pPr>
              <w:pStyle w:val="Normal6a"/>
            </w:pPr>
            <w:r>
              <w:t>20.</w:t>
            </w:r>
            <w:r>
              <w:tab/>
            </w:r>
            <w:r>
              <w:t xml:space="preserve">invită statele membre să își consolideze coordonarea și să prezinte o poziție unitară în forurile multilaterale </w:t>
            </w:r>
            <w:r>
              <w:rPr>
                <w:b/>
                <w:i/>
              </w:rPr>
              <w:t>care să reflecte interesele UE, să simplifice obligațiile fiscale și să asigure coerența în cadrul fiscal internațional</w:t>
            </w:r>
            <w:r>
              <w:t>; invită, de asemenea, Comisia să sprijine statele membre în reprezentarea efectivă a intereselor lor în astfel de forumuri;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invită statele membre să își consolideze coordonarea și să prezinte </w:t>
            </w:r>
            <w:r>
              <w:rPr>
                <w:b/>
                <w:i/>
              </w:rPr>
              <w:t>o poziție unitară</w:t>
            </w:r>
            <w:r>
              <w:t xml:space="preserve"> în forurile multilaterale; </w:t>
            </w:r>
            <w:r>
              <w:rPr>
                <w:b/>
                <w:i/>
              </w:rPr>
              <w:t>invită</w:t>
            </w:r>
            <w:r>
              <w:t xml:space="preserve">, de asemenea, Comisia să </w:t>
            </w:r>
            <w:r>
              <w:rPr>
                <w:b/>
                <w:i/>
              </w:rPr>
              <w:t>sprijine</w:t>
            </w:r>
            <w:r>
              <w:t xml:space="preserve"> statele membre </w:t>
            </w:r>
            <w:r>
              <w:rPr>
                <w:b/>
                <w:i/>
              </w:rPr>
              <w:t>în reprezentarea efectivă a intereselor lor</w:t>
            </w:r>
            <w:r>
              <w:t xml:space="preserve"> în astfel de forumuri;</w:t>
            </w:r>
          </w:p>
        </w:tc>
        <w:tc>
          <w:tcPr>
            <w:tcW w:w="4876" w:type="dxa"/>
            <w:tcBorders>
              <w:top w:val="nil"/>
              <w:left w:val="nil"/>
              <w:bottom w:val="nil"/>
              <w:right w:val="nil"/>
            </w:tcBorders>
          </w:tcPr>
          <w:p>
            <w:pPr>
              <w:pStyle w:val="Normal6a"/>
            </w:pPr>
            <w:r>
              <w:t>20.</w:t>
            </w:r>
            <w:r>
              <w:tab/>
            </w:r>
            <w:r>
              <w:t xml:space="preserve">invită statele membre să își consolideze coordonarea și să prezinte </w:t>
            </w:r>
            <w:r>
              <w:rPr>
                <w:b/>
                <w:i/>
              </w:rPr>
              <w:t>poziții ambițioase</w:t>
            </w:r>
            <w:r>
              <w:t xml:space="preserve"> în forurile multilaterale; </w:t>
            </w:r>
            <w:r>
              <w:rPr>
                <w:b/>
                <w:i/>
              </w:rPr>
              <w:t>îndeamnă</w:t>
            </w:r>
            <w:r>
              <w:t xml:space="preserve">, de asemenea, Comisia să </w:t>
            </w:r>
            <w:r>
              <w:rPr>
                <w:b/>
                <w:i/>
              </w:rPr>
              <w:t>își asume un rol mai proactiv și mai ambițios pentru a reprezenta în mod eficace</w:t>
            </w:r>
            <w:r>
              <w:t xml:space="preserve"> statele membre în astfel de forumuri;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Katri Kulmuni, Billy Kelleher,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invită statele membre să își consolideze coordonarea și să prezinte o poziție unitară în forurile multilaterale; invită, de asemenea, Comisia să sprijine statele membre în reprezentarea efectivă a intereselor lor în astfel de forumuri;</w:t>
            </w:r>
          </w:p>
        </w:tc>
        <w:tc>
          <w:tcPr>
            <w:tcW w:w="4876" w:type="dxa"/>
            <w:tcBorders>
              <w:top w:val="nil"/>
              <w:left w:val="nil"/>
              <w:bottom w:val="nil"/>
              <w:right w:val="nil"/>
            </w:tcBorders>
          </w:tcPr>
          <w:p>
            <w:pPr>
              <w:pStyle w:val="Normal6a"/>
            </w:pPr>
            <w:r>
              <w:t>20.</w:t>
            </w:r>
            <w:r>
              <w:tab/>
            </w:r>
            <w:r>
              <w:t xml:space="preserve">invită statele membre să își consolideze coordonarea și să prezinte o poziție unitară </w:t>
            </w:r>
            <w:r>
              <w:rPr>
                <w:b/>
                <w:i/>
              </w:rPr>
              <w:t>puternică</w:t>
            </w:r>
            <w:r>
              <w:t xml:space="preserve"> în forurile multilaterale; invită, de asemenea, Comisia să sprijine statele membre în reprezentarea efectivă a intereselor lor în astfel de forumuri;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invită Consiliul să se orienteze către utilizarea votului cu majoritate calificată în anumite chestiuni de impozitare a societăților referitoare la prevenirea evaziunii fiscale și a evitării obligațiilor fiscale, precum și către punerea în aplicare a acordurilor fiscale internaționale;</w:t>
            </w:r>
            <w:r>
              <w:t xml:space="preserve"> </w:t>
            </w:r>
            <w:r>
              <w:rPr>
                <w:b/>
                <w:i/>
              </w:rPr>
              <w:t>reliefează că lipsa unei coordonări fiscale mai ample pune presiuni pe statele membre să se angajeze într-o uniformizare dăunătoare la un nivel inferior, împiedicând totodată activitățile economice transfrontaliere;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invită Comisia să elaboreze un raport anual privind decalajul fiscal dintre întreprinderile din Uniune și cele din țări terțe care își desfășoară activitatea pe piața unică, evaluând impactul asupra competitivității, investițiilor și veniturilor publice ale statelor membre, și să propună măsuri corective, dacă este necesar;</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invită Comisia și statele membre să intensifice măsurile împotriva paradisurilor fiscale internaționale prin a promova transparența deplină a proprietății efective, a sprijini schimbul automat de informații și a asigura punerea în aplicare efectivă a unei cote minime globale a impozitului pe profit;</w:t>
            </w:r>
            <w:r>
              <w:t xml:space="preserve"> </w:t>
            </w:r>
            <w:r>
              <w:rPr>
                <w:b/>
                <w:i/>
              </w:rPr>
              <w:t>solicită stabilirea unor sancțiuni mai severe împotriva jurisdicțiilor necooperante și cerințe mai stricte de raportare pentru fiecare țară în parte pentru întreprinderile multinaționale, cu scopul de a combate evitarea obligațiilor fiscale, evaziunea fiscală și fluxurile financiare ilicite;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20c.</w:t>
            </w:r>
            <w:r>
              <w:tab/>
            </w:r>
            <w:r>
              <w:rPr>
                <w:b/>
                <w:i/>
              </w:rPr>
              <w:t>solicită stabilirea unor sancțiuni mai severe împotriva jurisdicțiilor necooperante și cerințe mai stricte de raportare pentru fiecare țară în parte pentru întreprinderile multinaționale, cu scopul de a combate evitarea obligațiilor fiscale, evaziunea fiscală și fluxurile financiare ilicite;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789.934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92</w:t>
    </w:r>
    <w:r>
      <w:fldChar w:fldCharType="end"/>
    </w:r>
    <w:r>
      <w:t>/</w:t>
    </w:r>
    <w:r>
      <w:fldChar w:fldCharType="begin"/>
    </w:r>
    <w:r>
      <w:instrText xml:space="preserve"> NUMPAGES </w:instrText>
    </w:r>
    <w:r>
      <w:fldChar w:fldCharType="separate"/>
    </w:r>
    <w:r>
      <w:t>92</w:t>
    </w:r>
    <w:r>
      <w:fldChar w:fldCharType="end"/>
    </w:r>
    <w:r>
      <w:tab/>
    </w:r>
    <w:r>
      <w:rPr>
        <w:rStyle w:val="HideTWBExt"/>
      </w:rPr>
      <w:t>&lt;PathFdR&gt;</w:t>
    </w:r>
    <w:r>
      <w:t>AM\1345549RO.docx</w:t>
    </w:r>
    <w:r>
      <w:rPr>
        <w:rStyle w:val="HideTWBExt"/>
      </w:rPr>
      <w:t>&lt;/PathFdR&gt;</w:t>
    </w:r>
  </w:p>
  <w:p>
    <w:pPr>
      <w:pStyle w:val="EPFooter2"/>
    </w:pPr>
    <w:r>
      <w:t>RO</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AM\1345549RO.docx</w:t>
    </w:r>
    <w:r>
      <w:rPr>
        <w:rStyle w:val="HideTWBExt"/>
      </w:rPr>
      <w:t>&lt;/PathFdR&gt;</w:t>
    </w:r>
    <w:r>
      <w:tab/>
    </w:r>
    <w:r>
      <w:fldChar w:fldCharType="begin"/>
    </w:r>
    <w:r>
      <w:instrText xml:space="preserve"> PAGE </w:instrText>
    </w:r>
    <w:r>
      <w:fldChar w:fldCharType="separate"/>
    </w:r>
    <w:r>
      <w:t>91</w:t>
    </w:r>
    <w:r>
      <w:fldChar w:fldCharType="end"/>
    </w:r>
    <w:r>
      <w:t>/</w:t>
    </w:r>
    <w:r>
      <w:fldChar w:fldCharType="begin"/>
    </w:r>
    <w:r>
      <w:instrText xml:space="preserve"> NUMPAGES </w:instrText>
    </w:r>
    <w:r>
      <w:fldChar w:fldCharType="separate"/>
    </w:r>
    <w:r>
      <w:t>92</w:t>
    </w:r>
    <w:r>
      <w:fldChar w:fldCharType="end"/>
    </w:r>
    <w:r>
      <w:tab/>
    </w:r>
    <w:r>
      <w:t>PE</w:t>
    </w:r>
    <w:r>
      <w:rPr>
        <w:rStyle w:val="HideTWBExt"/>
      </w:rPr>
      <w:t>&lt;NoPE&gt;</w:t>
    </w:r>
    <w:r>
      <w:t>789.934</w:t>
    </w:r>
    <w:r>
      <w:rPr>
        <w:rStyle w:val="HideTWBExt"/>
      </w:rPr>
      <w:t>&lt;/NoPE&gt;</w:t>
    </w:r>
    <w:r>
      <w:rPr>
        <w:rStyle w:val="HideTWBExt"/>
      </w:rPr>
      <w:t>&lt;Version&gt;</w:t>
    </w:r>
    <w:r>
      <w:t>v01-00</w:t>
    </w:r>
    <w:r>
      <w:rPr>
        <w:rStyle w:val="HideTWBExt"/>
      </w:rPr>
      <w:t>&lt;/Version&gt;</w:t>
    </w:r>
  </w:p>
  <w:p>
    <w:pPr>
      <w:pStyle w:val="EPFooter2"/>
    </w:pPr>
    <w:r>
      <w:tab/>
    </w:r>
    <w:r>
      <w:tab/>
    </w:r>
    <w:r>
      <w:t>RO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AM\1345549RO.docx</w:t>
    </w:r>
    <w:r>
      <w:rPr>
        <w:rStyle w:val="HideTWBExt"/>
      </w:rPr>
      <w:t>&lt;/PathFdR&gt;</w:t>
    </w:r>
    <w:r>
      <w:tab/>
    </w:r>
    <w:r>
      <w:tab/>
    </w:r>
    <w:r>
      <w:t>PE</w:t>
    </w:r>
    <w:r>
      <w:rPr>
        <w:rStyle w:val="HideTWBExt"/>
      </w:rPr>
      <w:t>&lt;NoPE&gt;</w:t>
    </w:r>
    <w:r>
      <w:t>789.934</w:t>
    </w:r>
    <w:r>
      <w:rPr>
        <w:rStyle w:val="HideTWBExt"/>
      </w:rPr>
      <w:t>&lt;/NoPE&gt;</w:t>
    </w:r>
    <w:r>
      <w:rPr>
        <w:rStyle w:val="HideTWBExt"/>
      </w:rPr>
      <w:t>&lt;Version&gt;</w:t>
    </w:r>
    <w:r>
      <w:t>v01-00</w:t>
    </w:r>
    <w:r>
      <w:rPr>
        <w:rStyle w:val="HideTWBExt"/>
      </w:rPr>
      <w:t>&lt;/Version&gt;</w:t>
    </w:r>
  </w:p>
  <w:p>
    <w:pPr>
      <w:pStyle w:val="EPFooter2"/>
    </w:pPr>
    <w:r>
      <w:t>RO</w:t>
    </w:r>
    <w:r>
      <w:tab/>
    </w:r>
    <w:r>
      <w:rPr>
        <w:rStyle w:val="EPFooter2Motto"/>
      </w:rPr>
      <w:t>Unită în diversitate</w:t>
    </w:r>
    <w:r>
      <w:tab/>
    </w:r>
    <w:r>
      <w:t>RO</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92</Pages>
  <Words>19826</Words>
  <Characters>122051</Characters>
  <Application>Microsoft Office Word</Application>
  <DocSecurity>0</DocSecurity>
  <Lines>1</Lines>
  <Paragraphs>1516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1345549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546000</vt:lpwstr>
  </property>
  <property fmtid="{D5CDD505-2E9C-101B-9397-08002B2CF9AE}" pid="7" name="dmxml.render.traceId">
    <vt:lpwstr>6a3cebf9aab74928b9a4cc0308557074</vt:lpwstr>
  </property>
  <property fmtid="{D5CDD505-2E9C-101B-9397-08002B2CF9AE}" pid="8" name="FooterPath">
    <vt:lpwstr>AM\1345549RO.docx</vt:lpwstr>
  </property>
  <property fmtid="{D5CDD505-2E9C-101B-9397-08002B2CF9AE}" pid="9" name="PE Number">
    <vt:lpwstr>789.934</vt:lpwstr>
  </property>
  <property fmtid="{D5CDD505-2E9C-101B-9397-08002B2CF9AE}" pid="10" name="UID">
    <vt:lpwstr>eu.europa.europarl-DIN1-2026-0000166805_01.00-ro-02.00_text-xml</vt:lpwstr>
  </property>
</Properties>
</file>