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Utskottet för ekonomi och valutafrågor</w:t>
      </w:r>
      <w:r>
        <w:rPr>
          <w:rStyle w:val="HideTWBExt"/>
        </w:rPr>
        <w:t>&lt;/Commission&gt;</w:t>
      </w:r>
    </w:p>
    <w:p>
      <w:pPr>
        <w:pStyle w:val="LineBottom"/>
      </w:pPr>
      <w:r>
        <w:t xml:space="preserve"> </w:t>
      </w:r>
    </w:p>
    <w:p>
      <w:pPr>
        <w:pStyle w:val="CoverReference"/>
      </w:pPr>
      <w:r>
        <w:rPr>
          <w:rStyle w:val="HideTWBExt"/>
        </w:rPr>
        <w:t>&lt;RefProc&gt;</w:t>
      </w:r>
      <w:r>
        <w:t>2025/2210</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{10/06/2026}</w:t>
      </w:r>
      <w:r>
        <w:t>10.6.2026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171</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Kinga Kollár</w:t>
      </w:r>
      <w:r>
        <w:rPr>
          <w:rStyle w:val="HideTWBExt"/>
        </w:rPr>
        <w:t>&lt;/Rapporteur&gt;</w:t>
      </w:r>
    </w:p>
    <w:p>
      <w:pPr>
        <w:pStyle w:val="CoverNormal24a"/>
      </w:pPr>
      <w:r>
        <w:rPr>
          <w:rStyle w:val="HideTWBExt"/>
        </w:rPr>
        <w:t>&lt;DocRefPE&gt;</w:t>
      </w:r>
      <w:r>
        <w:t>(PE781.467v01-00)</w:t>
      </w:r>
      <w:r>
        <w:rPr>
          <w:rStyle w:val="HideTWBExt"/>
        </w:rPr>
        <w:t>&lt;/DocRefPE&gt;</w:t>
      </w:r>
    </w:p>
    <w:p>
      <w:pPr>
        <w:pStyle w:val="CoverNormal"/>
      </w:pPr>
      <w:r>
        <w:rPr>
          <w:rStyle w:val="HideTWBExt"/>
        </w:rPr>
        <w:t>&lt;Titre&gt;</w:t>
      </w:r>
      <w:r>
        <w:t>EU:s strategi för politiken för bolagsskatt i en föränderlig internationell miljö</w:t>
      </w:r>
      <w:r>
        <w:rPr>
          <w:rStyle w:val="HideTWBExt"/>
        </w:rPr>
        <w:t>&lt;/Titre&gt;</w:t>
      </w:r>
    </w:p>
    <w:p>
      <w:pPr>
        <w:pStyle w:val="CoverNormal24a"/>
      </w:pPr>
      <w:r>
        <w:rPr>
          <w:rStyle w:val="HideTWBExt"/>
        </w:rPr>
        <w:t>&lt;DocRef&gt;</w:t>
      </w:r>
      <w:r>
        <w:t>(2025/2210(INI))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31a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kommissionens EU-plan för bostäder till överkomlig kostnad, i vilken behovet av att förenkla EU-lagstiftningen för att öka utbudet av subventionerade bostäder betonas,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Beaktandeled 31b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med beaktande av sin resolution om bostadskrisen i Europeiska unionen med målet att föreslå lösningar för anständiga, hållbara bostäder till överkomlig kostnad,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Beskattning är en avgörande faktor för </w:t>
            </w:r>
            <w:r>
              <w:rPr>
                <w:b/>
                <w:i/>
              </w:rPr>
              <w:t>EU-företagens</w:t>
            </w:r>
            <w:r>
              <w:t xml:space="preserve"> globala </w:t>
            </w:r>
            <w:r>
              <w:rPr>
                <w:b/>
                <w:i/>
              </w:rPr>
              <w:t>konkurrenskraft</w:t>
            </w:r>
            <w:r>
              <w:t xml:space="preserve">. En rättvis, effektiv och enkel företagsbeskattning spelar en central roll för att säkerställa </w:t>
            </w:r>
            <w:r>
              <w:rPr>
                <w:b/>
                <w:i/>
              </w:rPr>
              <w:t>långsiktig ekonomisk tillväxt</w:t>
            </w:r>
            <w:r>
              <w:t xml:space="preserve"> och förse medlemsstaterna med tillräckliga resurser för att </w:t>
            </w:r>
            <w:r>
              <w:rPr>
                <w:b/>
                <w:i/>
              </w:rPr>
              <w:t>tillgodose sina utgiftsbehov</w:t>
            </w:r>
            <w:r>
              <w:t>.</w:t>
            </w:r>
          </w:p>
        </w:tc>
        <w:tc>
          <w:tcPr>
            <w:tcW w:w="4876" w:type="dxa"/>
            <w:tcBorders>
              <w:top w:val="nil"/>
              <w:left w:val="nil"/>
              <w:bottom w:val="nil"/>
              <w:right w:val="nil"/>
            </w:tcBorders>
          </w:tcPr>
          <w:p>
            <w:pPr>
              <w:pStyle w:val="Normal6a"/>
            </w:pPr>
            <w:r>
              <w:t>A.</w:t>
            </w:r>
            <w:r>
              <w:tab/>
            </w:r>
            <w:r>
              <w:t xml:space="preserve">Beskattning är en avgörande faktor för </w:t>
            </w:r>
            <w:r>
              <w:rPr>
                <w:b/>
                <w:i/>
              </w:rPr>
              <w:t>att säkerställa rättvisa och lika villkor för företag som konkurrerar i den</w:t>
            </w:r>
            <w:r>
              <w:t xml:space="preserve"> globala </w:t>
            </w:r>
            <w:r>
              <w:rPr>
                <w:b/>
                <w:i/>
              </w:rPr>
              <w:t>ekonomin</w:t>
            </w:r>
            <w:r>
              <w:t xml:space="preserve">. En rättvis, effektiv och enkel företagsbeskattning spelar en central roll för att </w:t>
            </w:r>
            <w:r>
              <w:rPr>
                <w:b/>
                <w:i/>
              </w:rPr>
              <w:t>skapa lika villkor på EU:s inre marknad, även för små och medelstora företag,</w:t>
            </w:r>
            <w:r>
              <w:t xml:space="preserve"> säkerställa </w:t>
            </w:r>
            <w:r>
              <w:rPr>
                <w:b/>
                <w:i/>
              </w:rPr>
              <w:t>social sammanhållning</w:t>
            </w:r>
            <w:r>
              <w:t xml:space="preserve"> och förse medlemsstaterna med tillräckliga </w:t>
            </w:r>
            <w:r>
              <w:rPr>
                <w:b/>
                <w:i/>
              </w:rPr>
              <w:t>och stabila</w:t>
            </w:r>
            <w:r>
              <w:t xml:space="preserve"> resurser för att </w:t>
            </w:r>
            <w:r>
              <w:rPr>
                <w:b/>
                <w:i/>
              </w:rPr>
              <w:t>finansiera kollektiva nyttigheter och nödvändiga investeringar</w:t>
            </w:r>
            <w:r>
              <w:t xml:space="preserve">. </w:t>
            </w:r>
            <w:r>
              <w:rPr>
                <w:b/>
                <w:i/>
              </w:rPr>
              <w:t>Aktuell forskning</w:t>
            </w:r>
            <w:r>
              <w:rPr>
                <w:b/>
                <w:i/>
                <w:vertAlign w:val="superscript"/>
              </w:rPr>
              <w:t>1a</w:t>
            </w:r>
            <w:r>
              <w:t xml:space="preserve"> </w:t>
            </w:r>
            <w:r>
              <w:rPr>
                <w:b/>
                <w:i/>
              </w:rPr>
              <w:t>visar att rättvis och effektiv företagsbeskattning kan stödja sysselsättning av god kvalitet och minska ojämlikheten.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https://publicservices.international/resources/publications/corporate-taxation-and-employment-dispelling-the-race-to-the-bottom-myth?lang=en&amp;id=15686&amp;showLogin=true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Beskattning är en avgörande faktor för EU-företagens globala konkurrenskraft. En </w:t>
            </w:r>
            <w:r>
              <w:rPr>
                <w:b/>
                <w:i/>
              </w:rPr>
              <w:t>rättvis</w:t>
            </w:r>
            <w:r>
              <w:t>, effektiv och enkel företagsbeskattning spelar en central roll för att säkerställa långsiktig ekonomisk tillväxt och förse medlemsstaterna med tillräckliga resurser för att tillgodose sina utgiftsbehov.</w:t>
            </w:r>
          </w:p>
        </w:tc>
        <w:tc>
          <w:tcPr>
            <w:tcW w:w="4876" w:type="dxa"/>
            <w:tcBorders>
              <w:top w:val="nil"/>
              <w:left w:val="nil"/>
              <w:bottom w:val="nil"/>
              <w:right w:val="nil"/>
            </w:tcBorders>
          </w:tcPr>
          <w:p>
            <w:pPr>
              <w:pStyle w:val="Normal6a"/>
            </w:pPr>
            <w:r>
              <w:t>A.</w:t>
            </w:r>
            <w:r>
              <w:tab/>
            </w:r>
            <w:r>
              <w:t xml:space="preserve">Beskattning är en avgörande faktor för EU-företagens globala konkurrenskraft. En </w:t>
            </w:r>
            <w:r>
              <w:rPr>
                <w:b/>
                <w:i/>
              </w:rPr>
              <w:t>låg</w:t>
            </w:r>
            <w:r>
              <w:t>, effektiv</w:t>
            </w:r>
            <w:r>
              <w:rPr>
                <w:b/>
                <w:i/>
              </w:rPr>
              <w:t>, förutsägbar</w:t>
            </w:r>
            <w:r>
              <w:t xml:space="preserve"> och enkel företagsbeskattning spelar en central roll för att säkerställa långsiktig ekonomisk tillväxt</w:t>
            </w:r>
            <w:r>
              <w:rPr>
                <w:b/>
                <w:i/>
              </w:rPr>
              <w:t>, uppmuntra till investeringar</w:t>
            </w:r>
            <w:r>
              <w:t xml:space="preserve"> och förse medlemsstaterna med tillräckliga resurser för att tillgodose sina utgiftsbehov.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Beskattning är en </w:t>
            </w:r>
            <w:r>
              <w:rPr>
                <w:b/>
                <w:i/>
              </w:rPr>
              <w:t>avgörande</w:t>
            </w:r>
            <w:r>
              <w:t xml:space="preserve"> faktor för EU-företagens globala konkurrenskraft. En rättvis, effektiv och enkel företagsbeskattning spelar en central roll för att säkerställa långsiktig ekonomisk tillväxt och förse medlemsstaterna med tillräckliga resurser för att tillgodose sina utgiftsbehov.</w:t>
            </w:r>
          </w:p>
        </w:tc>
        <w:tc>
          <w:tcPr>
            <w:tcW w:w="4876" w:type="dxa"/>
            <w:tcBorders>
              <w:top w:val="nil"/>
              <w:left w:val="nil"/>
              <w:bottom w:val="nil"/>
              <w:right w:val="nil"/>
            </w:tcBorders>
          </w:tcPr>
          <w:p>
            <w:pPr>
              <w:pStyle w:val="Normal6a"/>
            </w:pPr>
            <w:r>
              <w:t>A.</w:t>
            </w:r>
            <w:r>
              <w:tab/>
            </w:r>
            <w:r>
              <w:t xml:space="preserve">Beskattning är en </w:t>
            </w:r>
            <w:r>
              <w:rPr>
                <w:b/>
                <w:i/>
              </w:rPr>
              <w:t>viktig</w:t>
            </w:r>
            <w:r>
              <w:t xml:space="preserve"> faktor för EU-företagens globala konkurrenskraft. En rättvis, effektiv och enkel företagsbeskattning spelar en central roll för att säkerställa långsiktig ekonomisk tillväxt och förse medlemsstaterna med tillräckliga resurser för att tillgodose sina utgiftsbehov.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Aa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Företagens skatteflykt och överföring av vinster har betydande fördelningseffekter, urholkar de offentliga intäkterna och flyttar skattebördan till arbetstagare, små och medelstora företag och hushåll, vilket förvärrar ojämlikheten, försvagar finansieringen av grundläggande offentliga tjänster och undergräver förtroendet för ett rättvist skattesystem.</w:t>
            </w:r>
            <w:r>
              <w:t xml:space="preserve"> </w:t>
            </w:r>
            <w:r>
              <w:rPr>
                <w:b/>
                <w:i/>
              </w:rPr>
              <w:t>Empirisk forskning visar att svagare regler mot skatteflykt och överföring av företagsvinster är förknippade med mätbara förluster av arbetstillfällen i multinationella företags verksamhet på inhemska EU-marknader.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Den direkta beskattningen förblir en nationell befogenhet för medlemsstaterna, medan internationell företagsbeskattning styrs av en komplex uppsättning bilaterala avtal om undvikande av dubbelbeskattning och förhindrande av skatteundandragande när det gäller skatter på inkomst och kapital, så kallade dubbelbeskattningsavtal, samt multilaterala instrument för att förhindra urholkning av skattebasen och överföring av vinster (BEPS) och EU-direktiv om bekämpning av skatteflykt och förstärkning av det administrativa samarbetet (DAC).</w:t>
            </w:r>
          </w:p>
        </w:tc>
        <w:tc>
          <w:tcPr>
            <w:tcW w:w="4876" w:type="dxa"/>
            <w:tcBorders>
              <w:top w:val="nil"/>
              <w:left w:val="nil"/>
              <w:bottom w:val="nil"/>
              <w:right w:val="nil"/>
            </w:tcBorders>
          </w:tcPr>
          <w:p>
            <w:pPr>
              <w:pStyle w:val="Normal6a"/>
            </w:pPr>
            <w:r>
              <w:t>B.</w:t>
            </w:r>
            <w:r>
              <w:tab/>
            </w:r>
            <w:r>
              <w:t xml:space="preserve">Den direkta beskattningen förblir </w:t>
            </w:r>
            <w:r>
              <w:rPr>
                <w:b/>
                <w:i/>
              </w:rPr>
              <w:t>till stor del</w:t>
            </w:r>
            <w:r>
              <w:t xml:space="preserve"> en nationell befogenhet för medlemsstaterna, medan internationell företagsbeskattning styrs av en komplex uppsättning bilaterala avtal om undvikande av dubbelbeskattning och förhindrande av skatteundandragande när det gäller skatter på inkomst och kapital, så kallade dubbelbeskattningsavtal, samt multilaterala instrument för att förhindra urholkning av skattebasen och överföring av vinster (BEPS) och EU-direktiv om bekämpning av skatteflykt och förstärkning av det administrativa samarbetet (DAC). </w:t>
            </w:r>
            <w:r>
              <w:rPr>
                <w:b/>
                <w:i/>
              </w:rPr>
              <w:t>Kravet på enhällighet för rådets beslut om beskattning har ofta hindrat framsteg med gemensamma skatteinitiativ, vilket begränsar unionens förmåga att effektivt reagera på globala skatteutmaningar, bekämpa skatteflykt och skatteundandragande och säkerställa rättvis beskattning på hela den inre 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Den direkta beskattningen förblir en nationell befogenhet för medlemsstaterna, medan internationell företagsbeskattning styrs av en komplex uppsättning bilaterala avtal om undvikande av dubbelbeskattning och förhindrande av skatteundandragande när det gäller skatter på inkomst och kapital, så kallade dubbelbeskattningsavtal, samt multilaterala instrument för att förhindra urholkning av skattebasen och överföring av vinster (BEPS) och EU-direktiv om bekämpning av skatteflykt och förstärkning av det administrativa samarbetet (DAC).</w:t>
            </w:r>
          </w:p>
        </w:tc>
        <w:tc>
          <w:tcPr>
            <w:tcW w:w="4876" w:type="dxa"/>
            <w:tcBorders>
              <w:top w:val="nil"/>
              <w:left w:val="nil"/>
              <w:bottom w:val="nil"/>
              <w:right w:val="nil"/>
            </w:tcBorders>
          </w:tcPr>
          <w:p>
            <w:pPr>
              <w:pStyle w:val="Normal6a"/>
            </w:pPr>
            <w:r>
              <w:t>B.</w:t>
            </w:r>
            <w:r>
              <w:tab/>
            </w:r>
            <w:r>
              <w:t>Den direkta beskattningen förblir en nationell befogenhet för medlemsstaterna</w:t>
            </w:r>
            <w:r>
              <w:rPr>
                <w:b/>
                <w:i/>
              </w:rPr>
              <w:t>, men åtgärder på EU-nivå fortsätter att spela en nyckelroll, särskilt genom direktiv som syftar till att bekämpa skatteflykt (Atad) och stärka samarbetet mellan skattemyndigheter (DAC)</w:t>
            </w:r>
            <w:r>
              <w:t>, medan internationell företagsbeskattning styrs av en komplex uppsättning bilaterala avtal om undvikande av dubbelbeskattning och förhindrande av skatteundandragande när det gäller skatter på inkomst och kapital, så kallade dubbelbeskattningsavtal, samt multilaterala instrument för att förhindra urholkning av skattebasen och överföring av vinster (BEPS) och EU-direktiv om bekämpning av skatteflykt och förstärkning av det administrativa samarbetet (DAC).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Den direkta beskattningen förblir en nationell befogenhet för medlemsstaterna, medan internationell företagsbeskattning styrs av en komplex uppsättning bilaterala avtal om undvikande av dubbelbeskattning och förhindrande av skatteundandragande när det gäller skatter på inkomst och kapital, så kallade dubbelbeskattningsavtal, samt multilaterala instrument för att förhindra urholkning av skattebasen och överföring av vinster (BEPS) och EU-direktiv om bekämpning av skatteflykt och förstärkning av det administrativa samarbetet (DAC).</w:t>
            </w:r>
          </w:p>
        </w:tc>
        <w:tc>
          <w:tcPr>
            <w:tcW w:w="4876" w:type="dxa"/>
            <w:tcBorders>
              <w:top w:val="nil"/>
              <w:left w:val="nil"/>
              <w:bottom w:val="nil"/>
              <w:right w:val="nil"/>
            </w:tcBorders>
          </w:tcPr>
          <w:p>
            <w:pPr>
              <w:pStyle w:val="Normal6a"/>
            </w:pPr>
            <w:r>
              <w:t>B.</w:t>
            </w:r>
            <w:r>
              <w:tab/>
            </w:r>
            <w:r>
              <w:t xml:space="preserve">Den direkta beskattningen förblir en </w:t>
            </w:r>
            <w:r>
              <w:rPr>
                <w:b/>
                <w:i/>
              </w:rPr>
              <w:t>exklusiv och grundläggande</w:t>
            </w:r>
            <w:r>
              <w:t xml:space="preserve"> nationell befogenhet för medlemsstaterna</w:t>
            </w:r>
            <w:r>
              <w:rPr>
                <w:b/>
                <w:i/>
              </w:rPr>
              <w:t>, som måste respekteras fullt ut</w:t>
            </w:r>
            <w:r>
              <w:t>, medan internationell företagsbeskattning styrs av en komplex uppsättning bilaterala avtal om undvikande av dubbelbeskattning och förhindrande av skatteundandragande när det gäller skatter på inkomst och kapital, så kallade dubbelbeskattningsavtal, samt multilaterala instrument för att förhindra urholkning av skattebasen och överföring av vinster (BEPS) och EU-direktiv om bekämpning av skatteflykt och förstärkning av det administrativa samarbetet (DAC).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Den direkta beskattningen förblir en nationell befogenhet för medlemsstaterna, medan internationell företagsbeskattning styrs av en komplex uppsättning bilaterala avtal om undvikande av dubbelbeskattning och förhindrande av skatteundandragande när det gäller skatter på inkomst och kapital, så kallade dubbelbeskattningsavtal, samt multilaterala instrument för att förhindra urholkning av skattebasen och överföring av vinster (BEPS) och EU-direktiv om bekämpning av skatteflykt och förstärkning av det administrativa samarbetet (DAC).</w:t>
            </w:r>
          </w:p>
        </w:tc>
        <w:tc>
          <w:tcPr>
            <w:tcW w:w="4876" w:type="dxa"/>
            <w:tcBorders>
              <w:top w:val="nil"/>
              <w:left w:val="nil"/>
              <w:bottom w:val="nil"/>
              <w:right w:val="nil"/>
            </w:tcBorders>
          </w:tcPr>
          <w:p>
            <w:pPr>
              <w:pStyle w:val="Normal6a"/>
            </w:pPr>
            <w:r>
              <w:t>B.</w:t>
            </w:r>
            <w:r>
              <w:tab/>
            </w:r>
            <w:r>
              <w:t xml:space="preserve">Den direkta beskattningen förblir en </w:t>
            </w:r>
            <w:r>
              <w:rPr>
                <w:b/>
                <w:i/>
              </w:rPr>
              <w:t>exklusiv</w:t>
            </w:r>
            <w:r>
              <w:t xml:space="preserve"> nationell befogenhet för medlemsstaterna, medan internationell företagsbeskattning styrs av en komplex uppsättning bilaterala avtal om undvikande av dubbelbeskattning och förhindrande av skatteundandragande när det gäller skatter på inkomst och kapital, så kallade dubbelbeskattningsavtal, samt multilaterala instrument för att förhindra urholkning av skattebasen och överföring av vinster (BEPS) och EU-direktiv om bekämpning av skatteflykt och förstärkning av det administrativa samarbetet (DAC).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Ba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Ränte- och kapitalskattereglerna, liksom bolagsskattereglerna, är inte helt harmoniserade i hela EU, vilket gör det svårare och dyrare för marknadsaktörerna att vara verksamma i flera EU-medlemsstater</w:t>
            </w:r>
            <w:r>
              <w:rPr>
                <w:b/>
                <w:i/>
                <w:vertAlign w:val="superscript"/>
              </w:rPr>
              <w:t>13a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Europeiska centralbanken, Financial Integration and Structure in the Euro Area 2026, s. 38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OECD uppskattar de årliga globala inkomstförlusterna till följd av BEPS till mellan 100 miljarder och 240 miljarder US-dollar, vilket motsvarar omkring 4–10 % av de globala bolagsskatteintäkterna, vilket leder till betydande förluster för medlemsstaternas budgetar.</w:t>
            </w:r>
          </w:p>
        </w:tc>
        <w:tc>
          <w:tcPr>
            <w:tcW w:w="4876" w:type="dxa"/>
            <w:tcBorders>
              <w:top w:val="nil"/>
              <w:left w:val="nil"/>
              <w:bottom w:val="nil"/>
              <w:right w:val="nil"/>
            </w:tcBorders>
          </w:tcPr>
          <w:p>
            <w:pPr>
              <w:pStyle w:val="Normal6a"/>
            </w:pPr>
            <w:r>
              <w:t>C.</w:t>
            </w:r>
            <w:r>
              <w:tab/>
            </w:r>
            <w:r>
              <w:t xml:space="preserve">OECD uppskattar de årliga globala inkomstförlusterna till följd av BEPS till mellan 100 miljarder och 240 miljarder US-dollar, vilket motsvarar omkring 4–10 % av de globala bolagsskatteintäkterna, vilket leder till betydande förluster för medlemsstaternas budgetar. </w:t>
            </w:r>
            <w:r>
              <w:rPr>
                <w:b/>
                <w:i/>
              </w:rPr>
              <w:t>Enligt Internationella observatoriet för skattefrågor minskade den effektiva skattesatsen för multinationella företag med 2,7 procentenheter i Europeiska unionen mellan 2014 och 2022</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https://taxobservatory.eu/eutax-publication/the-new-face-of-corporate-tax-competition/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OECD uppskattar de årliga globala inkomstförlusterna till följd av BEPS till mellan 100 miljarder och 240 miljarder US-dollar, vilket motsvarar omkring 4–10 % av de globala bolagsskatteintäkterna, vilket leder till betydande förluster för medlemsstaternas budgetar.</w:t>
            </w:r>
          </w:p>
        </w:tc>
        <w:tc>
          <w:tcPr>
            <w:tcW w:w="4876" w:type="dxa"/>
            <w:tcBorders>
              <w:top w:val="nil"/>
              <w:left w:val="nil"/>
              <w:bottom w:val="nil"/>
              <w:right w:val="nil"/>
            </w:tcBorders>
          </w:tcPr>
          <w:p>
            <w:pPr>
              <w:pStyle w:val="Normal6a"/>
            </w:pPr>
            <w:r>
              <w:t>C.</w:t>
            </w:r>
            <w:r>
              <w:tab/>
            </w:r>
            <w:r>
              <w:t xml:space="preserve">OECD uppskattar de årliga globala inkomstförlusterna till följd av BEPS till mellan 100 miljarder och 240 miljarder US-dollar, vilket motsvarar omkring 4–10 % av de globala bolagsskatteintäkterna, vilket leder till betydande förluster för medlemsstaternas budgetar. </w:t>
            </w:r>
            <w:r>
              <w:rPr>
                <w:b/>
                <w:i/>
              </w:rPr>
              <w:t>Dessa förluster är ofta en följd av bristen på samordning mellan de nationella skattesystemen och de internationella reglernas komplexitet.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Högnivåindikatorer för potentiell BEPS-verksamhet har sjunkit i investeringsnav under de senaste åren, men de är fortfarande mycket högre i investeringsnav jämfört med andra jurisdiktioner, vilket tyder på att BEPS-verksamhet fortfarande förekommer, enligt OECD</w:t>
            </w:r>
            <w:r>
              <w:rPr>
                <w:b/>
                <w:i/>
                <w:vertAlign w:val="superscript"/>
              </w:rPr>
              <w:t>14a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https://www.oecd.org/en/publications/corporate-tax-statistics-2025_6a915941-en.html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Ca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Merparten av alla företag uppfyller sitt medborgaransvar och står för merparten av skatteintäkterna, driver på innovationen och upprätthåller den europeiska sociala modellen genom att skapa arbetstillfällen.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Den ekonomiska verksamheten har generellt och i allt högre grad förlorat kopplingen till fysisk närvaro, vilket har lett till en obalans mellan den plats där vinsterna genereras och den plats där de beskattas.</w:t>
            </w:r>
          </w:p>
        </w:tc>
        <w:tc>
          <w:tcPr>
            <w:tcW w:w="4876" w:type="dxa"/>
            <w:tcBorders>
              <w:top w:val="nil"/>
              <w:left w:val="nil"/>
              <w:bottom w:val="nil"/>
              <w:right w:val="nil"/>
            </w:tcBorders>
          </w:tcPr>
          <w:p>
            <w:pPr>
              <w:pStyle w:val="Normal6a"/>
            </w:pPr>
            <w:r>
              <w:t>D.</w:t>
            </w:r>
            <w:r>
              <w:tab/>
            </w:r>
            <w:r>
              <w:t xml:space="preserve">Den ekonomiska verksamheten har generellt och i allt högre grad förlorat kopplingen till fysisk närvaro, vilket </w:t>
            </w:r>
            <w:r>
              <w:rPr>
                <w:b/>
                <w:i/>
              </w:rPr>
              <w:t>tillsammans med den digitala ekonomins föränderliga egenskaper</w:t>
            </w:r>
            <w:r>
              <w:t xml:space="preserve"> har lett till en obalans mellan den plats där vinsterna genereras och den plats där de beskattas.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Den ekonomiska verksamheten har </w:t>
            </w:r>
            <w:r>
              <w:rPr>
                <w:b/>
                <w:i/>
              </w:rPr>
              <w:t>generellt och</w:t>
            </w:r>
            <w:r>
              <w:t xml:space="preserve"> i allt högre grad </w:t>
            </w:r>
            <w:r>
              <w:rPr>
                <w:b/>
                <w:i/>
              </w:rPr>
              <w:t>förlorat kopplingen till</w:t>
            </w:r>
            <w:r>
              <w:t xml:space="preserve"> fysisk närvaro, vilket har lett till en obalans mellan den plats där vinsterna genereras och den plats där de beskattas.</w:t>
            </w:r>
          </w:p>
        </w:tc>
        <w:tc>
          <w:tcPr>
            <w:tcW w:w="4876" w:type="dxa"/>
            <w:tcBorders>
              <w:top w:val="nil"/>
              <w:left w:val="nil"/>
              <w:bottom w:val="nil"/>
              <w:right w:val="nil"/>
            </w:tcBorders>
          </w:tcPr>
          <w:p>
            <w:pPr>
              <w:pStyle w:val="Normal6a"/>
            </w:pPr>
            <w:r>
              <w:t>D.</w:t>
            </w:r>
            <w:r>
              <w:tab/>
            </w:r>
            <w:r>
              <w:t>Den ekonomiska verksamheten</w:t>
            </w:r>
            <w:r>
              <w:rPr>
                <w:b/>
                <w:i/>
              </w:rPr>
              <w:t>, särskilt i starkt digitaliserade affärsmodeller,</w:t>
            </w:r>
            <w:r>
              <w:t xml:space="preserve"> har i allt högre grad </w:t>
            </w:r>
            <w:r>
              <w:rPr>
                <w:b/>
                <w:i/>
              </w:rPr>
              <w:t>blivit mindre beroende av</w:t>
            </w:r>
            <w:r>
              <w:t xml:space="preserve"> fysisk närvaro, vilket har lett till en obalans mellan den plats där vinsterna genereras och den plats där de beskattas.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Den ekonomiska verksamheten har generellt och i allt högre grad förlorat kopplingen till fysisk närvaro, </w:t>
            </w:r>
            <w:r>
              <w:rPr>
                <w:b/>
                <w:i/>
              </w:rPr>
              <w:t>vilket har lett till</w:t>
            </w:r>
            <w:r>
              <w:t xml:space="preserve"> en obalans mellan den plats där vinsterna genereras och den plats där de beskattas.</w:t>
            </w:r>
          </w:p>
        </w:tc>
        <w:tc>
          <w:tcPr>
            <w:tcW w:w="4876" w:type="dxa"/>
            <w:tcBorders>
              <w:top w:val="nil"/>
              <w:left w:val="nil"/>
              <w:bottom w:val="nil"/>
              <w:right w:val="nil"/>
            </w:tcBorders>
          </w:tcPr>
          <w:p>
            <w:pPr>
              <w:pStyle w:val="Normal6a"/>
            </w:pPr>
            <w:r>
              <w:t>D.</w:t>
            </w:r>
            <w:r>
              <w:tab/>
            </w:r>
            <w:r>
              <w:t xml:space="preserve">Den ekonomiska verksamheten har generellt och i allt högre grad förlorat kopplingen till fysisk närvaro, </w:t>
            </w:r>
            <w:r>
              <w:rPr>
                <w:b/>
                <w:i/>
              </w:rPr>
              <w:t>och det råder</w:t>
            </w:r>
            <w:r>
              <w:t xml:space="preserve"> en obalans mellan den plats där vinsterna genereras och den plats där de beskattas.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Den ökande kapitalrörligheten, tillsammans med de mer allmänna tendenserna till globalisering och digitalisering under de senaste årtiondena, har gradvis minskat de enskilda ländernas förmåga att säkerställa effektiviteten i sin skattepolitik och skyddet av sin skattebas – särskilt bolagsskatter, men också i allt högre grad personliga inkomstskatter – vilket urholkar de offentliga intäktsbaserna</w:t>
            </w:r>
            <w:r>
              <w:rPr>
                <w:b/>
                <w:i/>
                <w:vertAlign w:val="superscript"/>
              </w:rPr>
              <w:t>15a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de la Feria, R. (2023).</w:t>
            </w:r>
            <w:r>
              <w:t xml:space="preserve"> </w:t>
            </w:r>
            <w:r>
              <w:rPr>
                <w:b/>
                <w:i/>
              </w:rPr>
              <w:t>Pillar 2, Fiat, and the EU Unanimity rule on tax matters.</w:t>
            </w:r>
            <w:r>
              <w:t xml:space="preserve"> </w:t>
            </w:r>
            <w:r>
              <w:rPr>
                <w:b/>
                <w:i/>
              </w:rPr>
              <w:t>Fiat, and the EU Unanimity Rule on Tax Matters (3 januari 2023), 2–8.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Da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Små och medelstora företag, som vanligtvis främst är verksamma på nationell nivå, kan få en konkurrensnackdel jämfört med multinationella företag som kan utnyttja gränsöverskridande skatteplaneringsmöjligheter, samtidigt som stora multinationella företag kanske inte bidrar rättvist och proportionellt till samhällets behov.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OECD:s/G20:s inkluderande ramverk mot BEPS tvåpelarlösning syftar till att modernisera internationella skatteregler genom omfördelning av beskattningsrätten till marknadsjurisdiktioner (den första pelaren) och inrättande av en global lägsta effektiv bolagsskattesats på 15 % (den andra pelaren).</w:t>
            </w:r>
          </w:p>
        </w:tc>
        <w:tc>
          <w:tcPr>
            <w:tcW w:w="4876" w:type="dxa"/>
            <w:tcBorders>
              <w:top w:val="nil"/>
              <w:left w:val="nil"/>
              <w:bottom w:val="nil"/>
              <w:right w:val="nil"/>
            </w:tcBorders>
          </w:tcPr>
          <w:p>
            <w:pPr>
              <w:pStyle w:val="Normal6a"/>
            </w:pPr>
            <w:r>
              <w:t>E.</w:t>
            </w:r>
            <w:r>
              <w:tab/>
            </w:r>
            <w:r>
              <w:t xml:space="preserve">OECD:s/G20:s inkluderande ramverk mot BEPS tvåpelarlösning syftar till att modernisera internationella skatteregler </w:t>
            </w:r>
            <w:r>
              <w:rPr>
                <w:b/>
                <w:i/>
              </w:rPr>
              <w:t>som ett svar på digitaliseringen och globaliseringen</w:t>
            </w:r>
            <w:r>
              <w:t xml:space="preserve"> genom omfördelning av beskattningsrätten till marknadsjurisdiktioner (den första pelaren) och inrättande av en global lägsta effektiv bolagsskattesats på 15 % (den andra pelaren).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Förhandlingarna om den första pelaren har strandat på internationell nivå. I detta sammanhang har flera medlemsstater infört eller behållit skatter på digitala tjänster på nationell nivå. Den andra pelaren har genomförts helt eller delvis av omkring en tredjedel av de 148 jurisdiktioner som deltar i OECD:s/G20:s inkluderande ramverk, medan vissa medlemsstater har genomfört den fullt ut genom direktivet om den andra pelaren.</w:t>
            </w:r>
          </w:p>
        </w:tc>
        <w:tc>
          <w:tcPr>
            <w:tcW w:w="4876" w:type="dxa"/>
            <w:tcBorders>
              <w:top w:val="nil"/>
              <w:left w:val="nil"/>
              <w:bottom w:val="nil"/>
              <w:right w:val="nil"/>
            </w:tcBorders>
          </w:tcPr>
          <w:p>
            <w:pPr>
              <w:pStyle w:val="Normal6a"/>
            </w:pPr>
            <w:r>
              <w:t>F.</w:t>
            </w:r>
            <w:r>
              <w:tab/>
            </w:r>
            <w:r>
              <w:t>Förhandlingarna om den första pelaren har strandat på internationell nivå. I detta sammanhang har flera medlemsstater infört eller behållit skatter på digitala tjänster på nationell nivå</w:t>
            </w:r>
            <w:r>
              <w:rPr>
                <w:b/>
                <w:i/>
              </w:rPr>
              <w:t>.</w:t>
            </w:r>
            <w:r>
              <w:t xml:space="preserve"> </w:t>
            </w:r>
            <w:r>
              <w:rPr>
                <w:b/>
                <w:i/>
              </w:rPr>
              <w:t>En enhetlig europeisk digital skatt skulle bidra till större internationell skatterättvisa och bättre förutsättningar internationellt och på den inre marknaden</w:t>
            </w:r>
            <w:r>
              <w:t>. Den andra pelaren har genomförts helt eller delvis av omkring en tredjedel av de 148 jurisdiktioner som deltar i OECD:s/G20:s inkluderande ramverk, medan vissa medlemsstater har genomfört den fullt ut genom direktivet om den andra pelaren.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Förhandlingarna om den första pelaren har strandat på internationell nivå. I detta sammanhang har flera medlemsstater infört eller behållit skatter på digitala tjänster på nationell nivå. Den andra pelaren har genomförts helt eller delvis av omkring en tredjedel av de 148 jurisdiktioner som deltar i OECD:s/G20:s inkluderande ramverk, medan vissa medlemsstater har genomfört den fullt ut genom direktivet om den andra pelaren.</w:t>
            </w:r>
          </w:p>
        </w:tc>
        <w:tc>
          <w:tcPr>
            <w:tcW w:w="4876" w:type="dxa"/>
            <w:tcBorders>
              <w:top w:val="nil"/>
              <w:left w:val="nil"/>
              <w:bottom w:val="nil"/>
              <w:right w:val="nil"/>
            </w:tcBorders>
          </w:tcPr>
          <w:p>
            <w:pPr>
              <w:pStyle w:val="Normal6a"/>
            </w:pPr>
            <w:r>
              <w:t>F.</w:t>
            </w:r>
            <w:r>
              <w:tab/>
            </w:r>
            <w:r>
              <w:t>Förhandlingarna om den första pelaren har strandat på internationell nivå. I detta sammanhang har flera medlemsstater infört eller behållit skatter på digitala tjänster på nationell nivå</w:t>
            </w:r>
            <w:r>
              <w:rPr>
                <w:b/>
                <w:i/>
              </w:rPr>
              <w:t>.</w:t>
            </w:r>
            <w:r>
              <w:t xml:space="preserve"> </w:t>
            </w:r>
            <w:r>
              <w:rPr>
                <w:b/>
                <w:i/>
              </w:rPr>
              <w:t>Dessa nationella åtgärder utgör viktiga och legitima inkomstflöden för medlemsstaterna i avsaknad av en global överenskommelse</w:t>
            </w:r>
            <w:r>
              <w:t>. Den andra pelaren har genomförts helt eller delvis av omkring en tredjedel av de 148 jurisdiktioner som deltar i OECD:s/G20:s inkluderande ramverk, medan vissa medlemsstater har genomfört den fullt ut genom direktivet om den andra pelaren.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Förhandlingarna om den första pelaren har strandat på internationell nivå. I detta sammanhang har flera medlemsstater infört eller behållit skatter på digitala tjänster på nationell nivå. Den andra pelaren har genomförts helt eller delvis av omkring en tredjedel av de 148 jurisdiktioner som deltar i OECD:s/G20:s inkluderande ramverk, medan vissa medlemsstater har genomfört den fullt ut genom direktivet om den andra pelaren.</w:t>
            </w:r>
          </w:p>
        </w:tc>
        <w:tc>
          <w:tcPr>
            <w:tcW w:w="4876" w:type="dxa"/>
            <w:tcBorders>
              <w:top w:val="nil"/>
              <w:left w:val="nil"/>
              <w:bottom w:val="nil"/>
              <w:right w:val="nil"/>
            </w:tcBorders>
          </w:tcPr>
          <w:p>
            <w:pPr>
              <w:pStyle w:val="Normal6a"/>
            </w:pPr>
            <w:r>
              <w:t>F.</w:t>
            </w:r>
            <w:r>
              <w:tab/>
            </w:r>
            <w:r>
              <w:t xml:space="preserve">Förhandlingarna om den första pelaren har strandat på internationell nivå. I detta sammanhang har flera medlemsstater </w:t>
            </w:r>
            <w:r>
              <w:rPr>
                <w:b/>
                <w:i/>
              </w:rPr>
              <w:t>framgångsrikt</w:t>
            </w:r>
            <w:r>
              <w:t xml:space="preserve"> infört eller behållit skatter på digitala tjänster på nationell nivå. Den andra pelaren har genomförts helt eller delvis av omkring en tredjedel av de 148 jurisdiktioner som deltar i OECD:s/G20:s inkluderande ramverk, medan vissa medlemsstater har genomfört den fullt ut genom direktivet om den andra pelaren.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På Förenta staternas initiativ nåddes en överenskommelse inom OECD:s/G20:s inkluderande ramverk mot BEPS om en ”side-by-side” -strategi (SbS), som fastställer en samordnad och samtidig tillämpning av olika minimiskattesystem. I januari 2026 beviljades det amerikanska NCTI-systemet safe harbour-status enligt SbS, vilket kommissionen erkände genom ett tillkännagivande av den 12 januari 2026.</w:t>
            </w:r>
          </w:p>
        </w:tc>
        <w:tc>
          <w:tcPr>
            <w:tcW w:w="4876" w:type="dxa"/>
            <w:tcBorders>
              <w:top w:val="nil"/>
              <w:left w:val="nil"/>
              <w:bottom w:val="nil"/>
              <w:right w:val="nil"/>
            </w:tcBorders>
          </w:tcPr>
          <w:p>
            <w:pPr>
              <w:pStyle w:val="Normal6a"/>
            </w:pPr>
            <w:r>
              <w:t>G.</w:t>
            </w:r>
            <w:r>
              <w:tab/>
            </w:r>
            <w:r>
              <w:t xml:space="preserve">På Förenta staternas initiativ nåddes en överenskommelse inom OECD:s/G20:s inkluderande ramverk mot BEPS om en ”side-by-side” -strategi (SbS), som fastställer en samordnad och samtidig tillämpning av olika minimiskattesystem. I januari 2026 beviljades det amerikanska NCTI-systemet safe harbour-status enligt SbS, vilket kommissionen erkände genom ett tillkännagivande av den 12 januari 2026. </w:t>
            </w:r>
            <w:r>
              <w:rPr>
                <w:b/>
                <w:i/>
              </w:rPr>
              <w:t>SbS undantar multinationella företag med huvudkontor i Förenta staterna från den fullständiga tillämpningen av reglerna i den andra pelaren, vilket ger en strukturell konkurrensfördel för företag med huvudkontor i Förenta staterna som är verksamma på EU:s inre marknad och undergräver integriteten i den globala ramen för minimiskatt.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På Förenta staternas initiativ nåddes en överenskommelse inom OECD:s/G20:s inkluderande ramverk mot BEPS om en ”side-by-side” -strategi (SbS), som fastställer en samordnad och samtidig tillämpning av olika minimiskattesystem. I januari 2026 beviljades det amerikanska NCTI-systemet safe harbour-status enligt SbS, vilket kommissionen erkände genom ett tillkännagivande av den 12 januari 2026.</w:t>
            </w:r>
          </w:p>
        </w:tc>
        <w:tc>
          <w:tcPr>
            <w:tcW w:w="4876" w:type="dxa"/>
            <w:tcBorders>
              <w:top w:val="nil"/>
              <w:left w:val="nil"/>
              <w:bottom w:val="nil"/>
              <w:right w:val="nil"/>
            </w:tcBorders>
          </w:tcPr>
          <w:p>
            <w:pPr>
              <w:pStyle w:val="Normal6a"/>
            </w:pPr>
            <w:r>
              <w:t>G.</w:t>
            </w:r>
            <w:r>
              <w:tab/>
            </w:r>
            <w:r>
              <w:t xml:space="preserve">På Förenta staternas initiativ nåddes en överenskommelse inom OECD:s/G20:s inkluderande ramverk mot BEPS om en ”side-by-side” -strategi (SbS), som fastställer en samordnad och samtidig tillämpning av olika minimiskattesystem. I januari 2026 beviljades det amerikanska NCTI-systemet safe harbour-status enligt SbS, vilket kommissionen erkände genom ett tillkännagivande av den 12 januari 2026. </w:t>
            </w:r>
            <w:r>
              <w:rPr>
                <w:b/>
                <w:i/>
              </w:rPr>
              <w:t>I februari 2026 ansökte Brasilien om safe harbour-status enligt SbS.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På Förenta staternas initiativ nåddes</w:t>
            </w:r>
            <w:r>
              <w:t xml:space="preserve"> en överenskommelse inom OECD:s/G20:s inkluderande ramverk mot BEPS om en ”side-by-side” -strategi (SbS), som fastställer en samordnad och samtidig tillämpning av olika minimiskattesystem. I januari 2026 beviljades det amerikanska NCTI-systemet safe harbour-status enligt SbS, vilket kommissionen erkände genom ett tillkännagivande av den 12 januari 2026.</w:t>
            </w:r>
          </w:p>
        </w:tc>
        <w:tc>
          <w:tcPr>
            <w:tcW w:w="4876" w:type="dxa"/>
            <w:tcBorders>
              <w:top w:val="nil"/>
              <w:left w:val="nil"/>
              <w:bottom w:val="nil"/>
              <w:right w:val="nil"/>
            </w:tcBorders>
          </w:tcPr>
          <w:p>
            <w:pPr>
              <w:pStyle w:val="Normal6a"/>
            </w:pPr>
            <w:r>
              <w:t>G.</w:t>
            </w:r>
            <w:r>
              <w:tab/>
            </w:r>
            <w:r>
              <w:t xml:space="preserve">En överenskommelse </w:t>
            </w:r>
            <w:r>
              <w:rPr>
                <w:b/>
                <w:i/>
              </w:rPr>
              <w:t>har nåtts</w:t>
            </w:r>
            <w:r>
              <w:t xml:space="preserve"> inom OECD:s/G20:s inkluderande ramverk mot BEPS om en ”side-by-side” -strategi (SbS), </w:t>
            </w:r>
            <w:r>
              <w:rPr>
                <w:b/>
                <w:i/>
              </w:rPr>
              <w:t>som inbegriper Förenta staternas särdrag och</w:t>
            </w:r>
            <w:r>
              <w:t xml:space="preserve"> som fastställer en samordnad och samtidig tillämpning av olika minimiskattesystem. I januari 2026 beviljades det amerikanska NCTI-systemet safe harbour-status enligt SbS, vilket kommissionen erkände genom ett tillkännagivande av den 12 januari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Ga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Varken OECD eller kommissionen har offentliggjort några studier eller uppskattningar av de ekonomiska konsekvenserna av SbS.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I färska EU-rapporter betonas vikten av skatteförenkling</w:t>
            </w:r>
            <w:r>
              <w:rPr>
                <w:b/>
                <w:i/>
              </w:rPr>
              <w:t>, rationalisering av finanspolitiska regler och effektiva</w:t>
            </w:r>
            <w:r>
              <w:t xml:space="preserve"> skatteincitament som viktiga instrument för att </w:t>
            </w:r>
            <w:r>
              <w:rPr>
                <w:b/>
                <w:i/>
              </w:rPr>
              <w:t>återställa</w:t>
            </w:r>
            <w:r>
              <w:t xml:space="preserve"> EU:s konkurrenskraft.</w:t>
            </w:r>
          </w:p>
        </w:tc>
        <w:tc>
          <w:tcPr>
            <w:tcW w:w="4876" w:type="dxa"/>
            <w:tcBorders>
              <w:top w:val="nil"/>
              <w:left w:val="nil"/>
              <w:bottom w:val="nil"/>
              <w:right w:val="nil"/>
            </w:tcBorders>
          </w:tcPr>
          <w:p>
            <w:pPr>
              <w:pStyle w:val="Normal6a"/>
            </w:pPr>
            <w:r>
              <w:t>H</w:t>
            </w:r>
            <w:r>
              <w:tab/>
            </w:r>
            <w:r>
              <w:t>I färska EU-rapporter betonas vikten av skatteförenkling</w:t>
            </w:r>
            <w:r>
              <w:rPr>
                <w:b/>
                <w:i/>
              </w:rPr>
              <w:t> och skatteharmonisering samt kostnadseffektiva</w:t>
            </w:r>
            <w:r>
              <w:t xml:space="preserve"> skatteincitament som viktiga instrument för att </w:t>
            </w:r>
            <w:r>
              <w:rPr>
                <w:b/>
                <w:i/>
              </w:rPr>
              <w:t>förbättra</w:t>
            </w:r>
            <w:r>
              <w:t xml:space="preserve"> EU:s konkurrenskraft. </w:t>
            </w:r>
            <w:r>
              <w:rPr>
                <w:b/>
                <w:i/>
              </w:rPr>
              <w:t>Välutformade, substansbaserade skatteincitament som samordnas på EU-nivå kan vara ett verktyg för att främja offentliga mål på den inre marknaden, såsom utfasning av fossila bränslen i ekonomin, förutsatt att snedvridningar undviks och möjligheterna till skatteundandragande och skatteflykt begränsas på lämpligt sätt.</w:t>
            </w:r>
            <w:r>
              <w:t xml:space="preserve"> </w:t>
            </w:r>
            <w:r>
              <w:rPr>
                <w:b/>
                <w:i/>
              </w:rPr>
              <w:t>Regeringarna bör se till att skatteincitamentsystem för FoU inbegriper robusta mekanismer mot skattekryphål samt sociala och miljömässiga rättsprinciper, och ger valuta för pengarna genom regelbunden och rigorös utvärdering, på grundval av transparenta och högkvalitativa uppgifter på företagsnivå.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 färska EU-rapporter betonas vikten av skatteförenkling, rationalisering av finanspolitiska regler och effektiva skatteincitament som viktiga instrument för att återställa EU:s konkurrenskraft.</w:t>
            </w:r>
          </w:p>
        </w:tc>
        <w:tc>
          <w:tcPr>
            <w:tcW w:w="4876" w:type="dxa"/>
            <w:tcBorders>
              <w:top w:val="nil"/>
              <w:left w:val="nil"/>
              <w:bottom w:val="nil"/>
              <w:right w:val="nil"/>
            </w:tcBorders>
          </w:tcPr>
          <w:p>
            <w:pPr>
              <w:pStyle w:val="Normal6a"/>
            </w:pPr>
            <w:r>
              <w:t>H.</w:t>
            </w:r>
            <w:r>
              <w:tab/>
            </w:r>
            <w:r>
              <w:t xml:space="preserve">I färska EU-rapporter betonas vikten av skatteförenkling, rationalisering av finanspolitiska regler och effektiva skatteincitament som viktiga instrument för att återställa EU:s konkurrenskraft. </w:t>
            </w:r>
            <w:r>
              <w:rPr>
                <w:b/>
                <w:i/>
              </w:rPr>
              <w:t>Inhemska, substansbaserade skatteincitament – såsom en skattesats på 0 % på bibehållna och återinvesterade företagsvinster – är legitima och mycket effektiva ekonomisk-politiska verktyg för kapitalbildning och tillväxt i ekonomier som befinner sig i en process för att ”hinna ifatt”.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I färska EU-rapporter betonas vikten av skatteförenkling, rationalisering av finanspolitiska regler och effektiva skatteincitament som viktiga instrument för att återställa EU:s konkurrenskraft.</w:t>
            </w:r>
          </w:p>
        </w:tc>
        <w:tc>
          <w:tcPr>
            <w:tcW w:w="4876" w:type="dxa"/>
            <w:tcBorders>
              <w:top w:val="nil"/>
              <w:left w:val="nil"/>
              <w:bottom w:val="nil"/>
              <w:right w:val="nil"/>
            </w:tcBorders>
          </w:tcPr>
          <w:p>
            <w:pPr>
              <w:pStyle w:val="Normal6a"/>
            </w:pPr>
            <w:r>
              <w:t>H</w:t>
            </w:r>
            <w:r>
              <w:tab/>
            </w:r>
            <w:r>
              <w:t>I färska EU-rapporter betonas vikten av skatteförenkling, rationalisering av finanspolitiska regler och effektiva skatteincitament som viktiga instrument för att återställa EU:s konkurrenskraft</w:t>
            </w:r>
            <w:r>
              <w:rPr>
                <w:b/>
                <w:i/>
              </w:rPr>
              <w:t>, stödja investeringar och minska de administrativa bördorna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rPr>
                <w:b/>
                <w:i/>
              </w:rPr>
              <w:t>.</w:t>
            </w:r>
            <w:r>
              <w:tab/>
            </w:r>
            <w:r>
              <w:t xml:space="preserve">I färska EU-rapporter betonas vikten av </w:t>
            </w:r>
            <w:r>
              <w:rPr>
                <w:b/>
                <w:i/>
              </w:rPr>
              <w:t>skatteförenkling,</w:t>
            </w:r>
            <w:r>
              <w:t xml:space="preserve"> rationalisering av finanspolitiska regler </w:t>
            </w:r>
            <w:r>
              <w:rPr>
                <w:b/>
                <w:i/>
              </w:rPr>
              <w:t>och effektiva skatteincitament</w:t>
            </w:r>
            <w:r>
              <w:t xml:space="preserve"> som viktiga instrument för </w:t>
            </w:r>
            <w:r>
              <w:rPr>
                <w:b/>
                <w:i/>
              </w:rPr>
              <w:t>att återställa EU:s konkurrenskraft</w:t>
            </w:r>
            <w:r>
              <w:t>.</w:t>
            </w:r>
          </w:p>
        </w:tc>
        <w:tc>
          <w:tcPr>
            <w:tcW w:w="4876" w:type="dxa"/>
            <w:tcBorders>
              <w:top w:val="nil"/>
              <w:left w:val="nil"/>
              <w:bottom w:val="nil"/>
              <w:right w:val="nil"/>
            </w:tcBorders>
          </w:tcPr>
          <w:p>
            <w:pPr>
              <w:pStyle w:val="Normal6a"/>
            </w:pPr>
            <w:r>
              <w:t>H</w:t>
            </w:r>
            <w:r>
              <w:tab/>
            </w:r>
            <w:r>
              <w:t xml:space="preserve">I färska EU-rapporter betonas vikten av </w:t>
            </w:r>
            <w:r>
              <w:rPr>
                <w:b/>
                <w:i/>
              </w:rPr>
              <w:t>administrativ förenkling på skatteområdet och</w:t>
            </w:r>
            <w:r>
              <w:t xml:space="preserve"> rationalisering av finanspolitiska regler som viktiga instrument för </w:t>
            </w:r>
            <w:r>
              <w:rPr>
                <w:b/>
                <w:i/>
              </w:rPr>
              <w:t>ett harmoniserat och effektivt genomförande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Förhandlingar om FN:s ramkonvention om internationellt skattesamarbete pågår, och den slutliga konventionstexten och två protokoll förväntas slutföras senast 2027.</w:t>
            </w:r>
            <w:r>
              <w:t xml:space="preserve"> </w:t>
            </w:r>
            <w:r>
              <w:rPr>
                <w:b/>
                <w:i/>
              </w:rPr>
              <w:t>Dessa förhandlingar utgör en möjlighet att nå en global överenskommelse genom en inkluderande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Konkurrenskraft inom</w:t>
            </w:r>
            <w:r>
              <w:t xml:space="preserve"> internationell beskattning</w:t>
            </w:r>
          </w:p>
        </w:tc>
        <w:tc>
          <w:tcPr>
            <w:tcW w:w="4876" w:type="dxa"/>
            <w:tcBorders>
              <w:top w:val="nil"/>
              <w:left w:val="nil"/>
              <w:bottom w:val="nil"/>
              <w:right w:val="nil"/>
            </w:tcBorders>
          </w:tcPr>
          <w:p>
            <w:pPr>
              <w:pStyle w:val="Normal6a"/>
            </w:pPr>
            <w:r>
              <w:rPr>
                <w:b/>
                <w:i/>
              </w:rPr>
              <w:t>Effektiv och rättvis</w:t>
            </w:r>
            <w:r>
              <w:t xml:space="preserve"> internationell beskattning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betonar att återställandet av EU:s konkurrenskraft är en topprioritering. Parlamentet påminner om att en stabil, förutsägbar och lätt navigerbar skattemiljö </w:t>
            </w:r>
            <w:r>
              <w:rPr>
                <w:b/>
                <w:i/>
              </w:rPr>
              <w:t>och</w:t>
            </w:r>
            <w:r>
              <w:t xml:space="preserve"> en optimal nivå på skatteförvaltningen är en förutsättning för att investeringar ska vara attraktiva.</w:t>
            </w:r>
          </w:p>
        </w:tc>
        <w:tc>
          <w:tcPr>
            <w:tcW w:w="4876" w:type="dxa"/>
            <w:tcBorders>
              <w:top w:val="nil"/>
              <w:left w:val="nil"/>
              <w:bottom w:val="nil"/>
              <w:right w:val="nil"/>
            </w:tcBorders>
          </w:tcPr>
          <w:p>
            <w:pPr>
              <w:pStyle w:val="Normal6a"/>
            </w:pPr>
            <w:r>
              <w:t>1.</w:t>
            </w:r>
            <w:r>
              <w:tab/>
            </w:r>
            <w:r>
              <w:t>Europaparlamentet betonar att återställandet av EU:s konkurrenskraft är en topprioritering. Parlamentet påminner om att en stabil, förutsägbar och lätt navigerbar skattemiljö</w:t>
            </w:r>
            <w:r>
              <w:rPr>
                <w:b/>
                <w:i/>
              </w:rPr>
              <w:t>,</w:t>
            </w:r>
            <w:r>
              <w:t xml:space="preserve"> en optimal nivå på skatteförvaltningen </w:t>
            </w:r>
            <w:r>
              <w:rPr>
                <w:b/>
                <w:i/>
              </w:rPr>
              <w:t>och full respekt för medlemsstaternas flexibilitet att skräddarsy sina nationella skattesystem för att uppfylla nationella ekonomiska villkor</w:t>
            </w:r>
            <w:r>
              <w:t xml:space="preserve"> är en förutsättning för att investeringar ska vara attraktiva</w:t>
            </w:r>
            <w:r>
              <w:rPr>
                <w:b/>
                <w:i/>
              </w:rPr>
              <w:t>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betonar att återställandet av EU:s konkurrenskraft är en topprioritering. Parlamentet påminner om att en stabil, förutsägbar och lätt navigerbar skattemiljö och en </w:t>
            </w:r>
            <w:r>
              <w:rPr>
                <w:b/>
                <w:i/>
              </w:rPr>
              <w:t>optimal nivå på skatteförvaltningen</w:t>
            </w:r>
            <w:r>
              <w:t xml:space="preserve"> är en förutsättning för att investeringar ska vara attraktiva.</w:t>
            </w:r>
          </w:p>
        </w:tc>
        <w:tc>
          <w:tcPr>
            <w:tcW w:w="4876" w:type="dxa"/>
            <w:tcBorders>
              <w:top w:val="nil"/>
              <w:left w:val="nil"/>
              <w:bottom w:val="nil"/>
              <w:right w:val="nil"/>
            </w:tcBorders>
          </w:tcPr>
          <w:p>
            <w:pPr>
              <w:pStyle w:val="Normal6a"/>
            </w:pPr>
            <w:r>
              <w:t>1.</w:t>
            </w:r>
            <w:r>
              <w:tab/>
            </w:r>
            <w:r>
              <w:t xml:space="preserve">Europaparlamentet betonar att återställandet av EU:s konkurrenskraft är en topprioritering. Parlamentet påminner om att en stabil, förutsägbar och lätt navigerbar skattemiljö </w:t>
            </w:r>
            <w:r>
              <w:rPr>
                <w:b/>
                <w:i/>
              </w:rPr>
              <w:t>som är inriktad på att främja tillväxt snarare än att skapa otillbörliga restriktioner,</w:t>
            </w:r>
            <w:r>
              <w:t xml:space="preserve"> och en </w:t>
            </w:r>
            <w:r>
              <w:rPr>
                <w:b/>
                <w:i/>
              </w:rPr>
              <w:t>proportionerlig skatteförvaltning med minimala efterlevnadskostnader,</w:t>
            </w:r>
            <w:r>
              <w:t xml:space="preserve"> är en förutsättning för att investeringar ska vara attraktiva.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betonar att </w:t>
            </w:r>
            <w:r>
              <w:rPr>
                <w:b/>
                <w:i/>
              </w:rPr>
              <w:t>återställandet</w:t>
            </w:r>
            <w:r>
              <w:t xml:space="preserve"> av EU:s konkurrenskraft är en </w:t>
            </w:r>
            <w:r>
              <w:rPr>
                <w:b/>
                <w:i/>
              </w:rPr>
              <w:t>topprioritering</w:t>
            </w:r>
            <w:r>
              <w:t>. Parlamentet påminner om att en stabil, förutsägbar och lätt navigerbar skattemiljö och en optimal nivå på skatteförvaltningen är en förutsättning för att investeringar ska vara attraktiva.</w:t>
            </w:r>
          </w:p>
        </w:tc>
        <w:tc>
          <w:tcPr>
            <w:tcW w:w="4876" w:type="dxa"/>
            <w:tcBorders>
              <w:top w:val="nil"/>
              <w:left w:val="nil"/>
              <w:bottom w:val="nil"/>
              <w:right w:val="nil"/>
            </w:tcBorders>
          </w:tcPr>
          <w:p>
            <w:pPr>
              <w:pStyle w:val="Normal6a"/>
            </w:pPr>
            <w:r>
              <w:t>1.</w:t>
            </w:r>
            <w:r>
              <w:tab/>
            </w:r>
            <w:r>
              <w:t xml:space="preserve">Europaparlamentet betonar att </w:t>
            </w:r>
            <w:r>
              <w:rPr>
                <w:b/>
                <w:i/>
              </w:rPr>
              <w:t>en förstärkning</w:t>
            </w:r>
            <w:r>
              <w:t xml:space="preserve"> av EU:s konkurrenskraft är en </w:t>
            </w:r>
            <w:r>
              <w:rPr>
                <w:b/>
                <w:i/>
              </w:rPr>
              <w:t>av unionens prioriteringar, vid sidan av den gröna och digitala omställningen</w:t>
            </w:r>
            <w:r>
              <w:t>. Parlamentet påminner om att en stabil, förutsägbar</w:t>
            </w:r>
            <w:r>
              <w:rPr>
                <w:b/>
                <w:i/>
              </w:rPr>
              <w:t>, transparent</w:t>
            </w:r>
            <w:r>
              <w:t xml:space="preserve"> och lätt navigerbar skattemiljö och en optimal nivå på skatteförvaltningen är en förutsättning för att investeringar ska vara attraktiva.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w:t>
            </w:r>
            <w:r>
              <w:rPr>
                <w:b/>
                <w:i/>
              </w:rPr>
              <w:t>betonar att återställandet av EU:s konkurrenskraft är en topprioritering.</w:t>
            </w:r>
            <w:r>
              <w:t xml:space="preserve"> </w:t>
            </w:r>
            <w:r>
              <w:rPr>
                <w:b/>
                <w:i/>
              </w:rPr>
              <w:t>Parlamentet</w:t>
            </w:r>
            <w:r>
              <w:t xml:space="preserve"> påminner om att en stabil, förutsägbar och lätt navigerbar skattemiljö och en optimal nivå på skatteförvaltningen är en förutsättning för att investeringar ska vara attraktiva.</w:t>
            </w:r>
          </w:p>
        </w:tc>
        <w:tc>
          <w:tcPr>
            <w:tcW w:w="4876" w:type="dxa"/>
            <w:tcBorders>
              <w:top w:val="nil"/>
              <w:left w:val="nil"/>
              <w:bottom w:val="nil"/>
              <w:right w:val="nil"/>
            </w:tcBorders>
          </w:tcPr>
          <w:p>
            <w:pPr>
              <w:pStyle w:val="Normal6a"/>
            </w:pPr>
            <w:r>
              <w:t>1.</w:t>
            </w:r>
            <w:r>
              <w:tab/>
            </w:r>
            <w:r>
              <w:t xml:space="preserve">Europaparlamentet påminner om att en </w:t>
            </w:r>
            <w:r>
              <w:rPr>
                <w:b/>
                <w:i/>
              </w:rPr>
              <w:t>rättvis,</w:t>
            </w:r>
            <w:r>
              <w:t xml:space="preserve"> stabil, förutsägbar och lätt navigerbar skattemiljö och en optimal nivå på skatteförvaltningen är en förutsättning för att investeringar ska vara attraktiva. </w:t>
            </w:r>
            <w:r>
              <w:rPr>
                <w:b/>
                <w:i/>
              </w:rPr>
              <w:t>Parlamentet betonar behovet av gränsöverskridande verksamhet för EU:s konkurrenskraft och den roll som en rättvis och harmoniserad beskattning spelar i detta avseende.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betonar att återställandet av EU:s konkurrenskraft är en topprioritering. Parlamentet påminner om att en stabil, förutsägbar och lätt navigerbar skattemiljö och en </w:t>
            </w:r>
            <w:r>
              <w:rPr>
                <w:b/>
                <w:i/>
              </w:rPr>
              <w:t>optimal nivå på skatteförvaltningen</w:t>
            </w:r>
            <w:r>
              <w:t xml:space="preserve"> är en förutsättning för att investeringar ska vara attraktiva.</w:t>
            </w:r>
          </w:p>
        </w:tc>
        <w:tc>
          <w:tcPr>
            <w:tcW w:w="4876" w:type="dxa"/>
            <w:tcBorders>
              <w:top w:val="nil"/>
              <w:left w:val="nil"/>
              <w:bottom w:val="nil"/>
              <w:right w:val="nil"/>
            </w:tcBorders>
          </w:tcPr>
          <w:p>
            <w:pPr>
              <w:pStyle w:val="Normal6a"/>
            </w:pPr>
            <w:r>
              <w:t>1.</w:t>
            </w:r>
            <w:r>
              <w:tab/>
            </w:r>
            <w:r>
              <w:t>Europaparlamentet betonar att återställandet av EU:s konkurrenskraft är en topprioritering. Parlamentet påminner om att en stabil, förutsägbar och lätt navigerbar skattemiljö</w:t>
            </w:r>
            <w:r>
              <w:rPr>
                <w:b/>
                <w:i/>
              </w:rPr>
              <w:t>, en konkurrenskraftig skattebörda</w:t>
            </w:r>
            <w:r>
              <w:t xml:space="preserve"> och en </w:t>
            </w:r>
            <w:r>
              <w:rPr>
                <w:b/>
                <w:i/>
              </w:rPr>
              <w:t>effektiv, proportionerlig och företagsvänlig skatteförvaltning</w:t>
            </w:r>
            <w:r>
              <w:t xml:space="preserve"> är en förutsättning för att investeringar ska vara attraktiva.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Europaparlamentet betonar att återställandet av EU:s konkurrenskraft är en topprioritering. Parlamentet påminner om att en stabil, förutsägbar och lätt navigerbar skattemiljö och en optimal nivå på skatteförvaltningen är en förutsättning för att investeringar ska vara attraktiva.</w:t>
            </w:r>
          </w:p>
        </w:tc>
        <w:tc>
          <w:tcPr>
            <w:tcW w:w="4876" w:type="dxa"/>
            <w:tcBorders>
              <w:top w:val="nil"/>
              <w:left w:val="nil"/>
              <w:bottom w:val="nil"/>
              <w:right w:val="nil"/>
            </w:tcBorders>
          </w:tcPr>
          <w:p>
            <w:pPr>
              <w:pStyle w:val="Normal6a"/>
            </w:pPr>
            <w:r>
              <w:t>1.</w:t>
            </w:r>
            <w:r>
              <w:tab/>
            </w:r>
            <w:r>
              <w:t>Europaparlamentet betonar att återställandet av EU:s konkurrenskraft är en topprioritering. Parlamentet påminner om att en stabil, förutsägbar</w:t>
            </w:r>
            <w:r>
              <w:rPr>
                <w:b/>
                <w:i/>
              </w:rPr>
              <w:t>, konkurrenskraftig, attraktiv</w:t>
            </w:r>
            <w:r>
              <w:t xml:space="preserve"> och lätt navigerbar skattemiljö och en optimal nivå på skatteförvaltningen är en förutsättning för att investeringar ska vara attraktiva.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Europaparlamentet beklagar att kombinationen av höga bolagsskattesatser i EU, komplex efterlevnadskontroll, källskatteregler, begränsad förlustutjämning i vissa länder och fragmenterade nationella system skapar konkurrensnackdelar för EU-företag som försöker konkurrera globalt.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Europaparlamentet välkomnar internationella insatser, såsom de som gjorts av OECD, som syftar till att stoppa kapplöpningen mot botten och skapa mer lika villkor genom att fastställa en global lägsta nivå för multinationella företags skattskyldigheter genom en lägsta effektiv skattesats.</w:t>
            </w:r>
          </w:p>
        </w:tc>
        <w:tc>
          <w:tcPr>
            <w:tcW w:w="4876" w:type="dxa"/>
            <w:tcBorders>
              <w:top w:val="nil"/>
              <w:left w:val="nil"/>
              <w:bottom w:val="nil"/>
              <w:right w:val="nil"/>
            </w:tcBorders>
          </w:tcPr>
          <w:p>
            <w:pPr>
              <w:pStyle w:val="Normal6a"/>
            </w:pPr>
            <w:r>
              <w:t>2.</w:t>
            </w:r>
            <w:r>
              <w:tab/>
            </w:r>
            <w:r>
              <w:t xml:space="preserve">Europaparlamentet välkomnar internationella insatser, såsom de som gjorts av OECD, som syftar till att stoppa kapplöpningen mot botten och skapa mer lika villkor genom att fastställa en global lägsta nivå för multinationella företags skattskyldigheter genom en lägsta effektiv skattesats. </w:t>
            </w:r>
            <w:r>
              <w:rPr>
                <w:b/>
                <w:i/>
              </w:rPr>
              <w:t>Parlamentet uppmanar kommissionen och medlemsstaterna att i relevanta internationella forum förespråka en gradvis ökning av den globala lägsta effektiva bolagsskattesatsen i linje med rekommendationerna från den oberoende kommissionen för reformen av internationell företagsbeskattning (ICRICT) och oberoende ekonomer till en nivå som kan generera ytterligare intäkter för offentliga investeringar, klimatåtgärder och sociala utgifter.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Europaparlamentet </w:t>
            </w:r>
            <w:r>
              <w:rPr>
                <w:b/>
                <w:i/>
              </w:rPr>
              <w:t>välkomnar</w:t>
            </w:r>
            <w:r>
              <w:t xml:space="preserve"> internationella insatser, såsom de som gjorts av OECD, som syftar till att </w:t>
            </w:r>
            <w:r>
              <w:rPr>
                <w:b/>
                <w:i/>
              </w:rPr>
              <w:t>stoppa kapplöpningen mot botten och</w:t>
            </w:r>
            <w:r>
              <w:t xml:space="preserve"> skapa mer lika villkor </w:t>
            </w:r>
            <w:r>
              <w:rPr>
                <w:b/>
                <w:i/>
              </w:rPr>
              <w:t>genom att fastställa en global lägsta nivå</w:t>
            </w:r>
            <w:r>
              <w:t xml:space="preserve"> för multinationella </w:t>
            </w:r>
            <w:r>
              <w:rPr>
                <w:b/>
                <w:i/>
              </w:rPr>
              <w:t>företags skattskyldigheter</w:t>
            </w:r>
            <w:r>
              <w:t xml:space="preserve"> genom en lägsta effektiv skattesats.</w:t>
            </w:r>
          </w:p>
        </w:tc>
        <w:tc>
          <w:tcPr>
            <w:tcW w:w="4876" w:type="dxa"/>
            <w:tcBorders>
              <w:top w:val="nil"/>
              <w:left w:val="nil"/>
              <w:bottom w:val="nil"/>
              <w:right w:val="nil"/>
            </w:tcBorders>
          </w:tcPr>
          <w:p>
            <w:pPr>
              <w:pStyle w:val="Normal6a"/>
            </w:pPr>
            <w:r>
              <w:t>2.</w:t>
            </w:r>
            <w:r>
              <w:tab/>
            </w:r>
            <w:r>
              <w:t xml:space="preserve">Europaparlamentet </w:t>
            </w:r>
            <w:r>
              <w:rPr>
                <w:b/>
                <w:i/>
              </w:rPr>
              <w:t>noterar</w:t>
            </w:r>
            <w:r>
              <w:t xml:space="preserve"> internationella insatser, såsom de som gjorts av OECD, som syftar till att skapa mer lika villkor för multinationella </w:t>
            </w:r>
            <w:r>
              <w:rPr>
                <w:b/>
                <w:i/>
              </w:rPr>
              <w:t>företag</w:t>
            </w:r>
            <w:r>
              <w:t xml:space="preserve"> genom en lägsta effektiv skattesats. </w:t>
            </w:r>
            <w:r>
              <w:rPr>
                <w:b/>
                <w:i/>
              </w:rPr>
              <w:t>Parlamentet betonar dock att rättvis, transparent och substansbaserad skattekonkurrens mellan jurisdiktioner kan förbli ett legitimt verktyg för att locka till sig investeringar, stödja sysselsättningen och stärka konkurrenskraften, och bör inte likställas med skadlig skattepraxis.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Europaparlamentet</w:t>
            </w:r>
            <w:r>
              <w:t xml:space="preserve"> välkomnar internationella insatser, såsom de som gjorts av OECD</w:t>
            </w:r>
            <w:r>
              <w:rPr>
                <w:b/>
                <w:i/>
              </w:rPr>
              <w:t>, som syftar till att stoppa kapplöpningen mot botten och skapa mer lika villkor genom att fastställa en global lägsta nivå för multinationella företags skattskyldigheter genom en lägsta effektiv skattesats</w:t>
            </w:r>
            <w:r>
              <w:t>.</w:t>
            </w:r>
          </w:p>
        </w:tc>
        <w:tc>
          <w:tcPr>
            <w:tcW w:w="4876" w:type="dxa"/>
            <w:tcBorders>
              <w:top w:val="nil"/>
              <w:left w:val="nil"/>
              <w:bottom w:val="nil"/>
              <w:right w:val="nil"/>
            </w:tcBorders>
          </w:tcPr>
          <w:p>
            <w:pPr>
              <w:pStyle w:val="Normal6a"/>
            </w:pPr>
            <w:r>
              <w:t>2.</w:t>
            </w:r>
            <w:r>
              <w:tab/>
            </w:r>
            <w:r>
              <w:t>Välkomnar internationella insatser, såsom de som gjorts av OECD.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betonar att företagsbeskattningens framtid i unionen måste förbli fast förankrad i principerna om ekonomisk substans och verklig kapitalbildning.</w:t>
            </w:r>
            <w:r>
              <w:t xml:space="preserve"> </w:t>
            </w:r>
            <w:r>
              <w:rPr>
                <w:b/>
                <w:i/>
              </w:rPr>
              <w:t>Parlamentet vidhåller att konkurrenskraftiga bolagsskattemodeller, särskilt de som använder en skattesats på 0 % på outdelade och återinvesterade vinster, utgör mycket effektiva, framåtblickande ekonomiska verktyg som stimulerar inhemska investeringar, innovation och långsiktig kapitalbildning.</w:t>
            </w:r>
            <w:r>
              <w:t xml:space="preserve"> </w:t>
            </w:r>
            <w:r>
              <w:rPr>
                <w:b/>
                <w:i/>
              </w:rPr>
              <w:t>Parlamentet avvisar strategier som syftar till att omvandla den europeiska skatteramen till obligatorisk formelbaserad konsolidering eller centraliserad vinstomfördelning, som systematiskt frigör bolagsskatteskulder från företagens faktiska fysiska och ekonomiska avtryck inom enskilda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välkomnar de insatser som gjorts av FN:s mellanstatliga förhandlingskommitté för internationellt skattesamarbete för att utarbeta en FN-ramkonvention om internationellt skattesamarbete i syfte att stärka det internationella skattesamarbetet, bekämpa skatteundandragande och säkerställa rättvisare skattesystem i hela världen.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Europaparlamentet välkomnar FN:s insatser för att skapa ett sammanhängande och omfattande multilateralt avtal om internationell beskattning, bland annat om rättvis fördelning av beskattningsrätten, olagliga finansiella flöden och skadlig skattepraxis.</w:t>
            </w:r>
            <w:r>
              <w:t xml:space="preserve"> </w:t>
            </w:r>
            <w:r>
              <w:rPr>
                <w:b/>
                <w:i/>
              </w:rPr>
              <w:t>Parlamentet stöder målet att anpassa den internationella beskattningen till målen för mänskliga rättigheter och hållbar utveckling.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Europaparlamentet betonar att navigering i en föränderlig internationell miljö kräver en strukturell övergång från obeveklig överreglering av lagstiftningen till administrativ stabilisering och systemisk förenkling.</w:t>
            </w:r>
            <w:r>
              <w:t xml:space="preserve"> </w:t>
            </w:r>
            <w:r>
              <w:rPr>
                <w:b/>
                <w:i/>
              </w:rPr>
              <w:t>Parlamentet efterlyser en framtida bolagsskattepolitik som strikt prioriterar att minska efterlevnadsbördorna genom att inrätta ett moratorium för överlappande rapporteringskrav och säkerställa ett omedelbart genomförande av robusta, permanenta safe harbours inom ramen för reglerna i den andra pelaren.</w:t>
            </w:r>
            <w:r>
              <w:t xml:space="preserve"> </w:t>
            </w:r>
            <w:r>
              <w:rPr>
                <w:b/>
                <w:i/>
              </w:rPr>
              <w:t>Parlamentet insisterar på att mindre nationella skattemyndigheters faktiska operativa och strukturella kapacitet måste fungera som en primär grundläggande begränsning för alla framtida EU-omfattande eller globala finanspolitiska ramar, och därigenom skydda mindre medlemsstater från en alltför stor utökning av byråkratin och från uttömning av resurser.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Europaparlamentet varnar för att varje övergång till omröstningsmekanismer med enkel majoritet i fastställandet av globala skatteregler riskerar att marginalisera mindre, öppna ekonomier, störa etablerade avtalsnätverk och skapa ett fragmenterat och dubbelspårigt internationellt skattesystem.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beklagar att det globala genomförandet av den andra pelaren fortfarande är ofullständigt, och att stora ekonomier som Kina </w:t>
            </w:r>
            <w:r>
              <w:rPr>
                <w:b/>
                <w:i/>
              </w:rPr>
              <w:t>och</w:t>
            </w:r>
            <w:r>
              <w:t xml:space="preserve"> Indien inte har genomfört reformen. Parlamentet </w:t>
            </w:r>
            <w:r>
              <w:rPr>
                <w:b/>
                <w:i/>
              </w:rPr>
              <w:t>anser att samexistensen mellan</w:t>
            </w:r>
            <w:r>
              <w:t xml:space="preserve"> den andra pelaren </w:t>
            </w:r>
            <w:r>
              <w:rPr>
                <w:b/>
                <w:i/>
              </w:rPr>
              <w:t>och parallella nationella minimiskattesystem leder till fragmentering och försvagar dess globala tillämpning</w:t>
            </w:r>
            <w:r>
              <w:t>.</w:t>
            </w:r>
          </w:p>
        </w:tc>
        <w:tc>
          <w:tcPr>
            <w:tcW w:w="4876" w:type="dxa"/>
            <w:tcBorders>
              <w:top w:val="nil"/>
              <w:left w:val="nil"/>
              <w:bottom w:val="nil"/>
              <w:right w:val="nil"/>
            </w:tcBorders>
          </w:tcPr>
          <w:p>
            <w:pPr>
              <w:pStyle w:val="Normal6a"/>
            </w:pPr>
            <w:r>
              <w:t>3.</w:t>
            </w:r>
            <w:r>
              <w:tab/>
            </w:r>
            <w:r>
              <w:t>Europaparlamentet beklagar att det globala genomförandet av den andra pelaren fortfarande är ofullständigt, och att stora ekonomier som Kina</w:t>
            </w:r>
            <w:r>
              <w:rPr>
                <w:b/>
                <w:i/>
              </w:rPr>
              <w:t>,</w:t>
            </w:r>
            <w:r>
              <w:t xml:space="preserve"> Indien </w:t>
            </w:r>
            <w:r>
              <w:rPr>
                <w:b/>
                <w:i/>
              </w:rPr>
              <w:t>och USA</w:t>
            </w:r>
            <w:r>
              <w:t xml:space="preserve"> inte har genomfört reformen. Parlamentet </w:t>
            </w:r>
            <w:r>
              <w:rPr>
                <w:b/>
                <w:i/>
              </w:rPr>
              <w:t>uppmanar med kraft medlemsstaterna att fullt ut genomföra</w:t>
            </w:r>
            <w:r>
              <w:t xml:space="preserve"> den andra pelaren</w:t>
            </w:r>
            <w:r>
              <w:rPr>
                <w:b/>
                <w:i/>
              </w:rPr>
              <w:t>, särskilt regeln om kompensation för bortfall i skattebetalning (UTPR-regeln).</w:t>
            </w:r>
            <w:r>
              <w:t xml:space="preserve"> </w:t>
            </w:r>
            <w:r>
              <w:rPr>
                <w:b/>
                <w:i/>
              </w:rPr>
              <w:t>Parlamentet noterar att UTPR-regeln är en viktig del av en välfungerande andra pelare som säkerställer lika villkor för europeiska företag.</w:t>
            </w:r>
            <w:r>
              <w:t xml:space="preserve"> </w:t>
            </w:r>
            <w:r>
              <w:rPr>
                <w:b/>
                <w:i/>
              </w:rPr>
              <w:t>Parlamentet uppmanar medlemsstaterna att inte förlänga det tillfälliga safe harbour i samband med UTPR-regeln efter 2026, vilket skulle missgynna EU-företag.</w:t>
            </w:r>
            <w:r>
              <w:t xml:space="preserve"> </w:t>
            </w:r>
            <w:r>
              <w:rPr>
                <w:b/>
                <w:i/>
              </w:rPr>
              <w:t>Parlamentet välkomnar kommissionsledamot Hoekstras tydliga åtagande om UTPR-regeln i sina skriftliga svar till parlamentet i samband med utfrågningen inför sin utnämning.</w:t>
            </w:r>
            <w:r>
              <w:t xml:space="preserve"> </w:t>
            </w:r>
            <w:r>
              <w:rPr>
                <w:b/>
                <w:i/>
              </w:rPr>
              <w:t>Parlamentet påminner om att Förenta staterna 2021 enades om OECD:s minimiskatt inom G7, G20 och OECD:s inkluderande ramverk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Pierre Pimpie,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beklagar att det globala genomförandet av den andra pelaren fortfarande är ofullständigt, och att stora ekonomier som Kina och Indien inte har genomfört reformen. Parlamentet anser </w:t>
            </w:r>
            <w:r>
              <w:rPr>
                <w:b/>
                <w:i/>
              </w:rPr>
              <w:t>att samexistensen mellan den andra pelaren och parallella nationella minimiskattesystem leder till fragmentering och försvagar dess</w:t>
            </w:r>
            <w:r>
              <w:t xml:space="preserve"> globala </w:t>
            </w:r>
            <w:r>
              <w:rPr>
                <w:b/>
                <w:i/>
              </w:rPr>
              <w:t>tillämpning</w:t>
            </w:r>
            <w:r>
              <w:t>.</w:t>
            </w:r>
          </w:p>
        </w:tc>
        <w:tc>
          <w:tcPr>
            <w:tcW w:w="4876" w:type="dxa"/>
            <w:tcBorders>
              <w:top w:val="nil"/>
              <w:left w:val="nil"/>
              <w:bottom w:val="nil"/>
              <w:right w:val="nil"/>
            </w:tcBorders>
          </w:tcPr>
          <w:p>
            <w:pPr>
              <w:pStyle w:val="Normal6a"/>
            </w:pPr>
            <w:r>
              <w:t>3.</w:t>
            </w:r>
            <w:r>
              <w:tab/>
            </w:r>
            <w:r>
              <w:t xml:space="preserve">Europaparlamentet beklagar att det globala genomförandet av den andra pelaren fortfarande är ofullständigt, och att stora ekonomier som Kina och Indien inte har genomfört reformen. Parlamentet </w:t>
            </w:r>
            <w:r>
              <w:rPr>
                <w:b/>
                <w:i/>
              </w:rPr>
              <w:t>betonar att en global minimiskatt endast kan skapa genuint lika villkor om den tillämpas effektivt och konsekvent av alla större ekonomier.</w:t>
            </w:r>
            <w:r>
              <w:t xml:space="preserve"> </w:t>
            </w:r>
            <w:r>
              <w:rPr>
                <w:b/>
                <w:i/>
              </w:rPr>
              <w:t>Parlamentet</w:t>
            </w:r>
            <w:r>
              <w:t xml:space="preserve"> anser </w:t>
            </w:r>
            <w:r>
              <w:rPr>
                <w:b/>
                <w:i/>
              </w:rPr>
              <w:t>därför att EU bör bedöma alternativa och mer pragmatiska strategier där det</w:t>
            </w:r>
            <w:r>
              <w:t xml:space="preserve"> globala </w:t>
            </w:r>
            <w:r>
              <w:rPr>
                <w:b/>
                <w:i/>
              </w:rPr>
              <w:t>genomförandet fortfarande är ofullständigt, inbegripet riktad förenkling, ömsesidiga safe harbour-arrangemang och åtgärder för att bevara konkurrenskraften hos företag med huvudkontor i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beklagar att det globala genomförandet av den andra pelaren fortfarande är ofullständigt, och att stora ekonomier som Kina och Indien inte har genomfört reformen. Parlamentet anser att samexistensen mellan den andra pelaren och parallella nationella minimiskattesystem leder till fragmentering och försvagar dess globala tillämpning.</w:t>
            </w:r>
          </w:p>
        </w:tc>
        <w:tc>
          <w:tcPr>
            <w:tcW w:w="4876" w:type="dxa"/>
            <w:tcBorders>
              <w:top w:val="nil"/>
              <w:left w:val="nil"/>
              <w:bottom w:val="nil"/>
              <w:right w:val="nil"/>
            </w:tcBorders>
          </w:tcPr>
          <w:p>
            <w:pPr>
              <w:pStyle w:val="Normal6a"/>
            </w:pPr>
            <w:r>
              <w:t>3.</w:t>
            </w:r>
            <w:r>
              <w:tab/>
            </w:r>
            <w:r>
              <w:t xml:space="preserve">Europaparlamentet beklagar att det globala genomförandet av den andra pelaren fortfarande är ofullständigt </w:t>
            </w:r>
            <w:r>
              <w:rPr>
                <w:b/>
                <w:i/>
              </w:rPr>
              <w:t>och medför en betydande administrativ börda och exceptionella kostnader för skattebetalarna utan motsvarande skatteintäkter</w:t>
            </w:r>
            <w:r>
              <w:t>, och att stora ekonomier som Kina och Indien inte har genomfört reformen. Parlamentet anser att samexistensen mellan den andra pelaren och parallella nationella minimiskattesystem leder till fragmentering och försvagar dess globala tillämpning.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Europaparlamentet beklagar att det globala genomförandet av den andra pelaren fortfarande är ofullständigt, och att stora ekonomier som Kina och Indien inte har genomfört reformen. Parlamentet anser att samexistensen mellan den andra pelaren och parallella nationella minimiskattesystem leder till fragmentering och försvagar dess globala tillämpning.</w:t>
            </w:r>
          </w:p>
        </w:tc>
        <w:tc>
          <w:tcPr>
            <w:tcW w:w="4876" w:type="dxa"/>
            <w:tcBorders>
              <w:top w:val="nil"/>
              <w:left w:val="nil"/>
              <w:bottom w:val="nil"/>
              <w:right w:val="nil"/>
            </w:tcBorders>
          </w:tcPr>
          <w:p>
            <w:pPr>
              <w:pStyle w:val="Normal6a"/>
            </w:pPr>
            <w:r>
              <w:t>3.</w:t>
            </w:r>
            <w:r>
              <w:tab/>
            </w:r>
            <w:r>
              <w:t xml:space="preserve">Europaparlamentet beklagar att det globala genomförandet av den andra pelaren fortfarande är ofullständigt, och att stora ekonomier som Kina och Indien inte har genomfört reformen. Parlamentet anser att samexistensen mellan den andra pelaren och parallella nationella minimiskattesystem </w:t>
            </w:r>
            <w:r>
              <w:rPr>
                <w:b/>
                <w:i/>
              </w:rPr>
              <w:t>– såsom det amerikanska NCTI-systemet och andra nationella system som kan få safe harbour-status enligt SbS –</w:t>
            </w:r>
            <w:r>
              <w:t xml:space="preserve"> leder till fragmentering och försvagar dess globala tillämpning.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w:t>
            </w:r>
            <w:r>
              <w:rPr>
                <w:b/>
                <w:i/>
              </w:rPr>
              <w:t>beklagar</w:t>
            </w:r>
            <w:r>
              <w:t xml:space="preserve"> att det globala genomförandet av den andra pelaren fortfarande är ofullständigt, och att stora ekonomier som Kina och Indien inte har genomfört reformen. Parlamentet anser att samexistensen mellan den andra pelaren och parallella nationella minimiskattesystem leder till fragmentering </w:t>
            </w:r>
            <w:r>
              <w:rPr>
                <w:b/>
                <w:i/>
              </w:rPr>
              <w:t>och försvagar dess globala tillämpning</w:t>
            </w:r>
            <w:r>
              <w:t>.</w:t>
            </w:r>
          </w:p>
        </w:tc>
        <w:tc>
          <w:tcPr>
            <w:tcW w:w="4876" w:type="dxa"/>
            <w:tcBorders>
              <w:top w:val="nil"/>
              <w:left w:val="nil"/>
              <w:bottom w:val="nil"/>
              <w:right w:val="nil"/>
            </w:tcBorders>
          </w:tcPr>
          <w:p>
            <w:pPr>
              <w:pStyle w:val="Normal6a"/>
            </w:pPr>
            <w:r>
              <w:t>3.</w:t>
            </w:r>
            <w:r>
              <w:tab/>
            </w:r>
            <w:r>
              <w:t xml:space="preserve">Europaparlamentet </w:t>
            </w:r>
            <w:r>
              <w:rPr>
                <w:b/>
                <w:i/>
              </w:rPr>
              <w:t>konstaterar</w:t>
            </w:r>
            <w:r>
              <w:t xml:space="preserve"> att det globala genomförandet av den andra pelaren fortfarande är ofullständigt, och att stora ekonomier som Kina och Indien inte har genomfört reformen. Parlamentet anser att samexistensen mellan den andra pelaren och parallella nationella minimiskattesystem leder till fragmentering</w:t>
            </w:r>
            <w:r>
              <w:rPr>
                <w:b/>
                <w:i/>
              </w:rPr>
              <w:t>, ökar risken för asymmetriska konkurrensnackdelar för europeiska företag och komplicerar i onödan det inhemska skattepolitiska utrymmet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Europaparlamentet beklagar att det globala genomförandet av den andra pelaren fortfarande är ofullständigt, och att stora ekonomier som Kina och Indien inte har genomfört reformen. Parlamentet </w:t>
            </w:r>
            <w:r>
              <w:rPr>
                <w:b/>
                <w:i/>
              </w:rPr>
              <w:t>anser att samexistensen mellan</w:t>
            </w:r>
            <w:r>
              <w:t xml:space="preserve"> den andra pelaren </w:t>
            </w:r>
            <w:r>
              <w:rPr>
                <w:b/>
                <w:i/>
              </w:rPr>
              <w:t>och parallella nationella minimiskattesystem leder till fragmentering och försvagar dess</w:t>
            </w:r>
            <w:r>
              <w:t xml:space="preserve"> globala </w:t>
            </w:r>
            <w:r>
              <w:rPr>
                <w:b/>
                <w:i/>
              </w:rPr>
              <w:t>tillämpning</w:t>
            </w:r>
            <w:r>
              <w:t>.</w:t>
            </w:r>
          </w:p>
        </w:tc>
        <w:tc>
          <w:tcPr>
            <w:tcW w:w="4876" w:type="dxa"/>
            <w:tcBorders>
              <w:top w:val="nil"/>
              <w:left w:val="nil"/>
              <w:bottom w:val="nil"/>
              <w:right w:val="nil"/>
            </w:tcBorders>
          </w:tcPr>
          <w:p>
            <w:pPr>
              <w:pStyle w:val="Normal6a"/>
            </w:pPr>
            <w:r>
              <w:t>3.</w:t>
            </w:r>
            <w:r>
              <w:tab/>
            </w:r>
            <w:r>
              <w:t xml:space="preserve">Europaparlamentet beklagar att det globala genomförandet av den andra pelaren fortfarande är ofullständigt, och att stora ekonomier som Kina och Indien inte har genomfört reformen. Parlamentet </w:t>
            </w:r>
            <w:r>
              <w:rPr>
                <w:b/>
                <w:i/>
              </w:rPr>
              <w:t>påminner om att överenskommelsen om</w:t>
            </w:r>
            <w:r>
              <w:t xml:space="preserve"> den andra pelaren </w:t>
            </w:r>
            <w:r>
              <w:rPr>
                <w:b/>
                <w:i/>
              </w:rPr>
              <w:t>är ett viktigt instrument för att säkerställa rättvis beskattning, minska skadlig skattepraxis och skapa rättvisare lika villkor för stora företag som är verksamma i den</w:t>
            </w:r>
            <w:r>
              <w:t xml:space="preserve"> globala </w:t>
            </w:r>
            <w:r>
              <w:rPr>
                <w:b/>
                <w:i/>
              </w:rPr>
              <w:t>ekonomin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noterar med oro att de betydande strukturella skillnaderna mellan USA:s NCTI-system och den andra pelaren leder till olika effektiva skattesatser </w:t>
            </w:r>
            <w:r>
              <w:rPr>
                <w:b/>
                <w:i/>
              </w:rPr>
              <w:t>som missgynnar multinationella företag med huvudkontor i EU som är verksamma i Förenta staterna</w:t>
            </w:r>
            <w:r>
              <w:t xml:space="preserve">. Parlamentet noterar vidare att multinationella företag med huvudkontor i Förenta staterna till följd av SbS är tekniskt undantagna från de flesta skyldigheterna enligt den andra pelaren, vilket </w:t>
            </w:r>
            <w:r>
              <w:rPr>
                <w:b/>
                <w:i/>
              </w:rPr>
              <w:t>ger europeiska</w:t>
            </w:r>
            <w:r>
              <w:t xml:space="preserve"> företag </w:t>
            </w:r>
            <w:r>
              <w:rPr>
                <w:b/>
                <w:i/>
              </w:rPr>
              <w:t>en konkurrensnackdel</w:t>
            </w:r>
            <w:r>
              <w:t>.</w:t>
            </w:r>
          </w:p>
        </w:tc>
        <w:tc>
          <w:tcPr>
            <w:tcW w:w="4876" w:type="dxa"/>
            <w:tcBorders>
              <w:top w:val="nil"/>
              <w:left w:val="nil"/>
              <w:bottom w:val="nil"/>
              <w:right w:val="nil"/>
            </w:tcBorders>
          </w:tcPr>
          <w:p>
            <w:pPr>
              <w:pStyle w:val="Normal6a"/>
            </w:pPr>
            <w:r>
              <w:t>4.</w:t>
            </w:r>
            <w:r>
              <w:tab/>
            </w:r>
            <w:r>
              <w:t xml:space="preserve">Europaparlamentet noterar med oro att de betydande strukturella skillnaderna mellan USA:s NCTI-system och den andra pelaren </w:t>
            </w:r>
            <w:r>
              <w:rPr>
                <w:b/>
                <w:i/>
              </w:rPr>
              <w:t>eventuellt</w:t>
            </w:r>
            <w:r>
              <w:t xml:space="preserve"> leder till olika effektiva skattesatser </w:t>
            </w:r>
            <w:r>
              <w:rPr>
                <w:b/>
                <w:i/>
              </w:rPr>
              <w:t>och inkonsekvent tillämpning mellan olika jurisdiktioner</w:t>
            </w:r>
            <w:r>
              <w:t xml:space="preserve">. Parlamentet noterar vidare att multinationella företag med huvudkontor i Förenta staterna till följd av SbS är tekniskt undantagna från de flesta skyldigheterna enligt den andra pelaren, vilket </w:t>
            </w:r>
            <w:r>
              <w:rPr>
                <w:b/>
                <w:i/>
              </w:rPr>
              <w:t>återinför incitamenten för överföring av vinster från</w:t>
            </w:r>
            <w:r>
              <w:t xml:space="preserve"> företag </w:t>
            </w:r>
            <w:r>
              <w:rPr>
                <w:b/>
                <w:i/>
              </w:rPr>
              <w:t>och undergräver lika villkor för företag och skattejurisdiktioner i hela världen</w:t>
            </w:r>
            <w:r>
              <w:t xml:space="preserve">. </w:t>
            </w:r>
            <w:r>
              <w:rPr>
                <w:b/>
                <w:i/>
              </w:rPr>
              <w:t>Parlamentet konstaterar att den ihållande rättsliga osäkerheten och den senaste tidens förändringar i USA:s ekonomiska politik och handelspolitik fortsätter att skapa försiktighet bland internationella investerare och företag.</w:t>
            </w:r>
            <w:r>
              <w:t xml:space="preserve"> </w:t>
            </w:r>
            <w:r>
              <w:rPr>
                <w:b/>
                <w:i/>
              </w:rPr>
              <w:t>Parlamentet understryker att den nuvarande internationella miljön i allt högre grad kännetecknas av geopolitisk konkurrens, ensidiga politiska åtgärder och ökande fragmentering av den regelbaserade multilaterala ordningen.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Europaparlamentet </w:t>
            </w:r>
            <w:r>
              <w:rPr>
                <w:b/>
                <w:i/>
              </w:rPr>
              <w:t>noterar med oro</w:t>
            </w:r>
            <w:r>
              <w:t xml:space="preserve"> att de betydande strukturella skillnaderna mellan USA:s NCTI-system och den andra pelaren leder till olika effektiva skattesatser som missgynnar multinationella företag med huvudkontor i EU som är verksamma i Förenta staterna. Parlamentet noterar vidare att multinationella företag med huvudkontor i Förenta staterna till följd av SbS är tekniskt undantagna från de flesta skyldigheterna enligt den andra pelaren, vilket ger europeiska företag en konkurrensnackdel.</w:t>
            </w:r>
          </w:p>
        </w:tc>
        <w:tc>
          <w:tcPr>
            <w:tcW w:w="4876" w:type="dxa"/>
            <w:tcBorders>
              <w:top w:val="nil"/>
              <w:left w:val="nil"/>
              <w:bottom w:val="nil"/>
              <w:right w:val="nil"/>
            </w:tcBorders>
          </w:tcPr>
          <w:p>
            <w:pPr>
              <w:pStyle w:val="Normal6a"/>
            </w:pPr>
            <w:r>
              <w:t>4.</w:t>
            </w:r>
            <w:r>
              <w:tab/>
            </w:r>
            <w:r>
              <w:t xml:space="preserve">Europaparlamentet </w:t>
            </w:r>
            <w:r>
              <w:rPr>
                <w:b/>
                <w:i/>
              </w:rPr>
              <w:t>betonar</w:t>
            </w:r>
            <w:r>
              <w:t xml:space="preserve"> att de betydande strukturella skillnaderna mellan USA:s NCTI-system och den andra pelaren leder till olika effektiva skattesatser som missgynnar multinationella företag med huvudkontor i EU som är verksamma i Förenta staterna. Parlamentet noterar vidare att multinationella företag med huvudkontor i Förenta staterna till följd av SbS är tekniskt undantagna från de flesta skyldigheterna enligt den andra pelaren, vilket ger europeiska företag en </w:t>
            </w:r>
            <w:r>
              <w:rPr>
                <w:b/>
                <w:i/>
              </w:rPr>
              <w:t>betydande</w:t>
            </w:r>
            <w:r>
              <w:t xml:space="preserve"> konkurrensnackdel.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uttrycker allvarlig oro över effekterna av SbS.</w:t>
            </w:r>
            <w:r>
              <w:t xml:space="preserve"> </w:t>
            </w:r>
            <w:r>
              <w:rPr>
                <w:b/>
                <w:i/>
              </w:rPr>
              <w:t>Parlamentet noterar att även om överenskommelsen syftar till att skapa regleringsstabilitet riskerar den att skada de lika villkoren och blåsa nytt liv i den skadliga bolagsskattepraxis som ramen för den andra pelaren utformades för att begränsa.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Europaparlamentet betonar att den andra pelaren visserligen tillämpar en minimiskatt på 15 % per jurisdiktion, men att den amerikanska NCTI:s globala sammanslagning (global blending) kompenserar för underbeskattade vinster, vilket skapar en strukturell obalans mellan de båda systemen.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Europaparlamentet uppmanar kommissionen att offentliggöra tillgängliga uppgifter eller analyser om den beräknade intäktsförlusten för EU:s medlemsstater till följd av genomförandet av SbS.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Europaparlamentet uppmanar kommissionen att även offentliggöra en bedömning av effekterna av införandet, genom SbS, av en ny riktad safe harbour för substansbaserade skatteincitament i ramen för den andra pelaren.</w:t>
            </w:r>
            <w:r>
              <w:t xml:space="preserve"> </w:t>
            </w:r>
            <w:r>
              <w:rPr>
                <w:b/>
                <w:i/>
              </w:rPr>
              <w:t>Parlamentet understryker vikten av att analysera i vilken utsträckning tillåtligheten av dessa incitament, som främst används i Förenta staterna, undergräver de övergripande målen att förhindra en kapplöpning mot botten när det gäller beskattning och medför konkurrensnackdelar gentemot företag som är baserade 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uppmanar kommissionen att analysera och föreslå lösningar på hur man kan korrigera de strukturella obalanser som skapats av SbS, i syfte att säkerställa lika villkor för europeiska företag och trygga EU:s globala konkurrenskraft.</w:t>
            </w:r>
          </w:p>
        </w:tc>
        <w:tc>
          <w:tcPr>
            <w:tcW w:w="4876" w:type="dxa"/>
            <w:tcBorders>
              <w:top w:val="nil"/>
              <w:left w:val="nil"/>
              <w:bottom w:val="nil"/>
              <w:right w:val="nil"/>
            </w:tcBorders>
          </w:tcPr>
          <w:p>
            <w:pPr>
              <w:pStyle w:val="Normal6a"/>
            </w:pPr>
            <w:r>
              <w:t>5.</w:t>
            </w:r>
            <w:r>
              <w:tab/>
            </w:r>
            <w:r>
              <w:t>Europaparlamentet uppmanar kommissionen att analysera och föreslå lösningar på hur man kan korrigera de strukturella obalanser som skapats av SbS, i syfte att säkerställa lika villkor för europeiska företag och trygga EU:s globala konkurrenskraft</w:t>
            </w:r>
            <w:r>
              <w:rPr>
                <w:b/>
                <w:i/>
              </w:rPr>
              <w:t>, samtidigt som man erkänner subsidiaritetsprincipen och principen om att beskattningen ingår i medlemsstaternas behörighet</w:t>
            </w:r>
            <w:r>
              <w:t xml:space="preserve">. </w:t>
            </w:r>
            <w:r>
              <w:rPr>
                <w:b/>
                <w:i/>
              </w:rPr>
              <w:t>Parlamentet uppmanar kommissionen att alltid ta hänsyn till EU:s ekonomiska konkurrenskraft och se till att dess förslag stärker EU:s ekonomiska attraktionskraft och inte undergräver 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uppmanar kommissionen att analysera och föreslå lösningar </w:t>
            </w:r>
            <w:r>
              <w:rPr>
                <w:b/>
                <w:i/>
              </w:rPr>
              <w:t>på hur man kan korrigera de strukturella obalanser som skapats av SbS, i syfte att</w:t>
            </w:r>
            <w:r>
              <w:t xml:space="preserve"> säkerställa </w:t>
            </w:r>
            <w:r>
              <w:rPr>
                <w:b/>
                <w:i/>
              </w:rPr>
              <w:t>lika villkor för europeiska</w:t>
            </w:r>
            <w:r>
              <w:t xml:space="preserve"> företag </w:t>
            </w:r>
            <w:r>
              <w:rPr>
                <w:b/>
                <w:i/>
              </w:rPr>
              <w:t>och trygga EU:s globala konkurrenskraft</w:t>
            </w:r>
            <w:r>
              <w:t>.</w:t>
            </w:r>
          </w:p>
        </w:tc>
        <w:tc>
          <w:tcPr>
            <w:tcW w:w="4876" w:type="dxa"/>
            <w:tcBorders>
              <w:top w:val="nil"/>
              <w:left w:val="nil"/>
              <w:bottom w:val="nil"/>
              <w:right w:val="nil"/>
            </w:tcBorders>
          </w:tcPr>
          <w:p>
            <w:pPr>
              <w:pStyle w:val="Normal6a"/>
            </w:pPr>
            <w:r>
              <w:t>5.</w:t>
            </w:r>
            <w:r>
              <w:tab/>
            </w:r>
            <w:r>
              <w:t xml:space="preserve">Europaparlamentet uppmanar kommissionen att </w:t>
            </w:r>
            <w:r>
              <w:rPr>
                <w:b/>
                <w:i/>
              </w:rPr>
              <w:t>skyndsamt och grundligt</w:t>
            </w:r>
            <w:r>
              <w:t xml:space="preserve"> analysera </w:t>
            </w:r>
            <w:r>
              <w:rPr>
                <w:b/>
                <w:i/>
              </w:rPr>
              <w:t>effekterna av SbS när det gäller att underlätta global överföring av vinster och sänka effektiva skattesatser</w:t>
            </w:r>
            <w:r>
              <w:t xml:space="preserve"> och föreslå </w:t>
            </w:r>
            <w:r>
              <w:rPr>
                <w:b/>
                <w:i/>
              </w:rPr>
              <w:t>korrigerande åtgärder och</w:t>
            </w:r>
            <w:r>
              <w:t xml:space="preserve"> lösningar </w:t>
            </w:r>
            <w:r>
              <w:rPr>
                <w:b/>
                <w:i/>
              </w:rPr>
              <w:t>för att skydda integriteten i den globala ramen för minimiskatt, förhindra en kapplöpning mot botten och</w:t>
            </w:r>
            <w:r>
              <w:t xml:space="preserve"> säkerställa </w:t>
            </w:r>
            <w:r>
              <w:rPr>
                <w:b/>
                <w:i/>
              </w:rPr>
              <w:t>att multinationella</w:t>
            </w:r>
            <w:r>
              <w:t xml:space="preserve"> företag </w:t>
            </w:r>
            <w:r>
              <w:rPr>
                <w:b/>
                <w:i/>
              </w:rPr>
              <w:t>som är verksamma på den inre marknaden bidrar till en rättvis och effektiv skattenivå oavsett var de har sitt huvudkontor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uppmanar kommissionen att analysera och föreslå lösningar på hur man kan korrigera de strukturella obalanser som skapats av SbS, i syfte att säkerställa lika villkor för europeiska företag </w:t>
            </w:r>
            <w:r>
              <w:rPr>
                <w:b/>
                <w:i/>
              </w:rPr>
              <w:t>och trygga</w:t>
            </w:r>
            <w:r>
              <w:t xml:space="preserve"> EU:s globala konkurrenskraft.</w:t>
            </w:r>
          </w:p>
        </w:tc>
        <w:tc>
          <w:tcPr>
            <w:tcW w:w="4876" w:type="dxa"/>
            <w:tcBorders>
              <w:top w:val="nil"/>
              <w:left w:val="nil"/>
              <w:bottom w:val="nil"/>
              <w:right w:val="nil"/>
            </w:tcBorders>
          </w:tcPr>
          <w:p>
            <w:pPr>
              <w:pStyle w:val="Normal6a"/>
            </w:pPr>
            <w:r>
              <w:t>5.</w:t>
            </w:r>
            <w:r>
              <w:tab/>
            </w:r>
            <w:r>
              <w:t>Europaparlamentet uppmanar kommissionen att analysera och föreslå lösningar på hur man kan korrigera de strukturella obalanser som skapats av SbS, i syfte att säkerställa lika villkor för europeiska företag</w:t>
            </w:r>
            <w:r>
              <w:rPr>
                <w:b/>
                <w:i/>
              </w:rPr>
              <w:t>, säkerställa rättvis beskattning, skydda offentliga intäkter, förhindra skadlig skattepraxis och stödja hållbar ekonomisk tillväxt och</w:t>
            </w:r>
            <w:r>
              <w:t xml:space="preserve"> EU:s globala konkurrenskraft.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Pierre Pimpie,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Europaparlamentet uppmanar kommissionen att analysera och föreslå lösningar </w:t>
            </w:r>
            <w:r>
              <w:rPr>
                <w:b/>
                <w:i/>
              </w:rPr>
              <w:t>på hur man kan</w:t>
            </w:r>
            <w:r>
              <w:t xml:space="preserve"> korrigera de strukturella obalanser som skapats av SbS, i syfte att säkerställa lika villkor för europeiska företag och trygga EU:s globala konkurrenskraft.</w:t>
            </w:r>
          </w:p>
        </w:tc>
        <w:tc>
          <w:tcPr>
            <w:tcW w:w="4876" w:type="dxa"/>
            <w:tcBorders>
              <w:top w:val="nil"/>
              <w:left w:val="nil"/>
              <w:bottom w:val="nil"/>
              <w:right w:val="nil"/>
            </w:tcBorders>
          </w:tcPr>
          <w:p>
            <w:pPr>
              <w:pStyle w:val="Normal6a"/>
            </w:pPr>
            <w:r>
              <w:t>5.</w:t>
            </w:r>
            <w:r>
              <w:tab/>
            </w:r>
            <w:r>
              <w:t xml:space="preserve">Europaparlamentet uppmanar kommissionen att </w:t>
            </w:r>
            <w:r>
              <w:rPr>
                <w:b/>
                <w:i/>
              </w:rPr>
              <w:t>brådskande</w:t>
            </w:r>
            <w:r>
              <w:t xml:space="preserve"> analysera och föreslå lösningar</w:t>
            </w:r>
            <w:r>
              <w:rPr>
                <w:b/>
                <w:i/>
              </w:rPr>
              <w:t>, vid behov även laststiftningsmässiga lösningar, för att</w:t>
            </w:r>
            <w:r>
              <w:t xml:space="preserve"> korrigera de strukturella obalanser som skapats av SbS, i syfte att säkerställa lika villkor för europeiska företag och trygga EU:s globala konkurrenskraft.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Katri Kulmuni,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Europaparlamentet uppmanar kommissionen att analysera och föreslå lösningar på hur man kan korrigera de strukturella obalanser som skapats av SbS, i syfte att säkerställa lika villkor för europeiska företag och trygga EU:s globala konkurrenskraft.</w:t>
            </w:r>
          </w:p>
        </w:tc>
        <w:tc>
          <w:tcPr>
            <w:tcW w:w="4876" w:type="dxa"/>
            <w:tcBorders>
              <w:top w:val="nil"/>
              <w:left w:val="nil"/>
              <w:bottom w:val="nil"/>
              <w:right w:val="nil"/>
            </w:tcBorders>
          </w:tcPr>
          <w:p>
            <w:pPr>
              <w:pStyle w:val="Normal6a"/>
            </w:pPr>
            <w:r>
              <w:t>5.</w:t>
            </w:r>
            <w:r>
              <w:tab/>
            </w:r>
            <w:r>
              <w:t xml:space="preserve">Europaparlamentet uppmanar kommissionen att analysera och föreslå lösningar på hur man kan korrigera de strukturella obalanser som skapats av SbS, i syfte att säkerställa lika villkor för europeiska företag och trygga EU:s globala konkurrenskraft </w:t>
            </w:r>
            <w:r>
              <w:rPr>
                <w:b/>
                <w:i/>
              </w:rPr>
              <w:t>och aktivt sträva efter att förenkla reglerna i den andra pelaren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uttrycker oro över att beviljandet av safe harbour-status för tredjeländers minimiskattesystem som verkar utanför ramen för den andra pelaren utgör ett skadligt prejudikat för undantag inom ett system vars värde bygger på en universell och konsekvent tillämpning.</w:t>
            </w:r>
            <w:r>
              <w:t xml:space="preserve"> </w:t>
            </w:r>
            <w:r>
              <w:rPr>
                <w:b/>
                <w:i/>
              </w:rPr>
              <w:t>Parlamentet understryker att eftergifter av detta slag, när de görs under ett uttryckligt hot om ensidiga handelsåtgärder, normaliserar användningen av extraterritoriella ekonomiska påtryckningar som ett påtryckningsmedel mot EU:s regleringsautonomi, dvs. en form av tvång som till sin natur skulle kunna utvidgas till alla områden av EU:s politik och därigenom urholka unionens suveränitet.</w:t>
            </w:r>
            <w:r>
              <w:t xml:space="preserve"> </w:t>
            </w:r>
            <w:r>
              <w:rPr>
                <w:b/>
                <w:i/>
              </w:rPr>
              <w:t>Parlamentet bekräftar att EU:s åtagande att bekämpa skatteflykt och se till att alla multinationella företag bidrar med sin skäliga andel måste förbli villkorslöst.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avvisar krav på nya statistikbaserade egna medel som bygger på företagsvinster.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Europaparlamentet uppmanar kommissionen att fullt ut använda instrument för att motverka konkurrensbegränsande skatteförmåner som skadar europeiska företag, inbegripet statligt stöd och antisubventionsåtgärder.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uppmanar kommissionen att </w:t>
            </w:r>
            <w:r>
              <w:rPr>
                <w:b/>
                <w:i/>
              </w:rPr>
              <w:t>fullt ut använda instrument</w:t>
            </w:r>
            <w:r>
              <w:t xml:space="preserve"> för att </w:t>
            </w:r>
            <w:r>
              <w:rPr>
                <w:b/>
                <w:i/>
              </w:rPr>
              <w:t>motverka konkurrensbegränsande skatteförmåner som skadar europeiska</w:t>
            </w:r>
            <w:r>
              <w:t xml:space="preserve"> företag</w:t>
            </w:r>
            <w:r>
              <w:rPr>
                <w:b/>
                <w:i/>
              </w:rPr>
              <w:t>, inbegripet statligt stöd och antisubventionsåtgärder</w:t>
            </w:r>
            <w:r>
              <w:t>.</w:t>
            </w:r>
          </w:p>
        </w:tc>
        <w:tc>
          <w:tcPr>
            <w:tcW w:w="4876" w:type="dxa"/>
            <w:tcBorders>
              <w:top w:val="nil"/>
              <w:left w:val="nil"/>
              <w:bottom w:val="nil"/>
              <w:right w:val="nil"/>
            </w:tcBorders>
          </w:tcPr>
          <w:p>
            <w:pPr>
              <w:pStyle w:val="Normal6a"/>
            </w:pPr>
            <w:r>
              <w:t>6.</w:t>
            </w:r>
            <w:r>
              <w:tab/>
            </w:r>
            <w:r>
              <w:t xml:space="preserve">Europaparlamentet uppmanar kommissionen att </w:t>
            </w:r>
            <w:r>
              <w:rPr>
                <w:b/>
                <w:i/>
              </w:rPr>
              <w:t>lägga fram ett förslag om en skatt på digitala tjänster</w:t>
            </w:r>
            <w:r>
              <w:t xml:space="preserve"> för att </w:t>
            </w:r>
            <w:r>
              <w:rPr>
                <w:b/>
                <w:i/>
              </w:rPr>
              <w:t>återställa rättvisan i beskattningen av den digitala ekonomin.</w:t>
            </w:r>
            <w:r>
              <w:t xml:space="preserve"> </w:t>
            </w:r>
            <w:r>
              <w:rPr>
                <w:b/>
                <w:i/>
              </w:rPr>
              <w:t>Parlamentet noterar att vissa starkt digitaliserade multinationella</w:t>
            </w:r>
            <w:r>
              <w:t xml:space="preserve"> företag </w:t>
            </w:r>
            <w:r>
              <w:rPr>
                <w:b/>
                <w:i/>
              </w:rPr>
              <w:t>fortsätter att dra nytta av företagsstrukturer som underlättar överföring av vinster till lågskattejurisdiktioner, vilket leder till effektiva skattesatser som är betydligt lägre än många andra ekonomiska aktörers skattesatser.</w:t>
            </w:r>
            <w:r>
              <w:t xml:space="preserve"> </w:t>
            </w:r>
            <w:r>
              <w:rPr>
                <w:b/>
                <w:i/>
              </w:rPr>
              <w:t>Parlamentet betonar att i avsaknad av en övergripande global lösning skulle en unionsomfattande skatt på digitala tjänster utgöra ett enkelt, effektivt och flexibelt verktyg för att säkerställa att det värde som skapas i unionen beskattas rättvist och att konkurrensen på den inre marknaden inte snedvrids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uppmanar kommissionen att fullt ut använda instrument för att motverka konkurrensbegränsande skatteförmåner som skadar europeiska företag, inbegripet statligt stöd och antisubventionsåtgärder.</w:t>
            </w:r>
          </w:p>
        </w:tc>
        <w:tc>
          <w:tcPr>
            <w:tcW w:w="4876" w:type="dxa"/>
            <w:tcBorders>
              <w:top w:val="nil"/>
              <w:left w:val="nil"/>
              <w:bottom w:val="nil"/>
              <w:right w:val="nil"/>
            </w:tcBorders>
          </w:tcPr>
          <w:p>
            <w:pPr>
              <w:pStyle w:val="Normal6a"/>
            </w:pPr>
            <w:r>
              <w:t>6.</w:t>
            </w:r>
            <w:r>
              <w:tab/>
            </w:r>
            <w:r>
              <w:t xml:space="preserve">Europaparlamentet uppmanar kommissionen att fullt ut använda instrument för att motverka konkurrensbegränsande skatteförmåner som skadar europeiska företag, inbegripet statligt stöd och antisubventionsåtgärder. </w:t>
            </w:r>
            <w:r>
              <w:rPr>
                <w:b/>
                <w:i/>
              </w:rPr>
              <w:t>Parlamentet påminner om behovet av att återgå till en strikt ram för statligt stöd när de exceptionella omständigheterna inte längre gäller, vilket skulle stärka ett sunt ekosystem för skattekonkurrens inom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Europaparlamentet uppmanar kommissionen att fullt ut använda instrument för att motverka konkurrensbegränsande skatteförmåner som </w:t>
            </w:r>
            <w:r>
              <w:rPr>
                <w:b/>
                <w:i/>
              </w:rPr>
              <w:t>skadar europeiska företag, inbegripet statligt stöd och antisubventionsåtgärder</w:t>
            </w:r>
            <w:r>
              <w:t>.</w:t>
            </w:r>
          </w:p>
        </w:tc>
        <w:tc>
          <w:tcPr>
            <w:tcW w:w="4876" w:type="dxa"/>
            <w:tcBorders>
              <w:top w:val="nil"/>
              <w:left w:val="nil"/>
              <w:bottom w:val="nil"/>
              <w:right w:val="nil"/>
            </w:tcBorders>
          </w:tcPr>
          <w:p>
            <w:pPr>
              <w:pStyle w:val="Normal6a"/>
            </w:pPr>
            <w:r>
              <w:t>6.</w:t>
            </w:r>
            <w:r>
              <w:tab/>
            </w:r>
            <w:r>
              <w:t xml:space="preserve">Europaparlamentet uppmanar kommissionen att fullt ut använda instrument för att motverka </w:t>
            </w:r>
            <w:r>
              <w:rPr>
                <w:b/>
                <w:i/>
              </w:rPr>
              <w:t>de</w:t>
            </w:r>
            <w:r>
              <w:t xml:space="preserve"> konkurrensbegränsande skatteförmåner som </w:t>
            </w:r>
            <w:r>
              <w:rPr>
                <w:b/>
                <w:i/>
              </w:rPr>
              <w:t>kan bli följden av SbS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noterar med oro att en betydande andel av vinsterna från olje-, gas- och mineralutvinning flyttas över till lågskattejurisdiktioner, och att det finns belägg för att överföringen av vinster ökar under perioder med höga råvarupriser.</w:t>
            </w:r>
            <w:r>
              <w:t xml:space="preserve"> </w:t>
            </w:r>
            <w:r>
              <w:rPr>
                <w:b/>
                <w:i/>
              </w:rPr>
              <w:t>Parlamentet uppmanar kommissionen att lägga fram ett förslag om en tilläggsskatt på konsoliderade vinster för fossilbränsleföretag, för att säkerställa rättvis beskattning av avkastning från fossila bränslen, omdirigering av intäkter till den gröna omställningen och en övergång från miljöskadlig verksamhet till en mer hållbar miljöskatteram.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betonar att en betydande andel av välståndet är koncentrerat till företagens tillgångar och vinster.</w:t>
            </w:r>
            <w:r>
              <w:t xml:space="preserve"> </w:t>
            </w:r>
            <w:r>
              <w:rPr>
                <w:b/>
                <w:i/>
              </w:rPr>
              <w:t>Parlamentet understryker behovet av en rättvis och effektiv företagsbeskattning för att säkerställa tillräckliga offentliga intäkter som gör det möjligt för medlemsstaterna att hantera konsekvenserna av tidigare kriser och förbereda sig för framtida ekonomiska, sociala och geopolitiska utmaningar.</w:t>
            </w:r>
            <w:r>
              <w:t xml:space="preserve"> </w:t>
            </w:r>
            <w:r>
              <w:rPr>
                <w:b/>
                <w:i/>
              </w:rPr>
              <w:t>Parlamentet noterar att aggressiv skatteplanering och underbeskattning av företagsvinster snedvrider konkurrensen, undergräver skatterättvisan och försvagar lika villkor, globalt och internt.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uppmanar kommissionen att föreslå en rättslig ram som säkerställer att multinationella företag med skattehemvist i tredjeländer beskattas inom unionen på ett likvärdigt sätt jämfört med företag med skattehemvist i medlemsstater när en betydande del av deras intäkter genereras på den inre marknaden.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Europaparlamentet framhåller den roll som riktade skatteincitament och skattebefrielser spelar för att öka konkurrenskraften och främja innovation.</w:t>
            </w:r>
            <w:r>
              <w:t xml:space="preserve"> </w:t>
            </w:r>
            <w:r>
              <w:rPr>
                <w:b/>
                <w:i/>
              </w:rPr>
              <w:t>Parlamentet uppmanar med kraft kommissionen och medlemsstaterna att utveckla och använda skatteverktyg som är förenliga med EU:s regler om statligt stöd för att locka till sig och behålla verksamhet med högt mervärde inom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Europaparlamentet noterar med oro att olje- och gasföretagens vinster har skjutit i höjden sedan Irankriget utlöste en energichock, samtidigt som hushållens och de europeiska företagens energiräkningar har ökat kraftigt, och att dessa vinster förväntas fortsätta att öka under de kommande åren.</w:t>
            </w:r>
            <w:r>
              <w:t xml:space="preserve"> </w:t>
            </w:r>
            <w:r>
              <w:rPr>
                <w:b/>
                <w:i/>
              </w:rPr>
              <w:t>Parlamentet noterar att de fem största oljebolagen enbart under 2024 gjorde vinster på mer än 100 miljarder dollar.</w:t>
            </w:r>
            <w:r>
              <w:t xml:space="preserve"> </w:t>
            </w:r>
            <w:r>
              <w:rPr>
                <w:b/>
                <w:i/>
              </w:rPr>
              <w:t>Parlamentet uppmanar kommissionen att utan dröjsmål lägga fram en riktad skatt på exceptionella vinster för stora olje- och gasföretags konsoliderade övervinster, fastställd till minst 50 %, beräknad i förhållande till energiföretagens genomsnittliga vinster under de senaste åren.</w:t>
            </w:r>
            <w:r>
              <w:t xml:space="preserve"> </w:t>
            </w:r>
            <w:r>
              <w:rPr>
                <w:b/>
                <w:i/>
              </w:rPr>
              <w:t>Parlamentet betonar att intäkterna från en sådan åtgärd bör användas för att ge riktat stöd till hushåll och små och medelstora företag och för att bidra till att minska unionens beroende av importerade fossila bränslen och påskynda omställningen till hållbar energi.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Europaparlamentet uppmanar kommissionen att inrätta en mekanism för "europeisk skattenärvaro" enligt vilken tredjelandsföretag med en omsättning över en viss tröskel i unionen anses ha skattenärvaro i EU oavsett var de är fysiskt placerade.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Europaparlamentet uppmanar kommissionen att utvärdera möjligheten att påföra en extra utjämningsskatt för tredjelandsföretag som verkar på den inre marknaden och som omfattas av en faktisk skattesats som är betydligt lägre än den som gäller i medlemsstaterna.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Europaparlamentet understryker att tillgång till europeiska finansiella medel, forsknings- och innovationsprogram och offentliga upphandlingar bör kopplas till förekomsten av väsentlig skattenärvaro inom unionen och fullständig efterlevnad av EU:s skatteregler.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Behovet av förenkling </w:t>
            </w:r>
            <w:r>
              <w:rPr>
                <w:b/>
                <w:i/>
              </w:rPr>
              <w:t>och</w:t>
            </w:r>
            <w:r>
              <w:t xml:space="preserve"> tydlighet </w:t>
            </w:r>
            <w:r>
              <w:rPr>
                <w:b/>
                <w:i/>
              </w:rPr>
              <w:t>i EU-lagstiftningen</w:t>
            </w:r>
          </w:p>
        </w:tc>
        <w:tc>
          <w:tcPr>
            <w:tcW w:w="4876" w:type="dxa"/>
            <w:tcBorders>
              <w:top w:val="nil"/>
              <w:left w:val="nil"/>
              <w:bottom w:val="nil"/>
              <w:right w:val="nil"/>
            </w:tcBorders>
          </w:tcPr>
          <w:p>
            <w:pPr>
              <w:pStyle w:val="Normal6a"/>
            </w:pPr>
            <w:r>
              <w:t>Behovet av förenkling</w:t>
            </w:r>
            <w:r>
              <w:rPr>
                <w:b/>
                <w:i/>
              </w:rPr>
              <w:t>,</w:t>
            </w:r>
            <w:r>
              <w:t xml:space="preserve"> tydlighet </w:t>
            </w:r>
            <w:r>
              <w:rPr>
                <w:b/>
                <w:i/>
              </w:rPr>
              <w:t>och ett effektivt och demokratiskt beslutsfattande i EU:s skattelagstiftning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Behovet av förenkling och tydlighet i EU-lagstiftningen</w:t>
            </w:r>
          </w:p>
        </w:tc>
        <w:tc>
          <w:tcPr>
            <w:tcW w:w="4876" w:type="dxa"/>
            <w:tcBorders>
              <w:top w:val="nil"/>
              <w:left w:val="nil"/>
              <w:bottom w:val="nil"/>
              <w:right w:val="nil"/>
            </w:tcBorders>
          </w:tcPr>
          <w:p>
            <w:pPr>
              <w:pStyle w:val="Normal6a"/>
            </w:pPr>
            <w:r>
              <w:t>Behovet av förenkling</w:t>
            </w:r>
            <w:r>
              <w:rPr>
                <w:b/>
                <w:i/>
              </w:rPr>
              <w:t>, transparens</w:t>
            </w:r>
            <w:r>
              <w:t xml:space="preserve"> och tydlighet i EU-lagstiftningen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noterar med oro att </w:t>
            </w:r>
            <w:r>
              <w:rPr>
                <w:b/>
                <w:i/>
              </w:rPr>
              <w:t>SbS</w:t>
            </w:r>
            <w:r>
              <w:t xml:space="preserve"> ökar den rättsliga och administrativa komplexiteten samt efterlevnadskostnaderna för multinationella företag med huvudkontor i EU som är verksamma i Förenta staterna.</w:t>
            </w:r>
          </w:p>
        </w:tc>
        <w:tc>
          <w:tcPr>
            <w:tcW w:w="4876" w:type="dxa"/>
            <w:tcBorders>
              <w:top w:val="nil"/>
              <w:left w:val="nil"/>
              <w:bottom w:val="nil"/>
              <w:right w:val="nil"/>
            </w:tcBorders>
          </w:tcPr>
          <w:p>
            <w:pPr>
              <w:pStyle w:val="Normal6a"/>
            </w:pPr>
            <w:r>
              <w:t>7.</w:t>
            </w:r>
            <w:r>
              <w:tab/>
            </w:r>
            <w:r>
              <w:t xml:space="preserve">Europaparlamentet noterar med oro att </w:t>
            </w:r>
            <w:r>
              <w:rPr>
                <w:b/>
                <w:i/>
              </w:rPr>
              <w:t>utformningen av den andra pelaren tillförde ett separat, betungande redovisningsskikt till rapporteringskraven, eftersom finansiella ramar (såsom IFRS eller US GAAP) tillsammans med komplexa OECD-justeringar måste tillämpas utöver lokala skattebestämmelser för att beräkna globala minimiskatter.</w:t>
            </w:r>
            <w:r>
              <w:t xml:space="preserve"> </w:t>
            </w:r>
            <w:r>
              <w:rPr>
                <w:b/>
                <w:i/>
              </w:rPr>
              <w:t>Parlamentet beklagar att SbS ytterligare</w:t>
            </w:r>
            <w:r>
              <w:t xml:space="preserve"> ökar den rättsliga och administrativa komplexiteten samt efterlevnadskostnaderna för multinationella företag med huvudkontor i EU som är verksamma i Förenta staterna.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Europaparlamentet noterar med oro att SbS ökar den rättsliga och administrativa komplexiteten </w:t>
            </w:r>
            <w:r>
              <w:rPr>
                <w:b/>
                <w:i/>
              </w:rPr>
              <w:t>samt</w:t>
            </w:r>
            <w:r>
              <w:t xml:space="preserve"> efterlevnadskostnaderna för multinationella företag med huvudkontor i EU som är verksamma i Förenta staterna.</w:t>
            </w:r>
          </w:p>
        </w:tc>
        <w:tc>
          <w:tcPr>
            <w:tcW w:w="4876" w:type="dxa"/>
            <w:tcBorders>
              <w:top w:val="nil"/>
              <w:left w:val="nil"/>
              <w:bottom w:val="nil"/>
              <w:right w:val="nil"/>
            </w:tcBorders>
          </w:tcPr>
          <w:p>
            <w:pPr>
              <w:pStyle w:val="Normal6a"/>
            </w:pPr>
            <w:r>
              <w:t>7.</w:t>
            </w:r>
            <w:r>
              <w:tab/>
            </w:r>
            <w:r>
              <w:t xml:space="preserve">Europaparlamentet noterar med oro att SbS ökar den rättsliga och administrativa komplexiteten </w:t>
            </w:r>
            <w:r>
              <w:rPr>
                <w:b/>
                <w:i/>
              </w:rPr>
              <w:t>och skapar nya kryphål, samt ökar</w:t>
            </w:r>
            <w:r>
              <w:t xml:space="preserve"> efterlevnadskostnaderna</w:t>
            </w:r>
            <w:r>
              <w:rPr>
                <w:b/>
                <w:i/>
              </w:rPr>
              <w:t>, inbegripet</w:t>
            </w:r>
            <w:r>
              <w:t xml:space="preserve"> för multinationella företag med huvudkontor i EU som är verksamma i Förenta staterna</w:t>
            </w:r>
            <w:r>
              <w:rPr>
                <w:b/>
                <w:i/>
              </w:rPr>
              <w:t>, samtidigt som företag med huvudkontor i USA skyddas från väsentliga inslag i OECD:s ram för den andra pelaren och ett fortsatt skadligt missbruk av bolagsskatt möjliggörs</w:t>
            </w:r>
            <w:r>
              <w:rPr>
                <w:b/>
                <w:i/>
                <w:vertAlign w:val="superscript"/>
              </w:rPr>
              <w:t>1b</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https://thefactcoalition.orgn/oecd-side-by-side-agreement/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Europaparlamentet noterar med oro att SbS ökar den rättsliga och administrativa komplexiteten samt efterlevnadskostnaderna för multinationella företag med huvudkontor i EU som är verksamma i Förenta staterna.</w:t>
            </w:r>
          </w:p>
        </w:tc>
        <w:tc>
          <w:tcPr>
            <w:tcW w:w="4876" w:type="dxa"/>
            <w:tcBorders>
              <w:top w:val="nil"/>
              <w:left w:val="nil"/>
              <w:bottom w:val="nil"/>
              <w:right w:val="nil"/>
            </w:tcBorders>
          </w:tcPr>
          <w:p>
            <w:pPr>
              <w:pStyle w:val="Normal6a"/>
            </w:pPr>
            <w:r>
              <w:t>7.</w:t>
            </w:r>
            <w:r>
              <w:tab/>
            </w:r>
            <w:r>
              <w:t>Europaparlamentet noterar med oro att SbS ökar den rättsliga och administrativa komplexiteten samt efterlevnadskostnaderna för multinationella företag med huvudkontor i EU som är verksamma i Förenta staterna</w:t>
            </w:r>
            <w:r>
              <w:rPr>
                <w:b/>
                <w:i/>
              </w:rPr>
              <w:t>, och undergräver därmed EU:s konkurrenskraft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anser att en harmonisering av bolagsskatteförfarandena, inbegripet beräkning av skattebaser, verkställighet och definitioner, skulle ge tydliga fördelar för företagsvärlden, eftersom det skulle göra det lättare för företag att bedriva investeringsverksamhet i en annan EU-medlemsstat, samtidigt som det också skulle bidra till att stävja skatteundandragande och skatteflykt.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w:t>
            </w:r>
            <w:r>
              <w:rPr>
                <w:b/>
                <w:i/>
              </w:rPr>
              <w:t>välkomnar</w:t>
            </w:r>
            <w:r>
              <w:t xml:space="preserve"> kommissionens arbete med att utarbeta omnibuspaketet om skatter. Parlamentet uppmanar kommissionen att prioritera </w:t>
            </w:r>
            <w:r>
              <w:rPr>
                <w:b/>
                <w:i/>
              </w:rPr>
              <w:t>skatteförenkling</w:t>
            </w:r>
            <w:r>
              <w:t xml:space="preserve"> genom att se över överlappande rapporteringsåtgärder och åtgärder mot skatteflykt enligt EU:s skattelagstiftning </w:t>
            </w:r>
            <w:r>
              <w:rPr>
                <w:b/>
                <w:i/>
              </w:rPr>
              <w:t>och</w:t>
            </w:r>
            <w:r>
              <w:t xml:space="preserve"> minska </w:t>
            </w:r>
            <w:r>
              <w:rPr>
                <w:b/>
                <w:i/>
              </w:rPr>
              <w:t>den</w:t>
            </w:r>
            <w:r>
              <w:t xml:space="preserve"> administrativa </w:t>
            </w:r>
            <w:r>
              <w:rPr>
                <w:b/>
                <w:i/>
              </w:rPr>
              <w:t>bördan</w:t>
            </w:r>
            <w:r>
              <w:t xml:space="preserve"> för företag med huvudkontor i EU </w:t>
            </w:r>
            <w:r>
              <w:rPr>
                <w:b/>
                <w:i/>
              </w:rPr>
              <w:t>– särskilt genom att undersöka det fortsatta behovet</w:t>
            </w:r>
            <w:r>
              <w:t xml:space="preserve"> av bestämmelserna om kontrollerade utländska bolag i direktivet mot skatteflykt och </w:t>
            </w:r>
            <w:r>
              <w:rPr>
                <w:b/>
                <w:i/>
              </w:rPr>
              <w:t>genom att se över och eventuellt förenkla moder- och dotterbolagsdirektivet, fusionsdirektivet,</w:t>
            </w:r>
            <w:r>
              <w:t xml:space="preserve"> direktivet om landsspecifik rapportering </w:t>
            </w:r>
            <w:r>
              <w:rPr>
                <w:b/>
                <w:i/>
              </w:rPr>
              <w:t>och DAC-ramen</w:t>
            </w:r>
            <w:r>
              <w:t>.</w:t>
            </w:r>
          </w:p>
        </w:tc>
        <w:tc>
          <w:tcPr>
            <w:tcW w:w="4876" w:type="dxa"/>
            <w:tcBorders>
              <w:top w:val="nil"/>
              <w:left w:val="nil"/>
              <w:bottom w:val="nil"/>
              <w:right w:val="nil"/>
            </w:tcBorders>
          </w:tcPr>
          <w:p>
            <w:pPr>
              <w:pStyle w:val="Normal6a"/>
            </w:pPr>
            <w:r>
              <w:t>8.</w:t>
            </w:r>
            <w:r>
              <w:tab/>
            </w:r>
            <w:r>
              <w:t xml:space="preserve">Europaparlamentet </w:t>
            </w:r>
            <w:r>
              <w:rPr>
                <w:b/>
                <w:i/>
              </w:rPr>
              <w:t>noterar</w:t>
            </w:r>
            <w:r>
              <w:t xml:space="preserve"> kommissionens arbete med att utarbeta omnibuspaketet om skatter. Parlamentet uppmanar kommissionen att prioritera </w:t>
            </w:r>
            <w:r>
              <w:rPr>
                <w:b/>
                <w:i/>
              </w:rPr>
              <w:t>administrativ förenkling</w:t>
            </w:r>
            <w:r>
              <w:t xml:space="preserve"> genom att se över överlappande rapporteringsåtgärder och </w:t>
            </w:r>
            <w:r>
              <w:rPr>
                <w:b/>
                <w:i/>
              </w:rPr>
              <w:t>utvärdera och förbättra samstämmigheten mellan</w:t>
            </w:r>
            <w:r>
              <w:t xml:space="preserve"> åtgärder mot skatteflykt enligt EU:s skattelagstiftning</w:t>
            </w:r>
            <w:r>
              <w:rPr>
                <w:b/>
                <w:i/>
              </w:rPr>
              <w:t>, samtidigt som man förenklar rapportering och förfaranden för att</w:t>
            </w:r>
            <w:r>
              <w:t xml:space="preserve"> minska </w:t>
            </w:r>
            <w:r>
              <w:rPr>
                <w:b/>
                <w:i/>
              </w:rPr>
              <w:t>onödiga</w:t>
            </w:r>
            <w:r>
              <w:t xml:space="preserve"> administrativa </w:t>
            </w:r>
            <w:r>
              <w:rPr>
                <w:b/>
                <w:i/>
              </w:rPr>
              <w:t>bördor</w:t>
            </w:r>
            <w:r>
              <w:t xml:space="preserve"> för företag med huvudkontor i EU</w:t>
            </w:r>
            <w:r>
              <w:rPr>
                <w:b/>
                <w:i/>
              </w:rPr>
              <w:t>.</w:t>
            </w:r>
            <w:r>
              <w:t xml:space="preserve"> </w:t>
            </w:r>
            <w:r>
              <w:rPr>
                <w:b/>
                <w:i/>
              </w:rPr>
              <w:t>Parlamentet uppmanar vidare kommissionen att stå emot avregleringstryck från stora multinationella företag som bedriver lobbyverksamhet i syfte att försvaga EU:s skatteregler, och att se till att detta inte leder till minskad skattetransparens eller svagare regler mot skatteflykt.</w:t>
            </w:r>
            <w:r>
              <w:t xml:space="preserve"> </w:t>
            </w:r>
            <w:r>
              <w:rPr>
                <w:b/>
                <w:i/>
              </w:rPr>
              <w:t>Parlamentet motsätter sig i synnerhet en eventuell avveckling</w:t>
            </w:r>
            <w:r>
              <w:t xml:space="preserve"> av bestämmelserna om kontrollerade utländska bolag i direktivet mot skatteflykt och </w:t>
            </w:r>
            <w:r>
              <w:rPr>
                <w:b/>
                <w:i/>
              </w:rPr>
              <w:t>en förhastad översyn av</w:t>
            </w:r>
            <w:r>
              <w:t xml:space="preserve"> direktivet om landsspecifik rapportering</w:t>
            </w:r>
            <w:r>
              <w:rPr>
                <w:b/>
                <w:i/>
              </w:rPr>
              <w:t>, eftersom dess faktiska effekter ännu inte kan bedömas ordentligt på grund av dess färska genomförande.</w:t>
            </w:r>
            <w:r>
              <w:t xml:space="preserve"> </w:t>
            </w:r>
            <w:r>
              <w:rPr>
                <w:b/>
                <w:i/>
              </w:rPr>
              <w:t>Parlamentet uppmanar i stället kommissionen att ge tillräckligt med tid för genomförandet innan den överväger några lagändringar och att göra en evidensbaserad bedömning av de första två genomförandeåren och att lägga fram förslag för att stärka ramen, bland annat genom att gå mot en fullständig offentlig disaggregerad landsspecifik rapportering i alla jurisdiktioner</w:t>
            </w:r>
            <w:r>
              <w:t xml:space="preserve">. </w:t>
            </w:r>
            <w:r>
              <w:rPr>
                <w:b/>
                <w:i/>
              </w:rPr>
              <w:t>Parlamentet betonar vidare vikten av att stärka samarbetet mellan medlemsstaterna och de nationella skatteförvaltningarna för att främja en mer konsekvent tolkning och tillämpning av lagstiftningen om både direkta och indirekta skatter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välkomnar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undersöka det fortsatta behovet av bestämmelserna om kontrollerade utländska bolag i direktivet mot skatteflykt och genom att se över och eventuellt förenkla moder- och dotterbolagsdirektivet, fusionsdirektivet, direktivet om landsspecifik rapportering och DAC-ramen.</w:t>
            </w:r>
          </w:p>
        </w:tc>
        <w:tc>
          <w:tcPr>
            <w:tcW w:w="4876" w:type="dxa"/>
            <w:tcBorders>
              <w:top w:val="nil"/>
              <w:left w:val="nil"/>
              <w:bottom w:val="nil"/>
              <w:right w:val="nil"/>
            </w:tcBorders>
          </w:tcPr>
          <w:p>
            <w:pPr>
              <w:pStyle w:val="Normal6a"/>
            </w:pPr>
            <w:r>
              <w:t>8.</w:t>
            </w:r>
            <w:r>
              <w:tab/>
            </w:r>
            <w:r>
              <w:t>Europaparlamentet välkomnar kommissionens arbete med att utarbeta omnibuspaketet om skatter</w:t>
            </w:r>
            <w:r>
              <w:rPr>
                <w:b/>
                <w:i/>
              </w:rPr>
              <w:t>.</w:t>
            </w:r>
            <w:r>
              <w:t xml:space="preserve"> </w:t>
            </w:r>
            <w:r>
              <w:rPr>
                <w:b/>
                <w:i/>
              </w:rPr>
              <w:t>Parlamentet uppmanar kommissionen att eftersträva en ambitiös och omfattande agenda för förenkling av bolagsbeskattningen som syftar till att stärka unionens globala konkurrenskraft, minska efterlevnadskostnaderna och öka rättssäkerheten för företag som är verksamma på den inre marknaden</w:t>
            </w:r>
            <w:r>
              <w:t xml:space="preserve">.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undersöka det fortsatta behovet av bestämmelserna om kontrollerade utländska bolag i direktivet mot skatteflykt och genom att se över och eventuellt förenkla moder- och dotterbolagsdirektivet, fusionsdirektivet, direktivet om landsspecifik rapportering och DAC-ramen. </w:t>
            </w:r>
            <w:r>
              <w:rPr>
                <w:b/>
                <w:i/>
              </w:rPr>
              <w:t>Parlamentet betonar att förenklingsinsatser särskilt bör gynna små och medelstora företag, innovativa företag och gränsöverskridande företag genom att minska alltför stora administrativa bördor, dubbla rapporteringsskyldigheter och rättslig fragmentering i hela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w:t>
            </w:r>
            <w:r>
              <w:rPr>
                <w:b/>
                <w:i/>
              </w:rPr>
              <w:t>välkomnar</w:t>
            </w:r>
            <w:r>
              <w:t xml:space="preserve">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w:t>
            </w:r>
            <w:r>
              <w:rPr>
                <w:b/>
                <w:i/>
              </w:rPr>
              <w:t>undersöka det fortsatta behovet av</w:t>
            </w:r>
            <w:r>
              <w:t xml:space="preserve"> bestämmelserna om kontrollerade utländska bolag i direktivet mot skatteflykt och genom att se över och eventuellt förenkla moder- och dotterbolagsdirektivet, fusionsdirektivet, direktivet om landsspecifik rapportering och DAC-ramen.</w:t>
            </w:r>
          </w:p>
        </w:tc>
        <w:tc>
          <w:tcPr>
            <w:tcW w:w="4876" w:type="dxa"/>
            <w:tcBorders>
              <w:top w:val="nil"/>
              <w:left w:val="nil"/>
              <w:bottom w:val="nil"/>
              <w:right w:val="nil"/>
            </w:tcBorders>
          </w:tcPr>
          <w:p>
            <w:pPr>
              <w:pStyle w:val="Normal6a"/>
            </w:pPr>
            <w:r>
              <w:t>8.</w:t>
            </w:r>
            <w:r>
              <w:tab/>
            </w:r>
            <w:r>
              <w:t xml:space="preserve">Europaparlamentet </w:t>
            </w:r>
            <w:r>
              <w:rPr>
                <w:b/>
                <w:i/>
              </w:rPr>
              <w:t>noterar</w:t>
            </w:r>
            <w:r>
              <w:t xml:space="preserve"> kommissionens arbete med att utarbeta omnibuspaketet om skatter</w:t>
            </w:r>
            <w:r>
              <w:rPr>
                <w:b/>
                <w:i/>
              </w:rPr>
              <w:t>.</w:t>
            </w:r>
            <w:r>
              <w:t xml:space="preserve"> </w:t>
            </w:r>
            <w:r>
              <w:rPr>
                <w:b/>
                <w:i/>
              </w:rPr>
              <w:t>Parlamentet noterar särskilt behovet av att dra nytta av översynsprocessen för att ta itu med nuvarande överlappande regler och att rationalisera och förenkla tillämpningen av gemensamma regler och begrepp.</w:t>
            </w:r>
            <w:r>
              <w:t xml:space="preserve"> </w:t>
            </w:r>
            <w:r>
              <w:rPr>
                <w:b/>
                <w:i/>
              </w:rPr>
              <w:t>Parlamentet påpekar särskilt att standardisering av termer och begrepp är avgörande för att förenkla efterlevnaden, eftersom olika nationella tolkningar kan leda till fragmentering och komplexitet</w:t>
            </w:r>
            <w:r>
              <w:t xml:space="preserve">.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w:t>
            </w:r>
            <w:r>
              <w:rPr>
                <w:b/>
                <w:i/>
              </w:rPr>
              <w:t>om möjligt harmonisera</w:t>
            </w:r>
            <w:r>
              <w:t xml:space="preserve"> bestämmelserna om kontrollerade utländska bolag i direktivet mot skatteflykt </w:t>
            </w:r>
            <w:r>
              <w:rPr>
                <w:b/>
                <w:i/>
              </w:rPr>
              <w:t>med den andra pelarens ramverk,</w:t>
            </w:r>
            <w:r>
              <w:t xml:space="preserve"> och genom att se över och eventuellt förenkla moder- och dotterbolagsdirektivet, fusionsdirektivet, direktivet om landsspecifik rapportering och DAC-ramen. </w:t>
            </w:r>
            <w:r>
              <w:rPr>
                <w:b/>
                <w:i/>
              </w:rPr>
              <w:t>Parlamentet betonar att insatser för att förenkla EU-lagstiftningen inte får leda till avreglering och sänkning av nuvarande standarder.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w:t>
            </w:r>
            <w:r>
              <w:rPr>
                <w:b/>
                <w:i/>
              </w:rPr>
              <w:t>välkomnar</w:t>
            </w:r>
            <w:r>
              <w:t xml:space="preserve"> kommissionens arbete med att utarbeta omnibuspaketet om </w:t>
            </w:r>
            <w:r>
              <w:rPr>
                <w:b/>
                <w:i/>
              </w:rPr>
              <w:t>skatter</w:t>
            </w:r>
            <w:r>
              <w:t xml:space="preserve">. Parlamentet uppmanar kommissionen att prioritera </w:t>
            </w:r>
            <w:r>
              <w:rPr>
                <w:b/>
                <w:i/>
              </w:rPr>
              <w:t>skatteförenkling genom att se över</w:t>
            </w:r>
            <w:r>
              <w:t xml:space="preserve"> överlappande </w:t>
            </w:r>
            <w:r>
              <w:rPr>
                <w:b/>
                <w:i/>
              </w:rPr>
              <w:t>rapporteringsåtgärder och åtgärder</w:t>
            </w:r>
            <w:r>
              <w:t xml:space="preserve"> mot skatteflykt </w:t>
            </w:r>
            <w:r>
              <w:rPr>
                <w:b/>
                <w:i/>
              </w:rPr>
              <w:t>enligt EU:s skattelagstiftning och minska den administrativa bördan för företag med huvudkontor i EU – särskilt genom att undersöka det fortsatta behovet av</w:t>
            </w:r>
            <w:r>
              <w:t xml:space="preserve"> bestämmelserna om kontrollerade utländska bolag </w:t>
            </w:r>
            <w:r>
              <w:rPr>
                <w:b/>
                <w:i/>
              </w:rPr>
              <w:t>i</w:t>
            </w:r>
            <w:r>
              <w:t xml:space="preserve"> direktivet mot skatteflykt </w:t>
            </w:r>
            <w:r>
              <w:rPr>
                <w:b/>
                <w:i/>
              </w:rPr>
              <w:t>och</w:t>
            </w:r>
            <w:r>
              <w:t xml:space="preserve"> genom </w:t>
            </w:r>
            <w:r>
              <w:rPr>
                <w:b/>
                <w:i/>
              </w:rPr>
              <w:t>att se över och eventuellt förenkla moder- och dotterbolagsdirektivet</w:t>
            </w:r>
            <w:r>
              <w:t>, fusionsdirektivet</w:t>
            </w:r>
            <w:r>
              <w:rPr>
                <w:b/>
                <w:i/>
              </w:rPr>
              <w:t>,</w:t>
            </w:r>
            <w:r>
              <w:t xml:space="preserve"> direktivet om </w:t>
            </w:r>
            <w:r>
              <w:rPr>
                <w:b/>
                <w:i/>
              </w:rPr>
              <w:t>landsspecifik rapportering och DAC-ramen</w:t>
            </w:r>
            <w:r>
              <w:t>.</w:t>
            </w:r>
          </w:p>
        </w:tc>
        <w:tc>
          <w:tcPr>
            <w:tcW w:w="4876" w:type="dxa"/>
            <w:tcBorders>
              <w:top w:val="nil"/>
              <w:left w:val="nil"/>
              <w:bottom w:val="nil"/>
              <w:right w:val="nil"/>
            </w:tcBorders>
          </w:tcPr>
          <w:p>
            <w:pPr>
              <w:pStyle w:val="Normal6a"/>
            </w:pPr>
            <w:r>
              <w:t>8.</w:t>
            </w:r>
            <w:r>
              <w:tab/>
            </w:r>
            <w:r>
              <w:t xml:space="preserve">Europaparlamentet </w:t>
            </w:r>
            <w:r>
              <w:rPr>
                <w:b/>
                <w:i/>
              </w:rPr>
              <w:t>noterar</w:t>
            </w:r>
            <w:r>
              <w:t xml:space="preserve"> kommissionens arbete med att utarbeta omnibuspaketet om </w:t>
            </w:r>
            <w:r>
              <w:rPr>
                <w:b/>
                <w:i/>
              </w:rPr>
              <w:t>beskattning</w:t>
            </w:r>
            <w:r>
              <w:t xml:space="preserve">. Parlamentet uppmanar kommissionen att prioritera </w:t>
            </w:r>
            <w:r>
              <w:rPr>
                <w:b/>
                <w:i/>
              </w:rPr>
              <w:t>identifiering av återstående skattekryphål och rationalisering av</w:t>
            </w:r>
            <w:r>
              <w:t xml:space="preserve"> överlappande </w:t>
            </w:r>
            <w:r>
              <w:rPr>
                <w:b/>
                <w:i/>
              </w:rPr>
              <w:t>regler.</w:t>
            </w:r>
            <w:r>
              <w:t xml:space="preserve"> </w:t>
            </w:r>
            <w:r>
              <w:rPr>
                <w:b/>
                <w:i/>
              </w:rPr>
              <w:t>Parlamentet framhåller att direktivet</w:t>
            </w:r>
            <w:r>
              <w:t xml:space="preserve"> mot skatteflykt </w:t>
            </w:r>
            <w:r>
              <w:rPr>
                <w:b/>
                <w:i/>
              </w:rPr>
              <w:t>(AtAD) är effektivt när det gäller att genomföra OECD:s handlingsplan mot urholkning av skattebasen och överföring av vinster (BEPS).</w:t>
            </w:r>
            <w:r>
              <w:t xml:space="preserve"> </w:t>
            </w:r>
            <w:r>
              <w:rPr>
                <w:b/>
                <w:i/>
              </w:rPr>
              <w:t>Parlamentet erkänner att</w:t>
            </w:r>
            <w:r>
              <w:t xml:space="preserve"> bestämmelserna om kontrollerade utländska bolag </w:t>
            </w:r>
            <w:r>
              <w:rPr>
                <w:b/>
                <w:i/>
              </w:rPr>
              <w:t>skulle kunna förenklas genom att behålla möjligheten enligt artikel 7.2 a för icke utdelade inkomster.</w:t>
            </w:r>
            <w:r>
              <w:t xml:space="preserve"> </w:t>
            </w:r>
            <w:r>
              <w:rPr>
                <w:b/>
                <w:i/>
              </w:rPr>
              <w:t>Parlamentet påminner om att den andra pelaren, i motsats till</w:t>
            </w:r>
            <w:r>
              <w:t xml:space="preserve"> direktivet mot skatteflykt</w:t>
            </w:r>
            <w:r>
              <w:rPr>
                <w:b/>
                <w:i/>
              </w:rPr>
              <w:t>, endast är tillämplig på koncerner som har en årlig inkomst på minst 750 000 000 EUR.</w:t>
            </w:r>
            <w:r>
              <w:t xml:space="preserve"> </w:t>
            </w:r>
            <w:r>
              <w:rPr>
                <w:b/>
                <w:i/>
              </w:rPr>
              <w:t>Europaparlamentet erkänner potentialen för förenkling</w:t>
            </w:r>
            <w:r>
              <w:t xml:space="preserve"> genom </w:t>
            </w:r>
            <w:r>
              <w:rPr>
                <w:b/>
                <w:i/>
              </w:rPr>
              <w:t>en översyn av direktivet om moderbolag och dotterbolag</w:t>
            </w:r>
            <w:r>
              <w:t xml:space="preserve">, fusionsdirektivet </w:t>
            </w:r>
            <w:r>
              <w:rPr>
                <w:b/>
                <w:i/>
              </w:rPr>
              <w:t>och ramen för</w:t>
            </w:r>
            <w:r>
              <w:t xml:space="preserve"> direktivet om </w:t>
            </w:r>
            <w:r>
              <w:rPr>
                <w:b/>
                <w:i/>
              </w:rPr>
              <w:t>administrativt samarbete.</w:t>
            </w:r>
            <w:r>
              <w:t xml:space="preserve"> </w:t>
            </w:r>
            <w:r>
              <w:rPr>
                <w:b/>
                <w:i/>
              </w:rPr>
              <w:t>Parlamentet betonar att insatser för att förenkla EU-lagstiftningen inte får leda till avreglering och sänkning av nuvarande standarder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Jussi Saramo, 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välkomnar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 </w:t>
            </w:r>
            <w:r>
              <w:rPr>
                <w:b/>
                <w:i/>
              </w:rPr>
              <w:t>– särskilt genom att undersöka det fortsatta behovet av bestämmelserna om kontrollerade utländska bolag i direktivet mot skatteflykt och genom</w:t>
            </w:r>
            <w:r>
              <w:t xml:space="preserve"> att se </w:t>
            </w:r>
            <w:r>
              <w:rPr>
                <w:b/>
                <w:i/>
              </w:rPr>
              <w:t>över och eventuellt förenkla moder- och dotterbolagsdirektivet, fusionsdirektivet, direktivet om landsspecifik rapportering och DAC-ramen</w:t>
            </w:r>
            <w:r>
              <w:t>.</w:t>
            </w:r>
          </w:p>
        </w:tc>
        <w:tc>
          <w:tcPr>
            <w:tcW w:w="4876" w:type="dxa"/>
            <w:tcBorders>
              <w:top w:val="nil"/>
              <w:left w:val="nil"/>
              <w:bottom w:val="nil"/>
              <w:right w:val="nil"/>
            </w:tcBorders>
          </w:tcPr>
          <w:p>
            <w:pPr>
              <w:pStyle w:val="Normal6a"/>
            </w:pPr>
            <w:r>
              <w:t>8.</w:t>
            </w:r>
            <w:r>
              <w:tab/>
            </w:r>
            <w:r>
              <w:t>Europaparlamentet välkomnar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w:t>
            </w:r>
            <w:r>
              <w:rPr>
                <w:b/>
                <w:i/>
              </w:rPr>
              <w:t>.</w:t>
            </w:r>
            <w:r>
              <w:t xml:space="preserve"> </w:t>
            </w:r>
            <w:r>
              <w:rPr>
                <w:b/>
                <w:i/>
              </w:rPr>
              <w:t>Parlamentet understryker dock att en eventuell förenkling inte får ske på bekostnad av de transparensmekanismer och den ram för offentliggörande som är avgörande för en effektiv skattekontroll, skyddet av offentliga inkomster och rättsstatsprincipen.</w:t>
            </w:r>
            <w:r>
              <w:t xml:space="preserve"> </w:t>
            </w:r>
            <w:r>
              <w:rPr>
                <w:b/>
                <w:i/>
              </w:rPr>
              <w:t>Parlamentet uppmanar kommissionen</w:t>
            </w:r>
            <w:r>
              <w:t xml:space="preserve"> att se </w:t>
            </w:r>
            <w:r>
              <w:rPr>
                <w:b/>
                <w:i/>
              </w:rPr>
              <w:t>till att varje minskning av transparenskraven åtföljs av en gedigen konsekvensbedömning som inte visar på någon därav följande minskning av verkställighetskapaciteten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välkomnar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 </w:t>
            </w:r>
            <w:r>
              <w:rPr>
                <w:b/>
                <w:i/>
              </w:rPr>
              <w:t>– särskilt genom att undersöka det fortsatta behovet av bestämmelserna om kontrollerade utländska bolag i direktivet mot skatteflykt och genom att se över och eventuellt förenkla moder- och dotterbolagsdirektivet, fusionsdirektivet, direktivet om landsspecifik rapportering och DAC-ramen</w:t>
            </w:r>
            <w:r>
              <w:t>.</w:t>
            </w:r>
          </w:p>
        </w:tc>
        <w:tc>
          <w:tcPr>
            <w:tcW w:w="4876" w:type="dxa"/>
            <w:tcBorders>
              <w:top w:val="nil"/>
              <w:left w:val="nil"/>
              <w:bottom w:val="nil"/>
              <w:right w:val="nil"/>
            </w:tcBorders>
          </w:tcPr>
          <w:p>
            <w:pPr>
              <w:pStyle w:val="Normal6a"/>
            </w:pPr>
            <w:r>
              <w:t>8.</w:t>
            </w:r>
            <w:r>
              <w:tab/>
            </w:r>
            <w:r>
              <w:t>Europaparlamentet välkomnar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w:t>
            </w:r>
            <w:r>
              <w:rPr>
                <w:b/>
                <w:i/>
              </w:rPr>
              <w:t>, på grundval av en strikt proportionalitetsprövning och principen att ingen ny skatterapporteringsskyldighet bör införas utan att en motsvarande befintlig skyldighet avskaffas eller förenklas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välkomnar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undersöka det fortsatta behovet av bestämmelserna om kontrollerade utländska bolag i direktivet mot skatteflykt och genom att se över och eventuellt förenkla moder- och dotterbolagsdirektivet, fusionsdirektivet, direktivet om landsspecifik rapportering och </w:t>
            </w:r>
            <w:r>
              <w:rPr>
                <w:b/>
                <w:i/>
              </w:rPr>
              <w:t>DAC-ramen</w:t>
            </w:r>
            <w:r>
              <w:t>.</w:t>
            </w:r>
          </w:p>
        </w:tc>
        <w:tc>
          <w:tcPr>
            <w:tcW w:w="4876" w:type="dxa"/>
            <w:tcBorders>
              <w:top w:val="nil"/>
              <w:left w:val="nil"/>
              <w:bottom w:val="nil"/>
              <w:right w:val="nil"/>
            </w:tcBorders>
          </w:tcPr>
          <w:p>
            <w:pPr>
              <w:pStyle w:val="Normal6a"/>
            </w:pPr>
            <w:r>
              <w:t>8.</w:t>
            </w:r>
            <w:r>
              <w:tab/>
            </w:r>
            <w:r>
              <w:t xml:space="preserve">Europaparlamentet välkomnar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undersöka det fortsatta behovet av bestämmelserna om kontrollerade utländska bolag i direktivet mot skatteflykt och genom att se över och eventuellt förenkla moder- och dotterbolagsdirektivet, fusionsdirektivet, direktivet om landsspecifik rapportering och </w:t>
            </w:r>
            <w:r>
              <w:rPr>
                <w:b/>
                <w:i/>
              </w:rPr>
              <w:t>ramen för administrativt samarbete (DAC)</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välkomnar kommissionens arbete med att utarbeta omnibuspaketet om </w:t>
            </w:r>
            <w:r>
              <w:rPr>
                <w:b/>
                <w:i/>
              </w:rPr>
              <w:t>skatter</w:t>
            </w:r>
            <w:r>
              <w:t>.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undersöka det fortsatta behovet av bestämmelserna om kontrollerade utländska bolag i direktivet mot skatteflykt och genom att se över och eventuellt förenkla moder- och dotterbolagsdirektivet, fusionsdirektivet, direktivet om landsspecifik rapportering och DAC-ramen.</w:t>
            </w:r>
          </w:p>
        </w:tc>
        <w:tc>
          <w:tcPr>
            <w:tcW w:w="4876" w:type="dxa"/>
            <w:tcBorders>
              <w:top w:val="nil"/>
              <w:left w:val="nil"/>
              <w:bottom w:val="nil"/>
              <w:right w:val="nil"/>
            </w:tcBorders>
          </w:tcPr>
          <w:p>
            <w:pPr>
              <w:pStyle w:val="Normal6a"/>
            </w:pPr>
            <w:r>
              <w:t>8.</w:t>
            </w:r>
            <w:r>
              <w:tab/>
            </w:r>
            <w:r>
              <w:t xml:space="preserve">Europaparlamentet välkomnar kommissionens arbete med att utarbeta omnibuspaketet om </w:t>
            </w:r>
            <w:r>
              <w:rPr>
                <w:b/>
                <w:i/>
              </w:rPr>
              <w:t>beskattning</w:t>
            </w:r>
            <w:r>
              <w:t>.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undersöka det fortsatta behovet av bestämmelserna om kontrollerade utländska bolag i direktivet mot skatteflykt och genom att se över och eventuellt förenkla moder- och dotterbolagsdirektivet, fusionsdirektivet, direktivet om landsspecifik rapportering och DAC-ramen.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Europaparlamentet välkomnar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undersöka det fortsatta behovet av bestämmelserna om kontrollerade utländska bolag i direktivet mot skatteflykt </w:t>
            </w:r>
            <w:r>
              <w:rPr>
                <w:b/>
                <w:i/>
              </w:rPr>
              <w:t>och genom att se över och eventuellt förenkla moder- och dotterbolagsdirektivet, fusionsdirektivet, direktivet om landsspecifik rapportering och DAC-ramen</w:t>
            </w:r>
            <w:r>
              <w:t>.</w:t>
            </w:r>
          </w:p>
        </w:tc>
        <w:tc>
          <w:tcPr>
            <w:tcW w:w="4876" w:type="dxa"/>
            <w:tcBorders>
              <w:top w:val="nil"/>
              <w:left w:val="nil"/>
              <w:bottom w:val="nil"/>
              <w:right w:val="nil"/>
            </w:tcBorders>
          </w:tcPr>
          <w:p>
            <w:pPr>
              <w:pStyle w:val="Normal6a"/>
            </w:pPr>
            <w:r>
              <w:t>8.</w:t>
            </w:r>
            <w:r>
              <w:tab/>
            </w:r>
            <w:r>
              <w:t>Europaparlamentet välkomnar kommissionens arbete med att utarbeta omnibuspaketet om skatter. Parlamentet uppmanar kommissionen att prioritera skatteförenkling genom att se över överlappande rapporteringsåtgärder och åtgärder mot skatteflykt enligt EU:s skattelagstiftning och minska den administrativa bördan för företag med huvudkontor i EU – särskilt genom att undersöka det fortsatta behovet av bestämmelserna om kontrollerade utländska bolag i direktivet mot skatteflykt</w:t>
            </w:r>
            <w:r>
              <w:rPr>
                <w:b/>
                <w:i/>
              </w:rPr>
              <w:t>, och säkerställa att mindre medlemsstater och medelstora företag inte i oproportionerlig grad tyngs av överlappande efterlevnadsramar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Europaparlamentet påminner om att direktivet om den andra pelaren garanterar en effektiv minimiskattesats i varje EU-medlemsstat och innehåller särskilda bestämmelser mot missbruk som omfattar koncerninterna finansieringsarrangemang.</w:t>
            </w:r>
            <w:r>
              <w:t xml:space="preserve"> </w:t>
            </w:r>
            <w:r>
              <w:rPr>
                <w:b/>
                <w:i/>
              </w:rPr>
              <w:t>Europaparlamentet konstaterar att direktivet mot skatteflykt delar den andra pelarens bredare mål att förhindra urholkning av skattebasen och överföring av vinster, särskilt genom dess räntebegränsningsregel, som begränsar hur mycket koncerninterna räntor ett företag får dra av.</w:t>
            </w:r>
            <w:r>
              <w:t xml:space="preserve"> </w:t>
            </w:r>
            <w:r>
              <w:rPr>
                <w:b/>
                <w:i/>
              </w:rPr>
              <w:t>Parlamentet anser att när en koncern väl omfattas av den globala minimiskatten absorberar denna ram redan en stor del av den risk som var motiveringen till räntebegränsningsregeln, på ett sätt att tillämpningen av båda ordningarna på samma koncern skapar dubbelarbete utan mervärde.</w:t>
            </w:r>
            <w:r>
              <w:t xml:space="preserve"> </w:t>
            </w:r>
            <w:r>
              <w:rPr>
                <w:b/>
                <w:i/>
              </w:rPr>
              <w:t>Parlamentet uppmanar kommissionen att på grundval av detta bedöma huruvida koncerner som omfattas av direktivet om den andra pelaren bör befrias från räntebegränsningsreglerna i direktivet mot skatteflykt, eller i stället se till att dessa regler tillämpas på dem i en anpassad 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Det är särskilt viktigt att se till att betungande lagstiftning och skatterapportering som är avsedd för stora företag inte direkt eller indirekt utvidgas till att omfatta små och medelstora företag.</w:t>
            </w:r>
            <w:r>
              <w:t xml:space="preserve"> </w:t>
            </w:r>
            <w:r>
              <w:rPr>
                <w:b/>
                <w:i/>
              </w:rPr>
              <w:t>När det gäller den befintliga regleringen avseende stora företag (såsom minimiskattereglering) är det motiverat att behålla de begränsningar som utesluter små och medelstora företag från förordningen.</w:t>
            </w:r>
            <w:r>
              <w:t xml:space="preserve"> </w:t>
            </w:r>
            <w:r>
              <w:rPr>
                <w:b/>
                <w:i/>
              </w:rPr>
              <w:t>Små och medelstora företag har inte samma resurser (såsom sina egna hela skattemyndigheter eller mycket omfattande rådgivningsresurser) för att hantera den arbetsbörda som följer av komplex skattereglering och tung skatterapportering som stora koncerner, vilket är anledningen till att komplex och tung reglering i princip belastar små och medelstora företag relativt mycket 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Parlamentet påminner om att empiriska belägg visar att svagare regler för undvikande av företagsbeskattning och överföring av vinster påverkar sysselsättningen och är förknippade med förlorade arbetstillfällen.</w:t>
            </w:r>
            <w:r>
              <w:t xml:space="preserve"> </w:t>
            </w:r>
            <w:r>
              <w:rPr>
                <w:b/>
                <w:i/>
              </w:rPr>
              <w:t>Europaparlamentet uppmanar kommissionen att inom ramen för omnibuspaketet om skatter göra en grundlig bedömning av dess effekter på arbetsmarknader, löner och arbetsvillkor.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uppmanar kommissionen att ompröva sitt förslag till Befit på grund av dess grundläggande oförenlighet med </w:t>
            </w:r>
            <w:r>
              <w:rPr>
                <w:b/>
                <w:i/>
              </w:rPr>
              <w:t>reglerna i</w:t>
            </w:r>
            <w:r>
              <w:t xml:space="preserve"> OECD:s andra </w:t>
            </w:r>
            <w:r>
              <w:rPr>
                <w:b/>
                <w:i/>
              </w:rPr>
              <w:t>pelare</w:t>
            </w:r>
            <w:r>
              <w:t>.</w:t>
            </w:r>
          </w:p>
        </w:tc>
        <w:tc>
          <w:tcPr>
            <w:tcW w:w="4876" w:type="dxa"/>
            <w:tcBorders>
              <w:top w:val="nil"/>
              <w:left w:val="nil"/>
              <w:bottom w:val="nil"/>
              <w:right w:val="nil"/>
            </w:tcBorders>
          </w:tcPr>
          <w:p>
            <w:pPr>
              <w:pStyle w:val="Normal6a"/>
            </w:pPr>
            <w:r>
              <w:t>9.</w:t>
            </w:r>
            <w:r>
              <w:tab/>
            </w:r>
            <w:r>
              <w:t xml:space="preserve">Europaparlamentet uppmanar kommissionen att ompröva sitt förslag till Befit på grund av dess grundläggande oförenlighet med OECD:s </w:t>
            </w:r>
            <w:r>
              <w:rPr>
                <w:b/>
                <w:i/>
              </w:rPr>
              <w:t>regler inom ramen för den</w:t>
            </w:r>
            <w:r>
              <w:t xml:space="preserve"> andra </w:t>
            </w:r>
            <w:r>
              <w:rPr>
                <w:b/>
                <w:i/>
              </w:rPr>
              <w:t>pelaren, särskilt obalansen mellan fastställandet av dess skattebas och GloBE-skattebasen inom ramen för den andra pelaren</w:t>
            </w:r>
            <w:r>
              <w:t xml:space="preserve">. </w:t>
            </w:r>
            <w:r>
              <w:rPr>
                <w:b/>
                <w:i/>
              </w:rPr>
              <w:t>Parlamentet beklagar att Befit-förslaget inte innebar verklig konsolidering på unionsnivå, utan snarare aggregering och efterföljande fördelning av skattemässiga resultat.</w:t>
            </w:r>
            <w:r>
              <w:t xml:space="preserve"> </w:t>
            </w:r>
            <w:r>
              <w:rPr>
                <w:b/>
                <w:i/>
              </w:rPr>
              <w:t>Parlamentet beklagar vidare att förslaget syftade till att införa den första pelaren på EU-nivå genom en faktorbaserad formelfördelning trots avsaknaden av ett OECD-avtal om den första pelaren.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uppmanar kommissionen att ompröva sitt förslag till Befit </w:t>
            </w:r>
            <w:r>
              <w:rPr>
                <w:b/>
                <w:i/>
              </w:rPr>
              <w:t>på grund av dess grundläggande oförenlighet med reglerna i OECD:s andra pelare</w:t>
            </w:r>
            <w:r>
              <w:t>.</w:t>
            </w:r>
          </w:p>
        </w:tc>
        <w:tc>
          <w:tcPr>
            <w:tcW w:w="4876" w:type="dxa"/>
            <w:tcBorders>
              <w:top w:val="nil"/>
              <w:left w:val="nil"/>
              <w:bottom w:val="nil"/>
              <w:right w:val="nil"/>
            </w:tcBorders>
          </w:tcPr>
          <w:p>
            <w:pPr>
              <w:pStyle w:val="Normal6a"/>
            </w:pPr>
            <w:r>
              <w:t>9.</w:t>
            </w:r>
            <w:r>
              <w:tab/>
            </w:r>
            <w:r>
              <w:t>Europaparlamentet uppmanar kommissionen att ompröva sitt förslag till Befit</w:t>
            </w:r>
            <w:r>
              <w:rPr>
                <w:b/>
                <w:i/>
              </w:rPr>
              <w:t>, särskilt när det gäller de fortsatta riskerna för överföring av vinster och urholkning av skattebasen.</w:t>
            </w:r>
            <w:r>
              <w:t xml:space="preserve"> </w:t>
            </w:r>
            <w:r>
              <w:rPr>
                <w:b/>
                <w:i/>
              </w:rPr>
              <w:t>Parlamentet betonar behovet av att säkerställa full överensstämmelse med internationellt överenskomna minimistandarder för beskattning och att förhindra nya kryphål som skulle kunna underlätta aggressiv skatteplanering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uppmanar kommissionen att ompröva sitt förslag till Befit </w:t>
            </w:r>
            <w:r>
              <w:rPr>
                <w:b/>
                <w:i/>
              </w:rPr>
              <w:t>på grund av</w:t>
            </w:r>
            <w:r>
              <w:t xml:space="preserve"> dess grundläggande oförenlighet med reglerna i OECD:s andra pelare.</w:t>
            </w:r>
          </w:p>
        </w:tc>
        <w:tc>
          <w:tcPr>
            <w:tcW w:w="4876" w:type="dxa"/>
            <w:tcBorders>
              <w:top w:val="nil"/>
              <w:left w:val="nil"/>
              <w:bottom w:val="nil"/>
              <w:right w:val="nil"/>
            </w:tcBorders>
          </w:tcPr>
          <w:p>
            <w:pPr>
              <w:pStyle w:val="Normal6a"/>
            </w:pPr>
            <w:r>
              <w:t>9.</w:t>
            </w:r>
            <w:r>
              <w:tab/>
            </w:r>
            <w:r>
              <w:t xml:space="preserve">Europaparlamentet uppmanar kommissionen att ompröva </w:t>
            </w:r>
            <w:r>
              <w:rPr>
                <w:b/>
                <w:i/>
              </w:rPr>
              <w:t>och anpassa</w:t>
            </w:r>
            <w:r>
              <w:t xml:space="preserve"> sitt förslag till Befit</w:t>
            </w:r>
            <w:r>
              <w:rPr>
                <w:b/>
                <w:i/>
              </w:rPr>
              <w:t>, med full hänsyn till</w:t>
            </w:r>
            <w:r>
              <w:t xml:space="preserve"> dess grundläggande oförenlighet med reglerna i OECD:s andra pelare </w:t>
            </w:r>
            <w:r>
              <w:rPr>
                <w:b/>
                <w:i/>
              </w:rPr>
              <w:t>och behovet av att undvika att skapa en överlappande, parallell skatteram som ökar den administrativa bördan och efterlevnadsbördan för europeiska företag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uppmanar kommissionen att </w:t>
            </w:r>
            <w:r>
              <w:rPr>
                <w:b/>
                <w:i/>
              </w:rPr>
              <w:t>ompröva</w:t>
            </w:r>
            <w:r>
              <w:t xml:space="preserve"> sitt förslag till Befit på grund av dess grundläggande oförenlighet med reglerna i OECD:s andra pelare.</w:t>
            </w:r>
          </w:p>
        </w:tc>
        <w:tc>
          <w:tcPr>
            <w:tcW w:w="4876" w:type="dxa"/>
            <w:tcBorders>
              <w:top w:val="nil"/>
              <w:left w:val="nil"/>
              <w:bottom w:val="nil"/>
              <w:right w:val="nil"/>
            </w:tcBorders>
          </w:tcPr>
          <w:p>
            <w:pPr>
              <w:pStyle w:val="Normal6a"/>
            </w:pPr>
            <w:r>
              <w:t>9.</w:t>
            </w:r>
            <w:r>
              <w:tab/>
            </w:r>
            <w:r>
              <w:t xml:space="preserve">Europaparlamentet uppmanar </w:t>
            </w:r>
            <w:r>
              <w:rPr>
                <w:b/>
                <w:i/>
              </w:rPr>
              <w:t>med kraft</w:t>
            </w:r>
            <w:r>
              <w:t xml:space="preserve"> kommissionen att </w:t>
            </w:r>
            <w:r>
              <w:rPr>
                <w:b/>
                <w:i/>
              </w:rPr>
              <w:t>dra tillbaka eller i princip stoppa</w:t>
            </w:r>
            <w:r>
              <w:t xml:space="preserve"> sitt förslag till Befit på grund av dess grundläggande oförenlighet med reglerna i OECD:s andra pelare</w:t>
            </w:r>
            <w:r>
              <w:rPr>
                <w:b/>
                <w:i/>
              </w:rPr>
              <w:t>, dess potential att snedvrida nationella bolagsskattebaser genom godtyckliga konsolideringsformler och den onödiga administrativa börda som den inför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uppmanar kommissionen att ompröva sitt förslag till Befit på grund av dess grundläggande oförenlighet med reglerna i OECD:s andra pelare.</w:t>
            </w:r>
          </w:p>
        </w:tc>
        <w:tc>
          <w:tcPr>
            <w:tcW w:w="4876" w:type="dxa"/>
            <w:tcBorders>
              <w:top w:val="nil"/>
              <w:left w:val="nil"/>
              <w:bottom w:val="nil"/>
              <w:right w:val="nil"/>
            </w:tcBorders>
          </w:tcPr>
          <w:p>
            <w:pPr>
              <w:pStyle w:val="Normal6a"/>
            </w:pPr>
            <w:r>
              <w:t>9.</w:t>
            </w:r>
            <w:r>
              <w:tab/>
            </w:r>
            <w:r>
              <w:t xml:space="preserve">Europaparlamentet uppmanar kommissionen att ompröva sitt förslag till Befit på grund av dess grundläggande oförenlighet med reglerna i OECD:s andra pelare </w:t>
            </w:r>
            <w:r>
              <w:rPr>
                <w:b/>
                <w:i/>
              </w:rPr>
              <w:t>och att, om så är lämpligt, lägga fram ett snävare förslag som är begränsat till administrativa förenklingsåtgärder som är fullt förenliga med den internationella ramen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uppmanar kommissionen att ompröva sitt förslag till Befit på grund av dess grundläggande oförenlighet med reglerna i OECD:s andra pelare.</w:t>
            </w:r>
          </w:p>
        </w:tc>
        <w:tc>
          <w:tcPr>
            <w:tcW w:w="4876" w:type="dxa"/>
            <w:tcBorders>
              <w:top w:val="nil"/>
              <w:left w:val="nil"/>
              <w:bottom w:val="nil"/>
              <w:right w:val="nil"/>
            </w:tcBorders>
          </w:tcPr>
          <w:p>
            <w:pPr>
              <w:pStyle w:val="Normal6a"/>
            </w:pPr>
            <w:r>
              <w:t>9.</w:t>
            </w:r>
            <w:r>
              <w:tab/>
            </w:r>
            <w:r>
              <w:t xml:space="preserve">Europaparlamentet uppmanar kommissionen att ompröva sitt förslag till Befit på grund av dess grundläggande oförenlighet med reglerna i OECD:s andra pelare. </w:t>
            </w:r>
            <w:r>
              <w:rPr>
                <w:b/>
                <w:i/>
              </w:rPr>
              <w:t>Parlamentet noterar bristen på framsteg i rådet i detta lagstiftningsärende och det faktum att förhandlingarna fortfarande är blockerade.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uppmanar kommissionen att ompröva sitt förslag till Befit </w:t>
            </w:r>
            <w:r>
              <w:rPr>
                <w:b/>
                <w:i/>
              </w:rPr>
              <w:t>på grund av dess grundläggande oförenlighet med reglerna i OECD:s</w:t>
            </w:r>
            <w:r>
              <w:t xml:space="preserve"> andra </w:t>
            </w:r>
            <w:r>
              <w:rPr>
                <w:b/>
                <w:i/>
              </w:rPr>
              <w:t>pelare</w:t>
            </w:r>
            <w:r>
              <w:t>.</w:t>
            </w:r>
          </w:p>
        </w:tc>
        <w:tc>
          <w:tcPr>
            <w:tcW w:w="4876" w:type="dxa"/>
            <w:tcBorders>
              <w:top w:val="nil"/>
              <w:left w:val="nil"/>
              <w:bottom w:val="nil"/>
              <w:right w:val="nil"/>
            </w:tcBorders>
          </w:tcPr>
          <w:p>
            <w:pPr>
              <w:pStyle w:val="Normal6a"/>
            </w:pPr>
            <w:r>
              <w:t>9.</w:t>
            </w:r>
            <w:r>
              <w:tab/>
            </w:r>
            <w:r>
              <w:t xml:space="preserve">Europaparlamentet uppmanar kommissionen att ompröva sitt förslag till Befit </w:t>
            </w:r>
            <w:r>
              <w:rPr>
                <w:b/>
                <w:i/>
              </w:rPr>
              <w:t>i syfte att bedöma och ta itu med eventuella inkonsekvenser i förhållande till multinationella företags skyldigheter inom ramen för den</w:t>
            </w:r>
            <w:r>
              <w:t xml:space="preserve"> andra </w:t>
            </w:r>
            <w:r>
              <w:rPr>
                <w:b/>
                <w:i/>
              </w:rPr>
              <w:t>pelaren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uppmanar kommissionen att ompröva sitt förslag till Befit på grund av dess grundläggande oförenlighet med reglerna i OECD:s andra pelare.</w:t>
            </w:r>
          </w:p>
        </w:tc>
        <w:tc>
          <w:tcPr>
            <w:tcW w:w="4876" w:type="dxa"/>
            <w:tcBorders>
              <w:top w:val="nil"/>
              <w:left w:val="nil"/>
              <w:bottom w:val="nil"/>
              <w:right w:val="nil"/>
            </w:tcBorders>
          </w:tcPr>
          <w:p>
            <w:pPr>
              <w:pStyle w:val="Normal6a"/>
            </w:pPr>
            <w:r>
              <w:t>9.</w:t>
            </w:r>
            <w:r>
              <w:tab/>
            </w:r>
            <w:r>
              <w:t xml:space="preserve">Europaparlamentet uppmanar kommissionen att ompröva </w:t>
            </w:r>
            <w:r>
              <w:rPr>
                <w:b/>
                <w:i/>
              </w:rPr>
              <w:t>och dra tillbaka</w:t>
            </w:r>
            <w:r>
              <w:t xml:space="preserve"> sitt förslag till Befit på grund av dess grundläggande oförenlighet med reglerna i OECD:s andra pelare.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är bekymrat över genomförandet av SbS-systemet som en safe harbour enligt artikel 32 i direktivet om den andra pelaren, snarare än genom en regelrätt lagstiftningsprocess.</w:t>
            </w:r>
          </w:p>
        </w:tc>
        <w:tc>
          <w:tcPr>
            <w:tcW w:w="4876" w:type="dxa"/>
            <w:tcBorders>
              <w:top w:val="nil"/>
              <w:left w:val="nil"/>
              <w:bottom w:val="nil"/>
              <w:right w:val="nil"/>
            </w:tcBorders>
          </w:tcPr>
          <w:p>
            <w:pPr>
              <w:pStyle w:val="Normal6a"/>
            </w:pPr>
            <w:r>
              <w:t>10.</w:t>
            </w:r>
            <w:r>
              <w:tab/>
            </w:r>
            <w:r>
              <w:t xml:space="preserve">Europaparlamentet är bekymrat över genomförandet av SbS-systemet som en safe harbour enligt artikel 32 i direktivet om den andra pelaren, snarare än genom en regelrätt lagstiftningsprocess. </w:t>
            </w:r>
            <w:r>
              <w:rPr>
                <w:b/>
                <w:i/>
              </w:rPr>
              <w:t>Parlamentet insisterar på att alla väsentliga ändringar av medlemsstaternas eller företagens skyldigheter enligt direktivet om den andra pelaren bör göras genom ett lämpligt lagstiftningsförfarande, med full respekt för kravet på enhällighet i skattefrågor.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är bekymrat över genomförandet av SbS-systemet som en safe harbour enligt artikel 32 i direktivet om den andra pelaren, snarare än genom en regelrätt lagstiftningsprocess.</w:t>
            </w:r>
          </w:p>
        </w:tc>
        <w:tc>
          <w:tcPr>
            <w:tcW w:w="4876" w:type="dxa"/>
            <w:tcBorders>
              <w:top w:val="nil"/>
              <w:left w:val="nil"/>
              <w:bottom w:val="nil"/>
              <w:right w:val="nil"/>
            </w:tcBorders>
          </w:tcPr>
          <w:p>
            <w:pPr>
              <w:pStyle w:val="Normal6a"/>
            </w:pPr>
            <w:r>
              <w:t>10.</w:t>
            </w:r>
            <w:r>
              <w:tab/>
            </w:r>
            <w:r>
              <w:t xml:space="preserve">Europaparlamentet är bekymrat över genomförandet av SbS-systemet som en safe harbour enligt artikel 32 i direktivet om den andra pelaren, snarare än genom en regelrätt lagstiftningsprocess. </w:t>
            </w:r>
            <w:r>
              <w:rPr>
                <w:b/>
                <w:i/>
              </w:rPr>
              <w:t>Parlamentet beklagar att de politiska påtryckningarna från Förenta staterna har lett till ett arrangemang som riskerar att undergräva de lika spelreglerna på global nivå och ändamålsenligheten i den globala ramen för minimiskatt.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Europaparlamentet noterar att medlemsstaterna kommer att tillämpa direktivet om den andra pelaren från och med olika tidpunkter. Parlamentet uppmanar medlemsstaterna att säkerställa ett fullständigt införlivande av direktivet </w:t>
            </w:r>
            <w:r>
              <w:rPr>
                <w:b/>
                <w:i/>
              </w:rPr>
              <w:t>för att minska de risker som uppstår till följd av ömsesidigt förtroende för skattebeslut som utfärdats av nationella skattemyndigheter</w:t>
            </w:r>
            <w:r>
              <w:t>.</w:t>
            </w:r>
          </w:p>
        </w:tc>
        <w:tc>
          <w:tcPr>
            <w:tcW w:w="4876" w:type="dxa"/>
            <w:tcBorders>
              <w:top w:val="nil"/>
              <w:left w:val="nil"/>
              <w:bottom w:val="nil"/>
              <w:right w:val="nil"/>
            </w:tcBorders>
          </w:tcPr>
          <w:p>
            <w:pPr>
              <w:pStyle w:val="Normal6a"/>
            </w:pPr>
            <w:r>
              <w:t>11.</w:t>
            </w:r>
            <w:r>
              <w:tab/>
            </w:r>
            <w:r>
              <w:t>Europaparlamentet noterar att medlemsstaterna kommer att tillämpa direktivet om den andra pelaren från och med olika tidpunkter. Parlamentet uppmanar medlemsstaterna att säkerställa ett fullständigt införlivande av direktivet.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Europaparlamentet uppmanar kommissionen att undersöka förenklingsåtgärder för att minska genomförandebördan inom den andra pelaren för skatteförvaltningarna i mindre medlemsstater.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uppmanar kommissionen att undersöka förenklingsåtgärder för att minska genomförandebördan inom den andra pelaren för skatteförvaltningarna i mindre medlemsstater.</w:t>
            </w:r>
          </w:p>
        </w:tc>
        <w:tc>
          <w:tcPr>
            <w:tcW w:w="4876" w:type="dxa"/>
            <w:tcBorders>
              <w:top w:val="nil"/>
              <w:left w:val="nil"/>
              <w:bottom w:val="nil"/>
              <w:right w:val="nil"/>
            </w:tcBorders>
          </w:tcPr>
          <w:p>
            <w:pPr>
              <w:pStyle w:val="Normal6a"/>
            </w:pPr>
            <w:r>
              <w:t>12.</w:t>
            </w:r>
            <w:r>
              <w:tab/>
            </w:r>
            <w:r>
              <w:t xml:space="preserve">Europaparlamentet </w:t>
            </w:r>
            <w:r>
              <w:rPr>
                <w:b/>
                <w:i/>
              </w:rPr>
              <w:t>betonar att den administrativa börda som den andra pelaren medför för både företag och skattemyndigheter riskerar att uppväga dess intäktsfördelar för mindre medlemsstater.</w:t>
            </w:r>
            <w:r>
              <w:t xml:space="preserve"> </w:t>
            </w:r>
            <w:r>
              <w:rPr>
                <w:b/>
                <w:i/>
              </w:rPr>
              <w:t>Parlamentet</w:t>
            </w:r>
            <w:r>
              <w:t xml:space="preserve"> uppmanar kommissionen att undersöka förenklingsåtgärder för att minska genomförandebördan inom den andra pelaren för skatteförvaltningarna i mindre medlemsstater</w:t>
            </w:r>
            <w:r>
              <w:rPr>
                <w:b/>
                <w:i/>
              </w:rPr>
              <w:t>, t.ex</w:t>
            </w:r>
            <w:r>
              <w:t xml:space="preserve">. </w:t>
            </w:r>
            <w:r>
              <w:rPr>
                <w:b/>
                <w:i/>
              </w:rPr>
              <w:t>genom att införa en förenklad efterlevnadsväg för företag under en fastställd intäktströskel och genom att rationalisera överlappande rapporteringskrav.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uppmanar kommissionen att undersöka förenklingsåtgärder för att minska genomförandebördan inom den andra pelaren för skatteförvaltningarna i mindre medlemsstater.</w:t>
            </w:r>
          </w:p>
        </w:tc>
        <w:tc>
          <w:tcPr>
            <w:tcW w:w="4876" w:type="dxa"/>
            <w:tcBorders>
              <w:top w:val="nil"/>
              <w:left w:val="nil"/>
              <w:bottom w:val="nil"/>
              <w:right w:val="nil"/>
            </w:tcBorders>
          </w:tcPr>
          <w:p>
            <w:pPr>
              <w:pStyle w:val="Normal6a"/>
            </w:pPr>
            <w:r>
              <w:t>12.</w:t>
            </w:r>
            <w:r>
              <w:tab/>
            </w:r>
            <w:r>
              <w:t xml:space="preserve">Europaparlamentet uppmanar kommissionen att undersöka förenklingsåtgärder för att minska genomförandebördan inom den andra pelaren för skatteförvaltningarna i mindre medlemsstater. </w:t>
            </w:r>
            <w:r>
              <w:rPr>
                <w:b/>
                <w:i/>
              </w:rPr>
              <w:t>Parlamentet betonar att genomförandet av den andra pelaren inte får vara till nackdel för legitima nationella skatteincitament för innovation och R&amp;D, såsom forskningspremiering.</w:t>
            </w:r>
            <w:r>
              <w:t xml:space="preserve"> </w:t>
            </w:r>
            <w:r>
              <w:rPr>
                <w:b/>
                <w:i/>
              </w:rPr>
              <w:t>Parlamentet uppmanar kommissionen att inom OECD verka för permanenta och enkla safe harbors för att skydda konkurrenskraftiga affärsställen.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uppmanar kommissionen att undersöka förenklingsåtgärder för att minska genomförandebördan inom den andra pelaren för skatteförvaltningarna i mindre medlemsstater.</w:t>
            </w:r>
          </w:p>
        </w:tc>
        <w:tc>
          <w:tcPr>
            <w:tcW w:w="4876" w:type="dxa"/>
            <w:tcBorders>
              <w:top w:val="nil"/>
              <w:left w:val="nil"/>
              <w:bottom w:val="nil"/>
              <w:right w:val="nil"/>
            </w:tcBorders>
          </w:tcPr>
          <w:p>
            <w:pPr>
              <w:pStyle w:val="Normal6a"/>
            </w:pPr>
            <w:r>
              <w:t>12.</w:t>
            </w:r>
            <w:r>
              <w:tab/>
            </w:r>
            <w:r>
              <w:t xml:space="preserve">Europaparlamentet uppmanar kommissionen att undersöka förenklingsåtgärder för att minska genomförandebördan inom den andra pelaren för skatteförvaltningarna i mindre medlemsstater. </w:t>
            </w:r>
            <w:r>
              <w:rPr>
                <w:b/>
                <w:i/>
              </w:rPr>
              <w:t>Parlamentet uppmanar medlemsstaterna och kommissionen att inleda förhandlingar inom OECD för att undersöka ytterligare förenklingsmöjligheter.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uppmanar kommissionen att undersöka förenklingsåtgärder för att minska </w:t>
            </w:r>
            <w:r>
              <w:rPr>
                <w:b/>
                <w:i/>
              </w:rPr>
              <w:t>genomförandebördan inom</w:t>
            </w:r>
            <w:r>
              <w:t xml:space="preserve"> den andra pelaren för skatteförvaltningarna i mindre medlemsstater.</w:t>
            </w:r>
          </w:p>
        </w:tc>
        <w:tc>
          <w:tcPr>
            <w:tcW w:w="4876" w:type="dxa"/>
            <w:tcBorders>
              <w:top w:val="nil"/>
              <w:left w:val="nil"/>
              <w:bottom w:val="nil"/>
              <w:right w:val="nil"/>
            </w:tcBorders>
          </w:tcPr>
          <w:p>
            <w:pPr>
              <w:pStyle w:val="Normal6a"/>
            </w:pPr>
            <w:r>
              <w:t>12.</w:t>
            </w:r>
            <w:r>
              <w:tab/>
            </w:r>
            <w:r>
              <w:t xml:space="preserve">Europaparlamentet uppmanar kommissionen att undersöka </w:t>
            </w:r>
            <w:r>
              <w:rPr>
                <w:b/>
                <w:i/>
              </w:rPr>
              <w:t>och snabbt genomföra kraftfulla</w:t>
            </w:r>
            <w:r>
              <w:t xml:space="preserve"> förenklingsåtgärder</w:t>
            </w:r>
            <w:r>
              <w:rPr>
                <w:b/>
                <w:i/>
              </w:rPr>
              <w:t>, såsom safe harbour-förfaranden och förenklade inlämningsförfaranden,</w:t>
            </w:r>
            <w:r>
              <w:t xml:space="preserve"> för att minska </w:t>
            </w:r>
            <w:r>
              <w:rPr>
                <w:b/>
                <w:i/>
              </w:rPr>
              <w:t>den allvarliga genomförande- och övervakningsbördan i</w:t>
            </w:r>
            <w:r>
              <w:t xml:space="preserve"> den andra pelaren för skatteförvaltningarna i mindre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Europaparlamentet uppmanar kommissionen att undersöka förenklingsåtgärder för att minska genomförandebördan inom den andra pelaren för skatteförvaltningarna </w:t>
            </w:r>
            <w:r>
              <w:rPr>
                <w:b/>
                <w:i/>
              </w:rPr>
              <w:t>i mindre medlemsstater</w:t>
            </w:r>
            <w:r>
              <w:t>.</w:t>
            </w:r>
          </w:p>
        </w:tc>
        <w:tc>
          <w:tcPr>
            <w:tcW w:w="4876" w:type="dxa"/>
            <w:tcBorders>
              <w:top w:val="nil"/>
              <w:left w:val="nil"/>
              <w:bottom w:val="nil"/>
              <w:right w:val="nil"/>
            </w:tcBorders>
          </w:tcPr>
          <w:p>
            <w:pPr>
              <w:pStyle w:val="Normal6a"/>
            </w:pPr>
            <w:r>
              <w:t>12.</w:t>
            </w:r>
            <w:r>
              <w:tab/>
            </w:r>
            <w:r>
              <w:t>Europaparlamentet uppmanar kommissionen att undersöka förenklingsåtgärder för att minska genomförandebördan inom den andra pelaren för skatteförvaltningarna.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beklagar att enhällighet i skattefrågor har blockerat meningsfulla framsteg mot en harmoniserad och rättvisare ram för bolagsbeskattning, bland annat när det gäller harmonisering av bolagsskattebasen, minimibeskattning och beskattning av digitala företag.</w:t>
            </w:r>
            <w:r>
              <w:t xml:space="preserve"> </w:t>
            </w:r>
            <w:r>
              <w:rPr>
                <w:b/>
                <w:i/>
              </w:rPr>
              <w:t>Parlamentet betonar att denna situation har möjliggjort skadlig skattekonkurrens och snedvridning av den inre marknaden i unionen, vilket gynnar stora multinationella företag på bekostnad av offentliga budgetar och små och medelstora företag.</w:t>
            </w:r>
            <w:r>
              <w:t xml:space="preserve"> </w:t>
            </w:r>
            <w:r>
              <w:rPr>
                <w:b/>
                <w:i/>
              </w:rPr>
              <w:t>Parlamentet uppmanar rådet och Europeiska rådet att börja frångå enhällighet i skattefrågor genom att använda de övergångsklausuler som föreskrivs i fördragen, inbegripet åtgärder mot skattebedrägeri, skatteundandragande och skatteflykt, administrativt samarbete, skattetransparens och andra åtgärder som är nödvändiga för att den inre marknaden ska fungera väl.</w:t>
            </w:r>
            <w:r>
              <w:t xml:space="preserve"> </w:t>
            </w:r>
            <w:r>
              <w:rPr>
                <w:b/>
                <w:i/>
              </w:rPr>
              <w:t>Parlamentet konstaterar att en sådan möjlighet aldrig har utnyttjats på skatteområdet.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Parlamentet betonar att en gemensam ram för företagsbeskattning genom harmonisering inte bara avsevärt kommer att minska efterlevnadskostnaderna och den administrativa bördan, utan också kommer att skapa lika villkor för företag som är verksamma på den inre marknaden, uppmuntra expansion, öka rättssäkerheten och stimulera investeringar och tillväxt i unionen.</w:t>
            </w:r>
            <w:r>
              <w:t xml:space="preserve"> </w:t>
            </w:r>
            <w:r>
              <w:rPr>
                <w:b/>
                <w:i/>
              </w:rPr>
              <w:t>Parlamentet uppmanar i detta avseende kommissionen att fortsätta att aktivt främja Befit-liknande åtgärder för harmonisering av bolagsskattebasen och konsolidering, eventuellt genom en stegvis strategi.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Parlamentet uppmanar med kraft kommissionen att undanta lån för uppförande, ombyggnad och renovering av byggnader för subventionerade bostäder från reglerna om räntebegränsning i direktivet mot skatteflykt.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förkastar förslaget om en gemensam resurs för Europa (Core).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Europaparlamentet uppmanar kommissionen att lägga fram en uppdaterad färdplan för ett mer effektivt och demokratiskt beslutsfattande inom EU:s skattepolitik, i syfte att övergå till omröstning med kvalificerad majoritet och det ordinarie lagstiftningsförfarandet på vissa bestämda skattepolitiska områden, och att systematiskt bedöma användningen av artikel 116 i EUF-fördraget när skiljaktiga nationella skatteregler snedvrider konkurrensen på den inre marknaden och en överenskommelse inte kan nås.</w:t>
            </w:r>
            <w:r>
              <w:t xml:space="preserve"> </w:t>
            </w:r>
            <w:r>
              <w:rPr>
                <w:b/>
                <w:i/>
              </w:rPr>
              <w:t>Parlamentet uppmanar vidare villiga medlemsstater att använda fördjupat samarbete där enhällighet hindrar framsteg med långvariga skatteinitiativ.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Europaparlamentet påminner om att åtgärder för skattetransparens, inbegripet offentlig landsspecifik rapportering, bidrar till rättvis konkurrens, ökar företagens ansvarsskyldighet och ger investerare större säkerhet.</w:t>
            </w:r>
            <w:r>
              <w:t xml:space="preserve"> </w:t>
            </w:r>
            <w:r>
              <w:rPr>
                <w:b/>
                <w:i/>
              </w:rPr>
              <w:t>Parlamentet betonar att ökad transparens bidrar till att skapa lika villkor på den inre marknaden som stärker EU:s attraktionskraft som en destination för sunda och hållbara investeringar.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Parlamentet påminner om vikten av engångsprincipen, där skattemyndigheter som redan mottar information enligt ett direktiv inte bör begära samma enhet igen i en annan form, såvida inte den ytterligare begäran har ett tydligt verkställighetssyfte.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Arba Kokalari, 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Europaparlamentet betonar att skattefragmentering är ett skäl till att EU-företag drabbas av högre kostnader när de expanderar och expanderar över gränserna, anskaffar kapital eller strukturerar investeringar på den inre marknaden.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Läget i kampen mot </w:t>
            </w:r>
            <w:r>
              <w:rPr>
                <w:b/>
                <w:i/>
              </w:rPr>
              <w:t>skadlig skattepraxis</w:t>
            </w:r>
          </w:p>
        </w:tc>
        <w:tc>
          <w:tcPr>
            <w:tcW w:w="4876" w:type="dxa"/>
            <w:tcBorders>
              <w:top w:val="nil"/>
              <w:left w:val="nil"/>
              <w:bottom w:val="nil"/>
              <w:right w:val="nil"/>
            </w:tcBorders>
          </w:tcPr>
          <w:p>
            <w:pPr>
              <w:pStyle w:val="Normal6a"/>
            </w:pPr>
            <w:r>
              <w:t xml:space="preserve">Läget i kampen mot </w:t>
            </w:r>
            <w:r>
              <w:rPr>
                <w:b/>
                <w:i/>
              </w:rPr>
              <w:t>skatteundandragande, skatteflykt och aggressiv skatteplanering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Underrubrik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Läget </w:t>
            </w:r>
            <w:r>
              <w:rPr>
                <w:b/>
                <w:i/>
              </w:rPr>
              <w:t>i kampen mot skadlig skattepraxis</w:t>
            </w:r>
          </w:p>
        </w:tc>
        <w:tc>
          <w:tcPr>
            <w:tcW w:w="4876" w:type="dxa"/>
            <w:tcBorders>
              <w:top w:val="nil"/>
              <w:left w:val="nil"/>
              <w:bottom w:val="nil"/>
              <w:right w:val="nil"/>
            </w:tcBorders>
          </w:tcPr>
          <w:p>
            <w:pPr>
              <w:pStyle w:val="Normal6a"/>
            </w:pPr>
            <w:r>
              <w:t xml:space="preserve">Läget </w:t>
            </w:r>
            <w:r>
              <w:rPr>
                <w:b/>
                <w:i/>
              </w:rPr>
              <w:t>för det globala administrativa samarbetet i skattefrågor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välkomnar bidraget från den andra pelaren till att minska antalet jurisdiktioner som tillämpar mycket låga effektiva bolagsskattesatser och till att införa kvalificerade nationella top up-skatter i många jurisdiktioner, vilket utgör ett stort steg mot att förhindra multinationella företags skatteflyktsmetoder.</w:t>
            </w:r>
          </w:p>
        </w:tc>
        <w:tc>
          <w:tcPr>
            <w:tcW w:w="4876" w:type="dxa"/>
            <w:tcBorders>
              <w:top w:val="nil"/>
              <w:left w:val="nil"/>
              <w:bottom w:val="nil"/>
              <w:right w:val="nil"/>
            </w:tcBorders>
          </w:tcPr>
          <w:p>
            <w:pPr>
              <w:pStyle w:val="Normal6a"/>
            </w:pPr>
            <w:r>
              <w:t>13.</w:t>
            </w:r>
            <w:r>
              <w:tab/>
            </w:r>
            <w:r>
              <w:t xml:space="preserve">Europaparlamentet välkomnar bidraget från den andra pelaren till att minska antalet jurisdiktioner som tillämpar mycket låga effektiva bolagsskattesatser och till att införa kvalificerade nationella top up-skatter i många jurisdiktioner, vilket utgör ett stort steg mot att förhindra multinationella företags skatteflyktsmetoder. </w:t>
            </w:r>
            <w:r>
              <w:rPr>
                <w:b/>
                <w:i/>
              </w:rPr>
              <w:t>Parlamentet betonar dock att rättvis och sund skattekonkurrens mellan EU:s medlemsstater fortfarande är en viktig del av den inre marknaden och bidrar till unionens globala konkurrenskraft genom att skapa ett företagsvänligt klimat.</w:t>
            </w:r>
            <w:r>
              <w:t xml:space="preserve"> </w:t>
            </w:r>
            <w:r>
              <w:rPr>
                <w:b/>
                <w:i/>
              </w:rPr>
              <w:t>Parlamentet understryker att bibehållandet av tillräcklig flexibilitet för medlemsstaterna på området för direkt beskattning bidrar till att upprätthålla unionens attraktionskraft som en plats för affärsverksamhet och innovation, och därigenom bidra till att behålla investeringar, högkvalificerade arbetstillfällen och strategiska industrier inom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Europaparlamentet välkomnar bidraget från den andra pelaren till att minska antalet jurisdiktioner som tillämpar mycket låga effektiva bolagsskattesatser och till att införa kvalificerade nationella top up-skatter i många jurisdiktioner, vilket utgör ett stort steg mot att förhindra multinationella företags skatteflyktsmetoder.</w:t>
            </w:r>
          </w:p>
        </w:tc>
        <w:tc>
          <w:tcPr>
            <w:tcW w:w="4876" w:type="dxa"/>
            <w:tcBorders>
              <w:top w:val="nil"/>
              <w:left w:val="nil"/>
              <w:bottom w:val="nil"/>
              <w:right w:val="nil"/>
            </w:tcBorders>
          </w:tcPr>
          <w:p>
            <w:pPr>
              <w:pStyle w:val="Normal6a"/>
            </w:pPr>
            <w:r>
              <w:t>13.</w:t>
            </w:r>
            <w:r>
              <w:tab/>
            </w:r>
            <w:r>
              <w:t xml:space="preserve">Europaparlamentet välkomnar bidraget från den andra pelaren till att minska antalet jurisdiktioner som tillämpar mycket låga effektiva bolagsskattesatser och till att införa kvalificerade nationella top up-skatter i många jurisdiktioner, vilket utgör ett stort steg mot att förhindra multinationella företags skatteflyktsmetoder. </w:t>
            </w:r>
            <w:r>
              <w:rPr>
                <w:b/>
                <w:i/>
              </w:rPr>
              <w:t>Europaparlamentet beklagar att överföring av vinster till lågskattejurisdiktioner, trots regulatoriska insatser under det senaste årtiondet, fortfarande är en utbredd praxis bland stora multinationella företag, och uppvisar få tecken på att avta.</w:t>
            </w:r>
            <w:r>
              <w:t xml:space="preserve"> </w:t>
            </w:r>
            <w:r>
              <w:rPr>
                <w:b/>
                <w:i/>
              </w:rPr>
              <w:t>Parlamentet påminner om att det i den nuvarande internationella situationen är viktigt att övervaka framväxande former av skadlig skattekonkurrens, inbegripet sådan som härrör från undantag som är inbakade i den andra pelaren och från behandlingen av skatteavdrag</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https://taxjustice.net/reports/the-state-of-tax-justice-2025/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Europaparlamentet välkomnar bidraget från den andra pelaren till att minska antalet jurisdiktioner som tillämpar mycket låga effektiva bolagsskattesatser och till att införa kvalificerade nationella top up-skatter i många jurisdiktioner, vilket utgör ett stort steg mot att </w:t>
            </w:r>
            <w:r>
              <w:rPr>
                <w:b/>
                <w:i/>
              </w:rPr>
              <w:t>förhindra multinationella företags skatteflyktsmetoder</w:t>
            </w:r>
            <w:r>
              <w:t>.</w:t>
            </w:r>
          </w:p>
        </w:tc>
        <w:tc>
          <w:tcPr>
            <w:tcW w:w="4876" w:type="dxa"/>
            <w:tcBorders>
              <w:top w:val="nil"/>
              <w:left w:val="nil"/>
              <w:bottom w:val="nil"/>
              <w:right w:val="nil"/>
            </w:tcBorders>
          </w:tcPr>
          <w:p>
            <w:pPr>
              <w:pStyle w:val="Normal6a"/>
            </w:pPr>
            <w:r>
              <w:t>13.</w:t>
            </w:r>
            <w:r>
              <w:tab/>
            </w:r>
            <w:r>
              <w:t xml:space="preserve">Europaparlamentet välkomnar bidraget från den andra pelaren till att minska antalet jurisdiktioner som tillämpar mycket låga effektiva bolagsskattesatser och till att införa kvalificerade nationella top up-skatter i många jurisdiktioner, vilket utgör ett stort steg mot att </w:t>
            </w:r>
            <w:r>
              <w:rPr>
                <w:b/>
                <w:i/>
              </w:rPr>
              <w:t>skapa global säkerhet för bolagsskattebetalare och mot ett mer effektivt administrativt samarbete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noterar att de uppskattade intäktsförlusterna till följd av multinationella företags BEPS-strategier fortfarande är betydande. Parlamentet uppmanar kommissionen och medlemsstaterna att intensifiera det internationella samarbetet för att hantera denna utmaning och skydda sina inhemska skatteintäkter.</w:t>
            </w:r>
          </w:p>
        </w:tc>
        <w:tc>
          <w:tcPr>
            <w:tcW w:w="4876" w:type="dxa"/>
            <w:tcBorders>
              <w:top w:val="nil"/>
              <w:left w:val="nil"/>
              <w:bottom w:val="nil"/>
              <w:right w:val="nil"/>
            </w:tcBorders>
          </w:tcPr>
          <w:p>
            <w:pPr>
              <w:pStyle w:val="Normal6a"/>
            </w:pPr>
            <w:r>
              <w:t>14.</w:t>
            </w:r>
            <w:r>
              <w:tab/>
            </w:r>
            <w:r>
              <w:t xml:space="preserve">Europaparlamentet noterar att de uppskattade intäktsförlusterna till följd av multinationella företags BEPS-strategier fortfarande är betydande. Parlamentet uppmanar kommissionen och medlemsstaterna att intensifiera det internationella samarbetet för att hantera denna utmaning och skydda sina inhemska skatteintäkter. </w:t>
            </w:r>
            <w:r>
              <w:rPr>
                <w:b/>
                <w:i/>
              </w:rPr>
              <w:t>Parlamentet betonar att förlorade skatteintäkter i allt högre grad är kopplade till att tredjelandsföretag är verksamma på den inre marknaden utan att lämna motsvarande skattebidrag, vilket snedvrider konkurrensen till nackdel för europeiska företag.</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noterar att de uppskattade intäktsförlusterna till följd av multinationella företags BEPS-strategier fortfarande är betydande. </w:t>
            </w:r>
            <w:r>
              <w:rPr>
                <w:b/>
                <w:i/>
              </w:rPr>
              <w:t>Parlamentet uppmanar kommissionen och medlemsstaterna att intensifiera det internationella samarbetet för att hantera denna utmaning och skydda sina inhemska skatteintäkter.</w:t>
            </w:r>
          </w:p>
        </w:tc>
        <w:tc>
          <w:tcPr>
            <w:tcW w:w="4876" w:type="dxa"/>
            <w:tcBorders>
              <w:top w:val="nil"/>
              <w:left w:val="nil"/>
              <w:bottom w:val="nil"/>
              <w:right w:val="nil"/>
            </w:tcBorders>
          </w:tcPr>
          <w:p>
            <w:pPr>
              <w:pStyle w:val="Normal6a"/>
            </w:pPr>
            <w:r>
              <w:t>14.</w:t>
            </w:r>
            <w:r>
              <w:tab/>
            </w:r>
            <w:r>
              <w:t>Europaparlamentet noterar att de uppskattade intäktsförlusterna till följd av multinationella företags BEPS-strategier fortfarande är betydande.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Europaparlamentet noterar att de uppskattade intäktsförlusterna till följd av multinationella företags BEPS-strategier fortfarande är betydande. Parlamentet uppmanar kommissionen och medlemsstaterna </w:t>
            </w:r>
            <w:r>
              <w:rPr>
                <w:b/>
                <w:i/>
              </w:rPr>
              <w:t>att intensifiera</w:t>
            </w:r>
            <w:r>
              <w:t xml:space="preserve"> det internationella samarbetet för att </w:t>
            </w:r>
            <w:r>
              <w:rPr>
                <w:b/>
                <w:i/>
              </w:rPr>
              <w:t>hantera</w:t>
            </w:r>
            <w:r>
              <w:t xml:space="preserve"> denna utmaning och skydda sina inhemska skatteintäkter.</w:t>
            </w:r>
          </w:p>
        </w:tc>
        <w:tc>
          <w:tcPr>
            <w:tcW w:w="4876" w:type="dxa"/>
            <w:tcBorders>
              <w:top w:val="nil"/>
              <w:left w:val="nil"/>
              <w:bottom w:val="nil"/>
              <w:right w:val="nil"/>
            </w:tcBorders>
          </w:tcPr>
          <w:p>
            <w:pPr>
              <w:pStyle w:val="Normal6a"/>
            </w:pPr>
            <w:r>
              <w:t>14.</w:t>
            </w:r>
            <w:r>
              <w:tab/>
            </w:r>
            <w:r>
              <w:t xml:space="preserve">Europaparlamentet noterar att de uppskattade intäktsförlusterna till följd av multinationella företags BEPS-strategier fortfarande är betydande. Parlamentet uppmanar </w:t>
            </w:r>
            <w:r>
              <w:rPr>
                <w:b/>
                <w:i/>
              </w:rPr>
              <w:t>med kraft</w:t>
            </w:r>
            <w:r>
              <w:t xml:space="preserve"> kommissionen </w:t>
            </w:r>
            <w:r>
              <w:rPr>
                <w:b/>
                <w:i/>
              </w:rPr>
              <w:t>att inta en mer proaktiv och ambitiös roll, tillsammans med</w:t>
            </w:r>
            <w:r>
              <w:t xml:space="preserve"> och medlemsstaterna</w:t>
            </w:r>
            <w:r>
              <w:rPr>
                <w:b/>
                <w:i/>
              </w:rPr>
              <w:t>, när det gäller att stärka</w:t>
            </w:r>
            <w:r>
              <w:t xml:space="preserve"> det internationella samarbetet </w:t>
            </w:r>
            <w:r>
              <w:rPr>
                <w:b/>
                <w:i/>
              </w:rPr>
              <w:t>och främja effektiva åtgärder</w:t>
            </w:r>
            <w:r>
              <w:t xml:space="preserve"> för att </w:t>
            </w:r>
            <w:r>
              <w:rPr>
                <w:b/>
                <w:i/>
              </w:rPr>
              <w:t>ta itu med</w:t>
            </w:r>
            <w:r>
              <w:t xml:space="preserve"> denna utmaning och skydda sina inhemska skatteintäkter.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noterar att de uppskattade intäktsförlusterna till följd av multinationella företags BEPS-strategier fortfarande är betydande. Parlamentet uppmanar kommissionen och medlemsstaterna att intensifiera det internationella samarbetet för att hantera denna utmaning och skydda sina inhemska skatteintäkter.</w:t>
            </w:r>
          </w:p>
        </w:tc>
        <w:tc>
          <w:tcPr>
            <w:tcW w:w="4876" w:type="dxa"/>
            <w:tcBorders>
              <w:top w:val="nil"/>
              <w:left w:val="nil"/>
              <w:bottom w:val="nil"/>
              <w:right w:val="nil"/>
            </w:tcBorders>
          </w:tcPr>
          <w:p>
            <w:pPr>
              <w:pStyle w:val="Normal6a"/>
            </w:pPr>
            <w:r>
              <w:t>14.</w:t>
            </w:r>
            <w:r>
              <w:tab/>
            </w:r>
            <w:r>
              <w:t xml:space="preserve">Europaparlamentet noterar att de uppskattade intäktsförlusterna till följd av multinationella företags BEPS-strategier fortfarande är betydande. Parlamentet uppmanar kommissionen och medlemsstaterna att </w:t>
            </w:r>
            <w:r>
              <w:rPr>
                <w:b/>
                <w:i/>
              </w:rPr>
              <w:t>samordna åtgärderna mot missbruk och</w:t>
            </w:r>
            <w:r>
              <w:t xml:space="preserve"> intensifiera det internationella samarbetet för att hantera denna utmaning och skydda sina inhemska skatteintäkter.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Europaparlamentet betonar att en effektiv bekämpning av skattebedrägeri, skatteundandragande och aggressiv skatteflykt fortfarande är avgörande för att skydda medlemsstaternas offentliga finanser och stärka förtroendet för skattesystemen.</w:t>
            </w:r>
            <w:r>
              <w:t xml:space="preserve"> </w:t>
            </w:r>
            <w:r>
              <w:rPr>
                <w:b/>
                <w:i/>
              </w:rPr>
              <w:t>Parlamentet uppmanar kommissionen och medlemsstaterna att stärka det administrativa samarbetet, förbättra informationsutbytet och främja ändamålsenliga och effektiva mekanismer för skatteuppbörd i hela unionen.</w:t>
            </w:r>
            <w:r>
              <w:t xml:space="preserve"> </w:t>
            </w:r>
            <w:r>
              <w:rPr>
                <w:b/>
                <w:i/>
              </w:rPr>
              <w:t>Parlamentet understryker att välfungerande och verkställbara skattesystem är nödvändiga för att säkerställa lika villkor för företag, minska snedvridningarna på den inre marknaden och säkerställa hållbara offentliga intäkter, samtidigt som oproportionerliga administrativa bördor för skattebetalare som följer reglerna undviks.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Europaparlamentet beklagar att kommissionens förslag om skatt på finansiella transaktioner, om internprissättning, om UNSHELL, som möjliggör omröstning med kvalificerad majoritet i tekniska eller icke-känsliga momsfrågor och om avdrag för att minska skattefördelen för finansiering med lån jämfört med finansiering med eget kapital (Debra) dragits tillbaka från kommissionens arbetsprogram för 2026, och uppmanar med kraft kommissionen att påskynda åtgärderna för att bekämpa skatteundandragande, skatteflykt och aggressiv skatteplanering samt att lägga fram förslaget om ett årligt offentliggörande av den effektiva bolagsskattesatsen för vissa stora företag, i enlighet med meddelandet om företagsbeskattning för 2000-talet</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https://taxation-customs.ec.europa.eu/system/files/2021-05/communication_on_business_taxation_for_the_21st_century.pdf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Parlamentet påminner om vikten av att i och med genomförandet av den andra pelaren övervaka nya former av skadlig skattekonkurrens som skulle kunna utvecklas, särskilt på grund av de undantag som föreskrivs i ramen, samt behandlingen av vissa skatteincitament</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Europeiska observatoriet för skattefrågor, Global Tax Evasion Report 2024, s.</w:t>
            </w:r>
            <w:r>
              <w:t xml:space="preserve"> </w:t>
            </w:r>
            <w:r>
              <w:rPr>
                <w:b/>
                <w:i/>
              </w:rPr>
              <w:t>36.</w:t>
            </w:r>
            <w:r>
              <w:t xml:space="preserve"> </w:t>
            </w:r>
            <w:r>
              <w:rPr>
                <w:b/>
                <w:i/>
              </w:rPr>
              <w:t xml:space="preserve">Europeiska kommissionen, Annual Tax Report 2025, s. </w:t>
            </w:r>
            <w:r>
              <w:t xml:space="preserve"> </w:t>
            </w:r>
            <w:r>
              <w:rPr>
                <w:b/>
                <w:i/>
              </w:rPr>
              <w:t>94.</w:t>
            </w:r>
            <w:r>
              <w:t xml:space="preserve"> </w:t>
            </w:r>
            <w:r>
              <w:rPr>
                <w:b/>
                <w:i/>
              </w:rPr>
              <w:t>Europeiska observatoriet för skattefrågor, Global Tax Evasion Report 2024, s. 52–54.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Europaparlamentet beklagar att vissa medlemsstater fortsätter att underlätta aggressiv skatteplanering och fungerar som skatteparadis i EU genom förmånsordningar, låg effektiv beskattning av företagsvinster och system som underlättar aggressiv skatteplanering.</w:t>
            </w:r>
            <w:r>
              <w:t xml:space="preserve"> </w:t>
            </w:r>
            <w:r>
              <w:rPr>
                <w:b/>
                <w:i/>
              </w:rPr>
              <w:t>Parlamentet betonar att skadlig skattekonkurrens inom unionen snedvrider den inre marknaden, undergräver rättvisan och förskjuter skattebördan till arbetstagare, hushåll och små och medelstora företag.</w:t>
            </w:r>
            <w:r>
              <w:t xml:space="preserve"> </w:t>
            </w:r>
            <w:r>
              <w:rPr>
                <w:b/>
                <w:i/>
              </w:rPr>
              <w:t>Parlamentet uppmanar kommissionen och rådet att tillämpa objektiva och konsekventa kriterier för skadlig skattepraxis både inom och utanför unionen och att fastställa trovärdiga motåtgärder.</w:t>
            </w:r>
            <w:r>
              <w:t xml:space="preserve"> </w:t>
            </w:r>
            <w:r>
              <w:rPr>
                <w:b/>
                <w:i/>
              </w:rPr>
              <w:t>Parlamentet uppmanar vidare kommissionen och rådet att bedöma genomförandet av 2022 års översyn av uppförandekoden för företagsbeskattning när det gäller att främja rättvis skattekonkurrens inom och utanför EU och begränsa skadlig skattepraxis.</w:t>
            </w:r>
            <w:r>
              <w:t xml:space="preserve"> </w:t>
            </w:r>
            <w:r>
              <w:rPr>
                <w:b/>
                <w:i/>
              </w:rPr>
              <w:t>Parlamentet efterlyser en reform för att stärka dess mandat, transparens, ansvarsskyldighet och uppföljningsmekanismer.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Europaparlamentet påminner om sina resolutioner om reformering av EU:s förteckning över skatteparadis och om reformering av EU:s politik för skadlig skattepraxis (inklusive reformen av uppförandekodsgruppen).</w:t>
            </w:r>
            <w:r>
              <w:t xml:space="preserve"> </w:t>
            </w:r>
            <w:r>
              <w:rPr>
                <w:b/>
                <w:i/>
              </w:rPr>
              <w:t>Parlamentet uppmanar rådet att återuppta diskussionerna om en omfattande reform av koden och att genomföra parlamentets rekommendationer</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Europaparlamentets resolution av den 21 januari 2021 om reformering av EU:s förteckning över skatteparadis,</w:t>
            </w:r>
            <w:r>
              <w:t xml:space="preserve"> </w:t>
            </w:r>
            <w:r>
              <w:rPr>
                <w:b/>
                <w:i/>
              </w:rPr>
              <w:t>Europaparlamentets resolution av den 7 oktober 2021 om reformering av EU:s politik mot skadlig skattepraxis (inbegripet reformen av uppförandekodsgruppen).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Europaparlamentet noterar att de nuvarande geopolitiska spänningarna har genererat betydande oförtjänta övervinster inom vissa sektorer.</w:t>
            </w:r>
            <w:r>
              <w:t xml:space="preserve"> </w:t>
            </w:r>
            <w:r>
              <w:rPr>
                <w:b/>
                <w:i/>
              </w:rPr>
              <w:t>Parlamentet uppmanar kommissionen och medlemsstaterna att säkerställa att dessa extraordinära vinster beskattas rättvist och effektivt, och att ta itu med den gränsöverskridande förflyttningen av oförtjänta övervinster som undergräver skatteintäkterna och därmed snedvrider den rättvisa konkurrensen.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Europaparlamentet bekräftar sitt engagemang för den internationella regelbaserade ordningen. Parlamentet betonar att </w:t>
            </w:r>
            <w:r>
              <w:rPr>
                <w:b/>
                <w:i/>
              </w:rPr>
              <w:t>internationellt utvecklade</w:t>
            </w:r>
            <w:r>
              <w:t xml:space="preserve"> instrument </w:t>
            </w:r>
            <w:r>
              <w:rPr>
                <w:b/>
                <w:i/>
              </w:rPr>
              <w:t>endast är</w:t>
            </w:r>
            <w:r>
              <w:t xml:space="preserve"> effektiva </w:t>
            </w:r>
            <w:r>
              <w:rPr>
                <w:b/>
                <w:i/>
              </w:rPr>
              <w:t>om de stöds</w:t>
            </w:r>
            <w:r>
              <w:t xml:space="preserve"> av ett </w:t>
            </w:r>
            <w:r>
              <w:rPr>
                <w:b/>
                <w:i/>
              </w:rPr>
              <w:t>verkligt globalt avtal och ett effektivt</w:t>
            </w:r>
            <w:r>
              <w:t xml:space="preserve"> genomförande.</w:t>
            </w:r>
          </w:p>
        </w:tc>
        <w:tc>
          <w:tcPr>
            <w:tcW w:w="4876" w:type="dxa"/>
            <w:tcBorders>
              <w:top w:val="nil"/>
              <w:left w:val="nil"/>
              <w:bottom w:val="nil"/>
              <w:right w:val="nil"/>
            </w:tcBorders>
          </w:tcPr>
          <w:p>
            <w:pPr>
              <w:pStyle w:val="Normal6a"/>
            </w:pPr>
            <w:r>
              <w:t>15.</w:t>
            </w:r>
            <w:r>
              <w:tab/>
            </w:r>
            <w:r>
              <w:t xml:space="preserve">Europaparlamentet bekräftar sitt engagemang för den internationella regelbaserade ordningen. Parlamentet betonar att </w:t>
            </w:r>
            <w:r>
              <w:rPr>
                <w:b/>
                <w:i/>
              </w:rPr>
              <w:t>vissa</w:t>
            </w:r>
            <w:r>
              <w:t xml:space="preserve"> instrument</w:t>
            </w:r>
            <w:r>
              <w:rPr>
                <w:b/>
                <w:i/>
              </w:rPr>
              <w:t>, såsom fördelningsnycklar och skatter på digitala tjänster, kan förbli</w:t>
            </w:r>
            <w:r>
              <w:t xml:space="preserve"> effektiva </w:t>
            </w:r>
            <w:r>
              <w:rPr>
                <w:b/>
                <w:i/>
              </w:rPr>
              <w:t>även i avsaknad</w:t>
            </w:r>
            <w:r>
              <w:t xml:space="preserve"> av ett </w:t>
            </w:r>
            <w:r>
              <w:rPr>
                <w:b/>
                <w:i/>
              </w:rPr>
              <w:t>universellt</w:t>
            </w:r>
            <w:r>
              <w:t xml:space="preserve"> genomförande.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Jussi Saramo,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Europaparlamentet bekräftar sitt engagemang för den internationella regelbaserade ordningen. Parlamentet betonar att internationellt utvecklade instrument </w:t>
            </w:r>
            <w:r>
              <w:rPr>
                <w:b/>
                <w:i/>
              </w:rPr>
              <w:t>endast är effektiva om de stöds av ett verkligt globalt avtal och ett effektivt genomförande</w:t>
            </w:r>
            <w:r>
              <w:t>.</w:t>
            </w:r>
          </w:p>
        </w:tc>
        <w:tc>
          <w:tcPr>
            <w:tcW w:w="4876" w:type="dxa"/>
            <w:tcBorders>
              <w:top w:val="nil"/>
              <w:left w:val="nil"/>
              <w:bottom w:val="nil"/>
              <w:right w:val="nil"/>
            </w:tcBorders>
          </w:tcPr>
          <w:p>
            <w:pPr>
              <w:pStyle w:val="Normal6a"/>
            </w:pPr>
            <w:r>
              <w:t>15.</w:t>
            </w:r>
            <w:r>
              <w:tab/>
            </w:r>
            <w:r>
              <w:t xml:space="preserve">Europaparlamentet bekräftar sitt engagemang för den internationella regelbaserade ordningen. Parlamentet betonar att internationellt utvecklade instrument </w:t>
            </w:r>
            <w:r>
              <w:rPr>
                <w:b/>
                <w:i/>
              </w:rPr>
              <w:t>utgör den mest ambitiösa och strukturellt sunda ram som finns tillgänglig för att ta itu med globala utmaningar på skatteområdet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Europaparlamentet beklagar att EU:s handelsbalans för digitala tjänster har förskjutits mot andra jurisdiktioner där leverantörer av digital teknik och molntjänster har expanderat snabbt. Parlamentet påpekar att denna förändring utgör en betydande utmaning för medlemsstaternas skattesystem och kräver en omprövning av omfördelningen av beskattningsrätten.</w:t>
            </w:r>
          </w:p>
        </w:tc>
        <w:tc>
          <w:tcPr>
            <w:tcW w:w="4876" w:type="dxa"/>
            <w:tcBorders>
              <w:top w:val="nil"/>
              <w:left w:val="nil"/>
              <w:bottom w:val="nil"/>
              <w:right w:val="nil"/>
            </w:tcBorders>
          </w:tcPr>
          <w:p>
            <w:pPr>
              <w:pStyle w:val="Normal6a"/>
            </w:pPr>
            <w:r>
              <w:t>16.</w:t>
            </w:r>
            <w:r>
              <w:tab/>
            </w:r>
            <w:r>
              <w:t>Europaparlamentet beklagar att EU:s handelsbalans för digitala tjänster har förskjutits mot andra jurisdiktioner där leverantörer av digital teknik</w:t>
            </w:r>
            <w:r>
              <w:rPr>
                <w:b/>
                <w:i/>
              </w:rPr>
              <w:t>, artificiell intelligens</w:t>
            </w:r>
            <w:r>
              <w:t xml:space="preserve"> och molntjänster har expanderat snabbt</w:t>
            </w:r>
            <w:r>
              <w:rPr>
                <w:b/>
                <w:i/>
              </w:rPr>
              <w:t>, vilket har ökat koncentrationen av ekonomisk makt och beskattningsbara vinster till ett litet antal multinationella digitala företag med huvudkontor utanför unionen</w:t>
            </w:r>
            <w:r>
              <w:t xml:space="preserve">. Parlamentet påpekar att denna förändring utgör en betydande utmaning för medlemsstaternas skattesystem och kräver en omprövning av omfördelningen av beskattningsrätten. </w:t>
            </w:r>
            <w:r>
              <w:rPr>
                <w:b/>
                <w:i/>
              </w:rPr>
              <w:t>Parlamentet uppmanar kommissionen och medlemsstaterna att utveckla en samordnad strategi för fördelningen av beskattningsrätten i den digitala ekonomin och AI-ekonomin, i syfte att förhindra överföring av vinster och säkerställa att vinster och rentvinster som genereras av användare, data och företag i EU beskattas rättvist där värdet skapas.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beklagar att EU:s handelsbalans för digitala tjänster har förskjutits mot andra jurisdiktioner där leverantörer av digital teknik och molntjänster har expanderat snabbt. </w:t>
            </w:r>
            <w:r>
              <w:rPr>
                <w:b/>
                <w:i/>
              </w:rPr>
              <w:t>Parlamentet påpekar att denna förändring utgör en betydande utmaning för medlemsstaternas skattesystem och kräver en omprövning av omfördelningen av beskattningsrätten.</w:t>
            </w:r>
          </w:p>
        </w:tc>
        <w:tc>
          <w:tcPr>
            <w:tcW w:w="4876" w:type="dxa"/>
            <w:tcBorders>
              <w:top w:val="nil"/>
              <w:left w:val="nil"/>
              <w:bottom w:val="nil"/>
              <w:right w:val="nil"/>
            </w:tcBorders>
          </w:tcPr>
          <w:p>
            <w:pPr>
              <w:pStyle w:val="Normal6a"/>
            </w:pPr>
            <w:r>
              <w:t>16.</w:t>
            </w:r>
            <w:r>
              <w:tab/>
            </w:r>
            <w:r>
              <w:t>Europaparlamentet beklagar att EU:s handelsbalans för digitala tjänster har förskjutits mot andra jurisdiktioner där leverantörer av digital teknik och molntjänster har expanderat snabbt.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Europaparlamentet beklagar att EU:s handelsbalans för digitala tjänster har förskjutits mot andra jurisdiktioner där leverantörer av digital teknik och molntjänster har expanderat snabbt. Parlamentet påpekar att denna förändring </w:t>
            </w:r>
            <w:r>
              <w:rPr>
                <w:b/>
                <w:i/>
              </w:rPr>
              <w:t>utgör en betydande utmaning för medlemsstaternas skattesystem och kräver en omprövning av omfördelningen av beskattningsrätten</w:t>
            </w:r>
            <w:r>
              <w:t>.</w:t>
            </w:r>
          </w:p>
        </w:tc>
        <w:tc>
          <w:tcPr>
            <w:tcW w:w="4876" w:type="dxa"/>
            <w:tcBorders>
              <w:top w:val="nil"/>
              <w:left w:val="nil"/>
              <w:bottom w:val="nil"/>
              <w:right w:val="nil"/>
            </w:tcBorders>
          </w:tcPr>
          <w:p>
            <w:pPr>
              <w:pStyle w:val="Normal6a"/>
            </w:pPr>
            <w:r>
              <w:t>16.</w:t>
            </w:r>
            <w:r>
              <w:tab/>
            </w:r>
            <w:r>
              <w:t xml:space="preserve">Europaparlamentet beklagar att EU:s handelsbalans för digitala tjänster har förskjutits mot andra jurisdiktioner där leverantörer av digital teknik och molntjänster har expanderat snabbt. Parlamentet påpekar att denna förändring </w:t>
            </w:r>
            <w:r>
              <w:rPr>
                <w:b/>
                <w:i/>
              </w:rPr>
              <w:t>belyser vikten av fortsatt internationellt samarbete för att säkerställa skattesäkerhet, undvika dubbelbeskattning och skapa en stabil miljö för investeringar, innovation och ekonomisk tillväxt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Europaparlamentet uppmanar kommissionen att undersöka inrättandet av en europeisk fördelningsmekanism för skattskyldigheter för digitala och nätbaserade tjänster som tredjelandsföretag tillhandahåller konsumenter och företag inom unionen.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Europaparlamentet efterlyser gemensamma regler för att förhindra att vinster på konstgjord väg flyttas utanför EU genom koncerninterna transaktioner, immateriella rättigheter och digitala tjänster som tillhandahålls av anknutna företag som är etablerade i tredjeländer.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Europaparlamentet </w:t>
            </w:r>
            <w:r>
              <w:rPr>
                <w:b/>
                <w:i/>
              </w:rPr>
              <w:t>noterar Förenta staternas oro över ensidiga skatter</w:t>
            </w:r>
            <w:r>
              <w:t xml:space="preserve"> på digitala tjänster, </w:t>
            </w:r>
            <w:r>
              <w:rPr>
                <w:b/>
                <w:i/>
              </w:rPr>
              <w:t>som landet anser vara diskriminerande mot amerikanska teknikföretag</w:t>
            </w:r>
            <w:r>
              <w:t xml:space="preserve">. Parlamentet </w:t>
            </w:r>
            <w:r>
              <w:rPr>
                <w:b/>
                <w:i/>
              </w:rPr>
              <w:t>välkomnar Förenta staternas öppenhet för dialog i dessa frågor</w:t>
            </w:r>
            <w:r>
              <w:t>.</w:t>
            </w:r>
          </w:p>
        </w:tc>
        <w:tc>
          <w:tcPr>
            <w:tcW w:w="4876" w:type="dxa"/>
            <w:tcBorders>
              <w:top w:val="nil"/>
              <w:left w:val="nil"/>
              <w:bottom w:val="nil"/>
              <w:right w:val="nil"/>
            </w:tcBorders>
          </w:tcPr>
          <w:p>
            <w:pPr>
              <w:pStyle w:val="Normal6a"/>
            </w:pPr>
            <w:r>
              <w:t>17.</w:t>
            </w:r>
            <w:r>
              <w:tab/>
            </w:r>
            <w:r>
              <w:t xml:space="preserve">Europaparlamentet </w:t>
            </w:r>
            <w:r>
              <w:rPr>
                <w:b/>
                <w:i/>
              </w:rPr>
              <w:t>beklagar att de multilaterala förhandlingarna om omfördelning av beskattningsrätten inom ramen för den första pelaren har avstannat utan utsikter till ett slutförande inom den närmaste tiden, och att frågan om beskattning av den digitala ekonomin har förblivit olöst sedan 2018 trots ihållande insatser från EU och dess partner.</w:t>
            </w:r>
            <w:r>
              <w:t xml:space="preserve"> </w:t>
            </w:r>
            <w:r>
              <w:rPr>
                <w:b/>
                <w:i/>
              </w:rPr>
              <w:t>Parlamentet anser att avsaknaden av meningsfulla framsteg på multilateral nivå inte bör skjuta upp EU:s åtgärder för att säkerställa att intäkter från den digitala ekonomin som genereras på dess inre marknad beskattas rättvist och konsekvent.</w:t>
            </w:r>
            <w:r>
              <w:t xml:space="preserve"> </w:t>
            </w:r>
            <w:r>
              <w:rPr>
                <w:b/>
                <w:i/>
              </w:rPr>
              <w:t>Parlamentet uppmanar kommissionen att utan ytterligare dröjsmål lägga fram ett nytt förslag om en EU-omfattande skatt</w:t>
            </w:r>
            <w:r>
              <w:t xml:space="preserve"> på digitala tjänster, </w:t>
            </w:r>
            <w:r>
              <w:rPr>
                <w:b/>
                <w:i/>
              </w:rPr>
              <w:t>för att skydda medlemsstaternas intäkter och garantera lika spelregler mellan digitala och traditionella affärsmodeller</w:t>
            </w:r>
            <w:r>
              <w:t xml:space="preserve">. Parlamentet </w:t>
            </w:r>
            <w:r>
              <w:rPr>
                <w:b/>
                <w:i/>
              </w:rPr>
              <w:t>noterar att en EU-omfattande skatt på digitala tjänster på 5 % har uppskattats generera 37,5 miljarder EUR i årliga intäkter för 2026, en siffra som förväntas öka avsevärt under de följande åren, något som skulle utgöra ett betydande och ökande bidrag till EU:s finanspolitiska kapacitet i en tid av ökade behov av offentliga finanser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Europaparlamentet noterar Förenta staternas oro över ensidiga skatter på digitala tjänster, </w:t>
            </w:r>
            <w:r>
              <w:rPr>
                <w:b/>
                <w:i/>
              </w:rPr>
              <w:t>som landet anser vara diskriminerande mot amerikanska teknikföretag.</w:t>
            </w:r>
            <w:r>
              <w:t xml:space="preserve"> </w:t>
            </w:r>
            <w:r>
              <w:rPr>
                <w:b/>
                <w:i/>
              </w:rPr>
              <w:t>Parlamentet välkomnar Förenta</w:t>
            </w:r>
            <w:r>
              <w:t xml:space="preserve"> staternas </w:t>
            </w:r>
            <w:r>
              <w:rPr>
                <w:b/>
                <w:i/>
              </w:rPr>
              <w:t>öppenhet för dialog i dessa frågor</w:t>
            </w:r>
            <w:r>
              <w:t>.</w:t>
            </w:r>
          </w:p>
        </w:tc>
        <w:tc>
          <w:tcPr>
            <w:tcW w:w="4876" w:type="dxa"/>
            <w:tcBorders>
              <w:top w:val="nil"/>
              <w:left w:val="nil"/>
              <w:bottom w:val="nil"/>
              <w:right w:val="nil"/>
            </w:tcBorders>
          </w:tcPr>
          <w:p>
            <w:pPr>
              <w:pStyle w:val="Normal6a"/>
            </w:pPr>
            <w:r>
              <w:t>17.</w:t>
            </w:r>
            <w:r>
              <w:tab/>
            </w:r>
            <w:r>
              <w:t xml:space="preserve">Europaparlamentet noterar Förenta staternas oro över ensidiga skatter på digitala tjänster, </w:t>
            </w:r>
            <w:r>
              <w:rPr>
                <w:b/>
                <w:i/>
              </w:rPr>
              <w:t>men bekräftar ändå, i avvaktan på utvecklingen och genomförandet av en övergripande multilateral ram som säkerställer en rättvis fördelning av beskattningsrätten över multinationella företag som är verksamma i olika jurisdiktioner,</w:t>
            </w:r>
            <w:r>
              <w:t xml:space="preserve"> staternas </w:t>
            </w:r>
            <w:r>
              <w:rPr>
                <w:b/>
                <w:i/>
              </w:rPr>
              <w:t>suveräna rätt att anta tillfälliga ensidiga åtgärder för att skydda och bevara sina skattebaser, inbegripet skatter på digitala tjänster, samtidigt som man erkänner att ett bredare internationellt deltagande i sådana åtgärder kan bidra till att minska utrymmet för ensidiga vedergällningsåtgärder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noterar Förenta staternas oro över ensidiga skatter på digitala tjänster, som landet anser vara diskriminerande mot amerikanska teknikföretag. Parlamentet välkomnar Förenta staternas öppenhet för dialog i dessa frågor.</w:t>
            </w:r>
          </w:p>
        </w:tc>
        <w:tc>
          <w:tcPr>
            <w:tcW w:w="4876" w:type="dxa"/>
            <w:tcBorders>
              <w:top w:val="nil"/>
              <w:left w:val="nil"/>
              <w:bottom w:val="nil"/>
              <w:right w:val="nil"/>
            </w:tcBorders>
          </w:tcPr>
          <w:p>
            <w:pPr>
              <w:pStyle w:val="Normal6a"/>
            </w:pPr>
            <w:r>
              <w:t>17.</w:t>
            </w:r>
            <w:r>
              <w:tab/>
            </w:r>
            <w:r>
              <w:t xml:space="preserve">Europaparlamentet noterar Förenta staternas oro över ensidiga skatter på digitala tjänster, som landet anser vara diskriminerande mot amerikanska teknikföretag. Parlamentet välkomnar Förenta staternas öppenhet för dialog i dessa frågor. </w:t>
            </w:r>
            <w:r>
              <w:rPr>
                <w:b/>
                <w:i/>
              </w:rPr>
              <w:t>Parlamentet understryker dock att fram till dess att en övergripande och bindande global överenskommelse inom ramen för den första pelaren är fullt operativ är dessa nationella skatter på digitala tjänster fortfarande ett motiverat och viktigt instrument för medlemsstaterna att säkerställa att alla digitala företag bidrar med sin skäliga andel till de nationella budgetarna.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noterar Förenta staternas oro över ensidiga skatter på digitala tjänster, som landet anser vara diskriminerande mot amerikanska teknikföretag. Parlamentet välkomnar Förenta staternas öppenhet för dialog i dessa frågor.</w:t>
            </w:r>
          </w:p>
        </w:tc>
        <w:tc>
          <w:tcPr>
            <w:tcW w:w="4876" w:type="dxa"/>
            <w:tcBorders>
              <w:top w:val="nil"/>
              <w:left w:val="nil"/>
              <w:bottom w:val="nil"/>
              <w:right w:val="nil"/>
            </w:tcBorders>
          </w:tcPr>
          <w:p>
            <w:pPr>
              <w:pStyle w:val="Normal6a"/>
            </w:pPr>
            <w:r>
              <w:t>17.</w:t>
            </w:r>
            <w:r>
              <w:tab/>
            </w:r>
            <w:r>
              <w:t xml:space="preserve">Europaparlamentet noterar Förenta staternas oro över ensidiga skatter på digitala tjänster, som landet anser vara diskriminerande mot amerikanska teknikföretag. Parlamentet välkomnar Förenta staternas öppenhet för dialog i dessa frågor. </w:t>
            </w:r>
            <w:r>
              <w:rPr>
                <w:b/>
                <w:i/>
              </w:rPr>
              <w:t>Parlamentet understryker att en rättvis och effektiv beskattning av den digitala ekonomin fortfarande är avgörande för att säkerställa lika villkor och skydda de offentliga intäkterna.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noterar Förenta staternas oro över ensidiga skatter på digitala tjänster, som landet anser vara diskriminerande mot amerikanska teknikföretag. Parlamentet välkomnar Förenta staternas öppenhet för dialog i dessa frågor.</w:t>
            </w:r>
          </w:p>
        </w:tc>
        <w:tc>
          <w:tcPr>
            <w:tcW w:w="4876" w:type="dxa"/>
            <w:tcBorders>
              <w:top w:val="nil"/>
              <w:left w:val="nil"/>
              <w:bottom w:val="nil"/>
              <w:right w:val="nil"/>
            </w:tcBorders>
          </w:tcPr>
          <w:p>
            <w:pPr>
              <w:pStyle w:val="Normal6a"/>
            </w:pPr>
            <w:r>
              <w:t>17.</w:t>
            </w:r>
            <w:r>
              <w:tab/>
            </w:r>
            <w:r>
              <w:t xml:space="preserve">Europaparlamentet noterar Förenta staternas oro över </w:t>
            </w:r>
            <w:r>
              <w:rPr>
                <w:b/>
                <w:i/>
              </w:rPr>
              <w:t>lösningar enligt den första pelaren</w:t>
            </w:r>
            <w:r>
              <w:t xml:space="preserve"> ensidiga skatter på digitala tjänster, som landet anser vara diskriminerande mot amerikanska teknikföretag. Parlamentet välkomnar Förenta staternas öppenhet för dialog i dessa 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Europaparlamentet noterar Förenta staternas oro över ensidiga skatter på digitala tjänster, som landet anser vara diskriminerande mot amerikanska teknikföretag. Parlamentet välkomnar </w:t>
            </w:r>
            <w:r>
              <w:rPr>
                <w:b/>
                <w:i/>
              </w:rPr>
              <w:t>Förenta staternas öppenhet för</w:t>
            </w:r>
            <w:r>
              <w:t xml:space="preserve"> dialog </w:t>
            </w:r>
            <w:r>
              <w:rPr>
                <w:b/>
                <w:i/>
              </w:rPr>
              <w:t>i</w:t>
            </w:r>
            <w:r>
              <w:t xml:space="preserve"> dessa frågor.</w:t>
            </w:r>
          </w:p>
        </w:tc>
        <w:tc>
          <w:tcPr>
            <w:tcW w:w="4876" w:type="dxa"/>
            <w:tcBorders>
              <w:top w:val="nil"/>
              <w:left w:val="nil"/>
              <w:bottom w:val="nil"/>
              <w:right w:val="nil"/>
            </w:tcBorders>
          </w:tcPr>
          <w:p>
            <w:pPr>
              <w:pStyle w:val="Normal6a"/>
            </w:pPr>
            <w:r>
              <w:t>17.</w:t>
            </w:r>
            <w:r>
              <w:tab/>
            </w:r>
            <w:r>
              <w:t xml:space="preserve">Europaparlamentet noterar Förenta staternas oro över ensidiga skatter på digitala tjänster, som landet anser vara diskriminerande mot amerikanska teknikföretag. Parlamentet välkomnar </w:t>
            </w:r>
            <w:r>
              <w:rPr>
                <w:b/>
                <w:i/>
              </w:rPr>
              <w:t>en konstruktiv</w:t>
            </w:r>
            <w:r>
              <w:t xml:space="preserve"> dialog </w:t>
            </w:r>
            <w:r>
              <w:rPr>
                <w:b/>
                <w:i/>
              </w:rPr>
              <w:t>mellan EU och Förenta staterna om</w:t>
            </w:r>
            <w:r>
              <w:t xml:space="preserve"> dessa 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Europaparlamentet anser att ensidiga åtgärder eller dubbelbeskattningsavtal inte på ett adekvat sätt kan hantera globala skatteutmaningar och riskerar att öppna dörren för motåtgärder, och att en global lösning på digital beskattning därför skulle vara den idealiska vägen framåt.</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anser att ensidiga åtgärder eller dubbelbeskattningsavtal inte på ett adekvat sätt kan hantera globala skatteutmaningar och riskerar att öppna dörren för motåtgärder, och att en global lösning på digital beskattning därför skulle vara den idealiska vägen framåt.</w:t>
            </w:r>
          </w:p>
        </w:tc>
        <w:tc>
          <w:tcPr>
            <w:tcW w:w="4876" w:type="dxa"/>
            <w:tcBorders>
              <w:top w:val="nil"/>
              <w:left w:val="nil"/>
              <w:bottom w:val="nil"/>
              <w:right w:val="nil"/>
            </w:tcBorders>
          </w:tcPr>
          <w:p>
            <w:pPr>
              <w:pStyle w:val="Normal6a"/>
            </w:pPr>
            <w:r>
              <w:t>18.</w:t>
            </w:r>
            <w:r>
              <w:tab/>
            </w:r>
            <w:r>
              <w:t>Europaparlamentet anser att ensidiga åtgärder eller dubbelbeskattningsavtal inte på ett adekvat sätt kan hantera globala skatteutmaningar och riskerar att öppna dörren för motåtgärder, och att en global lösning på digital beskattning därför skulle vara den idealiska vägen framåt</w:t>
            </w:r>
            <w:r>
              <w:rPr>
                <w:b/>
                <w:i/>
              </w:rPr>
              <w:t>, förutsatt att alla lösningar respekterar principen om ekonomisk substans och inte godtyckligt missgynnar mindre öppna ekonomier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Europaparlamentet anser att ensidiga åtgärder </w:t>
            </w:r>
            <w:r>
              <w:rPr>
                <w:b/>
                <w:i/>
              </w:rPr>
              <w:t>eller</w:t>
            </w:r>
            <w:r>
              <w:t xml:space="preserve"> dubbelbeskattningsavtal </w:t>
            </w:r>
            <w:r>
              <w:rPr>
                <w:b/>
                <w:i/>
              </w:rPr>
              <w:t>inte på ett adekvat sätt kan hantera</w:t>
            </w:r>
            <w:r>
              <w:t xml:space="preserve"> globala </w:t>
            </w:r>
            <w:r>
              <w:rPr>
                <w:b/>
                <w:i/>
              </w:rPr>
              <w:t>skatteutmaningar och riskerar att öppna dörren för motåtgärder, och att en global lösning på digital</w:t>
            </w:r>
            <w:r>
              <w:t xml:space="preserve"> beskattning </w:t>
            </w:r>
            <w:r>
              <w:rPr>
                <w:b/>
                <w:i/>
              </w:rPr>
              <w:t>därför skulle vara den idealiska vägen framåt</w:t>
            </w:r>
            <w:r>
              <w:t>.</w:t>
            </w:r>
          </w:p>
        </w:tc>
        <w:tc>
          <w:tcPr>
            <w:tcW w:w="4876" w:type="dxa"/>
            <w:tcBorders>
              <w:top w:val="nil"/>
              <w:left w:val="nil"/>
              <w:bottom w:val="nil"/>
              <w:right w:val="nil"/>
            </w:tcBorders>
          </w:tcPr>
          <w:p>
            <w:pPr>
              <w:pStyle w:val="Normal6a"/>
            </w:pPr>
            <w:r>
              <w:t>18.</w:t>
            </w:r>
            <w:r>
              <w:tab/>
            </w:r>
            <w:r>
              <w:t xml:space="preserve">Europaparlamentet anser att ensidiga åtgärder </w:t>
            </w:r>
            <w:r>
              <w:rPr>
                <w:b/>
                <w:i/>
              </w:rPr>
              <w:t>kan riskera att öppna dörren för repressalier, samtidigt som det påminner om att</w:t>
            </w:r>
            <w:r>
              <w:t xml:space="preserve"> dubbelbeskattningsavtal </w:t>
            </w:r>
            <w:r>
              <w:rPr>
                <w:b/>
                <w:i/>
              </w:rPr>
              <w:t>förblir ett centralt instrument för att förhindra dubbelbeskattning och bevara rättssäkerheten.</w:t>
            </w:r>
            <w:r>
              <w:t xml:space="preserve"> </w:t>
            </w:r>
            <w:r>
              <w:rPr>
                <w:b/>
                <w:i/>
              </w:rPr>
              <w:t>Europaparlamentet betonar att alla</w:t>
            </w:r>
            <w:r>
              <w:t xml:space="preserve"> globala </w:t>
            </w:r>
            <w:r>
              <w:rPr>
                <w:b/>
                <w:i/>
              </w:rPr>
              <w:t>lösningar för</w:t>
            </w:r>
            <w:r>
              <w:t xml:space="preserve"> beskattning </w:t>
            </w:r>
            <w:r>
              <w:rPr>
                <w:b/>
                <w:i/>
              </w:rPr>
              <w:t>av den digitala ekonomin måste bygga på ett brett samförstånd och att alla stora ekonomier genomför det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anser att ensidiga åtgärder eller dubbelbeskattningsavtal inte på ett adekvat sätt kan hantera globala skatteutmaningar och riskerar att öppna dörren för motåtgärder, och att en global lösning på digital beskattning därför skulle vara den idealiska vägen framåt.</w:t>
            </w:r>
          </w:p>
        </w:tc>
        <w:tc>
          <w:tcPr>
            <w:tcW w:w="4876" w:type="dxa"/>
            <w:tcBorders>
              <w:top w:val="nil"/>
              <w:left w:val="nil"/>
              <w:bottom w:val="nil"/>
              <w:right w:val="nil"/>
            </w:tcBorders>
          </w:tcPr>
          <w:p>
            <w:pPr>
              <w:pStyle w:val="Normal6a"/>
            </w:pPr>
            <w:r>
              <w:t>18.</w:t>
            </w:r>
            <w:r>
              <w:tab/>
            </w:r>
            <w:r>
              <w:t xml:space="preserve">Europaparlamentet anser att ensidiga åtgärder eller dubbelbeskattningsavtal inte på ett adekvat sätt kan hantera globala skatteutmaningar och riskerar att öppna dörren för motåtgärder, och att en global lösning på digital beskattning därför skulle vara den idealiska vägen framåt </w:t>
            </w:r>
            <w:r>
              <w:rPr>
                <w:b/>
                <w:i/>
              </w:rPr>
              <w:t>med en lösning på bredare grund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Regina Doherty, 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Europaparlamentet anser att ensidiga åtgärder eller dubbelbeskattningsavtal inte på ett adekvat sätt kan hantera globala skatteutmaningar och riskerar att öppna dörren för motåtgärder, och att en global lösning på digital beskattning </w:t>
            </w:r>
            <w:r>
              <w:rPr>
                <w:b/>
                <w:i/>
              </w:rPr>
              <w:t>därför skulle vara den idealiska</w:t>
            </w:r>
            <w:r>
              <w:t xml:space="preserve"> vägen framåt.</w:t>
            </w:r>
          </w:p>
        </w:tc>
        <w:tc>
          <w:tcPr>
            <w:tcW w:w="4876" w:type="dxa"/>
            <w:tcBorders>
              <w:top w:val="nil"/>
              <w:left w:val="nil"/>
              <w:bottom w:val="nil"/>
              <w:right w:val="nil"/>
            </w:tcBorders>
          </w:tcPr>
          <w:p>
            <w:pPr>
              <w:pStyle w:val="Normal6a"/>
            </w:pPr>
            <w:r>
              <w:t>18.</w:t>
            </w:r>
            <w:r>
              <w:tab/>
            </w:r>
            <w:r>
              <w:t xml:space="preserve">Europaparlamentet anser att ensidiga åtgärder eller dubbelbeskattningsavtal inte på ett adekvat sätt kan hantera globala skatteutmaningar och riskerar att öppna dörren för motåtgärder, och att en global lösning på digital beskattning </w:t>
            </w:r>
            <w:r>
              <w:rPr>
                <w:b/>
                <w:i/>
              </w:rPr>
              <w:t>är den enda effektiva</w:t>
            </w:r>
            <w:r>
              <w:t xml:space="preserve"> vägen framåt.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Parlamentet betonar dock att i avsaknad av en global lösning kan regionala eller ensidiga åtgärder spela en roll för att säkerställa större skatterättvisa.</w:t>
            </w:r>
            <w:r>
              <w:t xml:space="preserve"> </w:t>
            </w:r>
            <w:r>
              <w:rPr>
                <w:b/>
                <w:i/>
              </w:rPr>
              <w:t>Kommissionen uppmanas med kraft att se över omfattningen av EU:s åtgärder för rättvis beskattning av den digitala ekonomin mot bakgrund av den senaste politiska utvecklingen inom ramen för OECD:s andra pelare.</w:t>
            </w:r>
            <w:r>
              <w:t xml:space="preserve"> </w:t>
            </w:r>
            <w:r>
              <w:rPr>
                <w:b/>
                <w:i/>
              </w:rPr>
              <w:t>Parlamentet efterlyser ett förnyat övervägande av en digital EU-avgift som säkerställer en gemensam strategi för beskattning av den digitala sektorn och stärker EU:s globala konkurrenskraft genom att skapa rättssäkerhet och lika villkor för digitala företag som är verksamma inom unionen.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betonar att ett eventuellt framtida internationellt avtal om skattesamarbete bör innehålla ömsesidighetsklausuler så att tredjelandsföretag som får tillgång till den inre marknaden omfattas av skattskyldigheter som är likvärdiga med dem som gäller för unionsföretag.</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w:t>
            </w:r>
            <w:r>
              <w:rPr>
                <w:b/>
                <w:i/>
              </w:rPr>
              <w:t>noterar</w:t>
            </w:r>
            <w:r>
              <w:t xml:space="preserve"> de pågående förhandlingarna inom FN:s ramkonvention om internationellt skattesamarbete, som syftar till att förbättra skattesamarbetet och transparensen i ett globalt sammanhang.</w:t>
            </w:r>
          </w:p>
        </w:tc>
        <w:tc>
          <w:tcPr>
            <w:tcW w:w="4876" w:type="dxa"/>
            <w:tcBorders>
              <w:top w:val="nil"/>
              <w:left w:val="nil"/>
              <w:bottom w:val="nil"/>
              <w:right w:val="nil"/>
            </w:tcBorders>
          </w:tcPr>
          <w:p>
            <w:pPr>
              <w:pStyle w:val="Normal6a"/>
            </w:pPr>
            <w:r>
              <w:t>19.</w:t>
            </w:r>
            <w:r>
              <w:tab/>
            </w:r>
            <w:r>
              <w:t xml:space="preserve">Europaparlamentet </w:t>
            </w:r>
            <w:r>
              <w:rPr>
                <w:b/>
                <w:i/>
              </w:rPr>
              <w:t>välkomnar</w:t>
            </w:r>
            <w:r>
              <w:t xml:space="preserve"> de pågående förhandlingarna inom FN:s ramkonvention om internationellt skattesamarbete, som syftar till att förbättra skattesamarbetet och transparensen i ett globalt sammanhang. </w:t>
            </w:r>
            <w:r>
              <w:rPr>
                <w:b/>
                <w:i/>
              </w:rPr>
              <w:t>Parlamentet anser att denna FN-konvention om skatter bör utformas så att den säkerställer en rättvis fördelning av beskattningsrätten mellan nationalstater och, samtidigt som den vederbörligen beaktar den nationella suveräniteten på skatteområdet, stöder insatser för att motverka skadlig skattepraxis och olagliga finansiella flöden.</w:t>
            </w:r>
            <w:r>
              <w:t xml:space="preserve"> </w:t>
            </w:r>
            <w:r>
              <w:rPr>
                <w:b/>
                <w:i/>
              </w:rPr>
              <w:t>Parlamentet betonar i detta sammanhang att EU bör spela en proaktiv roll för att utvecklingsländer ska kunna mobilisera inhemska resurser, särskilt genom förbättrad skatteförvaltning, och att EU bör gå i bräschen för att bekämpa olagliga finansiella flöden.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noterar de pågående förhandlingarna inom FN:s ramkonvention om internationellt skattesamarbete</w:t>
            </w:r>
            <w:r>
              <w:rPr>
                <w:b/>
                <w:i/>
              </w:rPr>
              <w:t>, som syftar till att förbättra skattesamarbetet och transparensen i ett globalt sammanhang</w:t>
            </w:r>
            <w:r>
              <w:t>.</w:t>
            </w:r>
          </w:p>
        </w:tc>
        <w:tc>
          <w:tcPr>
            <w:tcW w:w="4876" w:type="dxa"/>
            <w:tcBorders>
              <w:top w:val="nil"/>
              <w:left w:val="nil"/>
              <w:bottom w:val="nil"/>
              <w:right w:val="nil"/>
            </w:tcBorders>
          </w:tcPr>
          <w:p>
            <w:pPr>
              <w:pStyle w:val="Normal6a"/>
            </w:pPr>
            <w:r>
              <w:t>19.</w:t>
            </w:r>
            <w:r>
              <w:tab/>
            </w:r>
            <w:r>
              <w:t xml:space="preserve">Europaparlamentet noterar </w:t>
            </w:r>
            <w:r>
              <w:rPr>
                <w:b/>
                <w:i/>
              </w:rPr>
              <w:t>med oro</w:t>
            </w:r>
            <w:r>
              <w:t xml:space="preserve"> de pågående förhandlingarna inom FN:s ramkonvention om internationellt skattesamarbete</w:t>
            </w:r>
            <w:r>
              <w:rPr>
                <w:b/>
                <w:i/>
              </w:rPr>
              <w:t>.</w:t>
            </w:r>
            <w:r>
              <w:t xml:space="preserve"> </w:t>
            </w:r>
            <w:r>
              <w:rPr>
                <w:b/>
                <w:i/>
              </w:rPr>
              <w:t>Parlamentet motsätter sig starkt utkast till bestämmelser, såsom artikel 5, som skulle kunna tolkas som ett krav på obligatorisk omförhandling av befintliga bilaterala skatteavtal, vilket undergräver den långvariga rättssäkerheten</w:t>
            </w:r>
            <w:r>
              <w:t xml:space="preserve">. </w:t>
            </w:r>
            <w:r>
              <w:rPr>
                <w:b/>
                <w:i/>
              </w:rPr>
              <w:t>Parlamentet avvisar alla internationella skatteregler som övergår från samförståndsbaserat beslutsfattande till omröstning med enkel majoritet.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w:t>
            </w:r>
            <w:r>
              <w:rPr>
                <w:b/>
                <w:i/>
              </w:rPr>
              <w:t>noterar</w:t>
            </w:r>
            <w:r>
              <w:t xml:space="preserve"> de pågående förhandlingarna inom FN:s ramkonvention om internationellt skattesamarbete, som syftar till att </w:t>
            </w:r>
            <w:r>
              <w:rPr>
                <w:b/>
                <w:i/>
              </w:rPr>
              <w:t>förbättra skattesamarbetet och transparensen i ett globalt sammanhang</w:t>
            </w:r>
            <w:r>
              <w:t>.</w:t>
            </w:r>
          </w:p>
        </w:tc>
        <w:tc>
          <w:tcPr>
            <w:tcW w:w="4876" w:type="dxa"/>
            <w:tcBorders>
              <w:top w:val="nil"/>
              <w:left w:val="nil"/>
              <w:bottom w:val="nil"/>
              <w:right w:val="nil"/>
            </w:tcBorders>
          </w:tcPr>
          <w:p>
            <w:pPr>
              <w:pStyle w:val="Normal6a"/>
            </w:pPr>
            <w:r>
              <w:t>19.</w:t>
            </w:r>
            <w:r>
              <w:tab/>
            </w:r>
            <w:r>
              <w:t xml:space="preserve">Europaparlamentet </w:t>
            </w:r>
            <w:r>
              <w:rPr>
                <w:b/>
                <w:i/>
              </w:rPr>
              <w:t>välkomnar</w:t>
            </w:r>
            <w:r>
              <w:t xml:space="preserve"> de pågående förhandlingarna inom FN:s ramkonvention om internationellt skattesamarbete, som syftar till att </w:t>
            </w:r>
            <w:r>
              <w:rPr>
                <w:b/>
                <w:i/>
              </w:rPr>
              <w:t>upprätta ett fullständigt inkluderande internationellt skattesamarbete och skapa ett rättvist, transparent, effektivt, jämlikt och ändamålsenligt internationellt skattesystem för hållbar utveckling</w:t>
            </w:r>
            <w:r>
              <w:t xml:space="preserve">. </w:t>
            </w:r>
            <w:r>
              <w:rPr>
                <w:b/>
                <w:i/>
              </w:rPr>
              <w:t>Parlamentet uppmanar medlemsstaterna att fortsätta att delta konstruktivt i processen trots det arbete som utförts inom OECD.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Pierre Pimpie, Tomáš Kubín, Enikő Győri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noterar de pågående förhandlingarna inom FN:s ramkonvention om internationellt skattesamarbete, som syftar till att förbättra skattesamarbetet och transparensen i ett globalt sammanhang.</w:t>
            </w:r>
          </w:p>
        </w:tc>
        <w:tc>
          <w:tcPr>
            <w:tcW w:w="4876" w:type="dxa"/>
            <w:tcBorders>
              <w:top w:val="nil"/>
              <w:left w:val="nil"/>
              <w:bottom w:val="nil"/>
              <w:right w:val="nil"/>
            </w:tcBorders>
          </w:tcPr>
          <w:p>
            <w:pPr>
              <w:pStyle w:val="Normal6a"/>
            </w:pPr>
            <w:r>
              <w:t>19.</w:t>
            </w:r>
            <w:r>
              <w:tab/>
            </w:r>
            <w:r>
              <w:t xml:space="preserve">Europaparlamentet noterar de pågående förhandlingarna inom FN:s ramkonvention om internationellt skattesamarbete, som syftar till att förbättra skattesamarbetet och transparensen i ett globalt sammanhang. </w:t>
            </w:r>
            <w:r>
              <w:rPr>
                <w:b/>
                <w:i/>
              </w:rPr>
              <w:t>Parlamentet betonar att alla FN-ledda processer bör komplettera, och inte överlappa eller undergräva, befintliga OECD/G20-standarder, bevara rättssäkerheten och inte skapa motstridiga skyldigheter för medlemsstater, skattemyndigheter eller företag.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Jussi Saramo, Martin Schirdewan, Pasquale Tridico,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Europaparlamentet </w:t>
            </w:r>
            <w:r>
              <w:rPr>
                <w:b/>
                <w:i/>
              </w:rPr>
              <w:t>noterar</w:t>
            </w:r>
            <w:r>
              <w:t xml:space="preserve"> de pågående förhandlingarna inom FN:s ramkonvention om internationellt skattesamarbete, som syftar till att förbättra skattesamarbetet och transparensen i ett globalt sammanhang.</w:t>
            </w:r>
          </w:p>
        </w:tc>
        <w:tc>
          <w:tcPr>
            <w:tcW w:w="4876" w:type="dxa"/>
            <w:tcBorders>
              <w:top w:val="nil"/>
              <w:left w:val="nil"/>
              <w:bottom w:val="nil"/>
              <w:right w:val="nil"/>
            </w:tcBorders>
          </w:tcPr>
          <w:p>
            <w:pPr>
              <w:pStyle w:val="Normal6a"/>
            </w:pPr>
            <w:r>
              <w:t>19.</w:t>
            </w:r>
            <w:r>
              <w:tab/>
            </w:r>
            <w:r>
              <w:t xml:space="preserve">Europaparlamentet </w:t>
            </w:r>
            <w:r>
              <w:rPr>
                <w:b/>
                <w:i/>
              </w:rPr>
              <w:t>välkomnar</w:t>
            </w:r>
            <w:r>
              <w:t xml:space="preserve"> de pågående förhandlingarna inom FN:s ramkonvention om internationellt skattesamarbete, som syftar till att förbättra skattesamarbetet och transparensen i ett globalt sammanhang.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Parlamentet uppmanar medlemsstaterna att stärka sin samordning och att lägga fram en enhetlig ståndpunkt i multilaterala forum. Parlamentet uppmanar vidare kommissionen att hjälpa medlemsstaterna att effektivt företräda sina intressen i sådana forum.</w:t>
            </w:r>
          </w:p>
        </w:tc>
        <w:tc>
          <w:tcPr>
            <w:tcW w:w="4876" w:type="dxa"/>
            <w:tcBorders>
              <w:top w:val="nil"/>
              <w:left w:val="nil"/>
              <w:bottom w:val="nil"/>
              <w:right w:val="nil"/>
            </w:tcBorders>
          </w:tcPr>
          <w:p>
            <w:pPr>
              <w:pStyle w:val="Normal6a"/>
            </w:pPr>
            <w:r>
              <w:t>20.</w:t>
            </w:r>
            <w:r>
              <w:tab/>
            </w:r>
            <w:r>
              <w:t xml:space="preserve">Parlamentet uppmanar medlemsstaterna att stärka sin samordning och att </w:t>
            </w:r>
            <w:r>
              <w:rPr>
                <w:b/>
                <w:i/>
              </w:rPr>
              <w:t>vid behov</w:t>
            </w:r>
            <w:r>
              <w:t xml:space="preserve"> lägga fram en enhetlig ståndpunkt i multilaterala forum</w:t>
            </w:r>
            <w:r>
              <w:rPr>
                <w:b/>
                <w:i/>
              </w:rPr>
              <w:t>, samtidigt som deras individuella rätt att förhandla och rösta självständigt i enlighet med nationella intressen bibehålls.</w:t>
            </w:r>
            <w:r>
              <w:t xml:space="preserve"> </w:t>
            </w:r>
            <w:r>
              <w:rPr>
                <w:b/>
                <w:i/>
              </w:rPr>
              <w:t>Europaparlamentet avvisar bestämt alla försök att överföra exklusiv extern behörighet i skattefrågor till kommissionen</w:t>
            </w:r>
            <w:r>
              <w:t>. Parlamentet uppmanar vidare kommissionen att hjälpa medlemsstaterna att effektivt företräda sina intressen i sådana forum.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Parlamentet uppmanar medlemsstaterna att stärka sin samordning och att lägga fram en enhetlig ståndpunkt i multilaterala forum. Parlamentet uppmanar vidare kommissionen att hjälpa medlemsstaterna att effektivt företräda sina intressen i sådana forum.</w:t>
            </w:r>
          </w:p>
        </w:tc>
        <w:tc>
          <w:tcPr>
            <w:tcW w:w="4876" w:type="dxa"/>
            <w:tcBorders>
              <w:top w:val="nil"/>
              <w:left w:val="nil"/>
              <w:bottom w:val="nil"/>
              <w:right w:val="nil"/>
            </w:tcBorders>
          </w:tcPr>
          <w:p>
            <w:pPr>
              <w:pStyle w:val="Normal6a"/>
            </w:pPr>
            <w:r>
              <w:t>20.</w:t>
            </w:r>
            <w:r>
              <w:tab/>
            </w:r>
            <w:r>
              <w:t xml:space="preserve">Parlamentet uppmanar medlemsstaterna att stärka sin samordning och att lägga fram en enhetlig ståndpunkt i multilaterala forum </w:t>
            </w:r>
            <w:r>
              <w:rPr>
                <w:b/>
                <w:i/>
              </w:rPr>
              <w:t>som återspeglar EU:s intressen, förenklar skatteskyldigheterna och säkerställer samstämmighet inom den internationella skatteramen</w:t>
            </w:r>
            <w:r>
              <w:t>. Parlamentet uppmanar vidare kommissionen att hjälpa medlemsstaterna att effektivt företräda sina intressen i sådana forum.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Rasmus Andresen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Parlamentet uppmanar medlemsstaterna att stärka sin samordning och att lägga fram </w:t>
            </w:r>
            <w:r>
              <w:rPr>
                <w:b/>
                <w:i/>
              </w:rPr>
              <w:t>en enhetlig ståndpunkt</w:t>
            </w:r>
            <w:r>
              <w:t xml:space="preserve"> i multilaterala forum. Parlamentet uppmanar vidare kommissionen </w:t>
            </w:r>
            <w:r>
              <w:rPr>
                <w:b/>
                <w:i/>
              </w:rPr>
              <w:t>att hjälpa medlemsstaterna</w:t>
            </w:r>
            <w:r>
              <w:t xml:space="preserve"> att effektivt företräda </w:t>
            </w:r>
            <w:r>
              <w:rPr>
                <w:b/>
                <w:i/>
              </w:rPr>
              <w:t>sina intressen</w:t>
            </w:r>
            <w:r>
              <w:t xml:space="preserve"> i sådana forum.</w:t>
            </w:r>
          </w:p>
        </w:tc>
        <w:tc>
          <w:tcPr>
            <w:tcW w:w="4876" w:type="dxa"/>
            <w:tcBorders>
              <w:top w:val="nil"/>
              <w:left w:val="nil"/>
              <w:bottom w:val="nil"/>
              <w:right w:val="nil"/>
            </w:tcBorders>
          </w:tcPr>
          <w:p>
            <w:pPr>
              <w:pStyle w:val="Normal6a"/>
            </w:pPr>
            <w:r>
              <w:t>20.</w:t>
            </w:r>
            <w:r>
              <w:tab/>
            </w:r>
            <w:r>
              <w:t xml:space="preserve">Parlamentet uppmanar medlemsstaterna att stärka sin samordning och att lägga fram </w:t>
            </w:r>
            <w:r>
              <w:rPr>
                <w:b/>
                <w:i/>
              </w:rPr>
              <w:t>ambitiösa ståndpunkter</w:t>
            </w:r>
            <w:r>
              <w:t xml:space="preserve"> i multilaterala forum. Parlamentet uppmanar vidare kommissionen </w:t>
            </w:r>
            <w:r>
              <w:rPr>
                <w:b/>
                <w:i/>
              </w:rPr>
              <w:t>med kraft att inta en mer proaktiv och ambitiös roll för</w:t>
            </w:r>
            <w:r>
              <w:t xml:space="preserve"> att effektivt företräda </w:t>
            </w:r>
            <w:r>
              <w:rPr>
                <w:b/>
                <w:i/>
              </w:rPr>
              <w:t>medlemsstaterna</w:t>
            </w:r>
            <w:r>
              <w:t xml:space="preserve"> i sådana forum.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Katri Kulmuni,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Parlamentet uppmanar medlemsstaterna att stärka sin samordning och att lägga fram en enhetlig ståndpunkt i multilaterala forum. Parlamentet uppmanar vidare kommissionen att hjälpa medlemsstaterna att effektivt företräda sina intressen i sådana forum.</w:t>
            </w:r>
          </w:p>
        </w:tc>
        <w:tc>
          <w:tcPr>
            <w:tcW w:w="4876" w:type="dxa"/>
            <w:tcBorders>
              <w:top w:val="nil"/>
              <w:left w:val="nil"/>
              <w:bottom w:val="nil"/>
              <w:right w:val="nil"/>
            </w:tcBorders>
          </w:tcPr>
          <w:p>
            <w:pPr>
              <w:pStyle w:val="Normal6a"/>
            </w:pPr>
            <w:r>
              <w:t>20.</w:t>
            </w:r>
            <w:r>
              <w:tab/>
            </w:r>
            <w:r>
              <w:t xml:space="preserve">Parlamentet uppmanar medlemsstaterna att stärka sin samordning och att lägga fram en </w:t>
            </w:r>
            <w:r>
              <w:rPr>
                <w:b/>
                <w:i/>
              </w:rPr>
              <w:t>stark och</w:t>
            </w:r>
            <w:r>
              <w:t xml:space="preserve"> enhetlig ståndpunkt i multilaterala forum. Parlamentet uppmanar vidare kommissionen att hjälpa medlemsstaterna att effektivt företräda sina intressen i sådana forum.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Europaparlamentet uppmanar rådet att övergå till omröstning med kvalificerad majoritet i vissa bolagsskattefrågor som rör förebyggande av skatteundandragande och skatteflykt, och för genomförandet av internationella skatteavtal.</w:t>
            </w:r>
            <w:r>
              <w:t xml:space="preserve"> </w:t>
            </w:r>
            <w:r>
              <w:rPr>
                <w:b/>
                <w:i/>
              </w:rPr>
              <w:t>Parlamentet betonar att bristen på ytterligare skattesamordning pressar medlemsstaterna till en skadlig kapplöpning mot botten, samtidigt som gränsöverskridande ekonomiska aktiviteter hämmas.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Europaparlamentet uppmanar kommissionen att utarbeta en årlig rapport om skattegapet mellan unionsföretag och tredjelandsföretag som verkar på den inre marknaden, med en utvärdering av konsekvenserna för konkurrenskraften, investeringarna och de offentliga inkomsterna i medlemsstaterna, och att vid behov föreslå korrigerande åtgärder.</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Europaparlamentet uppmanar kommissionen och medlemsstaterna att stärka åtgärderna mot internationella skatteparadis genom att främja full transparens när det gäller verkligt huvudmannaskap, stödja automatiskt informationsutbyte och säkerställa ett effektivt genomförande av en global minimiskattesats för företag.</w:t>
            </w:r>
            <w:r>
              <w:t xml:space="preserve"> </w:t>
            </w:r>
            <w:r>
              <w:rPr>
                <w:b/>
                <w:i/>
              </w:rPr>
              <w:t>Parlamentet efterlyser kraftfullare sanktioner mot icke samarbetsvilliga jurisdiktioner och skärpta landsspecifika rapporteringskrav för multinationella företag i syfte att bekämpa skatteflykt, skatteundandragande och olagliga finansiella flöden.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Niels Fuglsang, Bruno Gonçalves, Matthias Ecke, Aurore Lalucq, Evelyn Regner,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Parlamentet efterlyser kraftfullare sanktioner mot icke samarbetsvilliga jurisdiktioner och skärpta landsspecifika rapporteringskrav för multinationella företag i syfte att bekämpa skatteflykt, skatteundandragande och olagliga finansiella flöden.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92</w:t>
    </w:r>
    <w:r>
      <w:fldChar w:fldCharType="end"/>
    </w:r>
    <w:r>
      <w:t>/</w:t>
    </w:r>
    <w:r>
      <w:fldChar w:fldCharType="begin"/>
    </w:r>
    <w:r>
      <w:instrText xml:space="preserve"> NUMPAGES </w:instrText>
    </w:r>
    <w:r>
      <w:fldChar w:fldCharType="separate"/>
    </w:r>
    <w:r>
      <w:t>92</w:t>
    </w:r>
    <w:r>
      <w:fldChar w:fldCharType="end"/>
    </w:r>
    <w:r>
      <w:tab/>
    </w:r>
    <w:r>
      <w:rPr>
        <w:rStyle w:val="HideTWBExt"/>
      </w:rPr>
      <w:t>&lt;PathFdR&gt;</w:t>
    </w:r>
    <w:r>
      <w:t>AM\1345549SV.docx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AM\1345549SV.docx</w:t>
    </w:r>
    <w:r>
      <w:rPr>
        <w:rStyle w:val="HideTWBExt"/>
      </w:rPr>
      <w:t>&lt;/PathFdR&gt;</w:t>
    </w:r>
    <w:r>
      <w:tab/>
    </w:r>
    <w:r>
      <w:fldChar w:fldCharType="begin"/>
    </w:r>
    <w:r>
      <w:instrText xml:space="preserve"> PAGE </w:instrText>
    </w:r>
    <w:r>
      <w:fldChar w:fldCharType="separate"/>
    </w:r>
    <w:r>
      <w:t>91</w:t>
    </w:r>
    <w:r>
      <w:fldChar w:fldCharType="end"/>
    </w:r>
    <w:r>
      <w:t>/</w:t>
    </w:r>
    <w:r>
      <w:fldChar w:fldCharType="begin"/>
    </w:r>
    <w:r>
      <w:instrText xml:space="preserve"> NUMPAGES </w:instrText>
    </w:r>
    <w:r>
      <w:fldChar w:fldCharType="separate"/>
    </w:r>
    <w:r>
      <w:t>92</w:t>
    </w:r>
    <w:r>
      <w:fldChar w:fldCharType="end"/>
    </w:r>
    <w:r>
      <w:tab/>
    </w:r>
    <w:r>
      <w:t>PE</w:t>
    </w:r>
    <w:r>
      <w:rPr>
        <w:rStyle w:val="HideTWBExt"/>
      </w:rPr>
      <w:t>&lt;NoPE&gt;</w:t>
    </w:r>
    <w:r>
      <w:t>789.934</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AM\1345549SV.docx</w:t>
    </w:r>
    <w:r>
      <w:rPr>
        <w:rStyle w:val="HideTWBExt"/>
      </w:rPr>
      <w:t>&lt;/PathFdR&gt;</w:t>
    </w:r>
    <w:r>
      <w:tab/>
    </w:r>
    <w:r>
      <w:tab/>
    </w:r>
    <w:r>
      <w:t>PE</w:t>
    </w:r>
    <w:r>
      <w:rPr>
        <w:rStyle w:val="HideTWBExt"/>
      </w:rPr>
      <w:t>&lt;NoPE&gt;</w:t>
    </w:r>
    <w:r>
      <w:t>789.934</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92</Pages>
  <Words>17434</Words>
  <Characters>119172</Characters>
  <Application>Microsoft Office Word</Application>
  <DocSecurity>0</DocSecurity>
  <Lines>1</Lines>
  <Paragraphs>1516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1345549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544321</vt:lpwstr>
  </property>
  <property fmtid="{D5CDD505-2E9C-101B-9397-08002B2CF9AE}" pid="7" name="dmxml.render.traceId">
    <vt:lpwstr>6a3bbddddb824c460347a5b1664df755</vt:lpwstr>
  </property>
  <property fmtid="{D5CDD505-2E9C-101B-9397-08002B2CF9AE}" pid="8" name="FooterPath">
    <vt:lpwstr>AM\1345549SV.docx</vt:lpwstr>
  </property>
  <property fmtid="{D5CDD505-2E9C-101B-9397-08002B2CF9AE}" pid="9" name="PE Number">
    <vt:lpwstr>789.934</vt:lpwstr>
  </property>
  <property fmtid="{D5CDD505-2E9C-101B-9397-08002B2CF9AE}" pid="10" name="UID">
    <vt:lpwstr>eu.europa.europarl-DIN1-2026-0000166805_01.00-sv-01.00_text-xml</vt:lpwstr>
  </property>
</Properties>
</file>