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A79DB" w:rsidRPr="00354796" w14:paraId="0E302B34" w14:textId="77777777">
        <w:trPr>
          <w:trHeight w:hRule="exact" w:val="1417"/>
          <w:jc w:val="center"/>
        </w:trPr>
        <w:tc>
          <w:tcPr>
            <w:tcW w:w="6804" w:type="dxa"/>
            <w:tcBorders>
              <w:top w:val="nil"/>
              <w:left w:val="nil"/>
              <w:bottom w:val="nil"/>
              <w:right w:val="nil"/>
            </w:tcBorders>
            <w:vAlign w:val="center"/>
          </w:tcPr>
          <w:p w14:paraId="7FD36520" w14:textId="77777777" w:rsidR="005A79DB" w:rsidRPr="00354796" w:rsidRDefault="006E31A1">
            <w:pPr>
              <w:pStyle w:val="EPName"/>
            </w:pPr>
            <w:r w:rsidRPr="00354796">
              <w:t>Parlament Europejski</w:t>
            </w:r>
          </w:p>
          <w:p w14:paraId="6BDB66F2" w14:textId="77777777" w:rsidR="005A79DB" w:rsidRPr="00354796" w:rsidRDefault="006E31A1">
            <w:pPr>
              <w:pStyle w:val="EPTerm"/>
            </w:pPr>
            <w:r w:rsidRPr="00354796">
              <w:t>2024-2029</w:t>
            </w:r>
          </w:p>
        </w:tc>
        <w:tc>
          <w:tcPr>
            <w:tcW w:w="2268" w:type="dxa"/>
            <w:tcBorders>
              <w:top w:val="nil"/>
              <w:left w:val="nil"/>
              <w:bottom w:val="nil"/>
              <w:right w:val="nil"/>
            </w:tcBorders>
          </w:tcPr>
          <w:p w14:paraId="5B094886" w14:textId="77777777" w:rsidR="005A79DB" w:rsidRPr="00354796" w:rsidRDefault="00354796">
            <w:pPr>
              <w:pStyle w:val="EPLogo"/>
            </w:pPr>
            <w:r w:rsidRPr="00354796">
              <w:pict w14:anchorId="58402E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8F61A4B" w14:textId="77777777" w:rsidR="005A79DB" w:rsidRPr="00354796" w:rsidRDefault="006E31A1">
      <w:pPr>
        <w:pStyle w:val="LineTop"/>
      </w:pPr>
      <w:r w:rsidRPr="00354796">
        <w:t xml:space="preserve"> </w:t>
      </w:r>
    </w:p>
    <w:p w14:paraId="445B961F" w14:textId="77777777" w:rsidR="005A79DB" w:rsidRPr="00354796" w:rsidRDefault="006E31A1">
      <w:pPr>
        <w:pStyle w:val="EPBody"/>
      </w:pPr>
      <w:r w:rsidRPr="00354796">
        <w:rPr>
          <w:rStyle w:val="HideTWBExt"/>
        </w:rPr>
        <w:t>&lt;Commission&gt;</w:t>
      </w:r>
      <w:r w:rsidRPr="00354796">
        <w:rPr>
          <w:rStyle w:val="HideTWBInt"/>
          <w:color w:val="auto"/>
        </w:rPr>
        <w:t>{ECON}</w:t>
      </w:r>
      <w:r w:rsidRPr="00354796">
        <w:t>Komisja Gospodarcza i Monetarna</w:t>
      </w:r>
      <w:r w:rsidRPr="00354796">
        <w:rPr>
          <w:rStyle w:val="HideTWBExt"/>
        </w:rPr>
        <w:t>&lt;/Commission&gt;</w:t>
      </w:r>
    </w:p>
    <w:p w14:paraId="089B0C2A" w14:textId="77777777" w:rsidR="005A79DB" w:rsidRPr="00354796" w:rsidRDefault="006E31A1">
      <w:pPr>
        <w:pStyle w:val="LineBottom"/>
      </w:pPr>
      <w:r w:rsidRPr="00354796">
        <w:t xml:space="preserve"> </w:t>
      </w:r>
    </w:p>
    <w:p w14:paraId="3F2E661F" w14:textId="77777777" w:rsidR="005A79DB" w:rsidRPr="00354796" w:rsidRDefault="006E31A1">
      <w:pPr>
        <w:pStyle w:val="CoverReference"/>
      </w:pPr>
      <w:r w:rsidRPr="00354796">
        <w:rPr>
          <w:rStyle w:val="HideTWBExt"/>
        </w:rPr>
        <w:t>&lt;RefProc&gt;</w:t>
      </w:r>
      <w:r w:rsidRPr="00354796">
        <w:t>2025/2261</w:t>
      </w:r>
      <w:r w:rsidRPr="00354796">
        <w:rPr>
          <w:rStyle w:val="HideTWBExt"/>
        </w:rPr>
        <w:t>&lt;/RefProc&gt;&lt;RefTypeProc&gt;</w:t>
      </w:r>
      <w:r w:rsidRPr="00354796">
        <w:t>(INI)</w:t>
      </w:r>
      <w:r w:rsidRPr="00354796">
        <w:rPr>
          <w:rStyle w:val="HideTWBExt"/>
        </w:rPr>
        <w:t>&lt;/RefTypeProc&gt;</w:t>
      </w:r>
    </w:p>
    <w:p w14:paraId="72109C4F" w14:textId="77777777" w:rsidR="005A79DB" w:rsidRPr="00354796" w:rsidRDefault="006E31A1">
      <w:pPr>
        <w:pStyle w:val="CoverDate"/>
      </w:pPr>
      <w:r w:rsidRPr="00354796">
        <w:rPr>
          <w:rStyle w:val="HideTWBExt"/>
        </w:rPr>
        <w:t>&lt;Date&gt;</w:t>
      </w:r>
      <w:r w:rsidRPr="00354796">
        <w:rPr>
          <w:rStyle w:val="HideTWBInt"/>
          <w:color w:val="auto"/>
        </w:rPr>
        <w:t>{09/07/2026}</w:t>
      </w:r>
      <w:proofErr w:type="gramStart"/>
      <w:r w:rsidRPr="00354796">
        <w:t>9.7.2026</w:t>
      </w:r>
      <w:proofErr w:type="gramEnd"/>
      <w:r w:rsidRPr="00354796">
        <w:rPr>
          <w:rStyle w:val="HideTWBExt"/>
        </w:rPr>
        <w:t>&lt;/Date&gt;</w:t>
      </w:r>
    </w:p>
    <w:p w14:paraId="024975DE" w14:textId="77777777" w:rsidR="005A79DB" w:rsidRPr="00354796" w:rsidRDefault="006E31A1">
      <w:pPr>
        <w:pStyle w:val="CoverDocType"/>
      </w:pPr>
      <w:r w:rsidRPr="00354796">
        <w:rPr>
          <w:rStyle w:val="HideTWBExt"/>
        </w:rPr>
        <w:t>&lt;TypeAM&gt;</w:t>
      </w:r>
      <w:r w:rsidRPr="00354796">
        <w:t>POPRAWKI</w:t>
      </w:r>
      <w:r w:rsidRPr="00354796">
        <w:rPr>
          <w:rStyle w:val="HideTWBExt"/>
        </w:rPr>
        <w:t>&lt;/TypeAM&gt;</w:t>
      </w:r>
    </w:p>
    <w:p w14:paraId="573B802B" w14:textId="77777777" w:rsidR="005A79DB" w:rsidRPr="00354796" w:rsidRDefault="006E31A1">
      <w:pPr>
        <w:pStyle w:val="CoverDocType24a"/>
      </w:pPr>
      <w:r w:rsidRPr="00354796">
        <w:rPr>
          <w:rStyle w:val="HideTWBExt"/>
        </w:rPr>
        <w:t>&lt;RangeAM&gt;</w:t>
      </w:r>
      <w:r w:rsidRPr="00354796">
        <w:t>1 - 101</w:t>
      </w:r>
      <w:r w:rsidRPr="00354796">
        <w:rPr>
          <w:rStyle w:val="HideTWBExt"/>
        </w:rPr>
        <w:t>&lt;/RangeAM&gt;</w:t>
      </w:r>
    </w:p>
    <w:p w14:paraId="20B0C625" w14:textId="77777777" w:rsidR="005A79DB" w:rsidRPr="00354796" w:rsidRDefault="006E31A1">
      <w:pPr>
        <w:pStyle w:val="CoverBold"/>
      </w:pPr>
      <w:r w:rsidRPr="00354796">
        <w:rPr>
          <w:rStyle w:val="HideTWBExt"/>
        </w:rPr>
        <w:t>&lt;TitreType&gt;</w:t>
      </w:r>
      <w:r w:rsidRPr="00354796">
        <w:t>Projekt sprawozdania</w:t>
      </w:r>
      <w:r w:rsidRPr="00354796">
        <w:rPr>
          <w:rStyle w:val="HideTWBExt"/>
        </w:rPr>
        <w:t>&lt;/TitreType&gt;</w:t>
      </w:r>
    </w:p>
    <w:p w14:paraId="38AE3FBA" w14:textId="77777777" w:rsidR="005A79DB" w:rsidRPr="00354796" w:rsidRDefault="006E31A1">
      <w:pPr>
        <w:pStyle w:val="CoverBold"/>
      </w:pPr>
      <w:r w:rsidRPr="00354796">
        <w:rPr>
          <w:rStyle w:val="HideTWBExt"/>
        </w:rPr>
        <w:t>&lt;Rapporteur&gt;</w:t>
      </w:r>
      <w:r w:rsidRPr="00354796">
        <w:t xml:space="preserve">Pierre </w:t>
      </w:r>
      <w:proofErr w:type="spellStart"/>
      <w:r w:rsidRPr="00354796">
        <w:t>Pimpie</w:t>
      </w:r>
      <w:proofErr w:type="spellEnd"/>
      <w:r w:rsidRPr="00354796">
        <w:rPr>
          <w:rStyle w:val="HideTWBExt"/>
        </w:rPr>
        <w:t>&lt;/Rapporteur&gt;</w:t>
      </w:r>
    </w:p>
    <w:p w14:paraId="0FCF8496" w14:textId="77777777" w:rsidR="005A79DB" w:rsidRPr="00354796" w:rsidRDefault="006E31A1">
      <w:pPr>
        <w:pStyle w:val="CoverNormal24a"/>
      </w:pPr>
      <w:r w:rsidRPr="00354796">
        <w:rPr>
          <w:rStyle w:val="HideTWBExt"/>
        </w:rPr>
        <w:t>&lt;DocRefPE&gt;</w:t>
      </w:r>
      <w:r w:rsidRPr="00354796">
        <w:t>(PE788.867v01-00)</w:t>
      </w:r>
      <w:r w:rsidRPr="00354796">
        <w:rPr>
          <w:rStyle w:val="HideTWBExt"/>
        </w:rPr>
        <w:t>&lt;/DocRefPE&gt;</w:t>
      </w:r>
    </w:p>
    <w:p w14:paraId="271E22F2" w14:textId="77777777" w:rsidR="005A79DB" w:rsidRPr="00354796" w:rsidRDefault="006E31A1">
      <w:pPr>
        <w:pStyle w:val="CoverNormal"/>
      </w:pPr>
      <w:r w:rsidRPr="00354796">
        <w:rPr>
          <w:rStyle w:val="HideTWBExt"/>
        </w:rPr>
        <w:t>&lt;Titre&gt;</w:t>
      </w:r>
      <w:r w:rsidRPr="00354796">
        <w:t>Mechanizm odwrotnego obciążenia VAT</w:t>
      </w:r>
      <w:r w:rsidRPr="00354796">
        <w:rPr>
          <w:rStyle w:val="HideTWBExt"/>
        </w:rPr>
        <w:t>&lt;/Titre&gt;</w:t>
      </w:r>
    </w:p>
    <w:p w14:paraId="4A2F5716" w14:textId="77777777" w:rsidR="005A79DB" w:rsidRPr="00354796" w:rsidRDefault="006E31A1">
      <w:pPr>
        <w:pStyle w:val="CoverNormal24a"/>
      </w:pPr>
      <w:r w:rsidRPr="00354796">
        <w:rPr>
          <w:rStyle w:val="HideTWBExt"/>
        </w:rPr>
        <w:t>&lt;DocRef&gt;</w:t>
      </w:r>
      <w:r w:rsidRPr="00354796">
        <w:t>(2025/2261(INI))</w:t>
      </w:r>
      <w:r w:rsidRPr="00354796">
        <w:rPr>
          <w:rStyle w:val="HideTWBExt"/>
        </w:rPr>
        <w:t>&lt;/DocRef&gt;</w:t>
      </w:r>
    </w:p>
    <w:p w14:paraId="152CB12D" w14:textId="77777777" w:rsidR="005A79DB" w:rsidRPr="00354796" w:rsidRDefault="006E31A1">
      <w:r w:rsidRPr="00354796">
        <w:br w:type="page"/>
      </w:r>
      <w:proofErr w:type="spellStart"/>
      <w:r w:rsidRPr="00354796">
        <w:lastRenderedPageBreak/>
        <w:t>AM_Com_NonLegReport</w:t>
      </w:r>
      <w:proofErr w:type="spellEnd"/>
    </w:p>
    <w:p w14:paraId="6E95B814" w14:textId="77777777" w:rsidR="005A79DB" w:rsidRPr="00354796" w:rsidRDefault="006E31A1">
      <w:pPr>
        <w:pStyle w:val="AmNumberTabs"/>
      </w:pPr>
      <w:r w:rsidRPr="00354796">
        <w:br w:type="page"/>
      </w:r>
      <w:r w:rsidRPr="00354796">
        <w:rPr>
          <w:rStyle w:val="HideTWBExt"/>
        </w:rPr>
        <w:lastRenderedPageBreak/>
        <w:t>&lt;RepeatBlock-Amend&gt;&lt;Amend&gt;</w:t>
      </w:r>
      <w:r w:rsidRPr="00354796">
        <w:t>Poprawka</w:t>
      </w:r>
      <w:r w:rsidRPr="00354796">
        <w:tab/>
      </w:r>
      <w:r w:rsidRPr="00354796">
        <w:tab/>
      </w:r>
      <w:r w:rsidRPr="00354796">
        <w:rPr>
          <w:rStyle w:val="HideTWBExt"/>
        </w:rPr>
        <w:t>&lt;NumAm&gt;</w:t>
      </w:r>
      <w:r w:rsidRPr="00354796">
        <w:t>1</w:t>
      </w:r>
      <w:r w:rsidRPr="00354796">
        <w:rPr>
          <w:rStyle w:val="HideTWBExt"/>
        </w:rPr>
        <w:t>&lt;/NumAm&gt;</w:t>
      </w:r>
    </w:p>
    <w:p w14:paraId="00C3C1F8"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70F4ED61" w14:textId="77777777" w:rsidR="005A79DB" w:rsidRPr="00354796" w:rsidRDefault="006E31A1">
      <w:pPr>
        <w:pStyle w:val="NormalBold"/>
      </w:pPr>
      <w:r w:rsidRPr="00354796">
        <w:rPr>
          <w:rStyle w:val="HideTWBExt"/>
          <w:b w:val="0"/>
        </w:rPr>
        <w:t>&lt;/RepeatBlock-By&gt;</w:t>
      </w:r>
    </w:p>
    <w:p w14:paraId="7F439B78"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FB0524A" w14:textId="77777777" w:rsidR="005A79DB" w:rsidRPr="00354796" w:rsidRDefault="006E31A1">
      <w:pPr>
        <w:pStyle w:val="NormalBold"/>
      </w:pPr>
      <w:r w:rsidRPr="00354796">
        <w:rPr>
          <w:rStyle w:val="HideTWBExt"/>
        </w:rPr>
        <w:t>&lt;Article&gt;</w:t>
      </w:r>
      <w:r w:rsidRPr="00354796">
        <w:t>Umocowanie 8 a (nowe)</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C301FFB" w14:textId="77777777">
        <w:trPr>
          <w:trHeight w:hRule="exact" w:val="240"/>
          <w:jc w:val="center"/>
        </w:trPr>
        <w:tc>
          <w:tcPr>
            <w:tcW w:w="9752" w:type="dxa"/>
            <w:gridSpan w:val="2"/>
            <w:tcBorders>
              <w:top w:val="nil"/>
              <w:left w:val="nil"/>
              <w:bottom w:val="nil"/>
              <w:right w:val="nil"/>
            </w:tcBorders>
          </w:tcPr>
          <w:p w14:paraId="0A51B8ED" w14:textId="77777777" w:rsidR="005A79DB" w:rsidRPr="00354796" w:rsidRDefault="005A79DB"/>
        </w:tc>
      </w:tr>
      <w:tr w:rsidR="005A79DB" w:rsidRPr="00354796" w14:paraId="5BBCDDBF" w14:textId="77777777">
        <w:trPr>
          <w:trHeight w:val="240"/>
          <w:jc w:val="center"/>
        </w:trPr>
        <w:tc>
          <w:tcPr>
            <w:tcW w:w="4876" w:type="dxa"/>
            <w:tcBorders>
              <w:top w:val="nil"/>
              <w:left w:val="nil"/>
              <w:bottom w:val="nil"/>
              <w:right w:val="nil"/>
            </w:tcBorders>
          </w:tcPr>
          <w:p w14:paraId="5D47CFC0"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6F9E46C" w14:textId="77777777" w:rsidR="005A79DB" w:rsidRPr="00354796" w:rsidRDefault="006E31A1">
            <w:pPr>
              <w:pStyle w:val="AmColumnHeading"/>
            </w:pPr>
            <w:r w:rsidRPr="00354796">
              <w:t>Poprawka</w:t>
            </w:r>
          </w:p>
        </w:tc>
      </w:tr>
      <w:tr w:rsidR="005A79DB" w:rsidRPr="00354796" w14:paraId="65EC36F2" w14:textId="77777777">
        <w:trPr>
          <w:jc w:val="center"/>
        </w:trPr>
        <w:tc>
          <w:tcPr>
            <w:tcW w:w="4876" w:type="dxa"/>
            <w:tcBorders>
              <w:top w:val="nil"/>
              <w:left w:val="nil"/>
              <w:bottom w:val="nil"/>
              <w:right w:val="nil"/>
            </w:tcBorders>
          </w:tcPr>
          <w:p w14:paraId="7793D268" w14:textId="77777777" w:rsidR="005A79DB" w:rsidRPr="00354796" w:rsidRDefault="005A79DB">
            <w:pPr>
              <w:pStyle w:val="Normal6a"/>
            </w:pPr>
          </w:p>
        </w:tc>
        <w:tc>
          <w:tcPr>
            <w:tcW w:w="4876" w:type="dxa"/>
            <w:tcBorders>
              <w:top w:val="nil"/>
              <w:left w:val="nil"/>
              <w:bottom w:val="nil"/>
              <w:right w:val="nil"/>
            </w:tcBorders>
          </w:tcPr>
          <w:p w14:paraId="7CFBE0CE" w14:textId="77777777" w:rsidR="005A79DB" w:rsidRPr="00354796" w:rsidRDefault="006E31A1">
            <w:pPr>
              <w:pStyle w:val="Normal6a"/>
            </w:pPr>
            <w:r w:rsidRPr="00354796">
              <w:rPr>
                <w:b/>
                <w:i/>
              </w:rPr>
              <w:t>–</w:t>
            </w:r>
            <w:r w:rsidRPr="00354796">
              <w:tab/>
            </w:r>
            <w:r w:rsidRPr="00354796">
              <w:rPr>
                <w:b/>
                <w:i/>
              </w:rPr>
              <w:t xml:space="preserve">uwzględniając badanie pt. „The </w:t>
            </w:r>
            <w:proofErr w:type="spellStart"/>
            <w:r w:rsidRPr="00354796">
              <w:rPr>
                <w:b/>
                <w:i/>
              </w:rPr>
              <w:t>implementation</w:t>
            </w:r>
            <w:proofErr w:type="spellEnd"/>
            <w:r w:rsidRPr="00354796">
              <w:rPr>
                <w:b/>
                <w:i/>
              </w:rPr>
              <w:t xml:space="preserve"> and </w:t>
            </w:r>
            <w:proofErr w:type="spellStart"/>
            <w:r w:rsidRPr="00354796">
              <w:rPr>
                <w:b/>
                <w:i/>
              </w:rPr>
              <w:t>impact</w:t>
            </w:r>
            <w:proofErr w:type="spellEnd"/>
            <w:r w:rsidRPr="00354796">
              <w:rPr>
                <w:b/>
                <w:i/>
              </w:rPr>
              <w:t xml:space="preserve"> of the VAT </w:t>
            </w:r>
            <w:proofErr w:type="spellStart"/>
            <w:r w:rsidRPr="00354796">
              <w:rPr>
                <w:b/>
                <w:i/>
              </w:rPr>
              <w:t>reverse</w:t>
            </w:r>
            <w:proofErr w:type="spellEnd"/>
            <w:r w:rsidRPr="00354796">
              <w:rPr>
                <w:b/>
                <w:i/>
              </w:rPr>
              <w:t xml:space="preserve"> </w:t>
            </w:r>
            <w:proofErr w:type="spellStart"/>
            <w:r w:rsidRPr="00354796">
              <w:rPr>
                <w:b/>
                <w:i/>
              </w:rPr>
              <w:t>charge</w:t>
            </w:r>
            <w:proofErr w:type="spellEnd"/>
            <w:r w:rsidRPr="00354796">
              <w:rPr>
                <w:b/>
                <w:i/>
              </w:rPr>
              <w:t xml:space="preserve"> </w:t>
            </w:r>
            <w:proofErr w:type="spellStart"/>
            <w:r w:rsidRPr="00354796">
              <w:rPr>
                <w:b/>
                <w:i/>
              </w:rPr>
              <w:t>mechanism</w:t>
            </w:r>
            <w:proofErr w:type="spellEnd"/>
            <w:r w:rsidRPr="00354796">
              <w:rPr>
                <w:b/>
                <w:i/>
              </w:rPr>
              <w:t xml:space="preserve"> in the EU” [Wdrożenie i wpływ mechanizmu odwrotnego obciążenia VAT w UE]</w:t>
            </w:r>
            <w:r w:rsidRPr="00354796">
              <w:rPr>
                <w:b/>
                <w:i/>
                <w:vertAlign w:val="superscript"/>
              </w:rPr>
              <w:t>7a</w:t>
            </w:r>
            <w:r w:rsidRPr="00354796">
              <w:rPr>
                <w:b/>
                <w:i/>
              </w:rPr>
              <w:t xml:space="preserve"> opublikowane przez Biuro Analiz Parlamentu Europejskiego w czerwcu 2026 r.,</w:t>
            </w:r>
          </w:p>
        </w:tc>
      </w:tr>
      <w:tr w:rsidR="005A79DB" w:rsidRPr="00354796" w14:paraId="5C5CDAC9" w14:textId="77777777">
        <w:trPr>
          <w:jc w:val="center"/>
        </w:trPr>
        <w:tc>
          <w:tcPr>
            <w:tcW w:w="4876" w:type="dxa"/>
            <w:tcBorders>
              <w:top w:val="nil"/>
              <w:left w:val="nil"/>
              <w:bottom w:val="nil"/>
              <w:right w:val="nil"/>
            </w:tcBorders>
          </w:tcPr>
          <w:p w14:paraId="3204C259" w14:textId="77777777" w:rsidR="005A79DB" w:rsidRPr="00354796" w:rsidRDefault="005A79DB"/>
        </w:tc>
        <w:tc>
          <w:tcPr>
            <w:tcW w:w="4876" w:type="dxa"/>
            <w:tcBorders>
              <w:top w:val="nil"/>
              <w:left w:val="nil"/>
              <w:bottom w:val="nil"/>
              <w:right w:val="nil"/>
            </w:tcBorders>
          </w:tcPr>
          <w:p w14:paraId="7BA0A167" w14:textId="77777777" w:rsidR="005A79DB" w:rsidRPr="00354796" w:rsidRDefault="006E31A1">
            <w:pPr>
              <w:pStyle w:val="Normal6a"/>
            </w:pPr>
            <w:r w:rsidRPr="00354796">
              <w:rPr>
                <w:b/>
                <w:i/>
              </w:rPr>
              <w:t>_________________</w:t>
            </w:r>
          </w:p>
        </w:tc>
      </w:tr>
      <w:tr w:rsidR="005A79DB" w:rsidRPr="00354796" w14:paraId="153AEC57" w14:textId="77777777">
        <w:trPr>
          <w:jc w:val="center"/>
        </w:trPr>
        <w:tc>
          <w:tcPr>
            <w:tcW w:w="4876" w:type="dxa"/>
            <w:tcBorders>
              <w:top w:val="nil"/>
              <w:left w:val="nil"/>
              <w:bottom w:val="nil"/>
              <w:right w:val="nil"/>
            </w:tcBorders>
          </w:tcPr>
          <w:p w14:paraId="71424049" w14:textId="77777777" w:rsidR="005A79DB" w:rsidRPr="00354796" w:rsidRDefault="005A79DB"/>
        </w:tc>
        <w:tc>
          <w:tcPr>
            <w:tcW w:w="4876" w:type="dxa"/>
            <w:tcBorders>
              <w:top w:val="nil"/>
              <w:left w:val="nil"/>
              <w:bottom w:val="nil"/>
              <w:right w:val="nil"/>
            </w:tcBorders>
          </w:tcPr>
          <w:p w14:paraId="15A9269C" w14:textId="77777777" w:rsidR="005A79DB" w:rsidRPr="00354796" w:rsidRDefault="006E31A1">
            <w:pPr>
              <w:pStyle w:val="Normal6a"/>
            </w:pPr>
            <w:r w:rsidRPr="00354796">
              <w:rPr>
                <w:b/>
                <w:i/>
                <w:vertAlign w:val="superscript"/>
              </w:rPr>
              <w:t>7a</w:t>
            </w:r>
            <w:r w:rsidRPr="00354796">
              <w:rPr>
                <w:b/>
                <w:i/>
              </w:rPr>
              <w:t xml:space="preserve"> Badanie pt. „The </w:t>
            </w:r>
            <w:proofErr w:type="spellStart"/>
            <w:r w:rsidRPr="00354796">
              <w:rPr>
                <w:b/>
                <w:i/>
              </w:rPr>
              <w:t>implementation</w:t>
            </w:r>
            <w:proofErr w:type="spellEnd"/>
            <w:r w:rsidRPr="00354796">
              <w:rPr>
                <w:b/>
                <w:i/>
              </w:rPr>
              <w:t xml:space="preserve"> and </w:t>
            </w:r>
            <w:proofErr w:type="spellStart"/>
            <w:r w:rsidRPr="00354796">
              <w:rPr>
                <w:b/>
                <w:i/>
              </w:rPr>
              <w:t>impact</w:t>
            </w:r>
            <w:proofErr w:type="spellEnd"/>
            <w:r w:rsidRPr="00354796">
              <w:rPr>
                <w:b/>
                <w:i/>
              </w:rPr>
              <w:t xml:space="preserve"> of the VAT </w:t>
            </w:r>
            <w:proofErr w:type="spellStart"/>
            <w:r w:rsidRPr="00354796">
              <w:rPr>
                <w:b/>
                <w:i/>
              </w:rPr>
              <w:t>reverse</w:t>
            </w:r>
            <w:proofErr w:type="spellEnd"/>
            <w:r w:rsidRPr="00354796">
              <w:rPr>
                <w:b/>
                <w:i/>
              </w:rPr>
              <w:t xml:space="preserve"> </w:t>
            </w:r>
            <w:proofErr w:type="spellStart"/>
            <w:r w:rsidRPr="00354796">
              <w:rPr>
                <w:b/>
                <w:i/>
              </w:rPr>
              <w:t>charge</w:t>
            </w:r>
            <w:proofErr w:type="spellEnd"/>
            <w:r w:rsidRPr="00354796">
              <w:rPr>
                <w:b/>
                <w:i/>
              </w:rPr>
              <w:t xml:space="preserve"> </w:t>
            </w:r>
            <w:proofErr w:type="spellStart"/>
            <w:r w:rsidRPr="00354796">
              <w:rPr>
                <w:b/>
                <w:i/>
              </w:rPr>
              <w:t>mechanism</w:t>
            </w:r>
            <w:proofErr w:type="spellEnd"/>
            <w:r w:rsidRPr="00354796">
              <w:rPr>
                <w:b/>
                <w:i/>
              </w:rPr>
              <w:t xml:space="preserve"> in the EU” [Wdrożenie i wpływ mechanizmu odwrotnego obciążenia VAT w UE] – https://www.europarl.europa.eu/RegData/etudes/STUD/2026/774719/EPRS_STU(2026)774719_EN.pdf.</w:t>
            </w:r>
          </w:p>
        </w:tc>
      </w:tr>
    </w:tbl>
    <w:p w14:paraId="10898BE4"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7C86BD8" w14:textId="77777777" w:rsidR="005A79DB" w:rsidRPr="00354796" w:rsidRDefault="006E31A1">
      <w:r w:rsidRPr="00354796">
        <w:rPr>
          <w:rStyle w:val="HideTWBExt"/>
        </w:rPr>
        <w:t>&lt;/Amend&gt;</w:t>
      </w:r>
    </w:p>
    <w:p w14:paraId="2EDDF1EC"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w:t>
      </w:r>
      <w:r w:rsidRPr="00354796">
        <w:rPr>
          <w:rStyle w:val="HideTWBExt"/>
        </w:rPr>
        <w:t>&lt;/NumAm&gt;</w:t>
      </w:r>
    </w:p>
    <w:p w14:paraId="1396A3E8"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151AC577" w14:textId="77777777" w:rsidR="005A79DB" w:rsidRPr="00354796" w:rsidRDefault="006E31A1">
      <w:pPr>
        <w:pStyle w:val="NormalBold"/>
      </w:pPr>
      <w:r w:rsidRPr="00354796">
        <w:rPr>
          <w:rStyle w:val="HideTWBExt"/>
          <w:b w:val="0"/>
        </w:rPr>
        <w:t>&lt;/RepeatBlock-By&gt;</w:t>
      </w:r>
    </w:p>
    <w:p w14:paraId="3F1612F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CE25211" w14:textId="77777777" w:rsidR="005A79DB" w:rsidRPr="00354796" w:rsidRDefault="006E31A1">
      <w:pPr>
        <w:pStyle w:val="NormalBold"/>
      </w:pPr>
      <w:r w:rsidRPr="00354796">
        <w:rPr>
          <w:rStyle w:val="HideTWBExt"/>
        </w:rPr>
        <w:t>&lt;Article&gt;</w:t>
      </w:r>
      <w:r w:rsidRPr="00354796">
        <w:t>Umocowanie 15 a (nowe)</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90BF1E3" w14:textId="77777777">
        <w:trPr>
          <w:trHeight w:hRule="exact" w:val="240"/>
          <w:jc w:val="center"/>
        </w:trPr>
        <w:tc>
          <w:tcPr>
            <w:tcW w:w="9752" w:type="dxa"/>
            <w:gridSpan w:val="2"/>
            <w:tcBorders>
              <w:top w:val="nil"/>
              <w:left w:val="nil"/>
              <w:bottom w:val="nil"/>
              <w:right w:val="nil"/>
            </w:tcBorders>
          </w:tcPr>
          <w:p w14:paraId="217322D4" w14:textId="77777777" w:rsidR="005A79DB" w:rsidRPr="00354796" w:rsidRDefault="005A79DB"/>
        </w:tc>
      </w:tr>
      <w:tr w:rsidR="005A79DB" w:rsidRPr="00354796" w14:paraId="1B9C0D06" w14:textId="77777777">
        <w:trPr>
          <w:trHeight w:val="240"/>
          <w:jc w:val="center"/>
        </w:trPr>
        <w:tc>
          <w:tcPr>
            <w:tcW w:w="4876" w:type="dxa"/>
            <w:tcBorders>
              <w:top w:val="nil"/>
              <w:left w:val="nil"/>
              <w:bottom w:val="nil"/>
              <w:right w:val="nil"/>
            </w:tcBorders>
          </w:tcPr>
          <w:p w14:paraId="3A4B6742"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9C527FD" w14:textId="77777777" w:rsidR="005A79DB" w:rsidRPr="00354796" w:rsidRDefault="006E31A1">
            <w:pPr>
              <w:pStyle w:val="AmColumnHeading"/>
            </w:pPr>
            <w:r w:rsidRPr="00354796">
              <w:t>Poprawka</w:t>
            </w:r>
          </w:p>
        </w:tc>
      </w:tr>
      <w:tr w:rsidR="005A79DB" w:rsidRPr="00354796" w14:paraId="1DB3E129" w14:textId="77777777">
        <w:trPr>
          <w:jc w:val="center"/>
        </w:trPr>
        <w:tc>
          <w:tcPr>
            <w:tcW w:w="4876" w:type="dxa"/>
            <w:tcBorders>
              <w:top w:val="nil"/>
              <w:left w:val="nil"/>
              <w:bottom w:val="nil"/>
              <w:right w:val="nil"/>
            </w:tcBorders>
          </w:tcPr>
          <w:p w14:paraId="4CAC5940" w14:textId="77777777" w:rsidR="005A79DB" w:rsidRPr="00354796" w:rsidRDefault="005A79DB">
            <w:pPr>
              <w:pStyle w:val="Normal6a"/>
            </w:pPr>
          </w:p>
        </w:tc>
        <w:tc>
          <w:tcPr>
            <w:tcW w:w="4876" w:type="dxa"/>
            <w:tcBorders>
              <w:top w:val="nil"/>
              <w:left w:val="nil"/>
              <w:bottom w:val="nil"/>
              <w:right w:val="nil"/>
            </w:tcBorders>
          </w:tcPr>
          <w:p w14:paraId="0AE8BD53" w14:textId="77777777" w:rsidR="005A79DB" w:rsidRPr="00354796" w:rsidRDefault="006E31A1">
            <w:pPr>
              <w:pStyle w:val="Normal6a"/>
            </w:pPr>
            <w:r w:rsidRPr="00354796">
              <w:rPr>
                <w:b/>
                <w:i/>
              </w:rPr>
              <w:t>–</w:t>
            </w:r>
            <w:r w:rsidRPr="00354796">
              <w:tab/>
            </w:r>
            <w:r w:rsidRPr="00354796">
              <w:rPr>
                <w:b/>
                <w:i/>
              </w:rPr>
              <w:t xml:space="preserve">uwzględniając rezolucję ustawodawczą Parlamentu Europejskiego z dnia 17 czerwca </w:t>
            </w:r>
            <w:r w:rsidRPr="00354796">
              <w:rPr>
                <w:b/>
                <w:i/>
              </w:rPr>
              <w:t xml:space="preserve">2026 r. w sprawie wniosku dotyczącego rozporządzenia Rady zmieniającego rozporządzenie (UE) nr 904/2010 w odniesieniu do dostępu Prokuratury Europejskiej i Europejskiego Urzędu ds. Zwalczania Nadużyć Finansowych (OLAF) do informacji </w:t>
            </w:r>
            <w:r w:rsidRPr="00354796">
              <w:rPr>
                <w:b/>
                <w:i/>
              </w:rPr>
              <w:lastRenderedPageBreak/>
              <w:t>dotyczących podatku od wartości dodanej na poziomie Unii (</w:t>
            </w:r>
            <w:proofErr w:type="gramStart"/>
            <w:r w:rsidRPr="00354796">
              <w:rPr>
                <w:b/>
                <w:i/>
              </w:rPr>
              <w:t>COM(</w:t>
            </w:r>
            <w:proofErr w:type="gramEnd"/>
            <w:r w:rsidRPr="00354796">
              <w:rPr>
                <w:b/>
                <w:i/>
              </w:rPr>
              <w:t>2025)0685 – C10-0298/2025 – 2025/0348(CNS)),</w:t>
            </w:r>
          </w:p>
        </w:tc>
      </w:tr>
    </w:tbl>
    <w:p w14:paraId="18D1AABA"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E8F6A53" w14:textId="77777777" w:rsidR="005A79DB" w:rsidRPr="00354796" w:rsidRDefault="006E31A1">
      <w:r w:rsidRPr="00354796">
        <w:rPr>
          <w:rStyle w:val="HideTWBExt"/>
        </w:rPr>
        <w:t>&lt;/Amend&gt;</w:t>
      </w:r>
    </w:p>
    <w:p w14:paraId="1EEEDA4E"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w:t>
      </w:r>
      <w:r w:rsidRPr="00354796">
        <w:rPr>
          <w:rStyle w:val="HideTWBExt"/>
        </w:rPr>
        <w:t>&lt;/NumAm&gt;</w:t>
      </w:r>
    </w:p>
    <w:p w14:paraId="4C39A83E"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5AF83E6B" w14:textId="77777777" w:rsidR="005A79DB" w:rsidRPr="00354796" w:rsidRDefault="006E31A1">
      <w:pPr>
        <w:pStyle w:val="NormalBold"/>
      </w:pPr>
      <w:r w:rsidRPr="00354796">
        <w:rPr>
          <w:rStyle w:val="HideTWBExt"/>
          <w:b w:val="0"/>
        </w:rPr>
        <w:t>&lt;/RepeatBlock-By&gt;</w:t>
      </w:r>
    </w:p>
    <w:p w14:paraId="007F7E4B"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361CBA8B" w14:textId="77777777" w:rsidR="005A79DB" w:rsidRPr="00354796" w:rsidRDefault="006E31A1">
      <w:pPr>
        <w:pStyle w:val="NormalBold"/>
      </w:pPr>
      <w:r w:rsidRPr="00354796">
        <w:rPr>
          <w:rStyle w:val="HideTWBExt"/>
        </w:rPr>
        <w:t>&lt;Article&gt;</w:t>
      </w:r>
      <w:r w:rsidRPr="00354796">
        <w:t>Umocowanie 15 a (nowe)</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E54BD03" w14:textId="77777777">
        <w:trPr>
          <w:trHeight w:hRule="exact" w:val="240"/>
          <w:jc w:val="center"/>
        </w:trPr>
        <w:tc>
          <w:tcPr>
            <w:tcW w:w="9752" w:type="dxa"/>
            <w:gridSpan w:val="2"/>
            <w:tcBorders>
              <w:top w:val="nil"/>
              <w:left w:val="nil"/>
              <w:bottom w:val="nil"/>
              <w:right w:val="nil"/>
            </w:tcBorders>
          </w:tcPr>
          <w:p w14:paraId="072D424A" w14:textId="77777777" w:rsidR="005A79DB" w:rsidRPr="00354796" w:rsidRDefault="005A79DB"/>
        </w:tc>
      </w:tr>
      <w:tr w:rsidR="005A79DB" w:rsidRPr="00354796" w14:paraId="1BDA3D87" w14:textId="77777777">
        <w:trPr>
          <w:trHeight w:val="240"/>
          <w:jc w:val="center"/>
        </w:trPr>
        <w:tc>
          <w:tcPr>
            <w:tcW w:w="4876" w:type="dxa"/>
            <w:tcBorders>
              <w:top w:val="nil"/>
              <w:left w:val="nil"/>
              <w:bottom w:val="nil"/>
              <w:right w:val="nil"/>
            </w:tcBorders>
          </w:tcPr>
          <w:p w14:paraId="43E41BC5"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10A1BD3" w14:textId="77777777" w:rsidR="005A79DB" w:rsidRPr="00354796" w:rsidRDefault="006E31A1">
            <w:pPr>
              <w:pStyle w:val="AmColumnHeading"/>
            </w:pPr>
            <w:r w:rsidRPr="00354796">
              <w:t>Poprawka</w:t>
            </w:r>
          </w:p>
        </w:tc>
      </w:tr>
      <w:tr w:rsidR="005A79DB" w:rsidRPr="00354796" w14:paraId="077F6619" w14:textId="77777777">
        <w:trPr>
          <w:jc w:val="center"/>
        </w:trPr>
        <w:tc>
          <w:tcPr>
            <w:tcW w:w="4876" w:type="dxa"/>
            <w:tcBorders>
              <w:top w:val="nil"/>
              <w:left w:val="nil"/>
              <w:bottom w:val="nil"/>
              <w:right w:val="nil"/>
            </w:tcBorders>
          </w:tcPr>
          <w:p w14:paraId="1E772FA6" w14:textId="77777777" w:rsidR="005A79DB" w:rsidRPr="00354796" w:rsidRDefault="005A79DB">
            <w:pPr>
              <w:pStyle w:val="Normal6a"/>
            </w:pPr>
          </w:p>
        </w:tc>
        <w:tc>
          <w:tcPr>
            <w:tcW w:w="4876" w:type="dxa"/>
            <w:tcBorders>
              <w:top w:val="nil"/>
              <w:left w:val="nil"/>
              <w:bottom w:val="nil"/>
              <w:right w:val="nil"/>
            </w:tcBorders>
          </w:tcPr>
          <w:p w14:paraId="5D6BB158" w14:textId="77777777" w:rsidR="005A79DB" w:rsidRPr="00354796" w:rsidRDefault="006E31A1">
            <w:pPr>
              <w:pStyle w:val="Normal6a"/>
            </w:pPr>
            <w:r w:rsidRPr="00354796">
              <w:rPr>
                <w:b/>
                <w:i/>
              </w:rPr>
              <w:t>–</w:t>
            </w:r>
            <w:r w:rsidRPr="00354796">
              <w:tab/>
            </w:r>
            <w:r w:rsidRPr="00354796">
              <w:rPr>
                <w:b/>
                <w:i/>
              </w:rPr>
              <w:t xml:space="preserve">uwzględniając sprawozdanie w sprawie wniosku dotyczącego rozporządzenia Rady zmieniającego rozporządzenie (UE) </w:t>
            </w:r>
            <w:r w:rsidRPr="00354796">
              <w:rPr>
                <w:b/>
                <w:i/>
              </w:rPr>
              <w:t>nr 904/2010 w odniesieniu do dostępu Prokuratury Europejskiej i Europejskiego Urzędu ds. Zwalczania Nadużyć Finansowych (OLAF) do informacji dotyczących podatku od wartości dodanej na poziomie Unii,</w:t>
            </w:r>
          </w:p>
        </w:tc>
      </w:tr>
    </w:tbl>
    <w:p w14:paraId="3D7C7A7D"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B73EA18" w14:textId="77777777" w:rsidR="005A79DB" w:rsidRPr="00354796" w:rsidRDefault="006E31A1">
      <w:r w:rsidRPr="00354796">
        <w:rPr>
          <w:rStyle w:val="HideTWBExt"/>
        </w:rPr>
        <w:t>&lt;/Amend&gt;</w:t>
      </w:r>
    </w:p>
    <w:p w14:paraId="58E88F0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w:t>
      </w:r>
      <w:r w:rsidRPr="00354796">
        <w:rPr>
          <w:rStyle w:val="HideTWBExt"/>
        </w:rPr>
        <w:t>&lt;/NumAm&gt;</w:t>
      </w:r>
    </w:p>
    <w:p w14:paraId="6CC315F7"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132EA78F" w14:textId="77777777" w:rsidR="005A79DB" w:rsidRPr="00354796" w:rsidRDefault="006E31A1">
      <w:pPr>
        <w:pStyle w:val="NormalBold"/>
      </w:pPr>
      <w:r w:rsidRPr="00354796">
        <w:rPr>
          <w:rStyle w:val="HideTWBExt"/>
          <w:b w:val="0"/>
        </w:rPr>
        <w:t>&lt;/RepeatBlock-By&gt;</w:t>
      </w:r>
    </w:p>
    <w:p w14:paraId="7FDED21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22FB971" w14:textId="77777777" w:rsidR="005A79DB" w:rsidRPr="00354796" w:rsidRDefault="006E31A1">
      <w:pPr>
        <w:pStyle w:val="NormalBold"/>
      </w:pPr>
      <w:r w:rsidRPr="00354796">
        <w:rPr>
          <w:rStyle w:val="HideTWBExt"/>
        </w:rPr>
        <w:t>&lt;Article&gt;</w:t>
      </w:r>
      <w:r w:rsidRPr="00354796">
        <w:t>Umocowanie 16</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9C0F0E1" w14:textId="77777777">
        <w:trPr>
          <w:trHeight w:hRule="exact" w:val="240"/>
          <w:jc w:val="center"/>
        </w:trPr>
        <w:tc>
          <w:tcPr>
            <w:tcW w:w="9752" w:type="dxa"/>
            <w:gridSpan w:val="2"/>
            <w:tcBorders>
              <w:top w:val="nil"/>
              <w:left w:val="nil"/>
              <w:bottom w:val="nil"/>
              <w:right w:val="nil"/>
            </w:tcBorders>
          </w:tcPr>
          <w:p w14:paraId="1BE9F74C" w14:textId="77777777" w:rsidR="005A79DB" w:rsidRPr="00354796" w:rsidRDefault="005A79DB"/>
        </w:tc>
      </w:tr>
      <w:tr w:rsidR="005A79DB" w:rsidRPr="00354796" w14:paraId="56BC2950" w14:textId="77777777">
        <w:trPr>
          <w:trHeight w:val="240"/>
          <w:jc w:val="center"/>
        </w:trPr>
        <w:tc>
          <w:tcPr>
            <w:tcW w:w="4876" w:type="dxa"/>
            <w:tcBorders>
              <w:top w:val="nil"/>
              <w:left w:val="nil"/>
              <w:bottom w:val="nil"/>
              <w:right w:val="nil"/>
            </w:tcBorders>
          </w:tcPr>
          <w:p w14:paraId="79E5D282"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0C9BF4A" w14:textId="77777777" w:rsidR="005A79DB" w:rsidRPr="00354796" w:rsidRDefault="006E31A1">
            <w:pPr>
              <w:pStyle w:val="AmColumnHeading"/>
            </w:pPr>
            <w:r w:rsidRPr="00354796">
              <w:t>Poprawka</w:t>
            </w:r>
          </w:p>
        </w:tc>
      </w:tr>
      <w:tr w:rsidR="005A79DB" w:rsidRPr="00354796" w14:paraId="0DBCDFAA" w14:textId="77777777">
        <w:trPr>
          <w:jc w:val="center"/>
        </w:trPr>
        <w:tc>
          <w:tcPr>
            <w:tcW w:w="4876" w:type="dxa"/>
            <w:tcBorders>
              <w:top w:val="nil"/>
              <w:left w:val="nil"/>
              <w:bottom w:val="nil"/>
              <w:right w:val="nil"/>
            </w:tcBorders>
          </w:tcPr>
          <w:p w14:paraId="0B89BB15" w14:textId="77777777" w:rsidR="005A79DB" w:rsidRPr="00354796" w:rsidRDefault="006E31A1">
            <w:pPr>
              <w:pStyle w:val="Normal6a"/>
            </w:pPr>
            <w:r w:rsidRPr="00354796">
              <w:t>–</w:t>
            </w:r>
            <w:r w:rsidRPr="00354796">
              <w:tab/>
            </w:r>
            <w:r w:rsidRPr="00354796">
              <w:t xml:space="preserve">uwzględniając badanie pt. „The </w:t>
            </w:r>
            <w:proofErr w:type="spellStart"/>
            <w:r w:rsidRPr="00354796">
              <w:t>implementation</w:t>
            </w:r>
            <w:proofErr w:type="spellEnd"/>
            <w:r w:rsidRPr="00354796">
              <w:t xml:space="preserve"> and </w:t>
            </w:r>
            <w:proofErr w:type="spellStart"/>
            <w:r w:rsidRPr="00354796">
              <w:t>impact</w:t>
            </w:r>
            <w:proofErr w:type="spellEnd"/>
            <w:r w:rsidRPr="00354796">
              <w:t xml:space="preserve"> of the VAT </w:t>
            </w:r>
            <w:proofErr w:type="spellStart"/>
            <w:r w:rsidRPr="00354796">
              <w:t>reverse</w:t>
            </w:r>
            <w:proofErr w:type="spellEnd"/>
            <w:r w:rsidRPr="00354796">
              <w:t xml:space="preserve"> </w:t>
            </w:r>
            <w:proofErr w:type="spellStart"/>
            <w:r w:rsidRPr="00354796">
              <w:t>charge</w:t>
            </w:r>
            <w:proofErr w:type="spellEnd"/>
            <w:r w:rsidRPr="00354796">
              <w:t xml:space="preserve"> </w:t>
            </w:r>
            <w:proofErr w:type="spellStart"/>
            <w:r w:rsidRPr="00354796">
              <w:t>mechanism</w:t>
            </w:r>
            <w:proofErr w:type="spellEnd"/>
            <w:r w:rsidRPr="00354796">
              <w:t xml:space="preserve"> in the EU” [Wdrożenie i wpływ mechanizmu odwrotnego obciążenia VAT w UE] opublikowane przez Dyrekcję Generalną ds. Analiz Parlamentarnych w dniu </w:t>
            </w:r>
            <w:r w:rsidRPr="00354796">
              <w:rPr>
                <w:b/>
                <w:i/>
              </w:rPr>
              <w:t>XX</w:t>
            </w:r>
            <w:r w:rsidRPr="00354796">
              <w:t> czerwca 2026 r.</w:t>
            </w:r>
            <w:r w:rsidRPr="00354796">
              <w:rPr>
                <w:vertAlign w:val="superscript"/>
              </w:rPr>
              <w:t>14</w:t>
            </w:r>
            <w:r w:rsidRPr="00354796">
              <w:t>,</w:t>
            </w:r>
          </w:p>
        </w:tc>
        <w:tc>
          <w:tcPr>
            <w:tcW w:w="4876" w:type="dxa"/>
            <w:tcBorders>
              <w:top w:val="nil"/>
              <w:left w:val="nil"/>
              <w:bottom w:val="nil"/>
              <w:right w:val="nil"/>
            </w:tcBorders>
          </w:tcPr>
          <w:p w14:paraId="3DDACB7A" w14:textId="77777777" w:rsidR="005A79DB" w:rsidRPr="00354796" w:rsidRDefault="006E31A1">
            <w:pPr>
              <w:pStyle w:val="Normal6a"/>
            </w:pPr>
            <w:r w:rsidRPr="00354796">
              <w:t>–</w:t>
            </w:r>
            <w:r w:rsidRPr="00354796">
              <w:tab/>
              <w:t xml:space="preserve">uwzględniając badanie pt. „The </w:t>
            </w:r>
            <w:proofErr w:type="spellStart"/>
            <w:r w:rsidRPr="00354796">
              <w:t>implementation</w:t>
            </w:r>
            <w:proofErr w:type="spellEnd"/>
            <w:r w:rsidRPr="00354796">
              <w:t xml:space="preserve"> and </w:t>
            </w:r>
            <w:proofErr w:type="spellStart"/>
            <w:r w:rsidRPr="00354796">
              <w:t>impact</w:t>
            </w:r>
            <w:proofErr w:type="spellEnd"/>
            <w:r w:rsidRPr="00354796">
              <w:t xml:space="preserve"> of the VAT </w:t>
            </w:r>
            <w:proofErr w:type="spellStart"/>
            <w:r w:rsidRPr="00354796">
              <w:t>reverse</w:t>
            </w:r>
            <w:proofErr w:type="spellEnd"/>
            <w:r w:rsidRPr="00354796">
              <w:t xml:space="preserve"> </w:t>
            </w:r>
            <w:proofErr w:type="spellStart"/>
            <w:r w:rsidRPr="00354796">
              <w:t>charge</w:t>
            </w:r>
            <w:proofErr w:type="spellEnd"/>
            <w:r w:rsidRPr="00354796">
              <w:t xml:space="preserve"> </w:t>
            </w:r>
            <w:proofErr w:type="spellStart"/>
            <w:r w:rsidRPr="00354796">
              <w:t>mechanism</w:t>
            </w:r>
            <w:proofErr w:type="spellEnd"/>
            <w:r w:rsidRPr="00354796">
              <w:t xml:space="preserve"> in the EU” [Wdrożenie i wpływ mechanizmu odwrotnego obciążenia VAT w UE] opublikowane przez Dyrekcję Generalną ds. Analiz Parlamentarnych w dniu </w:t>
            </w:r>
            <w:r w:rsidRPr="00354796">
              <w:rPr>
                <w:b/>
                <w:i/>
              </w:rPr>
              <w:t>22</w:t>
            </w:r>
            <w:r w:rsidRPr="00354796">
              <w:t> czerwca 2026 r.</w:t>
            </w:r>
            <w:r w:rsidRPr="00354796">
              <w:rPr>
                <w:vertAlign w:val="superscript"/>
              </w:rPr>
              <w:t>14</w:t>
            </w:r>
            <w:r w:rsidRPr="00354796">
              <w:t>,</w:t>
            </w:r>
          </w:p>
        </w:tc>
      </w:tr>
      <w:tr w:rsidR="005A79DB" w:rsidRPr="00354796" w14:paraId="699A6558" w14:textId="77777777">
        <w:trPr>
          <w:jc w:val="center"/>
        </w:trPr>
        <w:tc>
          <w:tcPr>
            <w:tcW w:w="4876" w:type="dxa"/>
            <w:tcBorders>
              <w:top w:val="nil"/>
              <w:left w:val="nil"/>
              <w:bottom w:val="nil"/>
              <w:right w:val="nil"/>
            </w:tcBorders>
          </w:tcPr>
          <w:p w14:paraId="21DD3628" w14:textId="77777777" w:rsidR="005A79DB" w:rsidRPr="00354796" w:rsidRDefault="006E31A1">
            <w:pPr>
              <w:pStyle w:val="Normal6a"/>
            </w:pPr>
            <w:r w:rsidRPr="00354796">
              <w:rPr>
                <w:b/>
                <w:i/>
              </w:rPr>
              <w:t>_________________</w:t>
            </w:r>
          </w:p>
        </w:tc>
        <w:tc>
          <w:tcPr>
            <w:tcW w:w="4876" w:type="dxa"/>
            <w:tcBorders>
              <w:top w:val="nil"/>
              <w:left w:val="nil"/>
              <w:bottom w:val="nil"/>
              <w:right w:val="nil"/>
            </w:tcBorders>
          </w:tcPr>
          <w:p w14:paraId="3E735541" w14:textId="77777777" w:rsidR="005A79DB" w:rsidRPr="00354796" w:rsidRDefault="006E31A1">
            <w:pPr>
              <w:pStyle w:val="Normal6a"/>
            </w:pPr>
            <w:r w:rsidRPr="00354796">
              <w:rPr>
                <w:b/>
                <w:i/>
              </w:rPr>
              <w:t>_________________</w:t>
            </w:r>
          </w:p>
        </w:tc>
      </w:tr>
      <w:tr w:rsidR="005A79DB" w:rsidRPr="00354796" w14:paraId="02E4522A" w14:textId="77777777">
        <w:trPr>
          <w:jc w:val="center"/>
        </w:trPr>
        <w:tc>
          <w:tcPr>
            <w:tcW w:w="4876" w:type="dxa"/>
            <w:tcBorders>
              <w:top w:val="nil"/>
              <w:left w:val="nil"/>
              <w:bottom w:val="nil"/>
              <w:right w:val="nil"/>
            </w:tcBorders>
          </w:tcPr>
          <w:p w14:paraId="632ECCCA" w14:textId="77777777" w:rsidR="005A79DB" w:rsidRPr="00354796" w:rsidRDefault="006E31A1">
            <w:pPr>
              <w:pStyle w:val="Normal6a"/>
            </w:pPr>
            <w:r w:rsidRPr="00354796">
              <w:rPr>
                <w:vertAlign w:val="superscript"/>
              </w:rPr>
              <w:lastRenderedPageBreak/>
              <w:t>14</w:t>
            </w:r>
            <w:r w:rsidRPr="00354796">
              <w:t xml:space="preserve"> Badanie pt. „The </w:t>
            </w:r>
            <w:proofErr w:type="spellStart"/>
            <w:r w:rsidRPr="00354796">
              <w:t>implementation</w:t>
            </w:r>
            <w:proofErr w:type="spellEnd"/>
            <w:r w:rsidRPr="00354796">
              <w:t xml:space="preserve"> and </w:t>
            </w:r>
            <w:proofErr w:type="spellStart"/>
            <w:r w:rsidRPr="00354796">
              <w:t>impact</w:t>
            </w:r>
            <w:proofErr w:type="spellEnd"/>
            <w:r w:rsidRPr="00354796">
              <w:t xml:space="preserve"> of the VAT </w:t>
            </w:r>
            <w:proofErr w:type="spellStart"/>
            <w:r w:rsidRPr="00354796">
              <w:t>reverse</w:t>
            </w:r>
            <w:proofErr w:type="spellEnd"/>
            <w:r w:rsidRPr="00354796">
              <w:t xml:space="preserve"> </w:t>
            </w:r>
            <w:proofErr w:type="spellStart"/>
            <w:r w:rsidRPr="00354796">
              <w:t>charge</w:t>
            </w:r>
            <w:proofErr w:type="spellEnd"/>
            <w:r w:rsidRPr="00354796">
              <w:t xml:space="preserve"> </w:t>
            </w:r>
            <w:proofErr w:type="spellStart"/>
            <w:r w:rsidRPr="00354796">
              <w:t>mechanism</w:t>
            </w:r>
            <w:proofErr w:type="spellEnd"/>
            <w:r w:rsidRPr="00354796">
              <w:t xml:space="preserve"> in the EU” [Wdrożenie i wpływ mechanizmu odwrotnego obciążenia VAT w UE], Parlament Europejski, Biuro Analiz Parlamentu Europejskiego, XX czerwca 2026 r.</w:t>
            </w:r>
          </w:p>
        </w:tc>
        <w:tc>
          <w:tcPr>
            <w:tcW w:w="4876" w:type="dxa"/>
            <w:tcBorders>
              <w:top w:val="nil"/>
              <w:left w:val="nil"/>
              <w:bottom w:val="nil"/>
              <w:right w:val="nil"/>
            </w:tcBorders>
          </w:tcPr>
          <w:p w14:paraId="157349D6" w14:textId="77777777" w:rsidR="005A79DB" w:rsidRPr="00354796" w:rsidRDefault="006E31A1">
            <w:pPr>
              <w:pStyle w:val="Normal6a"/>
            </w:pPr>
            <w:r w:rsidRPr="00354796">
              <w:rPr>
                <w:vertAlign w:val="superscript"/>
              </w:rPr>
              <w:t>14</w:t>
            </w:r>
            <w:r w:rsidRPr="00354796">
              <w:t xml:space="preserve"> Badanie pt. „The </w:t>
            </w:r>
            <w:proofErr w:type="spellStart"/>
            <w:r w:rsidRPr="00354796">
              <w:t>implementation</w:t>
            </w:r>
            <w:proofErr w:type="spellEnd"/>
            <w:r w:rsidRPr="00354796">
              <w:t xml:space="preserve"> and </w:t>
            </w:r>
            <w:proofErr w:type="spellStart"/>
            <w:r w:rsidRPr="00354796">
              <w:t>impact</w:t>
            </w:r>
            <w:proofErr w:type="spellEnd"/>
            <w:r w:rsidRPr="00354796">
              <w:t xml:space="preserve"> of the VAT </w:t>
            </w:r>
            <w:proofErr w:type="spellStart"/>
            <w:r w:rsidRPr="00354796">
              <w:t>reverse</w:t>
            </w:r>
            <w:proofErr w:type="spellEnd"/>
            <w:r w:rsidRPr="00354796">
              <w:t xml:space="preserve"> </w:t>
            </w:r>
            <w:proofErr w:type="spellStart"/>
            <w:r w:rsidRPr="00354796">
              <w:t>charge</w:t>
            </w:r>
            <w:proofErr w:type="spellEnd"/>
            <w:r w:rsidRPr="00354796">
              <w:t xml:space="preserve"> </w:t>
            </w:r>
            <w:proofErr w:type="spellStart"/>
            <w:r w:rsidRPr="00354796">
              <w:t>mechanism</w:t>
            </w:r>
            <w:proofErr w:type="spellEnd"/>
            <w:r w:rsidRPr="00354796">
              <w:t xml:space="preserve"> in the EU” [Wdrożenie i wpływ mechanizmu odwrotnego obciążenia VAT w UE], Parlament Europejski, Biuro Analiz Parlamentu Europejskiego, XX czerwca 2026 r.</w:t>
            </w:r>
          </w:p>
        </w:tc>
      </w:tr>
    </w:tbl>
    <w:p w14:paraId="0C30CA4F"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46CE0341" w14:textId="77777777" w:rsidR="005A79DB" w:rsidRPr="00354796" w:rsidRDefault="006E31A1">
      <w:r w:rsidRPr="00354796">
        <w:rPr>
          <w:rStyle w:val="HideTWBExt"/>
        </w:rPr>
        <w:t>&lt;/Amend&gt;</w:t>
      </w:r>
    </w:p>
    <w:p w14:paraId="685FBB2E"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w:t>
      </w:r>
      <w:r w:rsidRPr="00354796">
        <w:rPr>
          <w:rStyle w:val="HideTWBExt"/>
        </w:rPr>
        <w:t>&lt;/NumAm&gt;</w:t>
      </w:r>
    </w:p>
    <w:p w14:paraId="3B9CB7D1"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06449A2E" w14:textId="77777777" w:rsidR="005A79DB" w:rsidRPr="00354796" w:rsidRDefault="006E31A1">
      <w:pPr>
        <w:pStyle w:val="NormalBold"/>
      </w:pPr>
      <w:r w:rsidRPr="00354796">
        <w:rPr>
          <w:rStyle w:val="HideTWBExt"/>
          <w:b w:val="0"/>
        </w:rPr>
        <w:t>&lt;/RepeatBlock-By&gt;</w:t>
      </w:r>
    </w:p>
    <w:p w14:paraId="10DB949B"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2E0B322" w14:textId="77777777" w:rsidR="005A79DB" w:rsidRPr="00354796" w:rsidRDefault="006E31A1">
      <w:pPr>
        <w:pStyle w:val="NormalBold"/>
      </w:pPr>
      <w:r w:rsidRPr="00354796">
        <w:rPr>
          <w:rStyle w:val="HideTWBExt"/>
        </w:rPr>
        <w:t>&lt;Article&gt;</w:t>
      </w:r>
      <w:r w:rsidRPr="00354796">
        <w:t>Umocowanie 16 a (nowe)</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E6BFAB9" w14:textId="77777777">
        <w:trPr>
          <w:trHeight w:hRule="exact" w:val="240"/>
          <w:jc w:val="center"/>
        </w:trPr>
        <w:tc>
          <w:tcPr>
            <w:tcW w:w="9752" w:type="dxa"/>
            <w:gridSpan w:val="2"/>
            <w:tcBorders>
              <w:top w:val="nil"/>
              <w:left w:val="nil"/>
              <w:bottom w:val="nil"/>
              <w:right w:val="nil"/>
            </w:tcBorders>
          </w:tcPr>
          <w:p w14:paraId="1144FB5E" w14:textId="77777777" w:rsidR="005A79DB" w:rsidRPr="00354796" w:rsidRDefault="005A79DB"/>
        </w:tc>
      </w:tr>
      <w:tr w:rsidR="005A79DB" w:rsidRPr="00354796" w14:paraId="10BEDC68" w14:textId="77777777">
        <w:trPr>
          <w:trHeight w:val="240"/>
          <w:jc w:val="center"/>
        </w:trPr>
        <w:tc>
          <w:tcPr>
            <w:tcW w:w="4876" w:type="dxa"/>
            <w:tcBorders>
              <w:top w:val="nil"/>
              <w:left w:val="nil"/>
              <w:bottom w:val="nil"/>
              <w:right w:val="nil"/>
            </w:tcBorders>
          </w:tcPr>
          <w:p w14:paraId="2F7E602D"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1E3C7771" w14:textId="77777777" w:rsidR="005A79DB" w:rsidRPr="00354796" w:rsidRDefault="006E31A1">
            <w:pPr>
              <w:pStyle w:val="AmColumnHeading"/>
            </w:pPr>
            <w:r w:rsidRPr="00354796">
              <w:t>Poprawka</w:t>
            </w:r>
          </w:p>
        </w:tc>
      </w:tr>
      <w:tr w:rsidR="005A79DB" w:rsidRPr="00354796" w14:paraId="7FC55431" w14:textId="77777777">
        <w:trPr>
          <w:jc w:val="center"/>
        </w:trPr>
        <w:tc>
          <w:tcPr>
            <w:tcW w:w="4876" w:type="dxa"/>
            <w:tcBorders>
              <w:top w:val="nil"/>
              <w:left w:val="nil"/>
              <w:bottom w:val="nil"/>
              <w:right w:val="nil"/>
            </w:tcBorders>
          </w:tcPr>
          <w:p w14:paraId="051A37A9" w14:textId="77777777" w:rsidR="005A79DB" w:rsidRPr="00354796" w:rsidRDefault="005A79DB">
            <w:pPr>
              <w:pStyle w:val="Normal6a"/>
            </w:pPr>
          </w:p>
        </w:tc>
        <w:tc>
          <w:tcPr>
            <w:tcW w:w="4876" w:type="dxa"/>
            <w:tcBorders>
              <w:top w:val="nil"/>
              <w:left w:val="nil"/>
              <w:bottom w:val="nil"/>
              <w:right w:val="nil"/>
            </w:tcBorders>
          </w:tcPr>
          <w:p w14:paraId="59D5F282" w14:textId="77777777" w:rsidR="005A79DB" w:rsidRPr="00354796" w:rsidRDefault="006E31A1">
            <w:pPr>
              <w:pStyle w:val="Normal6a"/>
            </w:pPr>
            <w:r w:rsidRPr="00354796">
              <w:rPr>
                <w:b/>
                <w:i/>
              </w:rPr>
              <w:t>–</w:t>
            </w:r>
            <w:r w:rsidRPr="00354796">
              <w:tab/>
            </w:r>
            <w:r w:rsidRPr="00354796">
              <w:rPr>
                <w:b/>
                <w:i/>
              </w:rPr>
              <w:t>uwzględniając konkluzje z posiedzenia Rady Europejskiej z dnia 19 marca 2026 r.,</w:t>
            </w:r>
          </w:p>
        </w:tc>
      </w:tr>
    </w:tbl>
    <w:p w14:paraId="503BDC61"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3824364" w14:textId="77777777" w:rsidR="005A79DB" w:rsidRPr="00354796" w:rsidRDefault="006E31A1">
      <w:r w:rsidRPr="00354796">
        <w:rPr>
          <w:rStyle w:val="HideTWBExt"/>
        </w:rPr>
        <w:t>&lt;/Amend&gt;</w:t>
      </w:r>
    </w:p>
    <w:p w14:paraId="5760181C"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w:t>
      </w:r>
      <w:r w:rsidRPr="00354796">
        <w:rPr>
          <w:rStyle w:val="HideTWBExt"/>
        </w:rPr>
        <w:t>&lt;/NumAm&gt;</w:t>
      </w:r>
    </w:p>
    <w:p w14:paraId="1C89E0A3"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707B875B" w14:textId="77777777" w:rsidR="005A79DB" w:rsidRPr="00354796" w:rsidRDefault="006E31A1">
      <w:pPr>
        <w:pStyle w:val="NormalBold"/>
      </w:pPr>
      <w:r w:rsidRPr="00354796">
        <w:rPr>
          <w:rStyle w:val="HideTWBExt"/>
          <w:b w:val="0"/>
        </w:rPr>
        <w:t>&lt;/RepeatBlock-By&gt;</w:t>
      </w:r>
    </w:p>
    <w:p w14:paraId="4E04AC76"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4591531" w14:textId="77777777" w:rsidR="005A79DB" w:rsidRPr="00354796" w:rsidRDefault="006E31A1">
      <w:pPr>
        <w:pStyle w:val="NormalBold"/>
      </w:pPr>
      <w:r w:rsidRPr="00354796">
        <w:rPr>
          <w:rStyle w:val="HideTWBExt"/>
        </w:rPr>
        <w:t>&lt;Article&gt;</w:t>
      </w:r>
      <w:r w:rsidRPr="00354796">
        <w:t>Umocowanie 16 b (nowe)</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8C0DFEE" w14:textId="77777777">
        <w:trPr>
          <w:trHeight w:hRule="exact" w:val="240"/>
          <w:jc w:val="center"/>
        </w:trPr>
        <w:tc>
          <w:tcPr>
            <w:tcW w:w="9752" w:type="dxa"/>
            <w:gridSpan w:val="2"/>
            <w:tcBorders>
              <w:top w:val="nil"/>
              <w:left w:val="nil"/>
              <w:bottom w:val="nil"/>
              <w:right w:val="nil"/>
            </w:tcBorders>
          </w:tcPr>
          <w:p w14:paraId="088EC8FA" w14:textId="77777777" w:rsidR="005A79DB" w:rsidRPr="00354796" w:rsidRDefault="005A79DB"/>
        </w:tc>
      </w:tr>
      <w:tr w:rsidR="005A79DB" w:rsidRPr="00354796" w14:paraId="4321BBFD" w14:textId="77777777">
        <w:trPr>
          <w:trHeight w:val="240"/>
          <w:jc w:val="center"/>
        </w:trPr>
        <w:tc>
          <w:tcPr>
            <w:tcW w:w="4876" w:type="dxa"/>
            <w:tcBorders>
              <w:top w:val="nil"/>
              <w:left w:val="nil"/>
              <w:bottom w:val="nil"/>
              <w:right w:val="nil"/>
            </w:tcBorders>
          </w:tcPr>
          <w:p w14:paraId="4A5BA7BE"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93F0EA6" w14:textId="77777777" w:rsidR="005A79DB" w:rsidRPr="00354796" w:rsidRDefault="006E31A1">
            <w:pPr>
              <w:pStyle w:val="AmColumnHeading"/>
            </w:pPr>
            <w:r w:rsidRPr="00354796">
              <w:t>Poprawka</w:t>
            </w:r>
          </w:p>
        </w:tc>
      </w:tr>
      <w:tr w:rsidR="005A79DB" w:rsidRPr="00354796" w14:paraId="63C1EDC7" w14:textId="77777777">
        <w:trPr>
          <w:jc w:val="center"/>
        </w:trPr>
        <w:tc>
          <w:tcPr>
            <w:tcW w:w="4876" w:type="dxa"/>
            <w:tcBorders>
              <w:top w:val="nil"/>
              <w:left w:val="nil"/>
              <w:bottom w:val="nil"/>
              <w:right w:val="nil"/>
            </w:tcBorders>
          </w:tcPr>
          <w:p w14:paraId="0035AFE8" w14:textId="77777777" w:rsidR="005A79DB" w:rsidRPr="00354796" w:rsidRDefault="005A79DB">
            <w:pPr>
              <w:pStyle w:val="Normal6a"/>
            </w:pPr>
          </w:p>
        </w:tc>
        <w:tc>
          <w:tcPr>
            <w:tcW w:w="4876" w:type="dxa"/>
            <w:tcBorders>
              <w:top w:val="nil"/>
              <w:left w:val="nil"/>
              <w:bottom w:val="nil"/>
              <w:right w:val="nil"/>
            </w:tcBorders>
          </w:tcPr>
          <w:p w14:paraId="26AA0657" w14:textId="77777777" w:rsidR="005A79DB" w:rsidRPr="00354796" w:rsidRDefault="006E31A1">
            <w:pPr>
              <w:pStyle w:val="Normal6a"/>
            </w:pPr>
            <w:r w:rsidRPr="00354796">
              <w:rPr>
                <w:b/>
                <w:i/>
              </w:rPr>
              <w:t>–</w:t>
            </w:r>
            <w:r w:rsidRPr="00354796">
              <w:tab/>
            </w:r>
            <w:r w:rsidRPr="00354796">
              <w:rPr>
                <w:b/>
                <w:i/>
              </w:rPr>
              <w:t xml:space="preserve">uwzględniając badanie Eurobarometr Flash 559 z okresu od lutego do kwietnia </w:t>
            </w:r>
            <w:r w:rsidRPr="00354796">
              <w:rPr>
                <w:b/>
                <w:i/>
              </w:rPr>
              <w:t>2025 r. pt. „</w:t>
            </w:r>
            <w:proofErr w:type="spellStart"/>
            <w:r w:rsidRPr="00354796">
              <w:rPr>
                <w:b/>
                <w:i/>
              </w:rPr>
              <w:t>Startups</w:t>
            </w:r>
            <w:proofErr w:type="spellEnd"/>
            <w:r w:rsidRPr="00354796">
              <w:rPr>
                <w:b/>
                <w:i/>
              </w:rPr>
              <w:t xml:space="preserve">, </w:t>
            </w:r>
            <w:proofErr w:type="spellStart"/>
            <w:r w:rsidRPr="00354796">
              <w:rPr>
                <w:b/>
                <w:i/>
              </w:rPr>
              <w:t>scaleups</w:t>
            </w:r>
            <w:proofErr w:type="spellEnd"/>
            <w:r w:rsidRPr="00354796">
              <w:rPr>
                <w:b/>
                <w:i/>
              </w:rPr>
              <w:t xml:space="preserve"> and </w:t>
            </w:r>
            <w:proofErr w:type="spellStart"/>
            <w:r w:rsidRPr="00354796">
              <w:rPr>
                <w:b/>
                <w:i/>
              </w:rPr>
              <w:t>entrepreneurship</w:t>
            </w:r>
            <w:proofErr w:type="spellEnd"/>
            <w:r w:rsidRPr="00354796">
              <w:rPr>
                <w:b/>
                <w:i/>
              </w:rPr>
              <w:t>” [Przedsiębiorstwa typu start-</w:t>
            </w:r>
            <w:proofErr w:type="spellStart"/>
            <w:r w:rsidRPr="00354796">
              <w:rPr>
                <w:b/>
                <w:i/>
              </w:rPr>
              <w:t>up</w:t>
            </w:r>
            <w:proofErr w:type="spellEnd"/>
            <w:r w:rsidRPr="00354796">
              <w:rPr>
                <w:b/>
                <w:i/>
              </w:rPr>
              <w:t xml:space="preserve">, przedsiębiorstwa </w:t>
            </w:r>
            <w:proofErr w:type="spellStart"/>
            <w:r w:rsidRPr="00354796">
              <w:rPr>
                <w:b/>
                <w:i/>
              </w:rPr>
              <w:t>scale-up</w:t>
            </w:r>
            <w:proofErr w:type="spellEnd"/>
            <w:r w:rsidRPr="00354796">
              <w:rPr>
                <w:b/>
                <w:i/>
              </w:rPr>
              <w:t xml:space="preserve"> i przedsiębiorczość]</w:t>
            </w:r>
            <w:r w:rsidRPr="00354796">
              <w:rPr>
                <w:b/>
                <w:i/>
                <w:vertAlign w:val="superscript"/>
              </w:rPr>
              <w:t>14a</w:t>
            </w:r>
            <w:r w:rsidRPr="00354796">
              <w:rPr>
                <w:b/>
                <w:i/>
              </w:rPr>
              <w:t>,</w:t>
            </w:r>
          </w:p>
        </w:tc>
      </w:tr>
      <w:tr w:rsidR="005A79DB" w:rsidRPr="00354796" w14:paraId="3278ED52" w14:textId="77777777">
        <w:trPr>
          <w:jc w:val="center"/>
        </w:trPr>
        <w:tc>
          <w:tcPr>
            <w:tcW w:w="4876" w:type="dxa"/>
            <w:tcBorders>
              <w:top w:val="nil"/>
              <w:left w:val="nil"/>
              <w:bottom w:val="nil"/>
              <w:right w:val="nil"/>
            </w:tcBorders>
          </w:tcPr>
          <w:p w14:paraId="21CBE009" w14:textId="77777777" w:rsidR="005A79DB" w:rsidRPr="00354796" w:rsidRDefault="005A79DB"/>
        </w:tc>
        <w:tc>
          <w:tcPr>
            <w:tcW w:w="4876" w:type="dxa"/>
            <w:tcBorders>
              <w:top w:val="nil"/>
              <w:left w:val="nil"/>
              <w:bottom w:val="nil"/>
              <w:right w:val="nil"/>
            </w:tcBorders>
          </w:tcPr>
          <w:p w14:paraId="255E6C99" w14:textId="77777777" w:rsidR="005A79DB" w:rsidRPr="00354796" w:rsidRDefault="006E31A1">
            <w:pPr>
              <w:pStyle w:val="Normal6a"/>
            </w:pPr>
            <w:r w:rsidRPr="00354796">
              <w:rPr>
                <w:b/>
                <w:i/>
              </w:rPr>
              <w:t>_________________</w:t>
            </w:r>
          </w:p>
        </w:tc>
      </w:tr>
      <w:tr w:rsidR="005A79DB" w:rsidRPr="00354796" w14:paraId="724A40E4" w14:textId="77777777">
        <w:trPr>
          <w:jc w:val="center"/>
        </w:trPr>
        <w:tc>
          <w:tcPr>
            <w:tcW w:w="4876" w:type="dxa"/>
            <w:tcBorders>
              <w:top w:val="nil"/>
              <w:left w:val="nil"/>
              <w:bottom w:val="nil"/>
              <w:right w:val="nil"/>
            </w:tcBorders>
          </w:tcPr>
          <w:p w14:paraId="64351E0E" w14:textId="77777777" w:rsidR="005A79DB" w:rsidRPr="00354796" w:rsidRDefault="005A79DB"/>
        </w:tc>
        <w:tc>
          <w:tcPr>
            <w:tcW w:w="4876" w:type="dxa"/>
            <w:tcBorders>
              <w:top w:val="nil"/>
              <w:left w:val="nil"/>
              <w:bottom w:val="nil"/>
              <w:right w:val="nil"/>
            </w:tcBorders>
          </w:tcPr>
          <w:p w14:paraId="64CEF2EC" w14:textId="77777777" w:rsidR="005A79DB" w:rsidRPr="00354796" w:rsidRDefault="006E31A1">
            <w:pPr>
              <w:pStyle w:val="Normal6a"/>
            </w:pPr>
            <w:r w:rsidRPr="00354796">
              <w:rPr>
                <w:b/>
                <w:i/>
                <w:vertAlign w:val="superscript"/>
              </w:rPr>
              <w:t>14a</w:t>
            </w:r>
            <w:r w:rsidRPr="00354796">
              <w:t xml:space="preserve"> </w:t>
            </w:r>
            <w:r w:rsidRPr="00354796">
              <w:rPr>
                <w:b/>
                <w:bCs/>
                <w:i/>
                <w:iCs/>
              </w:rPr>
              <w:t>Eurobarometr – „</w:t>
            </w:r>
            <w:proofErr w:type="spellStart"/>
            <w:r w:rsidRPr="00354796">
              <w:rPr>
                <w:b/>
                <w:bCs/>
                <w:i/>
                <w:iCs/>
              </w:rPr>
              <w:t>Startups</w:t>
            </w:r>
            <w:proofErr w:type="spellEnd"/>
            <w:r w:rsidRPr="00354796">
              <w:rPr>
                <w:b/>
                <w:bCs/>
                <w:i/>
                <w:iCs/>
              </w:rPr>
              <w:t xml:space="preserve">, </w:t>
            </w:r>
            <w:proofErr w:type="spellStart"/>
            <w:r w:rsidRPr="00354796">
              <w:rPr>
                <w:b/>
                <w:bCs/>
                <w:i/>
                <w:iCs/>
              </w:rPr>
              <w:t>scale-up</w:t>
            </w:r>
            <w:proofErr w:type="spellEnd"/>
            <w:r w:rsidRPr="00354796">
              <w:rPr>
                <w:b/>
                <w:bCs/>
                <w:i/>
                <w:iCs/>
              </w:rPr>
              <w:t xml:space="preserve"> and </w:t>
            </w:r>
            <w:proofErr w:type="spellStart"/>
            <w:r w:rsidRPr="00354796">
              <w:rPr>
                <w:b/>
                <w:bCs/>
                <w:i/>
                <w:iCs/>
              </w:rPr>
              <w:t>entrepreneurship</w:t>
            </w:r>
            <w:proofErr w:type="spellEnd"/>
            <w:r w:rsidRPr="00354796">
              <w:rPr>
                <w:b/>
                <w:bCs/>
                <w:i/>
                <w:iCs/>
              </w:rPr>
              <w:t xml:space="preserve">” [Przedsiębiorstwa typu </w:t>
            </w:r>
            <w:r w:rsidRPr="00354796">
              <w:rPr>
                <w:b/>
                <w:bCs/>
                <w:i/>
                <w:iCs/>
              </w:rPr>
              <w:t>start-</w:t>
            </w:r>
            <w:proofErr w:type="spellStart"/>
            <w:r w:rsidRPr="00354796">
              <w:rPr>
                <w:b/>
                <w:bCs/>
                <w:i/>
                <w:iCs/>
              </w:rPr>
              <w:t>up</w:t>
            </w:r>
            <w:proofErr w:type="spellEnd"/>
            <w:r w:rsidRPr="00354796">
              <w:rPr>
                <w:b/>
                <w:bCs/>
                <w:i/>
                <w:iCs/>
              </w:rPr>
              <w:t xml:space="preserve">, przedsiębiorstwa </w:t>
            </w:r>
            <w:proofErr w:type="spellStart"/>
            <w:r w:rsidRPr="00354796">
              <w:rPr>
                <w:b/>
                <w:bCs/>
                <w:i/>
                <w:iCs/>
              </w:rPr>
              <w:t>scale-up</w:t>
            </w:r>
            <w:proofErr w:type="spellEnd"/>
            <w:r w:rsidRPr="00354796">
              <w:rPr>
                <w:b/>
                <w:bCs/>
                <w:i/>
                <w:iCs/>
              </w:rPr>
              <w:t xml:space="preserve"> i przedsiębiorczość] – </w:t>
            </w:r>
            <w:r w:rsidRPr="00354796">
              <w:rPr>
                <w:b/>
                <w:bCs/>
                <w:i/>
                <w:iCs/>
              </w:rPr>
              <w:lastRenderedPageBreak/>
              <w:t>https://europa.eu/eurobarometer/surveys/detail/3359.</w:t>
            </w:r>
          </w:p>
        </w:tc>
      </w:tr>
    </w:tbl>
    <w:p w14:paraId="25A86005"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47785697" w14:textId="77777777" w:rsidR="005A79DB" w:rsidRPr="00354796" w:rsidRDefault="006E31A1">
      <w:r w:rsidRPr="00354796">
        <w:rPr>
          <w:rStyle w:val="HideTWBExt"/>
        </w:rPr>
        <w:t>&lt;/Amend&gt;</w:t>
      </w:r>
    </w:p>
    <w:p w14:paraId="6E9EB03A"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w:t>
      </w:r>
      <w:r w:rsidRPr="00354796">
        <w:rPr>
          <w:rStyle w:val="HideTWBExt"/>
        </w:rPr>
        <w:t>&lt;/NumAm&gt;</w:t>
      </w:r>
    </w:p>
    <w:p w14:paraId="58DB84F3"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78883D0F" w14:textId="77777777" w:rsidR="005A79DB" w:rsidRPr="00354796" w:rsidRDefault="006E31A1">
      <w:pPr>
        <w:pStyle w:val="NormalBold"/>
      </w:pPr>
      <w:r w:rsidRPr="00354796">
        <w:rPr>
          <w:rStyle w:val="HideTWBExt"/>
          <w:b w:val="0"/>
        </w:rPr>
        <w:t>&lt;/RepeatBlock-By&gt;</w:t>
      </w:r>
    </w:p>
    <w:p w14:paraId="1D9B600A"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6CC00F36" w14:textId="77777777" w:rsidR="005A79DB" w:rsidRPr="00354796" w:rsidRDefault="006E31A1">
      <w:pPr>
        <w:pStyle w:val="NormalBold"/>
      </w:pPr>
      <w:r w:rsidRPr="00354796">
        <w:rPr>
          <w:rStyle w:val="HideTWBExt"/>
        </w:rPr>
        <w:t>&lt;Article&gt;</w:t>
      </w:r>
      <w:r w:rsidRPr="00354796">
        <w:t>Umocowanie 16 c (nowe)</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E55B7B1" w14:textId="77777777">
        <w:trPr>
          <w:trHeight w:hRule="exact" w:val="240"/>
          <w:jc w:val="center"/>
        </w:trPr>
        <w:tc>
          <w:tcPr>
            <w:tcW w:w="9752" w:type="dxa"/>
            <w:gridSpan w:val="2"/>
            <w:tcBorders>
              <w:top w:val="nil"/>
              <w:left w:val="nil"/>
              <w:bottom w:val="nil"/>
              <w:right w:val="nil"/>
            </w:tcBorders>
          </w:tcPr>
          <w:p w14:paraId="1F147192" w14:textId="77777777" w:rsidR="005A79DB" w:rsidRPr="00354796" w:rsidRDefault="005A79DB"/>
        </w:tc>
      </w:tr>
      <w:tr w:rsidR="005A79DB" w:rsidRPr="00354796" w14:paraId="0416FEF1" w14:textId="77777777">
        <w:trPr>
          <w:trHeight w:val="240"/>
          <w:jc w:val="center"/>
        </w:trPr>
        <w:tc>
          <w:tcPr>
            <w:tcW w:w="4876" w:type="dxa"/>
            <w:tcBorders>
              <w:top w:val="nil"/>
              <w:left w:val="nil"/>
              <w:bottom w:val="nil"/>
              <w:right w:val="nil"/>
            </w:tcBorders>
          </w:tcPr>
          <w:p w14:paraId="6974F058"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635414D" w14:textId="77777777" w:rsidR="005A79DB" w:rsidRPr="00354796" w:rsidRDefault="006E31A1">
            <w:pPr>
              <w:pStyle w:val="AmColumnHeading"/>
            </w:pPr>
            <w:r w:rsidRPr="00354796">
              <w:t>Poprawka</w:t>
            </w:r>
          </w:p>
        </w:tc>
      </w:tr>
      <w:tr w:rsidR="005A79DB" w:rsidRPr="00354796" w14:paraId="7C3EEA97" w14:textId="77777777">
        <w:trPr>
          <w:jc w:val="center"/>
        </w:trPr>
        <w:tc>
          <w:tcPr>
            <w:tcW w:w="4876" w:type="dxa"/>
            <w:tcBorders>
              <w:top w:val="nil"/>
              <w:left w:val="nil"/>
              <w:bottom w:val="nil"/>
              <w:right w:val="nil"/>
            </w:tcBorders>
          </w:tcPr>
          <w:p w14:paraId="013F2079" w14:textId="77777777" w:rsidR="005A79DB" w:rsidRPr="00354796" w:rsidRDefault="005A79DB">
            <w:pPr>
              <w:pStyle w:val="Normal6a"/>
            </w:pPr>
          </w:p>
        </w:tc>
        <w:tc>
          <w:tcPr>
            <w:tcW w:w="4876" w:type="dxa"/>
            <w:tcBorders>
              <w:top w:val="nil"/>
              <w:left w:val="nil"/>
              <w:bottom w:val="nil"/>
              <w:right w:val="nil"/>
            </w:tcBorders>
          </w:tcPr>
          <w:p w14:paraId="6DCD68EB" w14:textId="77777777" w:rsidR="005A79DB" w:rsidRPr="00354796" w:rsidRDefault="006E31A1">
            <w:pPr>
              <w:pStyle w:val="Normal6a"/>
            </w:pPr>
            <w:r w:rsidRPr="00354796">
              <w:rPr>
                <w:b/>
                <w:i/>
              </w:rPr>
              <w:t>–</w:t>
            </w:r>
            <w:r w:rsidRPr="00354796">
              <w:tab/>
            </w:r>
            <w:r w:rsidRPr="00354796">
              <w:rPr>
                <w:b/>
                <w:i/>
              </w:rPr>
              <w:t xml:space="preserve">uwzględniając badanie Eurobarometr Flash 562 z kwietnia 2025 r. pt. „Citizens’ </w:t>
            </w:r>
            <w:proofErr w:type="spellStart"/>
            <w:r w:rsidRPr="00354796">
              <w:rPr>
                <w:b/>
                <w:i/>
              </w:rPr>
              <w:t>attitudes</w:t>
            </w:r>
            <w:proofErr w:type="spellEnd"/>
            <w:r w:rsidRPr="00354796">
              <w:rPr>
                <w:b/>
                <w:i/>
              </w:rPr>
              <w:t xml:space="preserve"> </w:t>
            </w:r>
            <w:proofErr w:type="spellStart"/>
            <w:r w:rsidRPr="00354796">
              <w:rPr>
                <w:b/>
                <w:i/>
              </w:rPr>
              <w:t>towards</w:t>
            </w:r>
            <w:proofErr w:type="spellEnd"/>
            <w:r w:rsidRPr="00354796">
              <w:rPr>
                <w:b/>
                <w:i/>
              </w:rPr>
              <w:t xml:space="preserve"> </w:t>
            </w:r>
            <w:proofErr w:type="spellStart"/>
            <w:r w:rsidRPr="00354796">
              <w:rPr>
                <w:b/>
                <w:i/>
              </w:rPr>
              <w:t>taxation</w:t>
            </w:r>
            <w:proofErr w:type="spellEnd"/>
            <w:r w:rsidRPr="00354796">
              <w:rPr>
                <w:b/>
                <w:i/>
              </w:rPr>
              <w:t>” [Postawy obywateli wobec podatków]</w:t>
            </w:r>
            <w:r w:rsidRPr="00354796">
              <w:rPr>
                <w:b/>
                <w:i/>
                <w:vertAlign w:val="superscript"/>
              </w:rPr>
              <w:t>14b</w:t>
            </w:r>
            <w:r w:rsidRPr="00354796">
              <w:rPr>
                <w:b/>
                <w:i/>
              </w:rPr>
              <w:t>,</w:t>
            </w:r>
          </w:p>
        </w:tc>
      </w:tr>
      <w:tr w:rsidR="005A79DB" w:rsidRPr="00354796" w14:paraId="2E69559F" w14:textId="77777777">
        <w:trPr>
          <w:jc w:val="center"/>
        </w:trPr>
        <w:tc>
          <w:tcPr>
            <w:tcW w:w="4876" w:type="dxa"/>
            <w:tcBorders>
              <w:top w:val="nil"/>
              <w:left w:val="nil"/>
              <w:bottom w:val="nil"/>
              <w:right w:val="nil"/>
            </w:tcBorders>
          </w:tcPr>
          <w:p w14:paraId="14BAABE7" w14:textId="77777777" w:rsidR="005A79DB" w:rsidRPr="00354796" w:rsidRDefault="005A79DB"/>
        </w:tc>
        <w:tc>
          <w:tcPr>
            <w:tcW w:w="4876" w:type="dxa"/>
            <w:tcBorders>
              <w:top w:val="nil"/>
              <w:left w:val="nil"/>
              <w:bottom w:val="nil"/>
              <w:right w:val="nil"/>
            </w:tcBorders>
          </w:tcPr>
          <w:p w14:paraId="586178EF" w14:textId="77777777" w:rsidR="005A79DB" w:rsidRPr="00354796" w:rsidRDefault="006E31A1">
            <w:pPr>
              <w:pStyle w:val="Normal6a"/>
            </w:pPr>
            <w:r w:rsidRPr="00354796">
              <w:rPr>
                <w:b/>
                <w:i/>
              </w:rPr>
              <w:t>_________________</w:t>
            </w:r>
          </w:p>
        </w:tc>
      </w:tr>
      <w:tr w:rsidR="005A79DB" w:rsidRPr="00354796" w14:paraId="26D99C39" w14:textId="77777777">
        <w:trPr>
          <w:jc w:val="center"/>
        </w:trPr>
        <w:tc>
          <w:tcPr>
            <w:tcW w:w="4876" w:type="dxa"/>
            <w:tcBorders>
              <w:top w:val="nil"/>
              <w:left w:val="nil"/>
              <w:bottom w:val="nil"/>
              <w:right w:val="nil"/>
            </w:tcBorders>
          </w:tcPr>
          <w:p w14:paraId="1A0684B6" w14:textId="77777777" w:rsidR="005A79DB" w:rsidRPr="00354796" w:rsidRDefault="005A79DB"/>
        </w:tc>
        <w:tc>
          <w:tcPr>
            <w:tcW w:w="4876" w:type="dxa"/>
            <w:tcBorders>
              <w:top w:val="nil"/>
              <w:left w:val="nil"/>
              <w:bottom w:val="nil"/>
              <w:right w:val="nil"/>
            </w:tcBorders>
          </w:tcPr>
          <w:p w14:paraId="071E0CB1" w14:textId="77777777" w:rsidR="005A79DB" w:rsidRPr="00354796" w:rsidRDefault="006E31A1">
            <w:pPr>
              <w:pStyle w:val="Normal6a"/>
            </w:pPr>
            <w:r w:rsidRPr="00354796">
              <w:rPr>
                <w:b/>
                <w:bCs/>
                <w:i/>
                <w:iCs/>
                <w:vertAlign w:val="superscript"/>
              </w:rPr>
              <w:t>14b</w:t>
            </w:r>
            <w:r w:rsidRPr="00354796">
              <w:rPr>
                <w:b/>
                <w:bCs/>
                <w:i/>
                <w:iCs/>
              </w:rPr>
              <w:t xml:space="preserve"> Eurobarometr – „Citizens’ </w:t>
            </w:r>
            <w:proofErr w:type="spellStart"/>
            <w:r w:rsidRPr="00354796">
              <w:rPr>
                <w:b/>
                <w:bCs/>
                <w:i/>
                <w:iCs/>
              </w:rPr>
              <w:t>attitudes</w:t>
            </w:r>
            <w:proofErr w:type="spellEnd"/>
            <w:r w:rsidRPr="00354796">
              <w:rPr>
                <w:b/>
                <w:bCs/>
                <w:i/>
                <w:iCs/>
              </w:rPr>
              <w:t xml:space="preserve"> </w:t>
            </w:r>
            <w:proofErr w:type="spellStart"/>
            <w:r w:rsidRPr="00354796">
              <w:rPr>
                <w:b/>
                <w:bCs/>
                <w:i/>
                <w:iCs/>
              </w:rPr>
              <w:t>towards</w:t>
            </w:r>
            <w:proofErr w:type="spellEnd"/>
            <w:r w:rsidRPr="00354796">
              <w:rPr>
                <w:b/>
                <w:bCs/>
                <w:i/>
                <w:iCs/>
              </w:rPr>
              <w:t xml:space="preserve"> </w:t>
            </w:r>
            <w:proofErr w:type="spellStart"/>
            <w:r w:rsidRPr="00354796">
              <w:rPr>
                <w:b/>
                <w:bCs/>
                <w:i/>
                <w:iCs/>
              </w:rPr>
              <w:t>taxation</w:t>
            </w:r>
            <w:proofErr w:type="spellEnd"/>
            <w:r w:rsidRPr="00354796">
              <w:rPr>
                <w:b/>
                <w:bCs/>
                <w:i/>
                <w:iCs/>
              </w:rPr>
              <w:t>” [Postawy obywateli wobec podatków] – https://europa.eu/eurobarometer/surveys/detail/3375.</w:t>
            </w:r>
          </w:p>
        </w:tc>
      </w:tr>
    </w:tbl>
    <w:p w14:paraId="054AF9D9"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85FA3B8" w14:textId="77777777" w:rsidR="005A79DB" w:rsidRPr="00354796" w:rsidRDefault="006E31A1">
      <w:r w:rsidRPr="00354796">
        <w:rPr>
          <w:rStyle w:val="HideTWBExt"/>
        </w:rPr>
        <w:t>&lt;/Amend&gt;</w:t>
      </w:r>
    </w:p>
    <w:p w14:paraId="781891EC"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w:t>
      </w:r>
      <w:r w:rsidRPr="00354796">
        <w:rPr>
          <w:rStyle w:val="HideTWBExt"/>
        </w:rPr>
        <w:t>&lt;/NumAm&gt;</w:t>
      </w:r>
    </w:p>
    <w:p w14:paraId="61A300E5"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45663C44" w14:textId="77777777" w:rsidR="005A79DB" w:rsidRPr="00354796" w:rsidRDefault="006E31A1">
      <w:pPr>
        <w:pStyle w:val="NormalBold"/>
      </w:pPr>
      <w:r w:rsidRPr="00354796">
        <w:rPr>
          <w:rStyle w:val="HideTWBExt"/>
          <w:b w:val="0"/>
        </w:rPr>
        <w:t>&lt;/RepeatBlock-By&gt;</w:t>
      </w:r>
    </w:p>
    <w:p w14:paraId="7E22C5D4"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70C6103" w14:textId="77777777" w:rsidR="005A79DB" w:rsidRPr="00354796" w:rsidRDefault="006E31A1">
      <w:pPr>
        <w:pStyle w:val="NormalBold"/>
      </w:pPr>
      <w:r w:rsidRPr="00354796">
        <w:rPr>
          <w:rStyle w:val="HideTWBExt"/>
        </w:rPr>
        <w:t>&lt;Article&gt;</w:t>
      </w:r>
      <w:r w:rsidRPr="00354796">
        <w:t>Motyw B</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D9206F7" w14:textId="77777777">
        <w:trPr>
          <w:trHeight w:hRule="exact" w:val="240"/>
          <w:jc w:val="center"/>
        </w:trPr>
        <w:tc>
          <w:tcPr>
            <w:tcW w:w="9752" w:type="dxa"/>
            <w:gridSpan w:val="2"/>
            <w:tcBorders>
              <w:top w:val="nil"/>
              <w:left w:val="nil"/>
              <w:bottom w:val="nil"/>
              <w:right w:val="nil"/>
            </w:tcBorders>
          </w:tcPr>
          <w:p w14:paraId="50F26178" w14:textId="77777777" w:rsidR="005A79DB" w:rsidRPr="00354796" w:rsidRDefault="005A79DB"/>
        </w:tc>
      </w:tr>
      <w:tr w:rsidR="005A79DB" w:rsidRPr="00354796" w14:paraId="5552409D" w14:textId="77777777">
        <w:trPr>
          <w:trHeight w:val="240"/>
          <w:jc w:val="center"/>
        </w:trPr>
        <w:tc>
          <w:tcPr>
            <w:tcW w:w="4876" w:type="dxa"/>
            <w:tcBorders>
              <w:top w:val="nil"/>
              <w:left w:val="nil"/>
              <w:bottom w:val="nil"/>
              <w:right w:val="nil"/>
            </w:tcBorders>
          </w:tcPr>
          <w:p w14:paraId="662231C8"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8DCAFD4" w14:textId="77777777" w:rsidR="005A79DB" w:rsidRPr="00354796" w:rsidRDefault="006E31A1">
            <w:pPr>
              <w:pStyle w:val="AmColumnHeading"/>
            </w:pPr>
            <w:r w:rsidRPr="00354796">
              <w:t>Poprawka</w:t>
            </w:r>
          </w:p>
        </w:tc>
      </w:tr>
      <w:tr w:rsidR="005A79DB" w:rsidRPr="00354796" w14:paraId="1CF604D3" w14:textId="77777777">
        <w:trPr>
          <w:jc w:val="center"/>
        </w:trPr>
        <w:tc>
          <w:tcPr>
            <w:tcW w:w="4876" w:type="dxa"/>
            <w:tcBorders>
              <w:top w:val="nil"/>
              <w:left w:val="nil"/>
              <w:bottom w:val="nil"/>
              <w:right w:val="nil"/>
            </w:tcBorders>
          </w:tcPr>
          <w:p w14:paraId="4F85B6C1" w14:textId="77777777" w:rsidR="005A79DB" w:rsidRPr="00354796" w:rsidRDefault="006E31A1">
            <w:pPr>
              <w:pStyle w:val="Normal6a"/>
            </w:pPr>
            <w:r w:rsidRPr="00354796">
              <w:t>B.</w:t>
            </w:r>
            <w:r w:rsidRPr="00354796">
              <w:tab/>
              <w:t xml:space="preserve">mając na uwadze, że system VAT w UE pozostaje podatny na wewnątrzwspólnotowe oszustwa typu „znikający podmiot </w:t>
            </w:r>
            <w:r w:rsidRPr="00354796">
              <w:t>gospodarczy” i oszustwa karuzelowe;</w:t>
            </w:r>
          </w:p>
        </w:tc>
        <w:tc>
          <w:tcPr>
            <w:tcW w:w="4876" w:type="dxa"/>
            <w:tcBorders>
              <w:top w:val="nil"/>
              <w:left w:val="nil"/>
              <w:bottom w:val="nil"/>
              <w:right w:val="nil"/>
            </w:tcBorders>
          </w:tcPr>
          <w:p w14:paraId="57C0DD48" w14:textId="77777777" w:rsidR="005A79DB" w:rsidRPr="00354796" w:rsidRDefault="006E31A1">
            <w:pPr>
              <w:pStyle w:val="Normal6a"/>
            </w:pPr>
            <w:r w:rsidRPr="00354796">
              <w:t>B.</w:t>
            </w:r>
            <w:r w:rsidRPr="00354796">
              <w:tab/>
              <w:t>mając na uwadze, że system VAT w UE pozostaje podatny na wewnątrzwspólnotowe oszustwa typu „znikający podmiot gospodarczy” i oszustwa karuzelowe</w:t>
            </w:r>
            <w:r w:rsidRPr="00354796">
              <w:rPr>
                <w:b/>
                <w:bCs/>
                <w:i/>
                <w:iCs/>
              </w:rPr>
              <w:t>, które w latach 2010–2023 spowodowały straty w wysokości 12,5–32,8 mld EUR rocznie</w:t>
            </w:r>
            <w:r w:rsidRPr="00354796">
              <w:t>;</w:t>
            </w:r>
          </w:p>
        </w:tc>
      </w:tr>
    </w:tbl>
    <w:p w14:paraId="2523DB2F"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B9C6D51" w14:textId="77777777" w:rsidR="005A79DB" w:rsidRPr="00354796" w:rsidRDefault="006E31A1">
      <w:r w:rsidRPr="00354796">
        <w:rPr>
          <w:rStyle w:val="HideTWBExt"/>
        </w:rPr>
        <w:lastRenderedPageBreak/>
        <w:t>&lt;/Amend&gt;</w:t>
      </w:r>
    </w:p>
    <w:p w14:paraId="6B1AB50F"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9</w:t>
      </w:r>
      <w:r w:rsidRPr="00354796">
        <w:rPr>
          <w:rStyle w:val="HideTWBExt"/>
        </w:rPr>
        <w:t>&lt;/NumAm&gt;</w:t>
      </w:r>
    </w:p>
    <w:p w14:paraId="7AA0EB5E"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0A727D26" w14:textId="77777777" w:rsidR="005A79DB" w:rsidRPr="00354796" w:rsidRDefault="006E31A1">
      <w:pPr>
        <w:pStyle w:val="NormalBold"/>
      </w:pPr>
      <w:r w:rsidRPr="00354796">
        <w:rPr>
          <w:rStyle w:val="HideTWBExt"/>
          <w:b w:val="0"/>
        </w:rPr>
        <w:t>&lt;/RepeatBlock-By&gt;</w:t>
      </w:r>
    </w:p>
    <w:p w14:paraId="6537C1F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71A070A" w14:textId="77777777" w:rsidR="005A79DB" w:rsidRPr="00354796" w:rsidRDefault="006E31A1">
      <w:pPr>
        <w:pStyle w:val="NormalBold"/>
      </w:pPr>
      <w:r w:rsidRPr="00354796">
        <w:rPr>
          <w:rStyle w:val="HideTWBExt"/>
        </w:rPr>
        <w:t>&lt;Article&gt;</w:t>
      </w:r>
      <w:r w:rsidRPr="00354796">
        <w:t>Motyw B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1E121C1" w14:textId="77777777">
        <w:trPr>
          <w:trHeight w:hRule="exact" w:val="240"/>
          <w:jc w:val="center"/>
        </w:trPr>
        <w:tc>
          <w:tcPr>
            <w:tcW w:w="9752" w:type="dxa"/>
            <w:gridSpan w:val="2"/>
            <w:tcBorders>
              <w:top w:val="nil"/>
              <w:left w:val="nil"/>
              <w:bottom w:val="nil"/>
              <w:right w:val="nil"/>
            </w:tcBorders>
          </w:tcPr>
          <w:p w14:paraId="2C8CD556" w14:textId="77777777" w:rsidR="005A79DB" w:rsidRPr="00354796" w:rsidRDefault="005A79DB"/>
        </w:tc>
      </w:tr>
      <w:tr w:rsidR="005A79DB" w:rsidRPr="00354796" w14:paraId="17FD93F3" w14:textId="77777777">
        <w:trPr>
          <w:trHeight w:val="240"/>
          <w:jc w:val="center"/>
        </w:trPr>
        <w:tc>
          <w:tcPr>
            <w:tcW w:w="4876" w:type="dxa"/>
            <w:tcBorders>
              <w:top w:val="nil"/>
              <w:left w:val="nil"/>
              <w:bottom w:val="nil"/>
              <w:right w:val="nil"/>
            </w:tcBorders>
          </w:tcPr>
          <w:p w14:paraId="24D8B6F7"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8EFF102" w14:textId="77777777" w:rsidR="005A79DB" w:rsidRPr="00354796" w:rsidRDefault="006E31A1">
            <w:pPr>
              <w:pStyle w:val="AmColumnHeading"/>
            </w:pPr>
            <w:r w:rsidRPr="00354796">
              <w:t>Poprawka</w:t>
            </w:r>
          </w:p>
        </w:tc>
      </w:tr>
      <w:tr w:rsidR="005A79DB" w:rsidRPr="00354796" w14:paraId="5F21CFF0" w14:textId="77777777">
        <w:trPr>
          <w:jc w:val="center"/>
        </w:trPr>
        <w:tc>
          <w:tcPr>
            <w:tcW w:w="4876" w:type="dxa"/>
            <w:tcBorders>
              <w:top w:val="nil"/>
              <w:left w:val="nil"/>
              <w:bottom w:val="nil"/>
              <w:right w:val="nil"/>
            </w:tcBorders>
          </w:tcPr>
          <w:p w14:paraId="762189EC" w14:textId="77777777" w:rsidR="005A79DB" w:rsidRPr="00354796" w:rsidRDefault="005A79DB">
            <w:pPr>
              <w:pStyle w:val="Normal6a"/>
            </w:pPr>
          </w:p>
        </w:tc>
        <w:tc>
          <w:tcPr>
            <w:tcW w:w="4876" w:type="dxa"/>
            <w:tcBorders>
              <w:top w:val="nil"/>
              <w:left w:val="nil"/>
              <w:bottom w:val="nil"/>
              <w:right w:val="nil"/>
            </w:tcBorders>
          </w:tcPr>
          <w:p w14:paraId="7FB508DC" w14:textId="77777777" w:rsidR="005A79DB" w:rsidRPr="00354796" w:rsidRDefault="006E31A1">
            <w:pPr>
              <w:pStyle w:val="Normal6a"/>
            </w:pPr>
            <w:r w:rsidRPr="00354796">
              <w:rPr>
                <w:b/>
                <w:i/>
              </w:rPr>
              <w:t>Ba.</w:t>
            </w:r>
            <w:r w:rsidRPr="00354796">
              <w:tab/>
            </w:r>
            <w:r w:rsidRPr="00354796">
              <w:rPr>
                <w:b/>
                <w:i/>
              </w:rPr>
              <w:t xml:space="preserve">mając na uwadze, że Europejski Trybunał Obrachunkowy wielokrotnie stwierdzał niedociągnięcia w dostępności i interoperacyjności systemów informacyjnych związanych z VAT we </w:t>
            </w:r>
            <w:r w:rsidRPr="00354796">
              <w:rPr>
                <w:b/>
                <w:i/>
              </w:rPr>
              <w:t>wszystkich państwach członkowskich i organach Unii jako istotną przeszkodę dla skutecznych transgranicznych dochodzeń w sprawie oszustw związanych z VAT;</w:t>
            </w:r>
          </w:p>
        </w:tc>
      </w:tr>
    </w:tbl>
    <w:p w14:paraId="2F33194F"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65EAD7C" w14:textId="77777777" w:rsidR="005A79DB" w:rsidRPr="00354796" w:rsidRDefault="006E31A1">
      <w:r w:rsidRPr="00354796">
        <w:rPr>
          <w:rStyle w:val="HideTWBExt"/>
        </w:rPr>
        <w:t>&lt;/Amend&gt;</w:t>
      </w:r>
    </w:p>
    <w:p w14:paraId="09325A5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10</w:t>
      </w:r>
      <w:r w:rsidRPr="00354796">
        <w:rPr>
          <w:rStyle w:val="HideTWBExt"/>
        </w:rPr>
        <w:t>&lt;/NumAm&gt;</w:t>
      </w:r>
    </w:p>
    <w:p w14:paraId="6BBFC152"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36685635" w14:textId="77777777" w:rsidR="005A79DB" w:rsidRPr="00354796" w:rsidRDefault="006E31A1">
      <w:pPr>
        <w:pStyle w:val="NormalBold"/>
      </w:pPr>
      <w:r w:rsidRPr="00354796">
        <w:rPr>
          <w:rStyle w:val="HideTWBExt"/>
          <w:b w:val="0"/>
        </w:rPr>
        <w:t>&lt;/RepeatBlock-By&gt;</w:t>
      </w:r>
    </w:p>
    <w:p w14:paraId="5BC00CFD"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71BF28AA" w14:textId="77777777" w:rsidR="005A79DB" w:rsidRPr="00354796" w:rsidRDefault="006E31A1">
      <w:pPr>
        <w:pStyle w:val="NormalBold"/>
      </w:pPr>
      <w:r w:rsidRPr="00354796">
        <w:rPr>
          <w:rStyle w:val="HideTWBExt"/>
        </w:rPr>
        <w:t>&lt;Article&gt;</w:t>
      </w:r>
      <w:r w:rsidRPr="00354796">
        <w:t>Motyw C</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25073AF" w14:textId="77777777">
        <w:trPr>
          <w:trHeight w:hRule="exact" w:val="240"/>
          <w:jc w:val="center"/>
        </w:trPr>
        <w:tc>
          <w:tcPr>
            <w:tcW w:w="9752" w:type="dxa"/>
            <w:gridSpan w:val="2"/>
            <w:tcBorders>
              <w:top w:val="nil"/>
              <w:left w:val="nil"/>
              <w:bottom w:val="nil"/>
              <w:right w:val="nil"/>
            </w:tcBorders>
          </w:tcPr>
          <w:p w14:paraId="4D87EB08" w14:textId="77777777" w:rsidR="005A79DB" w:rsidRPr="00354796" w:rsidRDefault="005A79DB"/>
        </w:tc>
      </w:tr>
      <w:tr w:rsidR="005A79DB" w:rsidRPr="00354796" w14:paraId="05F2C3D4" w14:textId="77777777">
        <w:trPr>
          <w:trHeight w:val="240"/>
          <w:jc w:val="center"/>
        </w:trPr>
        <w:tc>
          <w:tcPr>
            <w:tcW w:w="4876" w:type="dxa"/>
            <w:tcBorders>
              <w:top w:val="nil"/>
              <w:left w:val="nil"/>
              <w:bottom w:val="nil"/>
              <w:right w:val="nil"/>
            </w:tcBorders>
          </w:tcPr>
          <w:p w14:paraId="1373025A"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E2E0140" w14:textId="77777777" w:rsidR="005A79DB" w:rsidRPr="00354796" w:rsidRDefault="006E31A1">
            <w:pPr>
              <w:pStyle w:val="AmColumnHeading"/>
            </w:pPr>
            <w:r w:rsidRPr="00354796">
              <w:t>Poprawka</w:t>
            </w:r>
          </w:p>
        </w:tc>
      </w:tr>
      <w:tr w:rsidR="005A79DB" w:rsidRPr="00354796" w14:paraId="520B4E45" w14:textId="77777777">
        <w:trPr>
          <w:jc w:val="center"/>
        </w:trPr>
        <w:tc>
          <w:tcPr>
            <w:tcW w:w="4876" w:type="dxa"/>
            <w:tcBorders>
              <w:top w:val="nil"/>
              <w:left w:val="nil"/>
              <w:bottom w:val="nil"/>
              <w:right w:val="nil"/>
            </w:tcBorders>
          </w:tcPr>
          <w:p w14:paraId="4D4F4BBF" w14:textId="77777777" w:rsidR="005A79DB" w:rsidRPr="00354796" w:rsidRDefault="006E31A1">
            <w:pPr>
              <w:pStyle w:val="Normal6a"/>
            </w:pPr>
            <w:r w:rsidRPr="00354796">
              <w:t>C.</w:t>
            </w:r>
            <w:r w:rsidRPr="00354796">
              <w:tab/>
              <w:t xml:space="preserve">mając na uwadze, że oszustwa takie </w:t>
            </w:r>
            <w:r w:rsidRPr="00354796">
              <w:rPr>
                <w:b/>
                <w:bCs/>
                <w:i/>
                <w:iCs/>
              </w:rPr>
              <w:t>mogą powodować</w:t>
            </w:r>
            <w:r w:rsidRPr="00354796">
              <w:t xml:space="preserve"> znaczne straty dla budżetów krajowych, </w:t>
            </w:r>
            <w:r w:rsidRPr="00354796">
              <w:rPr>
                <w:b/>
                <w:bCs/>
                <w:i/>
                <w:iCs/>
              </w:rPr>
              <w:t>zakłócać</w:t>
            </w:r>
            <w:r w:rsidRPr="00354796">
              <w:t xml:space="preserve"> konkurencję oraz </w:t>
            </w:r>
            <w:r w:rsidRPr="00354796">
              <w:rPr>
                <w:b/>
                <w:bCs/>
                <w:i/>
                <w:iCs/>
              </w:rPr>
              <w:t>narażać</w:t>
            </w:r>
            <w:r w:rsidRPr="00354796">
              <w:t xml:space="preserve"> legalne przedsiębiorstwa na ryzyko prawne i finansowe;</w:t>
            </w:r>
          </w:p>
        </w:tc>
        <w:tc>
          <w:tcPr>
            <w:tcW w:w="4876" w:type="dxa"/>
            <w:tcBorders>
              <w:top w:val="nil"/>
              <w:left w:val="nil"/>
              <w:bottom w:val="nil"/>
              <w:right w:val="nil"/>
            </w:tcBorders>
          </w:tcPr>
          <w:p w14:paraId="7619ACE9" w14:textId="77777777" w:rsidR="005A79DB" w:rsidRPr="00354796" w:rsidRDefault="006E31A1">
            <w:pPr>
              <w:pStyle w:val="Normal6a"/>
            </w:pPr>
            <w:r w:rsidRPr="00354796">
              <w:t>C.</w:t>
            </w:r>
            <w:r w:rsidRPr="00354796">
              <w:tab/>
              <w:t xml:space="preserve">mając na uwadze, że oszustwa takie </w:t>
            </w:r>
            <w:r w:rsidRPr="00354796">
              <w:rPr>
                <w:b/>
                <w:bCs/>
                <w:i/>
                <w:iCs/>
              </w:rPr>
              <w:t>powodują</w:t>
            </w:r>
            <w:r w:rsidRPr="00354796">
              <w:t xml:space="preserve"> znaczne straty dla budżetów krajowych, </w:t>
            </w:r>
            <w:r w:rsidRPr="00354796">
              <w:rPr>
                <w:b/>
                <w:bCs/>
                <w:i/>
                <w:iCs/>
              </w:rPr>
              <w:t>zakłócają</w:t>
            </w:r>
            <w:r w:rsidRPr="00354796">
              <w:t xml:space="preserve"> konkurencję oraz </w:t>
            </w:r>
            <w:r w:rsidRPr="00354796">
              <w:rPr>
                <w:b/>
                <w:bCs/>
                <w:i/>
                <w:iCs/>
              </w:rPr>
              <w:t>narażają</w:t>
            </w:r>
            <w:r w:rsidRPr="00354796">
              <w:t xml:space="preserve"> legalne przedsiębiorstwa na ryzyko prawne i finansowe;</w:t>
            </w:r>
          </w:p>
        </w:tc>
      </w:tr>
    </w:tbl>
    <w:p w14:paraId="16C68F00"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A68B5FC" w14:textId="77777777" w:rsidR="005A79DB" w:rsidRPr="00354796" w:rsidRDefault="006E31A1">
      <w:r w:rsidRPr="00354796">
        <w:rPr>
          <w:rStyle w:val="HideTWBExt"/>
        </w:rPr>
        <w:t>&lt;/Amend&gt;</w:t>
      </w:r>
    </w:p>
    <w:p w14:paraId="7E1A6D38"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11</w:t>
      </w:r>
      <w:r w:rsidRPr="00354796">
        <w:rPr>
          <w:rStyle w:val="HideTWBExt"/>
        </w:rPr>
        <w:t>&lt;/NumAm&gt;</w:t>
      </w:r>
    </w:p>
    <w:p w14:paraId="56DCF407"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758AA5F4" w14:textId="77777777" w:rsidR="005A79DB" w:rsidRPr="00354796" w:rsidRDefault="006E31A1">
      <w:pPr>
        <w:pStyle w:val="NormalBold"/>
      </w:pPr>
      <w:r w:rsidRPr="00354796">
        <w:rPr>
          <w:rStyle w:val="HideTWBExt"/>
          <w:b w:val="0"/>
        </w:rPr>
        <w:t>&lt;/RepeatBlock-By&gt;</w:t>
      </w:r>
    </w:p>
    <w:p w14:paraId="630D73A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61BC5BC" w14:textId="77777777" w:rsidR="005A79DB" w:rsidRPr="00354796" w:rsidRDefault="006E31A1">
      <w:pPr>
        <w:pStyle w:val="NormalBold"/>
      </w:pPr>
      <w:r w:rsidRPr="00354796">
        <w:rPr>
          <w:rStyle w:val="HideTWBExt"/>
        </w:rPr>
        <w:t>&lt;Article&gt;</w:t>
      </w:r>
      <w:r w:rsidRPr="00354796">
        <w:t>Motyw C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51F2247" w14:textId="77777777">
        <w:trPr>
          <w:trHeight w:hRule="exact" w:val="240"/>
          <w:jc w:val="center"/>
        </w:trPr>
        <w:tc>
          <w:tcPr>
            <w:tcW w:w="9752" w:type="dxa"/>
            <w:gridSpan w:val="2"/>
            <w:tcBorders>
              <w:top w:val="nil"/>
              <w:left w:val="nil"/>
              <w:bottom w:val="nil"/>
              <w:right w:val="nil"/>
            </w:tcBorders>
          </w:tcPr>
          <w:p w14:paraId="427D89E0" w14:textId="77777777" w:rsidR="005A79DB" w:rsidRPr="00354796" w:rsidRDefault="005A79DB"/>
        </w:tc>
      </w:tr>
      <w:tr w:rsidR="005A79DB" w:rsidRPr="00354796" w14:paraId="1956DF0A" w14:textId="77777777">
        <w:trPr>
          <w:trHeight w:val="240"/>
          <w:jc w:val="center"/>
        </w:trPr>
        <w:tc>
          <w:tcPr>
            <w:tcW w:w="4876" w:type="dxa"/>
            <w:tcBorders>
              <w:top w:val="nil"/>
              <w:left w:val="nil"/>
              <w:bottom w:val="nil"/>
              <w:right w:val="nil"/>
            </w:tcBorders>
          </w:tcPr>
          <w:p w14:paraId="7672D7B4" w14:textId="77777777" w:rsidR="005A79DB" w:rsidRPr="00354796" w:rsidRDefault="006E31A1">
            <w:pPr>
              <w:pStyle w:val="AmColumnHeading"/>
            </w:pPr>
            <w:r w:rsidRPr="00354796">
              <w:lastRenderedPageBreak/>
              <w:t>Projekt rezolucji</w:t>
            </w:r>
          </w:p>
        </w:tc>
        <w:tc>
          <w:tcPr>
            <w:tcW w:w="4876" w:type="dxa"/>
            <w:tcBorders>
              <w:top w:val="nil"/>
              <w:left w:val="nil"/>
              <w:bottom w:val="nil"/>
              <w:right w:val="nil"/>
            </w:tcBorders>
          </w:tcPr>
          <w:p w14:paraId="2ECA1365" w14:textId="77777777" w:rsidR="005A79DB" w:rsidRPr="00354796" w:rsidRDefault="006E31A1">
            <w:pPr>
              <w:pStyle w:val="AmColumnHeading"/>
            </w:pPr>
            <w:r w:rsidRPr="00354796">
              <w:t>Poprawka</w:t>
            </w:r>
          </w:p>
        </w:tc>
      </w:tr>
      <w:tr w:rsidR="005A79DB" w:rsidRPr="00354796" w14:paraId="59D72117" w14:textId="77777777">
        <w:trPr>
          <w:jc w:val="center"/>
        </w:trPr>
        <w:tc>
          <w:tcPr>
            <w:tcW w:w="4876" w:type="dxa"/>
            <w:tcBorders>
              <w:top w:val="nil"/>
              <w:left w:val="nil"/>
              <w:bottom w:val="nil"/>
              <w:right w:val="nil"/>
            </w:tcBorders>
          </w:tcPr>
          <w:p w14:paraId="34B731D7" w14:textId="77777777" w:rsidR="005A79DB" w:rsidRPr="00354796" w:rsidRDefault="005A79DB">
            <w:pPr>
              <w:pStyle w:val="Normal6a"/>
            </w:pPr>
          </w:p>
        </w:tc>
        <w:tc>
          <w:tcPr>
            <w:tcW w:w="4876" w:type="dxa"/>
            <w:tcBorders>
              <w:top w:val="nil"/>
              <w:left w:val="nil"/>
              <w:bottom w:val="nil"/>
              <w:right w:val="nil"/>
            </w:tcBorders>
          </w:tcPr>
          <w:p w14:paraId="72FFC936" w14:textId="77777777" w:rsidR="005A79DB" w:rsidRPr="00354796" w:rsidRDefault="006E31A1">
            <w:pPr>
              <w:pStyle w:val="Normal6a"/>
            </w:pPr>
            <w:r w:rsidRPr="00354796">
              <w:rPr>
                <w:b/>
                <w:i/>
              </w:rPr>
              <w:t>Ca.</w:t>
            </w:r>
            <w:r w:rsidRPr="00354796">
              <w:tab/>
            </w:r>
            <w:r w:rsidRPr="00354796">
              <w:rPr>
                <w:b/>
                <w:i/>
              </w:rPr>
              <w:t xml:space="preserve">mając na uwadze, że mechanizm odwrotnego obciążenia okazał się wysoce skutecznym instrumentem nie tylko pod względem zabezpieczenia dochodów podatkowych, lecz także </w:t>
            </w:r>
            <w:r w:rsidRPr="00354796">
              <w:rPr>
                <w:b/>
                <w:i/>
              </w:rPr>
              <w:t>zwalczania szarej strefy gospodarki i zapobiegania nieuczciwemu dumpingowi cenowemu ze strony podmiotów dopuszczających się nadużyć, a tym samym bezpośredniej ochrony konkurencyjności uczciwych przedsiębiorstw;</w:t>
            </w:r>
          </w:p>
        </w:tc>
      </w:tr>
    </w:tbl>
    <w:p w14:paraId="2D1D4E97"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85CCB86" w14:textId="77777777" w:rsidR="005A79DB" w:rsidRPr="00354796" w:rsidRDefault="006E31A1">
      <w:r w:rsidRPr="00354796">
        <w:rPr>
          <w:rStyle w:val="HideTWBExt"/>
        </w:rPr>
        <w:t>&lt;/Amend&gt;</w:t>
      </w:r>
    </w:p>
    <w:p w14:paraId="7AF8B74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12</w:t>
      </w:r>
      <w:r w:rsidRPr="00354796">
        <w:rPr>
          <w:rStyle w:val="HideTWBExt"/>
        </w:rPr>
        <w:t>&lt;/NumAm&gt;</w:t>
      </w:r>
    </w:p>
    <w:p w14:paraId="329B482D"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0A2CC117" w14:textId="77777777" w:rsidR="005A79DB" w:rsidRPr="00354796" w:rsidRDefault="006E31A1">
      <w:pPr>
        <w:pStyle w:val="NormalBold"/>
      </w:pPr>
      <w:r w:rsidRPr="00354796">
        <w:rPr>
          <w:rStyle w:val="HideTWBExt"/>
          <w:b w:val="0"/>
        </w:rPr>
        <w:t>&lt;/RepeatBlock-By&gt;</w:t>
      </w:r>
    </w:p>
    <w:p w14:paraId="71F8418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BF7D93F" w14:textId="77777777" w:rsidR="005A79DB" w:rsidRPr="00354796" w:rsidRDefault="006E31A1">
      <w:pPr>
        <w:pStyle w:val="NormalBold"/>
      </w:pPr>
      <w:r w:rsidRPr="00354796">
        <w:rPr>
          <w:rStyle w:val="HideTWBExt"/>
        </w:rPr>
        <w:t>&lt;Article&gt;</w:t>
      </w:r>
      <w:r w:rsidRPr="00354796">
        <w:t>Motyw C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DBD7E2F" w14:textId="77777777">
        <w:trPr>
          <w:trHeight w:hRule="exact" w:val="240"/>
          <w:jc w:val="center"/>
        </w:trPr>
        <w:tc>
          <w:tcPr>
            <w:tcW w:w="9752" w:type="dxa"/>
            <w:gridSpan w:val="2"/>
            <w:tcBorders>
              <w:top w:val="nil"/>
              <w:left w:val="nil"/>
              <w:bottom w:val="nil"/>
              <w:right w:val="nil"/>
            </w:tcBorders>
          </w:tcPr>
          <w:p w14:paraId="4E563F0C" w14:textId="77777777" w:rsidR="005A79DB" w:rsidRPr="00354796" w:rsidRDefault="005A79DB"/>
        </w:tc>
      </w:tr>
      <w:tr w:rsidR="005A79DB" w:rsidRPr="00354796" w14:paraId="5247B3CA" w14:textId="77777777">
        <w:trPr>
          <w:trHeight w:val="240"/>
          <w:jc w:val="center"/>
        </w:trPr>
        <w:tc>
          <w:tcPr>
            <w:tcW w:w="4876" w:type="dxa"/>
            <w:tcBorders>
              <w:top w:val="nil"/>
              <w:left w:val="nil"/>
              <w:bottom w:val="nil"/>
              <w:right w:val="nil"/>
            </w:tcBorders>
          </w:tcPr>
          <w:p w14:paraId="499EAE36" w14:textId="77777777" w:rsidR="005A79DB" w:rsidRPr="00354796" w:rsidRDefault="006E31A1">
            <w:pPr>
              <w:pStyle w:val="AmColumnHeading"/>
            </w:pPr>
            <w:r w:rsidRPr="00354796">
              <w:t xml:space="preserve">Projekt </w:t>
            </w:r>
            <w:r w:rsidRPr="00354796">
              <w:t>rezolucji</w:t>
            </w:r>
          </w:p>
        </w:tc>
        <w:tc>
          <w:tcPr>
            <w:tcW w:w="4876" w:type="dxa"/>
            <w:tcBorders>
              <w:top w:val="nil"/>
              <w:left w:val="nil"/>
              <w:bottom w:val="nil"/>
              <w:right w:val="nil"/>
            </w:tcBorders>
          </w:tcPr>
          <w:p w14:paraId="678E1EFD" w14:textId="77777777" w:rsidR="005A79DB" w:rsidRPr="00354796" w:rsidRDefault="006E31A1">
            <w:pPr>
              <w:pStyle w:val="AmColumnHeading"/>
            </w:pPr>
            <w:r w:rsidRPr="00354796">
              <w:t>Poprawka</w:t>
            </w:r>
          </w:p>
        </w:tc>
      </w:tr>
      <w:tr w:rsidR="005A79DB" w:rsidRPr="00354796" w14:paraId="11638786" w14:textId="77777777">
        <w:trPr>
          <w:jc w:val="center"/>
        </w:trPr>
        <w:tc>
          <w:tcPr>
            <w:tcW w:w="4876" w:type="dxa"/>
            <w:tcBorders>
              <w:top w:val="nil"/>
              <w:left w:val="nil"/>
              <w:bottom w:val="nil"/>
              <w:right w:val="nil"/>
            </w:tcBorders>
          </w:tcPr>
          <w:p w14:paraId="23C92B18" w14:textId="77777777" w:rsidR="005A79DB" w:rsidRPr="00354796" w:rsidRDefault="005A79DB">
            <w:pPr>
              <w:pStyle w:val="Normal6a"/>
            </w:pPr>
          </w:p>
        </w:tc>
        <w:tc>
          <w:tcPr>
            <w:tcW w:w="4876" w:type="dxa"/>
            <w:tcBorders>
              <w:top w:val="nil"/>
              <w:left w:val="nil"/>
              <w:bottom w:val="nil"/>
              <w:right w:val="nil"/>
            </w:tcBorders>
          </w:tcPr>
          <w:p w14:paraId="778701F8" w14:textId="77777777" w:rsidR="005A79DB" w:rsidRPr="00354796" w:rsidRDefault="006E31A1">
            <w:pPr>
              <w:pStyle w:val="Normal6a"/>
            </w:pPr>
            <w:r w:rsidRPr="00354796">
              <w:rPr>
                <w:b/>
                <w:i/>
              </w:rPr>
              <w:t>Ca.</w:t>
            </w:r>
            <w:r w:rsidRPr="00354796">
              <w:tab/>
            </w:r>
            <w:r w:rsidRPr="00354796">
              <w:rPr>
                <w:b/>
                <w:i/>
              </w:rPr>
              <w:t>mając na uwadze, że zdolność do osiągania lepszych wyników w zwalczaniu oszustw podatkowych, uchylania się od opodatkowania i unikania opodatkowania pozostaje ograniczona przez wymóg jednomyślności w Radzie UE, mający zastosowanie w tym obszarze polityki;</w:t>
            </w:r>
          </w:p>
        </w:tc>
      </w:tr>
    </w:tbl>
    <w:p w14:paraId="3252E00B"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069E0F6" w14:textId="77777777" w:rsidR="005A79DB" w:rsidRPr="00354796" w:rsidRDefault="006E31A1">
      <w:r w:rsidRPr="00354796">
        <w:rPr>
          <w:rStyle w:val="HideTWBExt"/>
        </w:rPr>
        <w:t>&lt;/Amend&gt;</w:t>
      </w:r>
    </w:p>
    <w:p w14:paraId="68E80479"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13</w:t>
      </w:r>
      <w:r w:rsidRPr="00354796">
        <w:rPr>
          <w:rStyle w:val="HideTWBExt"/>
        </w:rPr>
        <w:t>&lt;/NumAm&gt;</w:t>
      </w:r>
    </w:p>
    <w:p w14:paraId="28007E42"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35F87DD2" w14:textId="77777777" w:rsidR="005A79DB" w:rsidRPr="00354796" w:rsidRDefault="006E31A1">
      <w:pPr>
        <w:pStyle w:val="NormalBold"/>
      </w:pPr>
      <w:r w:rsidRPr="00354796">
        <w:rPr>
          <w:rStyle w:val="HideTWBExt"/>
          <w:b w:val="0"/>
        </w:rPr>
        <w:t>&lt;/RepeatBlock-By&gt;</w:t>
      </w:r>
    </w:p>
    <w:p w14:paraId="18FFC4F2"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73341B8" w14:textId="77777777" w:rsidR="005A79DB" w:rsidRPr="00354796" w:rsidRDefault="006E31A1">
      <w:pPr>
        <w:pStyle w:val="NormalBold"/>
      </w:pPr>
      <w:r w:rsidRPr="00354796">
        <w:rPr>
          <w:rStyle w:val="HideTWBExt"/>
        </w:rPr>
        <w:t>&lt;Article&gt;</w:t>
      </w:r>
      <w:r w:rsidRPr="00354796">
        <w:t>Motyw C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59DB5CF" w14:textId="77777777">
        <w:trPr>
          <w:trHeight w:hRule="exact" w:val="240"/>
          <w:jc w:val="center"/>
        </w:trPr>
        <w:tc>
          <w:tcPr>
            <w:tcW w:w="9752" w:type="dxa"/>
            <w:gridSpan w:val="2"/>
            <w:tcBorders>
              <w:top w:val="nil"/>
              <w:left w:val="nil"/>
              <w:bottom w:val="nil"/>
              <w:right w:val="nil"/>
            </w:tcBorders>
          </w:tcPr>
          <w:p w14:paraId="746D0675" w14:textId="77777777" w:rsidR="005A79DB" w:rsidRPr="00354796" w:rsidRDefault="005A79DB"/>
        </w:tc>
      </w:tr>
      <w:tr w:rsidR="005A79DB" w:rsidRPr="00354796" w14:paraId="52E0DC98" w14:textId="77777777">
        <w:trPr>
          <w:trHeight w:val="240"/>
          <w:jc w:val="center"/>
        </w:trPr>
        <w:tc>
          <w:tcPr>
            <w:tcW w:w="4876" w:type="dxa"/>
            <w:tcBorders>
              <w:top w:val="nil"/>
              <w:left w:val="nil"/>
              <w:bottom w:val="nil"/>
              <w:right w:val="nil"/>
            </w:tcBorders>
          </w:tcPr>
          <w:p w14:paraId="5E54910D"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D4D8B2B" w14:textId="77777777" w:rsidR="005A79DB" w:rsidRPr="00354796" w:rsidRDefault="006E31A1">
            <w:pPr>
              <w:pStyle w:val="AmColumnHeading"/>
            </w:pPr>
            <w:r w:rsidRPr="00354796">
              <w:t>Poprawka</w:t>
            </w:r>
          </w:p>
        </w:tc>
      </w:tr>
      <w:tr w:rsidR="005A79DB" w:rsidRPr="00354796" w14:paraId="06699ADE" w14:textId="77777777">
        <w:trPr>
          <w:jc w:val="center"/>
        </w:trPr>
        <w:tc>
          <w:tcPr>
            <w:tcW w:w="4876" w:type="dxa"/>
            <w:tcBorders>
              <w:top w:val="nil"/>
              <w:left w:val="nil"/>
              <w:bottom w:val="nil"/>
              <w:right w:val="nil"/>
            </w:tcBorders>
          </w:tcPr>
          <w:p w14:paraId="177B8352" w14:textId="77777777" w:rsidR="005A79DB" w:rsidRPr="00354796" w:rsidRDefault="005A79DB">
            <w:pPr>
              <w:pStyle w:val="Normal6a"/>
            </w:pPr>
          </w:p>
        </w:tc>
        <w:tc>
          <w:tcPr>
            <w:tcW w:w="4876" w:type="dxa"/>
            <w:tcBorders>
              <w:top w:val="nil"/>
              <w:left w:val="nil"/>
              <w:bottom w:val="nil"/>
              <w:right w:val="nil"/>
            </w:tcBorders>
          </w:tcPr>
          <w:p w14:paraId="78699AEE" w14:textId="77777777" w:rsidR="005A79DB" w:rsidRPr="00354796" w:rsidRDefault="006E31A1">
            <w:pPr>
              <w:pStyle w:val="Normal6a"/>
            </w:pPr>
            <w:r w:rsidRPr="00354796">
              <w:rPr>
                <w:b/>
                <w:i/>
              </w:rPr>
              <w:t>Ca.</w:t>
            </w:r>
            <w:r w:rsidRPr="00354796">
              <w:tab/>
            </w:r>
            <w:r w:rsidRPr="00354796">
              <w:rPr>
                <w:b/>
                <w:i/>
              </w:rPr>
              <w:t xml:space="preserve">mając na uwadze, że oszustwa związane z VAT występują głównie w sektorach gospodarki, w których nie </w:t>
            </w:r>
            <w:r w:rsidRPr="00354796">
              <w:rPr>
                <w:b/>
                <w:i/>
              </w:rPr>
              <w:lastRenderedPageBreak/>
              <w:t>stosuje się mechanizmu odwrotnego obciążenia</w:t>
            </w:r>
            <w:r w:rsidRPr="00354796">
              <w:rPr>
                <w:b/>
                <w:i/>
                <w:vertAlign w:val="superscript"/>
              </w:rPr>
              <w:t>1a</w:t>
            </w:r>
            <w:r w:rsidRPr="00354796">
              <w:rPr>
                <w:b/>
                <w:i/>
              </w:rPr>
              <w:t>;</w:t>
            </w:r>
          </w:p>
        </w:tc>
      </w:tr>
      <w:tr w:rsidR="005A79DB" w:rsidRPr="00354796" w14:paraId="2FDEFFF2" w14:textId="77777777">
        <w:trPr>
          <w:jc w:val="center"/>
        </w:trPr>
        <w:tc>
          <w:tcPr>
            <w:tcW w:w="4876" w:type="dxa"/>
            <w:tcBorders>
              <w:top w:val="nil"/>
              <w:left w:val="nil"/>
              <w:bottom w:val="nil"/>
              <w:right w:val="nil"/>
            </w:tcBorders>
          </w:tcPr>
          <w:p w14:paraId="1C66FA9C" w14:textId="77777777" w:rsidR="005A79DB" w:rsidRPr="00354796" w:rsidRDefault="005A79DB"/>
        </w:tc>
        <w:tc>
          <w:tcPr>
            <w:tcW w:w="4876" w:type="dxa"/>
            <w:tcBorders>
              <w:top w:val="nil"/>
              <w:left w:val="nil"/>
              <w:bottom w:val="nil"/>
              <w:right w:val="nil"/>
            </w:tcBorders>
          </w:tcPr>
          <w:p w14:paraId="35A902D9" w14:textId="77777777" w:rsidR="005A79DB" w:rsidRPr="00354796" w:rsidRDefault="006E31A1">
            <w:pPr>
              <w:pStyle w:val="Normal6a"/>
            </w:pPr>
            <w:r w:rsidRPr="00354796">
              <w:rPr>
                <w:b/>
                <w:i/>
              </w:rPr>
              <w:t>_________________</w:t>
            </w:r>
          </w:p>
        </w:tc>
      </w:tr>
      <w:tr w:rsidR="005A79DB" w:rsidRPr="00354796" w14:paraId="3633B40C" w14:textId="77777777">
        <w:trPr>
          <w:jc w:val="center"/>
        </w:trPr>
        <w:tc>
          <w:tcPr>
            <w:tcW w:w="4876" w:type="dxa"/>
            <w:tcBorders>
              <w:top w:val="nil"/>
              <w:left w:val="nil"/>
              <w:bottom w:val="nil"/>
              <w:right w:val="nil"/>
            </w:tcBorders>
          </w:tcPr>
          <w:p w14:paraId="190DBAD6" w14:textId="77777777" w:rsidR="005A79DB" w:rsidRPr="00354796" w:rsidRDefault="005A79DB"/>
        </w:tc>
        <w:tc>
          <w:tcPr>
            <w:tcW w:w="4876" w:type="dxa"/>
            <w:tcBorders>
              <w:top w:val="nil"/>
              <w:left w:val="nil"/>
              <w:bottom w:val="nil"/>
              <w:right w:val="nil"/>
            </w:tcBorders>
          </w:tcPr>
          <w:p w14:paraId="3EC56801" w14:textId="77777777" w:rsidR="005A79DB" w:rsidRPr="00354796" w:rsidRDefault="006E31A1">
            <w:pPr>
              <w:pStyle w:val="Normal6a"/>
            </w:pPr>
            <w:r w:rsidRPr="00354796">
              <w:rPr>
                <w:b/>
                <w:i/>
                <w:vertAlign w:val="superscript"/>
              </w:rPr>
              <w:t>1a</w:t>
            </w:r>
            <w:r w:rsidRPr="00354796">
              <w:t xml:space="preserve"> </w:t>
            </w:r>
            <w:proofErr w:type="spellStart"/>
            <w:r w:rsidRPr="00354796">
              <w:rPr>
                <w:b/>
                <w:i/>
              </w:rPr>
              <w:t>Buettner</w:t>
            </w:r>
            <w:proofErr w:type="spellEnd"/>
            <w:r w:rsidRPr="00354796">
              <w:rPr>
                <w:b/>
                <w:i/>
              </w:rPr>
              <w:t xml:space="preserve">, T., </w:t>
            </w:r>
            <w:proofErr w:type="spellStart"/>
            <w:r w:rsidRPr="00354796">
              <w:rPr>
                <w:b/>
                <w:i/>
              </w:rPr>
              <w:t>Tassi</w:t>
            </w:r>
            <w:proofErr w:type="spellEnd"/>
            <w:r w:rsidRPr="00354796">
              <w:rPr>
                <w:b/>
                <w:i/>
              </w:rPr>
              <w:t xml:space="preserve">, A., VAT fraud and </w:t>
            </w:r>
            <w:proofErr w:type="spellStart"/>
            <w:r w:rsidRPr="00354796">
              <w:rPr>
                <w:b/>
                <w:i/>
              </w:rPr>
              <w:t>reverse</w:t>
            </w:r>
            <w:proofErr w:type="spellEnd"/>
            <w:r w:rsidRPr="00354796">
              <w:rPr>
                <w:b/>
                <w:i/>
              </w:rPr>
              <w:t xml:space="preserve"> </w:t>
            </w:r>
            <w:proofErr w:type="spellStart"/>
            <w:r w:rsidRPr="00354796">
              <w:rPr>
                <w:b/>
                <w:i/>
              </w:rPr>
              <w:t>charge</w:t>
            </w:r>
            <w:proofErr w:type="spellEnd"/>
            <w:r w:rsidRPr="00354796">
              <w:rPr>
                <w:b/>
                <w:i/>
              </w:rPr>
              <w:t xml:space="preserve">: </w:t>
            </w:r>
            <w:proofErr w:type="spellStart"/>
            <w:r w:rsidRPr="00354796">
              <w:rPr>
                <w:b/>
                <w:i/>
              </w:rPr>
              <w:t>empirical</w:t>
            </w:r>
            <w:proofErr w:type="spellEnd"/>
            <w:r w:rsidRPr="00354796">
              <w:rPr>
                <w:b/>
                <w:i/>
              </w:rPr>
              <w:t xml:space="preserve"> </w:t>
            </w:r>
            <w:proofErr w:type="spellStart"/>
            <w:r w:rsidRPr="00354796">
              <w:rPr>
                <w:b/>
                <w:i/>
              </w:rPr>
              <w:t>evidence</w:t>
            </w:r>
            <w:proofErr w:type="spellEnd"/>
            <w:r w:rsidRPr="00354796">
              <w:rPr>
                <w:b/>
                <w:i/>
              </w:rPr>
              <w:t xml:space="preserve"> from VAT return data [Oszustwa związane z VAT i mechanizm odwrotnego obciążenia: dowody empiryczne na podstawie danych z deklaracji VAT]. International </w:t>
            </w:r>
            <w:proofErr w:type="spellStart"/>
            <w:r w:rsidRPr="00354796">
              <w:rPr>
                <w:b/>
                <w:i/>
              </w:rPr>
              <w:t>Tax</w:t>
            </w:r>
            <w:proofErr w:type="spellEnd"/>
            <w:r w:rsidRPr="00354796">
              <w:rPr>
                <w:b/>
                <w:i/>
              </w:rPr>
              <w:t xml:space="preserve"> and Public Finance, 2023, 30:849–878. Dostęp pod adresem: https://doi.org/10.1007/s10797-023-09776-y.</w:t>
            </w:r>
          </w:p>
        </w:tc>
      </w:tr>
    </w:tbl>
    <w:p w14:paraId="788F0759"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219DD1E" w14:textId="77777777" w:rsidR="005A79DB" w:rsidRPr="00354796" w:rsidRDefault="006E31A1">
      <w:r w:rsidRPr="00354796">
        <w:rPr>
          <w:rStyle w:val="HideTWBExt"/>
        </w:rPr>
        <w:t>&lt;/Amend&gt;</w:t>
      </w:r>
    </w:p>
    <w:p w14:paraId="55447E1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14</w:t>
      </w:r>
      <w:r w:rsidRPr="00354796">
        <w:rPr>
          <w:rStyle w:val="HideTWBExt"/>
        </w:rPr>
        <w:t>&lt;/NumAm&gt;</w:t>
      </w:r>
    </w:p>
    <w:p w14:paraId="3FA55EE4"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46362F50" w14:textId="77777777" w:rsidR="005A79DB" w:rsidRPr="00354796" w:rsidRDefault="006E31A1">
      <w:pPr>
        <w:pStyle w:val="NormalBold"/>
      </w:pPr>
      <w:r w:rsidRPr="00354796">
        <w:rPr>
          <w:rStyle w:val="HideTWBExt"/>
          <w:b w:val="0"/>
        </w:rPr>
        <w:t>&lt;/RepeatBlock-By&gt;</w:t>
      </w:r>
    </w:p>
    <w:p w14:paraId="27C1EBC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57EF15B" w14:textId="77777777" w:rsidR="005A79DB" w:rsidRPr="00354796" w:rsidRDefault="006E31A1">
      <w:pPr>
        <w:pStyle w:val="NormalBold"/>
      </w:pPr>
      <w:r w:rsidRPr="00354796">
        <w:rPr>
          <w:rStyle w:val="HideTWBExt"/>
        </w:rPr>
        <w:t>&lt;Article&gt;</w:t>
      </w:r>
      <w:r w:rsidRPr="00354796">
        <w:t>Motyw D</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B8C1A2F" w14:textId="77777777">
        <w:trPr>
          <w:trHeight w:hRule="exact" w:val="240"/>
          <w:jc w:val="center"/>
        </w:trPr>
        <w:tc>
          <w:tcPr>
            <w:tcW w:w="9752" w:type="dxa"/>
            <w:gridSpan w:val="2"/>
            <w:tcBorders>
              <w:top w:val="nil"/>
              <w:left w:val="nil"/>
              <w:bottom w:val="nil"/>
              <w:right w:val="nil"/>
            </w:tcBorders>
          </w:tcPr>
          <w:p w14:paraId="01FE1584" w14:textId="77777777" w:rsidR="005A79DB" w:rsidRPr="00354796" w:rsidRDefault="005A79DB"/>
        </w:tc>
      </w:tr>
      <w:tr w:rsidR="005A79DB" w:rsidRPr="00354796" w14:paraId="3D4A6FFD" w14:textId="77777777">
        <w:trPr>
          <w:trHeight w:val="240"/>
          <w:jc w:val="center"/>
        </w:trPr>
        <w:tc>
          <w:tcPr>
            <w:tcW w:w="4876" w:type="dxa"/>
            <w:tcBorders>
              <w:top w:val="nil"/>
              <w:left w:val="nil"/>
              <w:bottom w:val="nil"/>
              <w:right w:val="nil"/>
            </w:tcBorders>
          </w:tcPr>
          <w:p w14:paraId="18D53D85"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7A5C384" w14:textId="77777777" w:rsidR="005A79DB" w:rsidRPr="00354796" w:rsidRDefault="006E31A1">
            <w:pPr>
              <w:pStyle w:val="AmColumnHeading"/>
            </w:pPr>
            <w:r w:rsidRPr="00354796">
              <w:t>Poprawka</w:t>
            </w:r>
          </w:p>
        </w:tc>
      </w:tr>
      <w:tr w:rsidR="005A79DB" w:rsidRPr="00354796" w14:paraId="4FA72ADE" w14:textId="77777777">
        <w:trPr>
          <w:jc w:val="center"/>
        </w:trPr>
        <w:tc>
          <w:tcPr>
            <w:tcW w:w="4876" w:type="dxa"/>
            <w:tcBorders>
              <w:top w:val="nil"/>
              <w:left w:val="nil"/>
              <w:bottom w:val="nil"/>
              <w:right w:val="nil"/>
            </w:tcBorders>
          </w:tcPr>
          <w:p w14:paraId="6BB71493" w14:textId="77777777" w:rsidR="005A79DB" w:rsidRPr="00354796" w:rsidRDefault="006E31A1">
            <w:pPr>
              <w:pStyle w:val="Normal6a"/>
            </w:pPr>
            <w:r w:rsidRPr="00354796">
              <w:t>D.</w:t>
            </w:r>
            <w:r w:rsidRPr="00354796">
              <w:tab/>
              <w:t xml:space="preserve">mając na uwadze, że mechanizm odwrotnego obciążenia przenosi obowiązek rozliczania podatku VAT z dostawcy na nabywcę, </w:t>
            </w:r>
            <w:r w:rsidRPr="00354796">
              <w:rPr>
                <w:b/>
                <w:bCs/>
                <w:i/>
                <w:iCs/>
              </w:rPr>
              <w:t>zmniejszając</w:t>
            </w:r>
            <w:r w:rsidRPr="00354796">
              <w:t xml:space="preserve"> w ten sposób ryzyko, że dostawca pobierze podatek VAT i zniknie bez jego zwrotu;</w:t>
            </w:r>
          </w:p>
        </w:tc>
        <w:tc>
          <w:tcPr>
            <w:tcW w:w="4876" w:type="dxa"/>
            <w:tcBorders>
              <w:top w:val="nil"/>
              <w:left w:val="nil"/>
              <w:bottom w:val="nil"/>
              <w:right w:val="nil"/>
            </w:tcBorders>
          </w:tcPr>
          <w:p w14:paraId="699D392C" w14:textId="77777777" w:rsidR="005A79DB" w:rsidRPr="00354796" w:rsidRDefault="006E31A1">
            <w:pPr>
              <w:pStyle w:val="Normal6a"/>
            </w:pPr>
            <w:r w:rsidRPr="00354796">
              <w:t>D.</w:t>
            </w:r>
            <w:r w:rsidRPr="00354796">
              <w:tab/>
              <w:t xml:space="preserve">mając na uwadze, że mechanizm odwrotnego obciążenia przenosi obowiązek rozliczania podatku VAT z dostawcy na nabywcę, </w:t>
            </w:r>
            <w:r w:rsidRPr="00354796">
              <w:rPr>
                <w:b/>
                <w:bCs/>
                <w:i/>
                <w:iCs/>
              </w:rPr>
              <w:t>eliminując</w:t>
            </w:r>
            <w:r w:rsidRPr="00354796">
              <w:t xml:space="preserve"> w ten sposób ryzyko, że dostawca pobierze podatek VAT i zniknie bez jego zwrotu;</w:t>
            </w:r>
          </w:p>
        </w:tc>
      </w:tr>
    </w:tbl>
    <w:p w14:paraId="5B247757"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10325A4" w14:textId="77777777" w:rsidR="005A79DB" w:rsidRPr="00354796" w:rsidRDefault="006E31A1">
      <w:r w:rsidRPr="00354796">
        <w:rPr>
          <w:rStyle w:val="HideTWBExt"/>
        </w:rPr>
        <w:t>&lt;/Amend&gt;</w:t>
      </w:r>
    </w:p>
    <w:p w14:paraId="10C7C0AC"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15</w:t>
      </w:r>
      <w:r w:rsidRPr="00354796">
        <w:rPr>
          <w:rStyle w:val="HideTWBExt"/>
        </w:rPr>
        <w:t>&lt;/NumAm&gt;</w:t>
      </w:r>
    </w:p>
    <w:p w14:paraId="5A3753E2"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1799F74C" w14:textId="77777777" w:rsidR="005A79DB" w:rsidRPr="00354796" w:rsidRDefault="006E31A1">
      <w:pPr>
        <w:pStyle w:val="NormalBold"/>
      </w:pPr>
      <w:r w:rsidRPr="00354796">
        <w:rPr>
          <w:rStyle w:val="HideTWBExt"/>
          <w:b w:val="0"/>
        </w:rPr>
        <w:t>&lt;/RepeatBlock-By&gt;</w:t>
      </w:r>
    </w:p>
    <w:p w14:paraId="08B0CB32"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016FF391" w14:textId="77777777" w:rsidR="005A79DB" w:rsidRPr="00354796" w:rsidRDefault="006E31A1">
      <w:pPr>
        <w:pStyle w:val="NormalBold"/>
      </w:pPr>
      <w:r w:rsidRPr="00354796">
        <w:rPr>
          <w:rStyle w:val="HideTWBExt"/>
        </w:rPr>
        <w:t>&lt;Article&gt;</w:t>
      </w:r>
      <w:r w:rsidRPr="00354796">
        <w:t>Motyw G</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677B361" w14:textId="77777777">
        <w:trPr>
          <w:trHeight w:hRule="exact" w:val="240"/>
          <w:jc w:val="center"/>
        </w:trPr>
        <w:tc>
          <w:tcPr>
            <w:tcW w:w="9752" w:type="dxa"/>
            <w:gridSpan w:val="2"/>
            <w:tcBorders>
              <w:top w:val="nil"/>
              <w:left w:val="nil"/>
              <w:bottom w:val="nil"/>
              <w:right w:val="nil"/>
            </w:tcBorders>
          </w:tcPr>
          <w:p w14:paraId="3EDFB035" w14:textId="77777777" w:rsidR="005A79DB" w:rsidRPr="00354796" w:rsidRDefault="005A79DB"/>
        </w:tc>
      </w:tr>
      <w:tr w:rsidR="005A79DB" w:rsidRPr="00354796" w14:paraId="09D7A776" w14:textId="77777777">
        <w:trPr>
          <w:trHeight w:val="240"/>
          <w:jc w:val="center"/>
        </w:trPr>
        <w:tc>
          <w:tcPr>
            <w:tcW w:w="4876" w:type="dxa"/>
            <w:tcBorders>
              <w:top w:val="nil"/>
              <w:left w:val="nil"/>
              <w:bottom w:val="nil"/>
              <w:right w:val="nil"/>
            </w:tcBorders>
          </w:tcPr>
          <w:p w14:paraId="5929522D"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1425C32" w14:textId="77777777" w:rsidR="005A79DB" w:rsidRPr="00354796" w:rsidRDefault="006E31A1">
            <w:pPr>
              <w:pStyle w:val="AmColumnHeading"/>
            </w:pPr>
            <w:r w:rsidRPr="00354796">
              <w:t>Poprawka</w:t>
            </w:r>
          </w:p>
        </w:tc>
      </w:tr>
      <w:tr w:rsidR="005A79DB" w:rsidRPr="00354796" w14:paraId="48C47A5E" w14:textId="77777777">
        <w:trPr>
          <w:jc w:val="center"/>
        </w:trPr>
        <w:tc>
          <w:tcPr>
            <w:tcW w:w="4876" w:type="dxa"/>
            <w:tcBorders>
              <w:top w:val="nil"/>
              <w:left w:val="nil"/>
              <w:bottom w:val="nil"/>
              <w:right w:val="nil"/>
            </w:tcBorders>
          </w:tcPr>
          <w:p w14:paraId="313FFD4F" w14:textId="77777777" w:rsidR="005A79DB" w:rsidRPr="00354796" w:rsidRDefault="006E31A1">
            <w:pPr>
              <w:pStyle w:val="Normal6a"/>
            </w:pPr>
            <w:r w:rsidRPr="00354796">
              <w:t>G.</w:t>
            </w:r>
            <w:r w:rsidRPr="00354796">
              <w:tab/>
              <w:t xml:space="preserve">mając na uwadze, że stosowanie mechanizmu odwrotnego </w:t>
            </w:r>
            <w:r w:rsidRPr="00354796">
              <w:t xml:space="preserve">obciążenia różni się w poszczególnych państwach </w:t>
            </w:r>
            <w:r w:rsidRPr="00354796">
              <w:lastRenderedPageBreak/>
              <w:t>członkowskich, w tym w odniesieniu do dobrowolnych progów i definicji objętych nim sektorów, co potencjalnie skutkuje niepewnością prawa, kosztami zapewnienia zgodności z przepisami</w:t>
            </w:r>
            <w:r w:rsidRPr="00354796">
              <w:rPr>
                <w:b/>
                <w:bCs/>
                <w:i/>
                <w:iCs/>
              </w:rPr>
              <w:t xml:space="preserve"> i</w:t>
            </w:r>
            <w:r w:rsidRPr="00354796">
              <w:t xml:space="preserve"> możliwościami przenoszenia oszustw;</w:t>
            </w:r>
          </w:p>
        </w:tc>
        <w:tc>
          <w:tcPr>
            <w:tcW w:w="4876" w:type="dxa"/>
            <w:tcBorders>
              <w:top w:val="nil"/>
              <w:left w:val="nil"/>
              <w:bottom w:val="nil"/>
              <w:right w:val="nil"/>
            </w:tcBorders>
          </w:tcPr>
          <w:p w14:paraId="7EE59650" w14:textId="77777777" w:rsidR="005A79DB" w:rsidRPr="00354796" w:rsidRDefault="006E31A1">
            <w:pPr>
              <w:pStyle w:val="Normal6a"/>
            </w:pPr>
            <w:r w:rsidRPr="00354796">
              <w:lastRenderedPageBreak/>
              <w:t>G.</w:t>
            </w:r>
            <w:r w:rsidRPr="00354796">
              <w:tab/>
              <w:t xml:space="preserve">mając na uwadze, że stosowanie mechanizmu odwrotnego obciążenia różni się w poszczególnych państwach </w:t>
            </w:r>
            <w:r w:rsidRPr="00354796">
              <w:lastRenderedPageBreak/>
              <w:t>członkowskich, w tym w odniesieniu do dobrowolnych progów i definicji objętych nim sektorów, co potencjalnie skutkuje niepewnością prawa, kosztami zapewnienia zgodności z przepisami</w:t>
            </w:r>
            <w:r w:rsidRPr="00354796">
              <w:rPr>
                <w:b/>
                <w:bCs/>
                <w:i/>
                <w:iCs/>
              </w:rPr>
              <w:t>,</w:t>
            </w:r>
            <w:r w:rsidRPr="00354796">
              <w:t xml:space="preserve"> możliwościami przenoszenia oszustw </w:t>
            </w:r>
            <w:r w:rsidRPr="00354796">
              <w:rPr>
                <w:b/>
                <w:bCs/>
                <w:i/>
                <w:iCs/>
              </w:rPr>
              <w:t>oraz podważaniem celów mechanizmu odwrotnego obciążenia w zakresie ograniczenia liczby oszustw</w:t>
            </w:r>
            <w:r w:rsidRPr="00354796">
              <w:t>;</w:t>
            </w:r>
          </w:p>
        </w:tc>
      </w:tr>
    </w:tbl>
    <w:p w14:paraId="34973301"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78C7273" w14:textId="77777777" w:rsidR="005A79DB" w:rsidRPr="00354796" w:rsidRDefault="006E31A1">
      <w:r w:rsidRPr="00354796">
        <w:rPr>
          <w:rStyle w:val="HideTWBExt"/>
        </w:rPr>
        <w:t>&lt;/Amend&gt;</w:t>
      </w:r>
    </w:p>
    <w:p w14:paraId="520F6B63"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16</w:t>
      </w:r>
      <w:r w:rsidRPr="00354796">
        <w:rPr>
          <w:rStyle w:val="HideTWBExt"/>
        </w:rPr>
        <w:t>&lt;/NumAm&gt;</w:t>
      </w:r>
    </w:p>
    <w:p w14:paraId="349784FD"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33D5B773" w14:textId="77777777" w:rsidR="005A79DB" w:rsidRPr="00354796" w:rsidRDefault="006E31A1">
      <w:pPr>
        <w:pStyle w:val="NormalBold"/>
      </w:pPr>
      <w:r w:rsidRPr="00354796">
        <w:rPr>
          <w:rStyle w:val="HideTWBExt"/>
          <w:b w:val="0"/>
        </w:rPr>
        <w:t>&lt;/RepeatBlock-By&gt;</w:t>
      </w:r>
    </w:p>
    <w:p w14:paraId="28EB92F1"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7070EB0F" w14:textId="77777777" w:rsidR="005A79DB" w:rsidRPr="00354796" w:rsidRDefault="006E31A1">
      <w:pPr>
        <w:pStyle w:val="NormalBold"/>
      </w:pPr>
      <w:r w:rsidRPr="00354796">
        <w:rPr>
          <w:rStyle w:val="HideTWBExt"/>
        </w:rPr>
        <w:t>&lt;Article&gt;</w:t>
      </w:r>
      <w:r w:rsidRPr="00354796">
        <w:t>Motyw G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C3A34F9" w14:textId="77777777">
        <w:trPr>
          <w:trHeight w:hRule="exact" w:val="240"/>
          <w:jc w:val="center"/>
        </w:trPr>
        <w:tc>
          <w:tcPr>
            <w:tcW w:w="9752" w:type="dxa"/>
            <w:gridSpan w:val="2"/>
            <w:tcBorders>
              <w:top w:val="nil"/>
              <w:left w:val="nil"/>
              <w:bottom w:val="nil"/>
              <w:right w:val="nil"/>
            </w:tcBorders>
          </w:tcPr>
          <w:p w14:paraId="36F6918A" w14:textId="77777777" w:rsidR="005A79DB" w:rsidRPr="00354796" w:rsidRDefault="005A79DB"/>
        </w:tc>
      </w:tr>
      <w:tr w:rsidR="005A79DB" w:rsidRPr="00354796" w14:paraId="01EDCC78" w14:textId="77777777">
        <w:trPr>
          <w:trHeight w:val="240"/>
          <w:jc w:val="center"/>
        </w:trPr>
        <w:tc>
          <w:tcPr>
            <w:tcW w:w="4876" w:type="dxa"/>
            <w:tcBorders>
              <w:top w:val="nil"/>
              <w:left w:val="nil"/>
              <w:bottom w:val="nil"/>
              <w:right w:val="nil"/>
            </w:tcBorders>
          </w:tcPr>
          <w:p w14:paraId="500F0621"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B6AF960" w14:textId="77777777" w:rsidR="005A79DB" w:rsidRPr="00354796" w:rsidRDefault="006E31A1">
            <w:pPr>
              <w:pStyle w:val="AmColumnHeading"/>
            </w:pPr>
            <w:r w:rsidRPr="00354796">
              <w:t>Poprawka</w:t>
            </w:r>
          </w:p>
        </w:tc>
      </w:tr>
      <w:tr w:rsidR="005A79DB" w:rsidRPr="00354796" w14:paraId="39E99B91" w14:textId="77777777">
        <w:trPr>
          <w:jc w:val="center"/>
        </w:trPr>
        <w:tc>
          <w:tcPr>
            <w:tcW w:w="4876" w:type="dxa"/>
            <w:tcBorders>
              <w:top w:val="nil"/>
              <w:left w:val="nil"/>
              <w:bottom w:val="nil"/>
              <w:right w:val="nil"/>
            </w:tcBorders>
          </w:tcPr>
          <w:p w14:paraId="1AC9BCFC" w14:textId="77777777" w:rsidR="005A79DB" w:rsidRPr="00354796" w:rsidRDefault="005A79DB">
            <w:pPr>
              <w:pStyle w:val="Normal6a"/>
            </w:pPr>
          </w:p>
        </w:tc>
        <w:tc>
          <w:tcPr>
            <w:tcW w:w="4876" w:type="dxa"/>
            <w:tcBorders>
              <w:top w:val="nil"/>
              <w:left w:val="nil"/>
              <w:bottom w:val="nil"/>
              <w:right w:val="nil"/>
            </w:tcBorders>
          </w:tcPr>
          <w:p w14:paraId="4863DB87" w14:textId="77777777" w:rsidR="005A79DB" w:rsidRPr="00354796" w:rsidRDefault="006E31A1">
            <w:pPr>
              <w:pStyle w:val="Normal6a"/>
            </w:pPr>
            <w:r w:rsidRPr="00354796">
              <w:rPr>
                <w:b/>
                <w:i/>
              </w:rPr>
              <w:t>Ga.</w:t>
            </w:r>
            <w:r w:rsidRPr="00354796">
              <w:tab/>
            </w:r>
            <w:r w:rsidRPr="00354796">
              <w:rPr>
                <w:b/>
                <w:i/>
              </w:rPr>
              <w:t xml:space="preserve">mając na uwadze, że według </w:t>
            </w:r>
            <w:r w:rsidRPr="00354796">
              <w:rPr>
                <w:b/>
                <w:i/>
              </w:rPr>
              <w:t>najnowszych szacunków Komisji luka w podatku VAT w UE wyniosła 128 mld EUR;</w:t>
            </w:r>
          </w:p>
        </w:tc>
      </w:tr>
    </w:tbl>
    <w:p w14:paraId="5201D521"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B5A2975" w14:textId="77777777" w:rsidR="005A79DB" w:rsidRPr="00354796" w:rsidRDefault="006E31A1">
      <w:r w:rsidRPr="00354796">
        <w:rPr>
          <w:rStyle w:val="HideTWBExt"/>
        </w:rPr>
        <w:t>&lt;/Amend&gt;</w:t>
      </w:r>
    </w:p>
    <w:p w14:paraId="3CF5388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17</w:t>
      </w:r>
      <w:r w:rsidRPr="00354796">
        <w:rPr>
          <w:rStyle w:val="HideTWBExt"/>
        </w:rPr>
        <w:t>&lt;/NumAm&gt;</w:t>
      </w:r>
    </w:p>
    <w:p w14:paraId="2685A640"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7047A29D" w14:textId="77777777" w:rsidR="005A79DB" w:rsidRPr="00354796" w:rsidRDefault="006E31A1">
      <w:pPr>
        <w:pStyle w:val="NormalBold"/>
      </w:pPr>
      <w:r w:rsidRPr="00354796">
        <w:rPr>
          <w:rStyle w:val="HideTWBExt"/>
          <w:b w:val="0"/>
        </w:rPr>
        <w:t>&lt;/RepeatBlock-By&gt;</w:t>
      </w:r>
    </w:p>
    <w:p w14:paraId="0736582D"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AE162A1" w14:textId="77777777" w:rsidR="005A79DB" w:rsidRPr="00354796" w:rsidRDefault="006E31A1">
      <w:pPr>
        <w:pStyle w:val="NormalBold"/>
      </w:pPr>
      <w:r w:rsidRPr="00354796">
        <w:rPr>
          <w:rStyle w:val="HideTWBExt"/>
        </w:rPr>
        <w:t>&lt;Article&gt;</w:t>
      </w:r>
      <w:r w:rsidRPr="00354796">
        <w:t>Motyw G b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44F6B50A" w14:textId="77777777">
        <w:trPr>
          <w:trHeight w:hRule="exact" w:val="240"/>
          <w:jc w:val="center"/>
        </w:trPr>
        <w:tc>
          <w:tcPr>
            <w:tcW w:w="9752" w:type="dxa"/>
            <w:gridSpan w:val="2"/>
            <w:tcBorders>
              <w:top w:val="nil"/>
              <w:left w:val="nil"/>
              <w:bottom w:val="nil"/>
              <w:right w:val="nil"/>
            </w:tcBorders>
          </w:tcPr>
          <w:p w14:paraId="4391A1BD" w14:textId="77777777" w:rsidR="005A79DB" w:rsidRPr="00354796" w:rsidRDefault="005A79DB"/>
        </w:tc>
      </w:tr>
      <w:tr w:rsidR="005A79DB" w:rsidRPr="00354796" w14:paraId="13D2CA54" w14:textId="77777777">
        <w:trPr>
          <w:trHeight w:val="240"/>
          <w:jc w:val="center"/>
        </w:trPr>
        <w:tc>
          <w:tcPr>
            <w:tcW w:w="4876" w:type="dxa"/>
            <w:tcBorders>
              <w:top w:val="nil"/>
              <w:left w:val="nil"/>
              <w:bottom w:val="nil"/>
              <w:right w:val="nil"/>
            </w:tcBorders>
          </w:tcPr>
          <w:p w14:paraId="478C1141"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37ED589" w14:textId="77777777" w:rsidR="005A79DB" w:rsidRPr="00354796" w:rsidRDefault="006E31A1">
            <w:pPr>
              <w:pStyle w:val="AmColumnHeading"/>
            </w:pPr>
            <w:r w:rsidRPr="00354796">
              <w:t>Poprawka</w:t>
            </w:r>
          </w:p>
        </w:tc>
      </w:tr>
      <w:tr w:rsidR="005A79DB" w:rsidRPr="00354796" w14:paraId="6B9D2D88" w14:textId="77777777">
        <w:trPr>
          <w:jc w:val="center"/>
        </w:trPr>
        <w:tc>
          <w:tcPr>
            <w:tcW w:w="4876" w:type="dxa"/>
            <w:tcBorders>
              <w:top w:val="nil"/>
              <w:left w:val="nil"/>
              <w:bottom w:val="nil"/>
              <w:right w:val="nil"/>
            </w:tcBorders>
          </w:tcPr>
          <w:p w14:paraId="18A8BF07" w14:textId="77777777" w:rsidR="005A79DB" w:rsidRPr="00354796" w:rsidRDefault="005A79DB">
            <w:pPr>
              <w:pStyle w:val="Normal6a"/>
            </w:pPr>
          </w:p>
        </w:tc>
        <w:tc>
          <w:tcPr>
            <w:tcW w:w="4876" w:type="dxa"/>
            <w:tcBorders>
              <w:top w:val="nil"/>
              <w:left w:val="nil"/>
              <w:bottom w:val="nil"/>
              <w:right w:val="nil"/>
            </w:tcBorders>
          </w:tcPr>
          <w:p w14:paraId="1CB52019" w14:textId="77777777" w:rsidR="005A79DB" w:rsidRPr="00354796" w:rsidRDefault="006E31A1">
            <w:pPr>
              <w:pStyle w:val="Normal6a"/>
            </w:pPr>
            <w:proofErr w:type="spellStart"/>
            <w:r w:rsidRPr="00354796">
              <w:rPr>
                <w:b/>
                <w:i/>
              </w:rPr>
              <w:t>Gb</w:t>
            </w:r>
            <w:proofErr w:type="spellEnd"/>
            <w:r w:rsidRPr="00354796">
              <w:rPr>
                <w:b/>
                <w:i/>
              </w:rPr>
              <w:t>.</w:t>
            </w:r>
            <w:r w:rsidRPr="00354796">
              <w:tab/>
            </w:r>
            <w:r w:rsidRPr="00354796">
              <w:rPr>
                <w:b/>
                <w:i/>
              </w:rPr>
              <w:t xml:space="preserve">mając na uwadze, że występują znaczne rozbieżności w poziomie krajowej luki w podatku VAT, która wynosi od 1 % do 30 % </w:t>
            </w:r>
            <w:r w:rsidRPr="00354796">
              <w:rPr>
                <w:b/>
                <w:i/>
              </w:rPr>
              <w:t>w stosunku do dochodów uzyskanych z tego tytułu przez dane państwo członkowskie;</w:t>
            </w:r>
          </w:p>
        </w:tc>
      </w:tr>
    </w:tbl>
    <w:p w14:paraId="07E89B11"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1919AF2" w14:textId="77777777" w:rsidR="005A79DB" w:rsidRPr="00354796" w:rsidRDefault="006E31A1">
      <w:r w:rsidRPr="00354796">
        <w:rPr>
          <w:rStyle w:val="HideTWBExt"/>
        </w:rPr>
        <w:t>&lt;/Amend&gt;</w:t>
      </w:r>
    </w:p>
    <w:p w14:paraId="49F1D921" w14:textId="77777777" w:rsidR="005A79DB" w:rsidRPr="00354796" w:rsidRDefault="006E31A1">
      <w:pPr>
        <w:pStyle w:val="AmNumberTabs"/>
      </w:pPr>
      <w:r w:rsidRPr="00354796">
        <w:rPr>
          <w:rStyle w:val="HideTWBExt"/>
        </w:rPr>
        <w:lastRenderedPageBreak/>
        <w:t>&lt;Amend&gt;</w:t>
      </w:r>
      <w:r w:rsidRPr="00354796">
        <w:t>Poprawka</w:t>
      </w:r>
      <w:r w:rsidRPr="00354796">
        <w:tab/>
      </w:r>
      <w:r w:rsidRPr="00354796">
        <w:tab/>
      </w:r>
      <w:r w:rsidRPr="00354796">
        <w:rPr>
          <w:rStyle w:val="HideTWBExt"/>
        </w:rPr>
        <w:t>&lt;NumAm&gt;</w:t>
      </w:r>
      <w:r w:rsidRPr="00354796">
        <w:t>18</w:t>
      </w:r>
      <w:r w:rsidRPr="00354796">
        <w:rPr>
          <w:rStyle w:val="HideTWBExt"/>
        </w:rPr>
        <w:t>&lt;/NumAm&gt;</w:t>
      </w:r>
    </w:p>
    <w:p w14:paraId="5E23AF10" w14:textId="77777777" w:rsidR="005A79DB" w:rsidRPr="00354796" w:rsidRDefault="006E31A1">
      <w:pPr>
        <w:pStyle w:val="NormalBold"/>
      </w:pPr>
      <w:r w:rsidRPr="00354796">
        <w:rPr>
          <w:rStyle w:val="HideTWBExt"/>
          <w:b w:val="0"/>
        </w:rPr>
        <w:t>&lt;RepeatBlock-By&gt;&lt;Members&gt;</w:t>
      </w:r>
      <w:proofErr w:type="spellStart"/>
      <w:r w:rsidRPr="00354796">
        <w:t>Danuše</w:t>
      </w:r>
      <w:proofErr w:type="spellEnd"/>
      <w:r w:rsidRPr="00354796">
        <w:t xml:space="preserve"> </w:t>
      </w:r>
      <w:proofErr w:type="spellStart"/>
      <w:r w:rsidRPr="00354796">
        <w:t>Nerudová</w:t>
      </w:r>
      <w:proofErr w:type="spellEnd"/>
      <w:r w:rsidRPr="00354796">
        <w:rPr>
          <w:rStyle w:val="HideTWBExt"/>
          <w:b w:val="0"/>
        </w:rPr>
        <w:t>&lt;/Members&gt;</w:t>
      </w:r>
    </w:p>
    <w:p w14:paraId="19FFE995" w14:textId="77777777" w:rsidR="005A79DB" w:rsidRPr="00354796" w:rsidRDefault="006E31A1">
      <w:pPr>
        <w:pStyle w:val="NormalBold"/>
      </w:pPr>
      <w:r w:rsidRPr="00354796">
        <w:rPr>
          <w:rStyle w:val="HideTWBExt"/>
          <w:b w:val="0"/>
        </w:rPr>
        <w:t>&lt;/RepeatBlock-By&gt;</w:t>
      </w:r>
    </w:p>
    <w:p w14:paraId="09B0BAC5" w14:textId="77777777" w:rsidR="005A79DB" w:rsidRPr="00354796" w:rsidRDefault="006E31A1">
      <w:pPr>
        <w:pStyle w:val="NormalBold"/>
      </w:pPr>
      <w:r w:rsidRPr="00354796">
        <w:rPr>
          <w:rStyle w:val="HideTWBExt"/>
        </w:rPr>
        <w:t>&lt;DocAmend&gt;</w:t>
      </w:r>
      <w:r w:rsidRPr="00354796">
        <w:t xml:space="preserve">Projekt </w:t>
      </w:r>
      <w:r w:rsidRPr="00354796">
        <w:t>rezolucji</w:t>
      </w:r>
      <w:r w:rsidRPr="00354796">
        <w:rPr>
          <w:rStyle w:val="HideTWBExt"/>
        </w:rPr>
        <w:t>&lt;/DocAmend&gt;</w:t>
      </w:r>
    </w:p>
    <w:p w14:paraId="5BF9CF89" w14:textId="77777777" w:rsidR="005A79DB" w:rsidRPr="00354796" w:rsidRDefault="006E31A1">
      <w:pPr>
        <w:pStyle w:val="NormalBold"/>
      </w:pPr>
      <w:r w:rsidRPr="00354796">
        <w:rPr>
          <w:rStyle w:val="HideTWBExt"/>
        </w:rPr>
        <w:t>&lt;Article&gt;</w:t>
      </w:r>
      <w:r w:rsidRPr="00354796">
        <w:t>Motyw H</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491E8F4" w14:textId="77777777">
        <w:trPr>
          <w:trHeight w:hRule="exact" w:val="240"/>
          <w:jc w:val="center"/>
        </w:trPr>
        <w:tc>
          <w:tcPr>
            <w:tcW w:w="9752" w:type="dxa"/>
            <w:gridSpan w:val="2"/>
            <w:tcBorders>
              <w:top w:val="nil"/>
              <w:left w:val="nil"/>
              <w:bottom w:val="nil"/>
              <w:right w:val="nil"/>
            </w:tcBorders>
          </w:tcPr>
          <w:p w14:paraId="199BAEE9" w14:textId="77777777" w:rsidR="005A79DB" w:rsidRPr="00354796" w:rsidRDefault="005A79DB"/>
        </w:tc>
      </w:tr>
      <w:tr w:rsidR="005A79DB" w:rsidRPr="00354796" w14:paraId="392AB0A6" w14:textId="77777777">
        <w:trPr>
          <w:trHeight w:val="240"/>
          <w:jc w:val="center"/>
        </w:trPr>
        <w:tc>
          <w:tcPr>
            <w:tcW w:w="4876" w:type="dxa"/>
            <w:tcBorders>
              <w:top w:val="nil"/>
              <w:left w:val="nil"/>
              <w:bottom w:val="nil"/>
              <w:right w:val="nil"/>
            </w:tcBorders>
          </w:tcPr>
          <w:p w14:paraId="6CA296FB"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486F9D2" w14:textId="77777777" w:rsidR="005A79DB" w:rsidRPr="00354796" w:rsidRDefault="006E31A1">
            <w:pPr>
              <w:pStyle w:val="AmColumnHeading"/>
            </w:pPr>
            <w:r w:rsidRPr="00354796">
              <w:t>Poprawka</w:t>
            </w:r>
          </w:p>
        </w:tc>
      </w:tr>
      <w:tr w:rsidR="005A79DB" w:rsidRPr="00354796" w14:paraId="2E59EA6B" w14:textId="77777777">
        <w:trPr>
          <w:jc w:val="center"/>
        </w:trPr>
        <w:tc>
          <w:tcPr>
            <w:tcW w:w="4876" w:type="dxa"/>
            <w:tcBorders>
              <w:top w:val="nil"/>
              <w:left w:val="nil"/>
              <w:bottom w:val="nil"/>
              <w:right w:val="nil"/>
            </w:tcBorders>
          </w:tcPr>
          <w:p w14:paraId="35C7B575" w14:textId="77777777" w:rsidR="005A79DB" w:rsidRPr="00354796" w:rsidRDefault="006E31A1">
            <w:pPr>
              <w:pStyle w:val="Normal6a"/>
            </w:pPr>
            <w:r w:rsidRPr="00354796">
              <w:t>H.</w:t>
            </w:r>
            <w:r w:rsidRPr="00354796">
              <w:tab/>
              <w:t xml:space="preserve">mając na uwadze, że przedsiębiorstwa, w szczególności małe i średnie przedsiębiorstwa (MŚP), potrzebują jasnych i wykonalnych przepisów dotyczących VAT, aby </w:t>
            </w:r>
            <w:r w:rsidRPr="00354796">
              <w:t>przestrzegać ich bez nieproporcjonalnych obciążeń administracyjnych;</w:t>
            </w:r>
          </w:p>
        </w:tc>
        <w:tc>
          <w:tcPr>
            <w:tcW w:w="4876" w:type="dxa"/>
            <w:tcBorders>
              <w:top w:val="nil"/>
              <w:left w:val="nil"/>
              <w:bottom w:val="nil"/>
              <w:right w:val="nil"/>
            </w:tcBorders>
          </w:tcPr>
          <w:p w14:paraId="49892B96" w14:textId="77777777" w:rsidR="005A79DB" w:rsidRPr="00354796" w:rsidRDefault="006E31A1">
            <w:pPr>
              <w:pStyle w:val="Normal6a"/>
            </w:pPr>
            <w:r w:rsidRPr="00354796">
              <w:t>H.</w:t>
            </w:r>
            <w:r w:rsidRPr="00354796">
              <w:tab/>
              <w:t xml:space="preserve">mając na uwadze, że przedsiębiorstwa, w szczególności małe i średnie przedsiębiorstwa (MŚP) </w:t>
            </w:r>
            <w:r w:rsidRPr="00354796">
              <w:rPr>
                <w:b/>
                <w:bCs/>
                <w:i/>
                <w:iCs/>
              </w:rPr>
              <w:t>prowadzące działalność na terenie kilku państw członkowskich</w:t>
            </w:r>
            <w:r w:rsidRPr="00354796">
              <w:t>, potrzebują jasnych</w:t>
            </w:r>
            <w:r w:rsidRPr="00354796">
              <w:rPr>
                <w:b/>
                <w:bCs/>
                <w:i/>
                <w:iCs/>
              </w:rPr>
              <w:t xml:space="preserve">, </w:t>
            </w:r>
            <w:r w:rsidRPr="00354796">
              <w:rPr>
                <w:b/>
                <w:bCs/>
                <w:i/>
                <w:iCs/>
              </w:rPr>
              <w:t>spójnych</w:t>
            </w:r>
            <w:r w:rsidRPr="00354796">
              <w:t xml:space="preserve"> i wykonalnych przepisów dotyczących VAT, aby przestrzegać ich bez nieproporcjonalnych obciążeń administracyjnych;</w:t>
            </w:r>
            <w:r w:rsidRPr="00354796">
              <w:rPr>
                <w:b/>
                <w:i/>
              </w:rPr>
              <w:t> mając na uwadze, że rozbieżne krajowe warunki stosowania mechanizmu odwrotnego obciążenia nakładają na takie przedsiębiorstwa dodatkowe obciążenia związane ze złożonością regulacyjną;</w:t>
            </w:r>
          </w:p>
        </w:tc>
      </w:tr>
    </w:tbl>
    <w:p w14:paraId="4A82C4F1"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5CA22A0" w14:textId="77777777" w:rsidR="005A79DB" w:rsidRPr="00354796" w:rsidRDefault="006E31A1">
      <w:r w:rsidRPr="00354796">
        <w:rPr>
          <w:rStyle w:val="HideTWBExt"/>
        </w:rPr>
        <w:t>&lt;/Amend&gt;</w:t>
      </w:r>
    </w:p>
    <w:p w14:paraId="069F1C23"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19</w:t>
      </w:r>
      <w:r w:rsidRPr="00354796">
        <w:rPr>
          <w:rStyle w:val="HideTWBExt"/>
        </w:rPr>
        <w:t>&lt;/NumAm&gt;</w:t>
      </w:r>
    </w:p>
    <w:p w14:paraId="21070D2F"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26918CD5" w14:textId="77777777" w:rsidR="005A79DB" w:rsidRPr="00354796" w:rsidRDefault="006E31A1">
      <w:pPr>
        <w:pStyle w:val="NormalBold"/>
      </w:pPr>
      <w:r w:rsidRPr="00354796">
        <w:rPr>
          <w:rStyle w:val="HideTWBExt"/>
          <w:b w:val="0"/>
        </w:rPr>
        <w:t>&lt;/RepeatBlock-By&gt;</w:t>
      </w:r>
    </w:p>
    <w:p w14:paraId="38D4892B"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C9EFC87" w14:textId="77777777" w:rsidR="005A79DB" w:rsidRPr="00354796" w:rsidRDefault="006E31A1">
      <w:pPr>
        <w:pStyle w:val="NormalBold"/>
      </w:pPr>
      <w:r w:rsidRPr="00354796">
        <w:rPr>
          <w:rStyle w:val="HideTWBExt"/>
        </w:rPr>
        <w:t>&lt;Article&gt;</w:t>
      </w:r>
      <w:r w:rsidRPr="00354796">
        <w:t>Motyw H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EBF909A" w14:textId="77777777">
        <w:trPr>
          <w:trHeight w:hRule="exact" w:val="240"/>
          <w:jc w:val="center"/>
        </w:trPr>
        <w:tc>
          <w:tcPr>
            <w:tcW w:w="9752" w:type="dxa"/>
            <w:gridSpan w:val="2"/>
            <w:tcBorders>
              <w:top w:val="nil"/>
              <w:left w:val="nil"/>
              <w:bottom w:val="nil"/>
              <w:right w:val="nil"/>
            </w:tcBorders>
          </w:tcPr>
          <w:p w14:paraId="0A4AB2F1" w14:textId="77777777" w:rsidR="005A79DB" w:rsidRPr="00354796" w:rsidRDefault="005A79DB"/>
        </w:tc>
      </w:tr>
      <w:tr w:rsidR="005A79DB" w:rsidRPr="00354796" w14:paraId="08AD14E1" w14:textId="77777777">
        <w:trPr>
          <w:trHeight w:val="240"/>
          <w:jc w:val="center"/>
        </w:trPr>
        <w:tc>
          <w:tcPr>
            <w:tcW w:w="4876" w:type="dxa"/>
            <w:tcBorders>
              <w:top w:val="nil"/>
              <w:left w:val="nil"/>
              <w:bottom w:val="nil"/>
              <w:right w:val="nil"/>
            </w:tcBorders>
          </w:tcPr>
          <w:p w14:paraId="461B67F8"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4707108" w14:textId="77777777" w:rsidR="005A79DB" w:rsidRPr="00354796" w:rsidRDefault="006E31A1">
            <w:pPr>
              <w:pStyle w:val="AmColumnHeading"/>
            </w:pPr>
            <w:r w:rsidRPr="00354796">
              <w:t>Poprawka</w:t>
            </w:r>
          </w:p>
        </w:tc>
      </w:tr>
      <w:tr w:rsidR="005A79DB" w:rsidRPr="00354796" w14:paraId="13B89727" w14:textId="77777777">
        <w:trPr>
          <w:jc w:val="center"/>
        </w:trPr>
        <w:tc>
          <w:tcPr>
            <w:tcW w:w="4876" w:type="dxa"/>
            <w:tcBorders>
              <w:top w:val="nil"/>
              <w:left w:val="nil"/>
              <w:bottom w:val="nil"/>
              <w:right w:val="nil"/>
            </w:tcBorders>
          </w:tcPr>
          <w:p w14:paraId="7306AE76" w14:textId="77777777" w:rsidR="005A79DB" w:rsidRPr="00354796" w:rsidRDefault="005A79DB">
            <w:pPr>
              <w:pStyle w:val="Normal6a"/>
            </w:pPr>
          </w:p>
        </w:tc>
        <w:tc>
          <w:tcPr>
            <w:tcW w:w="4876" w:type="dxa"/>
            <w:tcBorders>
              <w:top w:val="nil"/>
              <w:left w:val="nil"/>
              <w:bottom w:val="nil"/>
              <w:right w:val="nil"/>
            </w:tcBorders>
          </w:tcPr>
          <w:p w14:paraId="625FE3F2" w14:textId="77777777" w:rsidR="005A79DB" w:rsidRPr="00354796" w:rsidRDefault="006E31A1">
            <w:pPr>
              <w:pStyle w:val="Normal6a"/>
            </w:pPr>
            <w:r w:rsidRPr="00354796">
              <w:rPr>
                <w:b/>
                <w:i/>
              </w:rPr>
              <w:t>Ha.</w:t>
            </w:r>
            <w:r w:rsidRPr="00354796">
              <w:tab/>
            </w:r>
            <w:r w:rsidRPr="00354796">
              <w:rPr>
                <w:b/>
                <w:i/>
              </w:rPr>
              <w:t xml:space="preserve">mając na uwadze, że z niedawnego badania, w którym uczestniczyło ponad 12 000 MŚP, wynika, iż „opodatkowanie i podatek od </w:t>
            </w:r>
            <w:r w:rsidRPr="00354796">
              <w:rPr>
                <w:b/>
                <w:i/>
              </w:rPr>
              <w:t>wartości dodanej (VAT)” są najczęstszą przeszkodą uniemożliwiającą przedsiębiorstwom zwiększanie skali działalności w innych państwach UE;</w:t>
            </w:r>
          </w:p>
        </w:tc>
      </w:tr>
    </w:tbl>
    <w:p w14:paraId="2B8B7DA6"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16011EA" w14:textId="77777777" w:rsidR="005A79DB" w:rsidRPr="00354796" w:rsidRDefault="006E31A1">
      <w:r w:rsidRPr="00354796">
        <w:rPr>
          <w:rStyle w:val="HideTWBExt"/>
        </w:rPr>
        <w:t>&lt;/Amend&gt;</w:t>
      </w:r>
    </w:p>
    <w:p w14:paraId="7D9BF1DB"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20</w:t>
      </w:r>
      <w:r w:rsidRPr="00354796">
        <w:rPr>
          <w:rStyle w:val="HideTWBExt"/>
        </w:rPr>
        <w:t>&lt;/NumAm&gt;</w:t>
      </w:r>
    </w:p>
    <w:p w14:paraId="629A5312"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5571C4C3" w14:textId="77777777" w:rsidR="005A79DB" w:rsidRPr="00354796" w:rsidRDefault="006E31A1">
      <w:pPr>
        <w:pStyle w:val="NormalBold"/>
      </w:pPr>
      <w:r w:rsidRPr="00354796">
        <w:rPr>
          <w:rStyle w:val="HideTWBExt"/>
          <w:b w:val="0"/>
        </w:rPr>
        <w:lastRenderedPageBreak/>
        <w:t>&lt;/RepeatBlock-By&gt;</w:t>
      </w:r>
    </w:p>
    <w:p w14:paraId="089643E9"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07B7F7AC" w14:textId="77777777" w:rsidR="005A79DB" w:rsidRPr="00354796" w:rsidRDefault="006E31A1">
      <w:pPr>
        <w:pStyle w:val="NormalBold"/>
      </w:pPr>
      <w:r w:rsidRPr="00354796">
        <w:rPr>
          <w:rStyle w:val="HideTWBExt"/>
        </w:rPr>
        <w:t>&lt;Article&gt;</w:t>
      </w:r>
      <w:r w:rsidRPr="00354796">
        <w:t>Motyw H b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7B6F57F" w14:textId="77777777">
        <w:trPr>
          <w:trHeight w:hRule="exact" w:val="240"/>
          <w:jc w:val="center"/>
        </w:trPr>
        <w:tc>
          <w:tcPr>
            <w:tcW w:w="9752" w:type="dxa"/>
            <w:gridSpan w:val="2"/>
            <w:tcBorders>
              <w:top w:val="nil"/>
              <w:left w:val="nil"/>
              <w:bottom w:val="nil"/>
              <w:right w:val="nil"/>
            </w:tcBorders>
          </w:tcPr>
          <w:p w14:paraId="37A5338A" w14:textId="77777777" w:rsidR="005A79DB" w:rsidRPr="00354796" w:rsidRDefault="005A79DB"/>
        </w:tc>
      </w:tr>
      <w:tr w:rsidR="005A79DB" w:rsidRPr="00354796" w14:paraId="32538986" w14:textId="77777777">
        <w:trPr>
          <w:trHeight w:val="240"/>
          <w:jc w:val="center"/>
        </w:trPr>
        <w:tc>
          <w:tcPr>
            <w:tcW w:w="4876" w:type="dxa"/>
            <w:tcBorders>
              <w:top w:val="nil"/>
              <w:left w:val="nil"/>
              <w:bottom w:val="nil"/>
              <w:right w:val="nil"/>
            </w:tcBorders>
          </w:tcPr>
          <w:p w14:paraId="20F4E41A"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DDF808D" w14:textId="77777777" w:rsidR="005A79DB" w:rsidRPr="00354796" w:rsidRDefault="006E31A1">
            <w:pPr>
              <w:pStyle w:val="AmColumnHeading"/>
            </w:pPr>
            <w:r w:rsidRPr="00354796">
              <w:t>Poprawka</w:t>
            </w:r>
          </w:p>
        </w:tc>
      </w:tr>
      <w:tr w:rsidR="005A79DB" w:rsidRPr="00354796" w14:paraId="34AB9A0C" w14:textId="77777777">
        <w:trPr>
          <w:jc w:val="center"/>
        </w:trPr>
        <w:tc>
          <w:tcPr>
            <w:tcW w:w="4876" w:type="dxa"/>
            <w:tcBorders>
              <w:top w:val="nil"/>
              <w:left w:val="nil"/>
              <w:bottom w:val="nil"/>
              <w:right w:val="nil"/>
            </w:tcBorders>
          </w:tcPr>
          <w:p w14:paraId="49CFAD86" w14:textId="77777777" w:rsidR="005A79DB" w:rsidRPr="00354796" w:rsidRDefault="005A79DB">
            <w:pPr>
              <w:pStyle w:val="Normal6a"/>
            </w:pPr>
          </w:p>
        </w:tc>
        <w:tc>
          <w:tcPr>
            <w:tcW w:w="4876" w:type="dxa"/>
            <w:tcBorders>
              <w:top w:val="nil"/>
              <w:left w:val="nil"/>
              <w:bottom w:val="nil"/>
              <w:right w:val="nil"/>
            </w:tcBorders>
          </w:tcPr>
          <w:p w14:paraId="3F40D156" w14:textId="77777777" w:rsidR="005A79DB" w:rsidRPr="00354796" w:rsidRDefault="006E31A1">
            <w:pPr>
              <w:pStyle w:val="Normal6a"/>
            </w:pPr>
            <w:proofErr w:type="spellStart"/>
            <w:r w:rsidRPr="00354796">
              <w:rPr>
                <w:b/>
                <w:i/>
              </w:rPr>
              <w:t>Hb</w:t>
            </w:r>
            <w:proofErr w:type="spellEnd"/>
            <w:r w:rsidRPr="00354796">
              <w:rPr>
                <w:b/>
                <w:i/>
              </w:rPr>
              <w:t>.</w:t>
            </w:r>
            <w:r w:rsidRPr="00354796">
              <w:tab/>
            </w:r>
            <w:r w:rsidRPr="00354796">
              <w:rPr>
                <w:b/>
                <w:i/>
              </w:rPr>
              <w:t xml:space="preserve">mając na uwadze, że w niedawnym badaniu, w którym </w:t>
            </w:r>
            <w:r w:rsidRPr="00354796">
              <w:rPr>
                <w:b/>
                <w:i/>
              </w:rPr>
              <w:t>uczestniczyło ponad 25 000 obywateli, podkreślono, iż większość z nich (54 %) opowiedziała się za tym, aby „zwalczanie unikania opodatkowania i uchylania się od opodatkowania” stanowiło główny priorytet UE w obszarze polityki podatkowej;</w:t>
            </w:r>
          </w:p>
        </w:tc>
      </w:tr>
    </w:tbl>
    <w:p w14:paraId="364194FA"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CFD13C3" w14:textId="77777777" w:rsidR="005A79DB" w:rsidRPr="00354796" w:rsidRDefault="006E31A1">
      <w:r w:rsidRPr="00354796">
        <w:rPr>
          <w:rStyle w:val="HideTWBExt"/>
        </w:rPr>
        <w:t>&lt;/Amend&gt;</w:t>
      </w:r>
    </w:p>
    <w:p w14:paraId="63EBEA9E"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21</w:t>
      </w:r>
      <w:r w:rsidRPr="00354796">
        <w:rPr>
          <w:rStyle w:val="HideTWBExt"/>
        </w:rPr>
        <w:t>&lt;/NumAm&gt;</w:t>
      </w:r>
    </w:p>
    <w:p w14:paraId="6C9493E0"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1AF9E878" w14:textId="77777777" w:rsidR="005A79DB" w:rsidRPr="00354796" w:rsidRDefault="006E31A1">
      <w:pPr>
        <w:pStyle w:val="NormalBold"/>
      </w:pPr>
      <w:r w:rsidRPr="00354796">
        <w:rPr>
          <w:rStyle w:val="HideTWBExt"/>
          <w:b w:val="0"/>
        </w:rPr>
        <w:t>&lt;/RepeatBlock-By&gt;</w:t>
      </w:r>
    </w:p>
    <w:p w14:paraId="0058133F"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DE70E95" w14:textId="77777777" w:rsidR="005A79DB" w:rsidRPr="00354796" w:rsidRDefault="006E31A1">
      <w:pPr>
        <w:pStyle w:val="NormalBold"/>
      </w:pPr>
      <w:r w:rsidRPr="00354796">
        <w:rPr>
          <w:rStyle w:val="HideTWBExt"/>
        </w:rPr>
        <w:t>&lt;Article&gt;</w:t>
      </w:r>
      <w:r w:rsidRPr="00354796">
        <w:t>Motyw I a</w:t>
      </w:r>
      <w:r w:rsidRPr="00354796">
        <w:t xml:space="preserve">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4D6F994" w14:textId="77777777">
        <w:trPr>
          <w:trHeight w:hRule="exact" w:val="240"/>
          <w:jc w:val="center"/>
        </w:trPr>
        <w:tc>
          <w:tcPr>
            <w:tcW w:w="9752" w:type="dxa"/>
            <w:gridSpan w:val="2"/>
            <w:tcBorders>
              <w:top w:val="nil"/>
              <w:left w:val="nil"/>
              <w:bottom w:val="nil"/>
              <w:right w:val="nil"/>
            </w:tcBorders>
          </w:tcPr>
          <w:p w14:paraId="34275AE6" w14:textId="77777777" w:rsidR="005A79DB" w:rsidRPr="00354796" w:rsidRDefault="005A79DB"/>
        </w:tc>
      </w:tr>
      <w:tr w:rsidR="005A79DB" w:rsidRPr="00354796" w14:paraId="21392A03" w14:textId="77777777">
        <w:trPr>
          <w:trHeight w:val="240"/>
          <w:jc w:val="center"/>
        </w:trPr>
        <w:tc>
          <w:tcPr>
            <w:tcW w:w="4876" w:type="dxa"/>
            <w:tcBorders>
              <w:top w:val="nil"/>
              <w:left w:val="nil"/>
              <w:bottom w:val="nil"/>
              <w:right w:val="nil"/>
            </w:tcBorders>
          </w:tcPr>
          <w:p w14:paraId="26317C4F"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537A987F" w14:textId="77777777" w:rsidR="005A79DB" w:rsidRPr="00354796" w:rsidRDefault="006E31A1">
            <w:pPr>
              <w:pStyle w:val="AmColumnHeading"/>
            </w:pPr>
            <w:r w:rsidRPr="00354796">
              <w:t>Poprawka</w:t>
            </w:r>
          </w:p>
        </w:tc>
      </w:tr>
      <w:tr w:rsidR="005A79DB" w:rsidRPr="00354796" w14:paraId="7B6F18DF" w14:textId="77777777">
        <w:trPr>
          <w:jc w:val="center"/>
        </w:trPr>
        <w:tc>
          <w:tcPr>
            <w:tcW w:w="4876" w:type="dxa"/>
            <w:tcBorders>
              <w:top w:val="nil"/>
              <w:left w:val="nil"/>
              <w:bottom w:val="nil"/>
              <w:right w:val="nil"/>
            </w:tcBorders>
          </w:tcPr>
          <w:p w14:paraId="290D81D1" w14:textId="77777777" w:rsidR="005A79DB" w:rsidRPr="00354796" w:rsidRDefault="005A79DB">
            <w:pPr>
              <w:pStyle w:val="Normal6a"/>
            </w:pPr>
          </w:p>
        </w:tc>
        <w:tc>
          <w:tcPr>
            <w:tcW w:w="4876" w:type="dxa"/>
            <w:tcBorders>
              <w:top w:val="nil"/>
              <w:left w:val="nil"/>
              <w:bottom w:val="nil"/>
              <w:right w:val="nil"/>
            </w:tcBorders>
          </w:tcPr>
          <w:p w14:paraId="063A08C5" w14:textId="77777777" w:rsidR="005A79DB" w:rsidRPr="00354796" w:rsidRDefault="006E31A1">
            <w:pPr>
              <w:pStyle w:val="Normal6a"/>
            </w:pPr>
            <w:proofErr w:type="spellStart"/>
            <w:r w:rsidRPr="00354796">
              <w:rPr>
                <w:b/>
                <w:i/>
              </w:rPr>
              <w:t>Ia</w:t>
            </w:r>
            <w:proofErr w:type="spellEnd"/>
            <w:r w:rsidRPr="00354796">
              <w:rPr>
                <w:b/>
                <w:i/>
              </w:rPr>
              <w:t>.</w:t>
            </w:r>
            <w:r w:rsidRPr="00354796">
              <w:tab/>
            </w:r>
            <w:r w:rsidRPr="00354796">
              <w:rPr>
                <w:b/>
                <w:i/>
              </w:rPr>
              <w:t>mając na uwadze, że sam pakiet dotyczący VAT w epoce cyfrowej nie pozwoli na wyeliminowanie oszustw związanych z VAT i należy go uzupełnić o dodatkowe środki zapobiegawcze;</w:t>
            </w:r>
          </w:p>
        </w:tc>
      </w:tr>
    </w:tbl>
    <w:p w14:paraId="701A22C3"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5B48781" w14:textId="77777777" w:rsidR="005A79DB" w:rsidRPr="00354796" w:rsidRDefault="006E31A1">
      <w:r w:rsidRPr="00354796">
        <w:rPr>
          <w:rStyle w:val="HideTWBExt"/>
        </w:rPr>
        <w:t>&lt;/Amend&gt;</w:t>
      </w:r>
    </w:p>
    <w:p w14:paraId="69BF32A8"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22</w:t>
      </w:r>
      <w:r w:rsidRPr="00354796">
        <w:rPr>
          <w:rStyle w:val="HideTWBExt"/>
        </w:rPr>
        <w:t>&lt;/NumAm&gt;</w:t>
      </w:r>
    </w:p>
    <w:p w14:paraId="67074C38"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1E03DD7B" w14:textId="77777777" w:rsidR="005A79DB" w:rsidRPr="00354796" w:rsidRDefault="006E31A1">
      <w:pPr>
        <w:pStyle w:val="NormalBold"/>
      </w:pPr>
      <w:r w:rsidRPr="00354796">
        <w:rPr>
          <w:rStyle w:val="HideTWBExt"/>
          <w:b w:val="0"/>
        </w:rPr>
        <w:t>&lt;/RepeatBlock-By&gt;</w:t>
      </w:r>
    </w:p>
    <w:p w14:paraId="1554890F"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671AC1F7" w14:textId="77777777" w:rsidR="005A79DB" w:rsidRPr="00354796" w:rsidRDefault="006E31A1">
      <w:pPr>
        <w:pStyle w:val="NormalBold"/>
      </w:pPr>
      <w:r w:rsidRPr="00354796">
        <w:rPr>
          <w:rStyle w:val="HideTWBExt"/>
        </w:rPr>
        <w:t>&lt;Article&gt;</w:t>
      </w:r>
      <w:r w:rsidRPr="00354796">
        <w:t>Motyw J</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7475C4F" w14:textId="77777777">
        <w:trPr>
          <w:trHeight w:hRule="exact" w:val="240"/>
          <w:jc w:val="center"/>
        </w:trPr>
        <w:tc>
          <w:tcPr>
            <w:tcW w:w="9752" w:type="dxa"/>
            <w:gridSpan w:val="2"/>
            <w:tcBorders>
              <w:top w:val="nil"/>
              <w:left w:val="nil"/>
              <w:bottom w:val="nil"/>
              <w:right w:val="nil"/>
            </w:tcBorders>
          </w:tcPr>
          <w:p w14:paraId="088FFF72" w14:textId="77777777" w:rsidR="005A79DB" w:rsidRPr="00354796" w:rsidRDefault="005A79DB"/>
        </w:tc>
      </w:tr>
      <w:tr w:rsidR="005A79DB" w:rsidRPr="00354796" w14:paraId="05C74CE2" w14:textId="77777777">
        <w:trPr>
          <w:trHeight w:val="240"/>
          <w:jc w:val="center"/>
        </w:trPr>
        <w:tc>
          <w:tcPr>
            <w:tcW w:w="4876" w:type="dxa"/>
            <w:tcBorders>
              <w:top w:val="nil"/>
              <w:left w:val="nil"/>
              <w:bottom w:val="nil"/>
              <w:right w:val="nil"/>
            </w:tcBorders>
          </w:tcPr>
          <w:p w14:paraId="27ACF667"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1758DA2" w14:textId="77777777" w:rsidR="005A79DB" w:rsidRPr="00354796" w:rsidRDefault="006E31A1">
            <w:pPr>
              <w:pStyle w:val="AmColumnHeading"/>
            </w:pPr>
            <w:r w:rsidRPr="00354796">
              <w:t>Poprawka</w:t>
            </w:r>
          </w:p>
        </w:tc>
      </w:tr>
      <w:tr w:rsidR="005A79DB" w:rsidRPr="00354796" w14:paraId="360DB163" w14:textId="77777777">
        <w:trPr>
          <w:jc w:val="center"/>
        </w:trPr>
        <w:tc>
          <w:tcPr>
            <w:tcW w:w="4876" w:type="dxa"/>
            <w:tcBorders>
              <w:top w:val="nil"/>
              <w:left w:val="nil"/>
              <w:bottom w:val="nil"/>
              <w:right w:val="nil"/>
            </w:tcBorders>
          </w:tcPr>
          <w:p w14:paraId="49DD2316" w14:textId="77777777" w:rsidR="005A79DB" w:rsidRPr="00354796" w:rsidRDefault="006E31A1">
            <w:pPr>
              <w:pStyle w:val="Normal6a"/>
            </w:pPr>
            <w:r w:rsidRPr="00354796">
              <w:t>J.</w:t>
            </w:r>
            <w:r w:rsidRPr="00354796">
              <w:tab/>
              <w:t xml:space="preserve">mając na uwadze, że MSR nigdy nie </w:t>
            </w:r>
            <w:r w:rsidRPr="00354796">
              <w:t>był stosowany w praktyce, co rodzi pytania o jego skuteczność operacyjną;</w:t>
            </w:r>
          </w:p>
        </w:tc>
        <w:tc>
          <w:tcPr>
            <w:tcW w:w="4876" w:type="dxa"/>
            <w:tcBorders>
              <w:top w:val="nil"/>
              <w:left w:val="nil"/>
              <w:bottom w:val="nil"/>
              <w:right w:val="nil"/>
            </w:tcBorders>
          </w:tcPr>
          <w:p w14:paraId="4397EA8B" w14:textId="77777777" w:rsidR="005A79DB" w:rsidRPr="00354796" w:rsidRDefault="006E31A1">
            <w:pPr>
              <w:pStyle w:val="Normal6a"/>
            </w:pPr>
            <w:r w:rsidRPr="00354796">
              <w:t>J.</w:t>
            </w:r>
            <w:r w:rsidRPr="00354796">
              <w:tab/>
            </w:r>
            <w:r w:rsidRPr="00354796">
              <w:t xml:space="preserve">mając na uwadze, że MSR nigdy nie był stosowany w praktyce, co rodzi pytania o jego skuteczność operacyjną </w:t>
            </w:r>
            <w:r w:rsidRPr="00354796">
              <w:rPr>
                <w:b/>
                <w:bCs/>
                <w:i/>
                <w:iCs/>
              </w:rPr>
              <w:lastRenderedPageBreak/>
              <w:t>i praktyczną użyteczność</w:t>
            </w:r>
            <w:r w:rsidRPr="00354796">
              <w:t>;</w:t>
            </w:r>
          </w:p>
        </w:tc>
      </w:tr>
    </w:tbl>
    <w:p w14:paraId="465AE31A"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7C748DE" w14:textId="77777777" w:rsidR="005A79DB" w:rsidRPr="00354796" w:rsidRDefault="006E31A1">
      <w:r w:rsidRPr="00354796">
        <w:rPr>
          <w:rStyle w:val="HideTWBExt"/>
        </w:rPr>
        <w:t>&lt;/Amend&gt;</w:t>
      </w:r>
    </w:p>
    <w:p w14:paraId="2343401F"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23</w:t>
      </w:r>
      <w:r w:rsidRPr="00354796">
        <w:rPr>
          <w:rStyle w:val="HideTWBExt"/>
        </w:rPr>
        <w:t>&lt;/NumAm&gt;</w:t>
      </w:r>
    </w:p>
    <w:p w14:paraId="65FFA613" w14:textId="77777777" w:rsidR="005A79DB" w:rsidRPr="00354796" w:rsidRDefault="006E31A1">
      <w:pPr>
        <w:pStyle w:val="NormalBold"/>
      </w:pPr>
      <w:r w:rsidRPr="00354796">
        <w:rPr>
          <w:rStyle w:val="HideTWBExt"/>
          <w:b w:val="0"/>
        </w:rPr>
        <w:t>&lt;RepeatBlock-By&gt;&lt;Members&gt;</w:t>
      </w:r>
      <w:proofErr w:type="spellStart"/>
      <w:r w:rsidRPr="00354796">
        <w:t>Danuše</w:t>
      </w:r>
      <w:proofErr w:type="spellEnd"/>
      <w:r w:rsidRPr="00354796">
        <w:t xml:space="preserve"> </w:t>
      </w:r>
      <w:proofErr w:type="spellStart"/>
      <w:r w:rsidRPr="00354796">
        <w:t>Nerudová</w:t>
      </w:r>
      <w:proofErr w:type="spellEnd"/>
      <w:r w:rsidRPr="00354796">
        <w:rPr>
          <w:rStyle w:val="HideTWBExt"/>
          <w:b w:val="0"/>
        </w:rPr>
        <w:t>&lt;/Members&gt;</w:t>
      </w:r>
    </w:p>
    <w:p w14:paraId="1B930551" w14:textId="77777777" w:rsidR="005A79DB" w:rsidRPr="00354796" w:rsidRDefault="006E31A1">
      <w:pPr>
        <w:pStyle w:val="NormalBold"/>
      </w:pPr>
      <w:r w:rsidRPr="00354796">
        <w:rPr>
          <w:rStyle w:val="HideTWBExt"/>
          <w:b w:val="0"/>
        </w:rPr>
        <w:t>&lt;/RepeatBlock-By&gt;</w:t>
      </w:r>
    </w:p>
    <w:p w14:paraId="723FA2C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0E55A363" w14:textId="77777777" w:rsidR="005A79DB" w:rsidRPr="00354796" w:rsidRDefault="006E31A1">
      <w:pPr>
        <w:pStyle w:val="NormalBold"/>
      </w:pPr>
      <w:r w:rsidRPr="00354796">
        <w:rPr>
          <w:rStyle w:val="HideTWBExt"/>
        </w:rPr>
        <w:t>&lt;Article&gt;</w:t>
      </w:r>
      <w:r w:rsidRPr="00354796">
        <w:t>Motyw K</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3BD6D11" w14:textId="77777777">
        <w:trPr>
          <w:trHeight w:hRule="exact" w:val="240"/>
          <w:jc w:val="center"/>
        </w:trPr>
        <w:tc>
          <w:tcPr>
            <w:tcW w:w="9752" w:type="dxa"/>
            <w:gridSpan w:val="2"/>
            <w:tcBorders>
              <w:top w:val="nil"/>
              <w:left w:val="nil"/>
              <w:bottom w:val="nil"/>
              <w:right w:val="nil"/>
            </w:tcBorders>
          </w:tcPr>
          <w:p w14:paraId="0669CBD5" w14:textId="77777777" w:rsidR="005A79DB" w:rsidRPr="00354796" w:rsidRDefault="005A79DB"/>
        </w:tc>
      </w:tr>
      <w:tr w:rsidR="005A79DB" w:rsidRPr="00354796" w14:paraId="3737C20A" w14:textId="77777777">
        <w:trPr>
          <w:trHeight w:val="240"/>
          <w:jc w:val="center"/>
        </w:trPr>
        <w:tc>
          <w:tcPr>
            <w:tcW w:w="4876" w:type="dxa"/>
            <w:tcBorders>
              <w:top w:val="nil"/>
              <w:left w:val="nil"/>
              <w:bottom w:val="nil"/>
              <w:right w:val="nil"/>
            </w:tcBorders>
          </w:tcPr>
          <w:p w14:paraId="350DF1FA"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308E4A0" w14:textId="77777777" w:rsidR="005A79DB" w:rsidRPr="00354796" w:rsidRDefault="006E31A1">
            <w:pPr>
              <w:pStyle w:val="AmColumnHeading"/>
            </w:pPr>
            <w:r w:rsidRPr="00354796">
              <w:t>Poprawka</w:t>
            </w:r>
          </w:p>
        </w:tc>
      </w:tr>
      <w:tr w:rsidR="005A79DB" w:rsidRPr="00354796" w14:paraId="5414EC07" w14:textId="77777777">
        <w:trPr>
          <w:jc w:val="center"/>
        </w:trPr>
        <w:tc>
          <w:tcPr>
            <w:tcW w:w="4876" w:type="dxa"/>
            <w:tcBorders>
              <w:top w:val="nil"/>
              <w:left w:val="nil"/>
              <w:bottom w:val="nil"/>
              <w:right w:val="nil"/>
            </w:tcBorders>
          </w:tcPr>
          <w:p w14:paraId="711BD378" w14:textId="77777777" w:rsidR="005A79DB" w:rsidRPr="00354796" w:rsidRDefault="006E31A1">
            <w:pPr>
              <w:pStyle w:val="Normal6a"/>
            </w:pPr>
            <w:r w:rsidRPr="00354796">
              <w:t>K.</w:t>
            </w:r>
            <w:r w:rsidRPr="00354796">
              <w:tab/>
              <w:t xml:space="preserve">mając na uwadze, że wszelkie przyszłe ramy powinny równoważyć ochronę dochodów podatkowych, pewność prawa dla </w:t>
            </w:r>
            <w:r w:rsidRPr="00354796">
              <w:t>przedsiębiorstw, obciążenie pracą administracji podatkowej, zasadę proporcjonalności i poszanowanie kompetencji państw członkowskich w dziedzinie opodatkowania;</w:t>
            </w:r>
          </w:p>
        </w:tc>
        <w:tc>
          <w:tcPr>
            <w:tcW w:w="4876" w:type="dxa"/>
            <w:tcBorders>
              <w:top w:val="nil"/>
              <w:left w:val="nil"/>
              <w:bottom w:val="nil"/>
              <w:right w:val="nil"/>
            </w:tcBorders>
          </w:tcPr>
          <w:p w14:paraId="538C9AA1" w14:textId="77777777" w:rsidR="005A79DB" w:rsidRPr="00354796" w:rsidRDefault="006E31A1">
            <w:pPr>
              <w:pStyle w:val="Normal6a"/>
            </w:pPr>
            <w:r w:rsidRPr="00354796">
              <w:t>K.</w:t>
            </w:r>
            <w:r w:rsidRPr="00354796">
              <w:tab/>
              <w:t>mając na uwadze, że wszelkie przyszłe ramy powinny równoważyć ochronę dochodów podatkowych, pewność prawa dla przedsiębiorstw, obciążenie pracą administracji podatkowej, zasadę proporcjonalności i poszanowanie kompetencji państw członkowskich w dziedzinie opodatkowania;</w:t>
            </w:r>
            <w:r w:rsidRPr="00354796">
              <w:rPr>
                <w:b/>
                <w:i/>
              </w:rPr>
              <w:t> mając na uwadze, że zapewnienie większej spójności warunków stosowania mechanizmu odwrotnego obciążenia, w przypadku gdy państwa członkowskie zdecydują się z niego korzystać, może przyczynić się do zwiększenia pewności prawa bez koniecznośc</w:t>
            </w:r>
            <w:r w:rsidRPr="00354796">
              <w:rPr>
                <w:b/>
                <w:i/>
              </w:rPr>
              <w:t>i harmonizacji krajowych systemów VAT jako takich;</w:t>
            </w:r>
          </w:p>
        </w:tc>
      </w:tr>
    </w:tbl>
    <w:p w14:paraId="41AFA4B4"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A4E7745" w14:textId="77777777" w:rsidR="005A79DB" w:rsidRPr="00354796" w:rsidRDefault="006E31A1">
      <w:r w:rsidRPr="00354796">
        <w:rPr>
          <w:rStyle w:val="HideTWBExt"/>
        </w:rPr>
        <w:t>&lt;/Amend&gt;</w:t>
      </w:r>
    </w:p>
    <w:p w14:paraId="7F42386D"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24</w:t>
      </w:r>
      <w:r w:rsidRPr="00354796">
        <w:rPr>
          <w:rStyle w:val="HideTWBExt"/>
        </w:rPr>
        <w:t>&lt;/NumAm&gt;</w:t>
      </w:r>
    </w:p>
    <w:p w14:paraId="2A7BADCD" w14:textId="77777777" w:rsidR="005A79DB" w:rsidRPr="00354796" w:rsidRDefault="006E31A1">
      <w:pPr>
        <w:pStyle w:val="NormalBold"/>
      </w:pPr>
      <w:r w:rsidRPr="00354796">
        <w:rPr>
          <w:rStyle w:val="HideTWBExt"/>
          <w:b w:val="0"/>
        </w:rPr>
        <w:t>&lt;RepeatBlock-By&gt;&lt;Members&gt;</w:t>
      </w:r>
      <w:r w:rsidRPr="00354796">
        <w:t>Kira Marie Peter-Hansen</w:t>
      </w:r>
      <w:r w:rsidRPr="00354796">
        <w:rPr>
          <w:rStyle w:val="HideTWBExt"/>
          <w:b w:val="0"/>
        </w:rPr>
        <w:t>&lt;/Members&gt;</w:t>
      </w:r>
    </w:p>
    <w:p w14:paraId="65C76338" w14:textId="77777777" w:rsidR="005A79DB" w:rsidRPr="00354796" w:rsidRDefault="006E31A1">
      <w:r w:rsidRPr="00354796">
        <w:rPr>
          <w:rStyle w:val="HideTWBExt"/>
        </w:rPr>
        <w:t>&lt;AuNomDe&gt;</w:t>
      </w:r>
      <w:r w:rsidRPr="00354796">
        <w:rPr>
          <w:rStyle w:val="HideTWBInt"/>
          <w:color w:val="auto"/>
        </w:rPr>
        <w:t>{Verts/ALE}</w:t>
      </w:r>
      <w:r w:rsidRPr="00354796">
        <w:t xml:space="preserve">w imieniu grupy </w:t>
      </w:r>
      <w:proofErr w:type="spellStart"/>
      <w:r w:rsidRPr="00354796">
        <w:t>Verts</w:t>
      </w:r>
      <w:proofErr w:type="spellEnd"/>
      <w:r w:rsidRPr="00354796">
        <w:t>/ALE</w:t>
      </w:r>
      <w:r w:rsidRPr="00354796">
        <w:rPr>
          <w:rStyle w:val="HideTWBExt"/>
        </w:rPr>
        <w:t>&lt;/AuNomDe&gt;</w:t>
      </w:r>
    </w:p>
    <w:p w14:paraId="2D363BB4" w14:textId="77777777" w:rsidR="005A79DB" w:rsidRPr="00354796" w:rsidRDefault="006E31A1">
      <w:pPr>
        <w:pStyle w:val="NormalBold"/>
      </w:pPr>
      <w:r w:rsidRPr="00354796">
        <w:rPr>
          <w:rStyle w:val="HideTWBExt"/>
          <w:b w:val="0"/>
        </w:rPr>
        <w:t>&lt;/RepeatBlock-By&gt;</w:t>
      </w:r>
    </w:p>
    <w:p w14:paraId="149D327F"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6DA6FE43" w14:textId="77777777" w:rsidR="005A79DB" w:rsidRPr="00354796" w:rsidRDefault="006E31A1">
      <w:pPr>
        <w:pStyle w:val="NormalBold"/>
      </w:pPr>
      <w:r w:rsidRPr="00354796">
        <w:rPr>
          <w:rStyle w:val="HideTWBExt"/>
        </w:rPr>
        <w:t>&lt;Article&gt;</w:t>
      </w:r>
      <w:r w:rsidRPr="00354796">
        <w:t>Motyw K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F04D43F" w14:textId="77777777">
        <w:trPr>
          <w:trHeight w:hRule="exact" w:val="240"/>
          <w:jc w:val="center"/>
        </w:trPr>
        <w:tc>
          <w:tcPr>
            <w:tcW w:w="9752" w:type="dxa"/>
            <w:gridSpan w:val="2"/>
            <w:tcBorders>
              <w:top w:val="nil"/>
              <w:left w:val="nil"/>
              <w:bottom w:val="nil"/>
              <w:right w:val="nil"/>
            </w:tcBorders>
          </w:tcPr>
          <w:p w14:paraId="3A753F29" w14:textId="77777777" w:rsidR="005A79DB" w:rsidRPr="00354796" w:rsidRDefault="005A79DB"/>
        </w:tc>
      </w:tr>
      <w:tr w:rsidR="005A79DB" w:rsidRPr="00354796" w14:paraId="6DEC1FC6" w14:textId="77777777">
        <w:trPr>
          <w:trHeight w:val="240"/>
          <w:jc w:val="center"/>
        </w:trPr>
        <w:tc>
          <w:tcPr>
            <w:tcW w:w="4876" w:type="dxa"/>
            <w:tcBorders>
              <w:top w:val="nil"/>
              <w:left w:val="nil"/>
              <w:bottom w:val="nil"/>
              <w:right w:val="nil"/>
            </w:tcBorders>
          </w:tcPr>
          <w:p w14:paraId="374F5240"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9132129" w14:textId="77777777" w:rsidR="005A79DB" w:rsidRPr="00354796" w:rsidRDefault="006E31A1">
            <w:pPr>
              <w:pStyle w:val="AmColumnHeading"/>
            </w:pPr>
            <w:r w:rsidRPr="00354796">
              <w:t>Poprawka</w:t>
            </w:r>
          </w:p>
        </w:tc>
      </w:tr>
      <w:tr w:rsidR="005A79DB" w:rsidRPr="00354796" w14:paraId="56CD97AC" w14:textId="77777777">
        <w:trPr>
          <w:jc w:val="center"/>
        </w:trPr>
        <w:tc>
          <w:tcPr>
            <w:tcW w:w="4876" w:type="dxa"/>
            <w:tcBorders>
              <w:top w:val="nil"/>
              <w:left w:val="nil"/>
              <w:bottom w:val="nil"/>
              <w:right w:val="nil"/>
            </w:tcBorders>
          </w:tcPr>
          <w:p w14:paraId="168BCEC4" w14:textId="77777777" w:rsidR="005A79DB" w:rsidRPr="00354796" w:rsidRDefault="005A79DB">
            <w:pPr>
              <w:pStyle w:val="Normal6a"/>
            </w:pPr>
          </w:p>
        </w:tc>
        <w:tc>
          <w:tcPr>
            <w:tcW w:w="4876" w:type="dxa"/>
            <w:tcBorders>
              <w:top w:val="nil"/>
              <w:left w:val="nil"/>
              <w:bottom w:val="nil"/>
              <w:right w:val="nil"/>
            </w:tcBorders>
          </w:tcPr>
          <w:p w14:paraId="0C87F4F8" w14:textId="77777777" w:rsidR="005A79DB" w:rsidRPr="00354796" w:rsidRDefault="006E31A1">
            <w:pPr>
              <w:pStyle w:val="Normal6a"/>
            </w:pPr>
            <w:r w:rsidRPr="00354796">
              <w:rPr>
                <w:b/>
                <w:i/>
              </w:rPr>
              <w:t>Ka.</w:t>
            </w:r>
            <w:r w:rsidRPr="00354796">
              <w:tab/>
            </w:r>
            <w:r w:rsidRPr="00354796">
              <w:rPr>
                <w:b/>
                <w:i/>
              </w:rPr>
              <w:t xml:space="preserve">mając na uwadze, że mechanizm odwrotnego obciążenia VAT wprowadzono między innymi w celu zwalczania oszustw związanych z VAT w unijnym systemie handlu uprawnieniami </w:t>
            </w:r>
            <w:r w:rsidRPr="00354796">
              <w:rPr>
                <w:b/>
                <w:i/>
              </w:rPr>
              <w:lastRenderedPageBreak/>
              <w:t xml:space="preserve">do emisji (EU ETS); mając na uwadze, że </w:t>
            </w:r>
            <w:r w:rsidRPr="00354796">
              <w:rPr>
                <w:b/>
                <w:i/>
              </w:rPr>
              <w:t>szacowano, iż w niektórych państwach członkowskich w latach 2008–2009 nawet 90 % wielkości rynku było powiązane z działaniami oszukańczymi, co spowodowało straty w wysokości do 5 mld EUR i podważyło zaufanie do systemu</w:t>
            </w:r>
            <w:r w:rsidRPr="00354796">
              <w:rPr>
                <w:b/>
                <w:bCs/>
                <w:i/>
                <w:iCs/>
                <w:vertAlign w:val="superscript"/>
              </w:rPr>
              <w:t>1a</w:t>
            </w:r>
            <w:r w:rsidRPr="00354796">
              <w:rPr>
                <w:b/>
                <w:i/>
              </w:rPr>
              <w:t>; mając na uwadze, że handel uprawnieniami do emisji gazów cieplarnianych pozostaje jednym z sektorów najbardziej narażonych na oszustwa związane z VAT; mając na uwadze, że uprawnienia do emisji gazów cieplarnianych nadal należą do najczęściej wykorzystywanych kategorii na podstawie art. 199</w:t>
            </w:r>
            <w:r w:rsidRPr="00354796">
              <w:rPr>
                <w:b/>
                <w:i/>
              </w:rPr>
              <w:t>a dyrektywy 2006/112/WE;</w:t>
            </w:r>
          </w:p>
        </w:tc>
      </w:tr>
      <w:tr w:rsidR="005A79DB" w:rsidRPr="00354796" w14:paraId="05B13F46" w14:textId="77777777">
        <w:trPr>
          <w:jc w:val="center"/>
        </w:trPr>
        <w:tc>
          <w:tcPr>
            <w:tcW w:w="4876" w:type="dxa"/>
            <w:tcBorders>
              <w:top w:val="nil"/>
              <w:left w:val="nil"/>
              <w:bottom w:val="nil"/>
              <w:right w:val="nil"/>
            </w:tcBorders>
          </w:tcPr>
          <w:p w14:paraId="28408990" w14:textId="77777777" w:rsidR="005A79DB" w:rsidRPr="00354796" w:rsidRDefault="005A79DB"/>
        </w:tc>
        <w:tc>
          <w:tcPr>
            <w:tcW w:w="4876" w:type="dxa"/>
            <w:tcBorders>
              <w:top w:val="nil"/>
              <w:left w:val="nil"/>
              <w:bottom w:val="nil"/>
              <w:right w:val="nil"/>
            </w:tcBorders>
          </w:tcPr>
          <w:p w14:paraId="4EEA1840" w14:textId="77777777" w:rsidR="005A79DB" w:rsidRPr="00354796" w:rsidRDefault="006E31A1">
            <w:pPr>
              <w:pStyle w:val="Normal6a"/>
            </w:pPr>
            <w:r w:rsidRPr="00354796">
              <w:rPr>
                <w:b/>
                <w:i/>
              </w:rPr>
              <w:t>_________________</w:t>
            </w:r>
          </w:p>
        </w:tc>
      </w:tr>
      <w:tr w:rsidR="005A79DB" w:rsidRPr="00354796" w14:paraId="1CEEBD25" w14:textId="77777777">
        <w:trPr>
          <w:jc w:val="center"/>
        </w:trPr>
        <w:tc>
          <w:tcPr>
            <w:tcW w:w="4876" w:type="dxa"/>
            <w:tcBorders>
              <w:top w:val="nil"/>
              <w:left w:val="nil"/>
              <w:bottom w:val="nil"/>
              <w:right w:val="nil"/>
            </w:tcBorders>
          </w:tcPr>
          <w:p w14:paraId="7BD502BE" w14:textId="77777777" w:rsidR="005A79DB" w:rsidRPr="00354796" w:rsidRDefault="005A79DB"/>
        </w:tc>
        <w:tc>
          <w:tcPr>
            <w:tcW w:w="4876" w:type="dxa"/>
            <w:tcBorders>
              <w:top w:val="nil"/>
              <w:left w:val="nil"/>
              <w:bottom w:val="nil"/>
              <w:right w:val="nil"/>
            </w:tcBorders>
          </w:tcPr>
          <w:p w14:paraId="35D73A92" w14:textId="77777777" w:rsidR="005A79DB" w:rsidRPr="00354796" w:rsidRDefault="006E31A1">
            <w:pPr>
              <w:pStyle w:val="Normal6a"/>
            </w:pPr>
            <w:r w:rsidRPr="00354796">
              <w:rPr>
                <w:b/>
                <w:bCs/>
                <w:i/>
                <w:iCs/>
                <w:vertAlign w:val="superscript"/>
              </w:rPr>
              <w:t>1a</w:t>
            </w:r>
            <w:r w:rsidRPr="00354796">
              <w:rPr>
                <w:b/>
                <w:bCs/>
                <w:i/>
                <w:iCs/>
              </w:rPr>
              <w:t xml:space="preserve"> Zgodnie z dokumentem roboczym służb Komisji </w:t>
            </w:r>
            <w:proofErr w:type="gramStart"/>
            <w:r w:rsidRPr="00354796">
              <w:rPr>
                <w:b/>
                <w:bCs/>
                <w:i/>
                <w:iCs/>
              </w:rPr>
              <w:t>SWD(</w:t>
            </w:r>
            <w:proofErr w:type="gramEnd"/>
            <w:r w:rsidRPr="00354796">
              <w:rPr>
                <w:b/>
                <w:bCs/>
                <w:i/>
                <w:iCs/>
              </w:rPr>
              <w:t xml:space="preserve">2017) 428 </w:t>
            </w:r>
            <w:proofErr w:type="spellStart"/>
            <w:r w:rsidRPr="00354796">
              <w:rPr>
                <w:b/>
                <w:bCs/>
                <w:i/>
                <w:iCs/>
              </w:rPr>
              <w:t>final</w:t>
            </w:r>
            <w:proofErr w:type="spellEnd"/>
            <w:r w:rsidRPr="00354796">
              <w:rPr>
                <w:b/>
                <w:bCs/>
                <w:i/>
                <w:iCs/>
              </w:rPr>
              <w:t xml:space="preserve"> (ocena skutków towarzysząca wnioskowi zmieniającemu rozporządzenie (UE) nr 904/2010) Europol oszacował, że w niektórych państwach członkowskich w latach 2008–2009 nawet 90 % rynku handlu uprawnieniami do emisji dwutlenku węgla było powiązane z oszustwami związanymi z VAT, co spowodowało straty szacowane na około 5 mld EUR.</w:t>
            </w:r>
          </w:p>
        </w:tc>
      </w:tr>
    </w:tbl>
    <w:p w14:paraId="0DDB0092"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5B1A97F" w14:textId="77777777" w:rsidR="005A79DB" w:rsidRPr="00354796" w:rsidRDefault="006E31A1">
      <w:r w:rsidRPr="00354796">
        <w:rPr>
          <w:rStyle w:val="HideTWBExt"/>
        </w:rPr>
        <w:t>&lt;/Amend&gt;</w:t>
      </w:r>
    </w:p>
    <w:p w14:paraId="2BC0396A"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25</w:t>
      </w:r>
      <w:r w:rsidRPr="00354796">
        <w:rPr>
          <w:rStyle w:val="HideTWBExt"/>
        </w:rPr>
        <w:t>&lt;/NumAm&gt;</w:t>
      </w:r>
    </w:p>
    <w:p w14:paraId="08676DE7"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02EFFAF5" w14:textId="77777777" w:rsidR="005A79DB" w:rsidRPr="00354796" w:rsidRDefault="006E31A1">
      <w:pPr>
        <w:pStyle w:val="NormalBold"/>
      </w:pPr>
      <w:r w:rsidRPr="00354796">
        <w:rPr>
          <w:rStyle w:val="HideTWBExt"/>
          <w:b w:val="0"/>
        </w:rPr>
        <w:t>&lt;/RepeatBlock-By&gt;</w:t>
      </w:r>
    </w:p>
    <w:p w14:paraId="4B7B39C8"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1649103" w14:textId="77777777" w:rsidR="005A79DB" w:rsidRPr="00354796" w:rsidRDefault="006E31A1">
      <w:pPr>
        <w:pStyle w:val="NormalBold"/>
      </w:pPr>
      <w:r w:rsidRPr="00354796">
        <w:rPr>
          <w:rStyle w:val="HideTWBExt"/>
        </w:rPr>
        <w:t>&lt;Article&gt;</w:t>
      </w:r>
      <w:r w:rsidRPr="00354796">
        <w:t>Motyw K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40EDB300" w14:textId="77777777">
        <w:trPr>
          <w:trHeight w:hRule="exact" w:val="240"/>
          <w:jc w:val="center"/>
        </w:trPr>
        <w:tc>
          <w:tcPr>
            <w:tcW w:w="9752" w:type="dxa"/>
            <w:gridSpan w:val="2"/>
            <w:tcBorders>
              <w:top w:val="nil"/>
              <w:left w:val="nil"/>
              <w:bottom w:val="nil"/>
              <w:right w:val="nil"/>
            </w:tcBorders>
          </w:tcPr>
          <w:p w14:paraId="1A1C0B64" w14:textId="77777777" w:rsidR="005A79DB" w:rsidRPr="00354796" w:rsidRDefault="005A79DB"/>
        </w:tc>
      </w:tr>
      <w:tr w:rsidR="005A79DB" w:rsidRPr="00354796" w14:paraId="3FDE210E" w14:textId="77777777">
        <w:trPr>
          <w:trHeight w:val="240"/>
          <w:jc w:val="center"/>
        </w:trPr>
        <w:tc>
          <w:tcPr>
            <w:tcW w:w="4876" w:type="dxa"/>
            <w:tcBorders>
              <w:top w:val="nil"/>
              <w:left w:val="nil"/>
              <w:bottom w:val="nil"/>
              <w:right w:val="nil"/>
            </w:tcBorders>
          </w:tcPr>
          <w:p w14:paraId="79F8DF43"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5B9A0C7E" w14:textId="77777777" w:rsidR="005A79DB" w:rsidRPr="00354796" w:rsidRDefault="006E31A1">
            <w:pPr>
              <w:pStyle w:val="AmColumnHeading"/>
            </w:pPr>
            <w:r w:rsidRPr="00354796">
              <w:t>Poprawka</w:t>
            </w:r>
          </w:p>
        </w:tc>
      </w:tr>
      <w:tr w:rsidR="005A79DB" w:rsidRPr="00354796" w14:paraId="09ECD338" w14:textId="77777777">
        <w:trPr>
          <w:jc w:val="center"/>
        </w:trPr>
        <w:tc>
          <w:tcPr>
            <w:tcW w:w="4876" w:type="dxa"/>
            <w:tcBorders>
              <w:top w:val="nil"/>
              <w:left w:val="nil"/>
              <w:bottom w:val="nil"/>
              <w:right w:val="nil"/>
            </w:tcBorders>
          </w:tcPr>
          <w:p w14:paraId="47A6E369" w14:textId="77777777" w:rsidR="005A79DB" w:rsidRPr="00354796" w:rsidRDefault="005A79DB">
            <w:pPr>
              <w:pStyle w:val="Normal6a"/>
            </w:pPr>
          </w:p>
        </w:tc>
        <w:tc>
          <w:tcPr>
            <w:tcW w:w="4876" w:type="dxa"/>
            <w:tcBorders>
              <w:top w:val="nil"/>
              <w:left w:val="nil"/>
              <w:bottom w:val="nil"/>
              <w:right w:val="nil"/>
            </w:tcBorders>
          </w:tcPr>
          <w:p w14:paraId="686F1E5D" w14:textId="77777777" w:rsidR="005A79DB" w:rsidRPr="00354796" w:rsidRDefault="006E31A1">
            <w:pPr>
              <w:pStyle w:val="Normal6a"/>
            </w:pPr>
            <w:r w:rsidRPr="00354796">
              <w:rPr>
                <w:b/>
                <w:i/>
              </w:rPr>
              <w:t>Ka.</w:t>
            </w:r>
            <w:r w:rsidRPr="00354796">
              <w:tab/>
            </w:r>
            <w:r w:rsidRPr="00354796">
              <w:rPr>
                <w:b/>
                <w:i/>
              </w:rPr>
              <w:t xml:space="preserve">mając na uwadze, że w swoim stanowisku z dnia </w:t>
            </w:r>
            <w:r w:rsidRPr="00354796">
              <w:rPr>
                <w:b/>
                <w:i/>
              </w:rPr>
              <w:t xml:space="preserve">3 maja 2022 r. Parlament wezwał do przeprowadzenia oceny skutków mechanizmu odwrotnego obciążenia przed ewentualnym dalszym </w:t>
            </w:r>
            <w:r w:rsidRPr="00354796">
              <w:rPr>
                <w:b/>
                <w:i/>
              </w:rPr>
              <w:lastRenderedPageBreak/>
              <w:t>przedłużeniem; mając na uwadze, że najnowsza merytoryczna ocena Komisji dotycząca art. 199a i 199b pochodzi z 2018 r. (</w:t>
            </w:r>
            <w:proofErr w:type="gramStart"/>
            <w:r w:rsidRPr="00354796">
              <w:rPr>
                <w:b/>
                <w:i/>
              </w:rPr>
              <w:t>COM(</w:t>
            </w:r>
            <w:proofErr w:type="gramEnd"/>
            <w:r w:rsidRPr="00354796">
              <w:rPr>
                <w:b/>
                <w:i/>
              </w:rPr>
              <w:t>2018)0118), a wnioskowana aktualna ocena nie została przedstawiona;</w:t>
            </w:r>
          </w:p>
        </w:tc>
      </w:tr>
    </w:tbl>
    <w:p w14:paraId="5D6FC15E"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35A0B91" w14:textId="77777777" w:rsidR="005A79DB" w:rsidRPr="00354796" w:rsidRDefault="006E31A1">
      <w:r w:rsidRPr="00354796">
        <w:rPr>
          <w:rStyle w:val="HideTWBExt"/>
        </w:rPr>
        <w:t>&lt;/Amend&gt;</w:t>
      </w:r>
    </w:p>
    <w:p w14:paraId="507A7A0A"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26</w:t>
      </w:r>
      <w:r w:rsidRPr="00354796">
        <w:rPr>
          <w:rStyle w:val="HideTWBExt"/>
        </w:rPr>
        <w:t>&lt;/NumAm&gt;</w:t>
      </w:r>
    </w:p>
    <w:p w14:paraId="05A8AC9A" w14:textId="77777777" w:rsidR="005A79DB" w:rsidRPr="00354796" w:rsidRDefault="006E31A1">
      <w:pPr>
        <w:pStyle w:val="NormalBold"/>
      </w:pPr>
      <w:r w:rsidRPr="00354796">
        <w:rPr>
          <w:rStyle w:val="HideTWBExt"/>
          <w:b w:val="0"/>
        </w:rPr>
        <w:t>&lt;RepeatBlock-By&gt;&lt;Members&gt;</w:t>
      </w:r>
      <w:proofErr w:type="spellStart"/>
      <w:r w:rsidRPr="00354796">
        <w:t>Ľudovít</w:t>
      </w:r>
      <w:proofErr w:type="spellEnd"/>
      <w:r w:rsidRPr="00354796">
        <w:t xml:space="preserve"> </w:t>
      </w:r>
      <w:proofErr w:type="spellStart"/>
      <w:r w:rsidRPr="00354796">
        <w:t>Ódor</w:t>
      </w:r>
      <w:proofErr w:type="spellEnd"/>
      <w:r w:rsidRPr="00354796">
        <w:rPr>
          <w:rStyle w:val="HideTWBExt"/>
          <w:b w:val="0"/>
        </w:rPr>
        <w:t>&lt;/Members&gt;</w:t>
      </w:r>
    </w:p>
    <w:p w14:paraId="32F230B1" w14:textId="77777777" w:rsidR="005A79DB" w:rsidRPr="00354796" w:rsidRDefault="006E31A1">
      <w:pPr>
        <w:pStyle w:val="NormalBold"/>
      </w:pPr>
      <w:r w:rsidRPr="00354796">
        <w:rPr>
          <w:rStyle w:val="HideTWBExt"/>
          <w:b w:val="0"/>
        </w:rPr>
        <w:t>&lt;/RepeatBlock-By&gt;</w:t>
      </w:r>
    </w:p>
    <w:p w14:paraId="1042B83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6AA2D001" w14:textId="77777777" w:rsidR="005A79DB" w:rsidRPr="00354796" w:rsidRDefault="006E31A1">
      <w:pPr>
        <w:pStyle w:val="NormalBold"/>
      </w:pPr>
      <w:r w:rsidRPr="00354796">
        <w:rPr>
          <w:rStyle w:val="HideTWBExt"/>
        </w:rPr>
        <w:t>&lt;Article&gt;</w:t>
      </w:r>
      <w:r w:rsidRPr="00354796">
        <w:t>Ustęp 1</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BAB7B9E" w14:textId="77777777">
        <w:trPr>
          <w:trHeight w:hRule="exact" w:val="240"/>
          <w:jc w:val="center"/>
        </w:trPr>
        <w:tc>
          <w:tcPr>
            <w:tcW w:w="9752" w:type="dxa"/>
            <w:gridSpan w:val="2"/>
            <w:tcBorders>
              <w:top w:val="nil"/>
              <w:left w:val="nil"/>
              <w:bottom w:val="nil"/>
              <w:right w:val="nil"/>
            </w:tcBorders>
          </w:tcPr>
          <w:p w14:paraId="03129A06" w14:textId="77777777" w:rsidR="005A79DB" w:rsidRPr="00354796" w:rsidRDefault="005A79DB"/>
        </w:tc>
      </w:tr>
      <w:tr w:rsidR="005A79DB" w:rsidRPr="00354796" w14:paraId="02C482BC" w14:textId="77777777">
        <w:trPr>
          <w:trHeight w:val="240"/>
          <w:jc w:val="center"/>
        </w:trPr>
        <w:tc>
          <w:tcPr>
            <w:tcW w:w="4876" w:type="dxa"/>
            <w:tcBorders>
              <w:top w:val="nil"/>
              <w:left w:val="nil"/>
              <w:bottom w:val="nil"/>
              <w:right w:val="nil"/>
            </w:tcBorders>
          </w:tcPr>
          <w:p w14:paraId="7CB25961"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11BCE41" w14:textId="77777777" w:rsidR="005A79DB" w:rsidRPr="00354796" w:rsidRDefault="006E31A1">
            <w:pPr>
              <w:pStyle w:val="AmColumnHeading"/>
            </w:pPr>
            <w:r w:rsidRPr="00354796">
              <w:t>Poprawka</w:t>
            </w:r>
          </w:p>
        </w:tc>
      </w:tr>
      <w:tr w:rsidR="005A79DB" w:rsidRPr="00354796" w14:paraId="28CB0F75" w14:textId="77777777">
        <w:trPr>
          <w:jc w:val="center"/>
        </w:trPr>
        <w:tc>
          <w:tcPr>
            <w:tcW w:w="4876" w:type="dxa"/>
            <w:tcBorders>
              <w:top w:val="nil"/>
              <w:left w:val="nil"/>
              <w:bottom w:val="nil"/>
              <w:right w:val="nil"/>
            </w:tcBorders>
          </w:tcPr>
          <w:p w14:paraId="47D82815" w14:textId="77777777" w:rsidR="005A79DB" w:rsidRPr="00354796" w:rsidRDefault="006E31A1">
            <w:pPr>
              <w:pStyle w:val="Normal6a"/>
            </w:pPr>
            <w:r w:rsidRPr="00354796">
              <w:t>1.</w:t>
            </w:r>
            <w:r w:rsidRPr="00354796">
              <w:tab/>
              <w:t>przypomina, że mechanizm odwrotnego obciążenia jest ukierunkowanym odstępstwem od systemu VAT i nie powinien go zastępować;</w:t>
            </w:r>
          </w:p>
        </w:tc>
        <w:tc>
          <w:tcPr>
            <w:tcW w:w="4876" w:type="dxa"/>
            <w:tcBorders>
              <w:top w:val="nil"/>
              <w:left w:val="nil"/>
              <w:bottom w:val="nil"/>
              <w:right w:val="nil"/>
            </w:tcBorders>
          </w:tcPr>
          <w:p w14:paraId="4A8699E7" w14:textId="77777777" w:rsidR="005A79DB" w:rsidRPr="00354796" w:rsidRDefault="006E31A1">
            <w:pPr>
              <w:pStyle w:val="Normal6a"/>
            </w:pPr>
            <w:r w:rsidRPr="00354796">
              <w:t>1.</w:t>
            </w:r>
            <w:r w:rsidRPr="00354796">
              <w:tab/>
            </w:r>
            <w:r w:rsidRPr="00354796">
              <w:t xml:space="preserve">przypomina, że mechanizm odwrotnego obciążenia jest ukierunkowanym odstępstwem od systemu VAT i nie powinien go zastępować </w:t>
            </w:r>
            <w:r w:rsidRPr="00354796">
              <w:rPr>
                <w:b/>
                <w:bCs/>
                <w:i/>
                <w:iCs/>
              </w:rPr>
              <w:t>oraz że jego szerokie stosowanie może osłabić spójność ram podatkowych UE</w:t>
            </w:r>
            <w:r w:rsidRPr="00354796">
              <w:t>;</w:t>
            </w:r>
          </w:p>
        </w:tc>
      </w:tr>
    </w:tbl>
    <w:p w14:paraId="111CBB7F"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651AF43" w14:textId="77777777" w:rsidR="005A79DB" w:rsidRPr="00354796" w:rsidRDefault="006E31A1">
      <w:r w:rsidRPr="00354796">
        <w:rPr>
          <w:rStyle w:val="HideTWBExt"/>
        </w:rPr>
        <w:t>&lt;/Amend&gt;</w:t>
      </w:r>
    </w:p>
    <w:p w14:paraId="56BD52B0"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27</w:t>
      </w:r>
      <w:r w:rsidRPr="00354796">
        <w:rPr>
          <w:rStyle w:val="HideTWBExt"/>
        </w:rPr>
        <w:t>&lt;/NumAm&gt;</w:t>
      </w:r>
    </w:p>
    <w:p w14:paraId="381A105E"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5AF2A53D" w14:textId="77777777" w:rsidR="005A79DB" w:rsidRPr="00354796" w:rsidRDefault="006E31A1">
      <w:pPr>
        <w:pStyle w:val="NormalBold"/>
      </w:pPr>
      <w:r w:rsidRPr="00354796">
        <w:rPr>
          <w:rStyle w:val="HideTWBExt"/>
          <w:b w:val="0"/>
        </w:rPr>
        <w:t>&lt;/RepeatBlock-By&gt;</w:t>
      </w:r>
    </w:p>
    <w:p w14:paraId="29B9ECC1"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CBC688D" w14:textId="77777777" w:rsidR="005A79DB" w:rsidRPr="00354796" w:rsidRDefault="006E31A1">
      <w:pPr>
        <w:pStyle w:val="NormalBold"/>
      </w:pPr>
      <w:r w:rsidRPr="00354796">
        <w:rPr>
          <w:rStyle w:val="HideTWBExt"/>
        </w:rPr>
        <w:t>&lt;Article&gt;</w:t>
      </w:r>
      <w:r w:rsidRPr="00354796">
        <w:t>Ustęp 1</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3958085" w14:textId="77777777">
        <w:trPr>
          <w:trHeight w:hRule="exact" w:val="240"/>
          <w:jc w:val="center"/>
        </w:trPr>
        <w:tc>
          <w:tcPr>
            <w:tcW w:w="9752" w:type="dxa"/>
            <w:gridSpan w:val="2"/>
            <w:tcBorders>
              <w:top w:val="nil"/>
              <w:left w:val="nil"/>
              <w:bottom w:val="nil"/>
              <w:right w:val="nil"/>
            </w:tcBorders>
          </w:tcPr>
          <w:p w14:paraId="4303CB27" w14:textId="77777777" w:rsidR="005A79DB" w:rsidRPr="00354796" w:rsidRDefault="005A79DB"/>
        </w:tc>
      </w:tr>
      <w:tr w:rsidR="005A79DB" w:rsidRPr="00354796" w14:paraId="0FBCDA9D" w14:textId="77777777">
        <w:trPr>
          <w:trHeight w:val="240"/>
          <w:jc w:val="center"/>
        </w:trPr>
        <w:tc>
          <w:tcPr>
            <w:tcW w:w="4876" w:type="dxa"/>
            <w:tcBorders>
              <w:top w:val="nil"/>
              <w:left w:val="nil"/>
              <w:bottom w:val="nil"/>
              <w:right w:val="nil"/>
            </w:tcBorders>
          </w:tcPr>
          <w:p w14:paraId="197030A1"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00660D1" w14:textId="77777777" w:rsidR="005A79DB" w:rsidRPr="00354796" w:rsidRDefault="006E31A1">
            <w:pPr>
              <w:pStyle w:val="AmColumnHeading"/>
            </w:pPr>
            <w:r w:rsidRPr="00354796">
              <w:t>Poprawka</w:t>
            </w:r>
          </w:p>
        </w:tc>
      </w:tr>
      <w:tr w:rsidR="005A79DB" w:rsidRPr="00354796" w14:paraId="4719F1D3" w14:textId="77777777">
        <w:trPr>
          <w:jc w:val="center"/>
        </w:trPr>
        <w:tc>
          <w:tcPr>
            <w:tcW w:w="4876" w:type="dxa"/>
            <w:tcBorders>
              <w:top w:val="nil"/>
              <w:left w:val="nil"/>
              <w:bottom w:val="nil"/>
              <w:right w:val="nil"/>
            </w:tcBorders>
          </w:tcPr>
          <w:p w14:paraId="5B1B84B6" w14:textId="77777777" w:rsidR="005A79DB" w:rsidRPr="00354796" w:rsidRDefault="006E31A1">
            <w:pPr>
              <w:pStyle w:val="Normal6a"/>
            </w:pPr>
            <w:r w:rsidRPr="00354796">
              <w:t>1.</w:t>
            </w:r>
            <w:r w:rsidRPr="00354796">
              <w:tab/>
            </w:r>
            <w:r w:rsidRPr="00354796">
              <w:t xml:space="preserve">przypomina, że mechanizm odwrotnego obciążenia jest ukierunkowanym odstępstwem od systemu VAT </w:t>
            </w:r>
            <w:r w:rsidRPr="00354796">
              <w:rPr>
                <w:b/>
                <w:bCs/>
                <w:i/>
                <w:iCs/>
              </w:rPr>
              <w:t>i nie powinien go zastępować</w:t>
            </w:r>
            <w:r w:rsidRPr="00354796">
              <w:t>;</w:t>
            </w:r>
          </w:p>
        </w:tc>
        <w:tc>
          <w:tcPr>
            <w:tcW w:w="4876" w:type="dxa"/>
            <w:tcBorders>
              <w:top w:val="nil"/>
              <w:left w:val="nil"/>
              <w:bottom w:val="nil"/>
              <w:right w:val="nil"/>
            </w:tcBorders>
          </w:tcPr>
          <w:p w14:paraId="49BF3325" w14:textId="77777777" w:rsidR="005A79DB" w:rsidRPr="00354796" w:rsidRDefault="006E31A1">
            <w:pPr>
              <w:pStyle w:val="Normal6a"/>
            </w:pPr>
            <w:r w:rsidRPr="00354796">
              <w:t>1.</w:t>
            </w:r>
            <w:r w:rsidRPr="00354796">
              <w:tab/>
              <w:t>przypomina, że mechanizm odwrotnego obciążenia jest ukierunkowanym odstępstwem od systemu VAT;</w:t>
            </w:r>
          </w:p>
        </w:tc>
      </w:tr>
    </w:tbl>
    <w:p w14:paraId="495F0E42"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EB2D550" w14:textId="77777777" w:rsidR="005A79DB" w:rsidRPr="00354796" w:rsidRDefault="006E31A1">
      <w:r w:rsidRPr="00354796">
        <w:rPr>
          <w:rStyle w:val="HideTWBExt"/>
        </w:rPr>
        <w:t>&lt;/Amend&gt;</w:t>
      </w:r>
    </w:p>
    <w:p w14:paraId="0DAE4804"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28</w:t>
      </w:r>
      <w:r w:rsidRPr="00354796">
        <w:rPr>
          <w:rStyle w:val="HideTWBExt"/>
        </w:rPr>
        <w:t>&lt;/NumAm&gt;</w:t>
      </w:r>
    </w:p>
    <w:p w14:paraId="720D6EC8"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085FEABE" w14:textId="77777777" w:rsidR="005A79DB" w:rsidRPr="00354796" w:rsidRDefault="006E31A1">
      <w:pPr>
        <w:pStyle w:val="NormalBold"/>
      </w:pPr>
      <w:r w:rsidRPr="00354796">
        <w:rPr>
          <w:rStyle w:val="HideTWBExt"/>
          <w:b w:val="0"/>
        </w:rPr>
        <w:lastRenderedPageBreak/>
        <w:t>&lt;/RepeatBlock-By&gt;</w:t>
      </w:r>
    </w:p>
    <w:p w14:paraId="62BD26B4"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0D82C3A0" w14:textId="77777777" w:rsidR="005A79DB" w:rsidRPr="00354796" w:rsidRDefault="006E31A1">
      <w:pPr>
        <w:pStyle w:val="NormalBold"/>
      </w:pPr>
      <w:r w:rsidRPr="00354796">
        <w:rPr>
          <w:rStyle w:val="HideTWBExt"/>
        </w:rPr>
        <w:t>&lt;Article&gt;</w:t>
      </w:r>
      <w:r w:rsidRPr="00354796">
        <w:t>Ustęp 2</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CB28F04" w14:textId="77777777">
        <w:trPr>
          <w:trHeight w:hRule="exact" w:val="240"/>
          <w:jc w:val="center"/>
        </w:trPr>
        <w:tc>
          <w:tcPr>
            <w:tcW w:w="9752" w:type="dxa"/>
            <w:gridSpan w:val="2"/>
            <w:tcBorders>
              <w:top w:val="nil"/>
              <w:left w:val="nil"/>
              <w:bottom w:val="nil"/>
              <w:right w:val="nil"/>
            </w:tcBorders>
          </w:tcPr>
          <w:p w14:paraId="6C978ABE" w14:textId="77777777" w:rsidR="005A79DB" w:rsidRPr="00354796" w:rsidRDefault="005A79DB"/>
        </w:tc>
      </w:tr>
      <w:tr w:rsidR="005A79DB" w:rsidRPr="00354796" w14:paraId="2E2682AF" w14:textId="77777777">
        <w:trPr>
          <w:trHeight w:val="240"/>
          <w:jc w:val="center"/>
        </w:trPr>
        <w:tc>
          <w:tcPr>
            <w:tcW w:w="4876" w:type="dxa"/>
            <w:tcBorders>
              <w:top w:val="nil"/>
              <w:left w:val="nil"/>
              <w:bottom w:val="nil"/>
              <w:right w:val="nil"/>
            </w:tcBorders>
          </w:tcPr>
          <w:p w14:paraId="392546D3"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61AD33C" w14:textId="77777777" w:rsidR="005A79DB" w:rsidRPr="00354796" w:rsidRDefault="006E31A1">
            <w:pPr>
              <w:pStyle w:val="AmColumnHeading"/>
            </w:pPr>
            <w:r w:rsidRPr="00354796">
              <w:t>Poprawka</w:t>
            </w:r>
          </w:p>
        </w:tc>
      </w:tr>
      <w:tr w:rsidR="005A79DB" w:rsidRPr="00354796" w14:paraId="064EF7BD" w14:textId="77777777">
        <w:trPr>
          <w:jc w:val="center"/>
        </w:trPr>
        <w:tc>
          <w:tcPr>
            <w:tcW w:w="4876" w:type="dxa"/>
            <w:tcBorders>
              <w:top w:val="nil"/>
              <w:left w:val="nil"/>
              <w:bottom w:val="nil"/>
              <w:right w:val="nil"/>
            </w:tcBorders>
          </w:tcPr>
          <w:p w14:paraId="16703DE8" w14:textId="77777777" w:rsidR="005A79DB" w:rsidRPr="00354796" w:rsidRDefault="006E31A1">
            <w:pPr>
              <w:pStyle w:val="Normal6a"/>
            </w:pPr>
            <w:r w:rsidRPr="00354796">
              <w:t>2.</w:t>
            </w:r>
            <w:r w:rsidRPr="00354796">
              <w:tab/>
            </w:r>
            <w:r w:rsidRPr="00354796">
              <w:t xml:space="preserve">podkreśla, że ochrona dochodów z VAT ma zasadnicze znaczenie dla </w:t>
            </w:r>
            <w:r w:rsidRPr="00354796">
              <w:rPr>
                <w:b/>
                <w:bCs/>
                <w:i/>
                <w:iCs/>
              </w:rPr>
              <w:t>budżetu</w:t>
            </w:r>
            <w:r w:rsidRPr="00354796">
              <w:t xml:space="preserve"> państw członkowskich i budżetu Unii, uczciwej konkurencji i prawidłowego funkcjonowania rynku wewnętrznego;</w:t>
            </w:r>
          </w:p>
        </w:tc>
        <w:tc>
          <w:tcPr>
            <w:tcW w:w="4876" w:type="dxa"/>
            <w:tcBorders>
              <w:top w:val="nil"/>
              <w:left w:val="nil"/>
              <w:bottom w:val="nil"/>
              <w:right w:val="nil"/>
            </w:tcBorders>
          </w:tcPr>
          <w:p w14:paraId="6B03A7F3" w14:textId="77777777" w:rsidR="005A79DB" w:rsidRPr="00354796" w:rsidRDefault="006E31A1">
            <w:pPr>
              <w:pStyle w:val="Normal6a"/>
            </w:pPr>
            <w:r w:rsidRPr="00354796">
              <w:t>2.</w:t>
            </w:r>
            <w:r w:rsidRPr="00354796">
              <w:tab/>
              <w:t xml:space="preserve">podkreśla, że ochrona dochodów z VAT ma zasadnicze znaczenie dla </w:t>
            </w:r>
            <w:r w:rsidRPr="00354796">
              <w:rPr>
                <w:b/>
                <w:bCs/>
                <w:i/>
                <w:iCs/>
              </w:rPr>
              <w:t>budżetów</w:t>
            </w:r>
            <w:r w:rsidRPr="00354796">
              <w:t xml:space="preserve"> państw członkowskich i budżetu Unii, uczciwej konkurencji i prawidłowego funkcjonowania rynku wewnętrznego;</w:t>
            </w:r>
          </w:p>
        </w:tc>
      </w:tr>
    </w:tbl>
    <w:p w14:paraId="1E82B4DA"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760C299" w14:textId="77777777" w:rsidR="005A79DB" w:rsidRPr="00354796" w:rsidRDefault="006E31A1">
      <w:r w:rsidRPr="00354796">
        <w:rPr>
          <w:rStyle w:val="HideTWBExt"/>
        </w:rPr>
        <w:t>&lt;/Amend&gt;</w:t>
      </w:r>
    </w:p>
    <w:p w14:paraId="76163248"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29</w:t>
      </w:r>
      <w:r w:rsidRPr="00354796">
        <w:rPr>
          <w:rStyle w:val="HideTWBExt"/>
        </w:rPr>
        <w:t>&lt;/NumAm&gt;</w:t>
      </w:r>
    </w:p>
    <w:p w14:paraId="4C93F808" w14:textId="77777777" w:rsidR="005A79DB" w:rsidRPr="00354796" w:rsidRDefault="006E31A1">
      <w:pPr>
        <w:pStyle w:val="NormalBold"/>
      </w:pPr>
      <w:r w:rsidRPr="00354796">
        <w:rPr>
          <w:rStyle w:val="HideTWBExt"/>
          <w:b w:val="0"/>
        </w:rPr>
        <w:t>&lt;RepeatBlock-By&gt;&lt;Members&gt;</w:t>
      </w:r>
      <w:proofErr w:type="spellStart"/>
      <w:r w:rsidRPr="00354796">
        <w:t>Ľudovít</w:t>
      </w:r>
      <w:proofErr w:type="spellEnd"/>
      <w:r w:rsidRPr="00354796">
        <w:t xml:space="preserve"> </w:t>
      </w:r>
      <w:proofErr w:type="spellStart"/>
      <w:r w:rsidRPr="00354796">
        <w:t>Ódor</w:t>
      </w:r>
      <w:proofErr w:type="spellEnd"/>
      <w:r w:rsidRPr="00354796">
        <w:rPr>
          <w:rStyle w:val="HideTWBExt"/>
          <w:b w:val="0"/>
        </w:rPr>
        <w:t>&lt;/Members&gt;</w:t>
      </w:r>
    </w:p>
    <w:p w14:paraId="639F18C1" w14:textId="77777777" w:rsidR="005A79DB" w:rsidRPr="00354796" w:rsidRDefault="006E31A1">
      <w:pPr>
        <w:pStyle w:val="NormalBold"/>
      </w:pPr>
      <w:r w:rsidRPr="00354796">
        <w:rPr>
          <w:rStyle w:val="HideTWBExt"/>
          <w:b w:val="0"/>
        </w:rPr>
        <w:t>&lt;/RepeatBlock-By&gt;</w:t>
      </w:r>
    </w:p>
    <w:p w14:paraId="698599C0"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5683B55" w14:textId="77777777" w:rsidR="005A79DB" w:rsidRPr="00354796" w:rsidRDefault="006E31A1">
      <w:pPr>
        <w:pStyle w:val="NormalBold"/>
      </w:pPr>
      <w:r w:rsidRPr="00354796">
        <w:rPr>
          <w:rStyle w:val="HideTWBExt"/>
        </w:rPr>
        <w:t>&lt;Article&gt;</w:t>
      </w:r>
      <w:r w:rsidRPr="00354796">
        <w:t>Ustęp 2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7E38C98" w14:textId="77777777">
        <w:trPr>
          <w:trHeight w:hRule="exact" w:val="240"/>
          <w:jc w:val="center"/>
        </w:trPr>
        <w:tc>
          <w:tcPr>
            <w:tcW w:w="9752" w:type="dxa"/>
            <w:gridSpan w:val="2"/>
            <w:tcBorders>
              <w:top w:val="nil"/>
              <w:left w:val="nil"/>
              <w:bottom w:val="nil"/>
              <w:right w:val="nil"/>
            </w:tcBorders>
          </w:tcPr>
          <w:p w14:paraId="4AB90AE3" w14:textId="77777777" w:rsidR="005A79DB" w:rsidRPr="00354796" w:rsidRDefault="005A79DB"/>
        </w:tc>
      </w:tr>
      <w:tr w:rsidR="005A79DB" w:rsidRPr="00354796" w14:paraId="2F090E61" w14:textId="77777777">
        <w:trPr>
          <w:trHeight w:val="240"/>
          <w:jc w:val="center"/>
        </w:trPr>
        <w:tc>
          <w:tcPr>
            <w:tcW w:w="4876" w:type="dxa"/>
            <w:tcBorders>
              <w:top w:val="nil"/>
              <w:left w:val="nil"/>
              <w:bottom w:val="nil"/>
              <w:right w:val="nil"/>
            </w:tcBorders>
          </w:tcPr>
          <w:p w14:paraId="2F956CCD"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127BB630" w14:textId="77777777" w:rsidR="005A79DB" w:rsidRPr="00354796" w:rsidRDefault="006E31A1">
            <w:pPr>
              <w:pStyle w:val="AmColumnHeading"/>
            </w:pPr>
            <w:r w:rsidRPr="00354796">
              <w:t>Poprawka</w:t>
            </w:r>
          </w:p>
        </w:tc>
      </w:tr>
      <w:tr w:rsidR="005A79DB" w:rsidRPr="00354796" w14:paraId="231B0932" w14:textId="77777777">
        <w:trPr>
          <w:jc w:val="center"/>
        </w:trPr>
        <w:tc>
          <w:tcPr>
            <w:tcW w:w="4876" w:type="dxa"/>
            <w:tcBorders>
              <w:top w:val="nil"/>
              <w:left w:val="nil"/>
              <w:bottom w:val="nil"/>
              <w:right w:val="nil"/>
            </w:tcBorders>
          </w:tcPr>
          <w:p w14:paraId="097968E5" w14:textId="77777777" w:rsidR="005A79DB" w:rsidRPr="00354796" w:rsidRDefault="005A79DB">
            <w:pPr>
              <w:pStyle w:val="Normal6a"/>
            </w:pPr>
          </w:p>
        </w:tc>
        <w:tc>
          <w:tcPr>
            <w:tcW w:w="4876" w:type="dxa"/>
            <w:tcBorders>
              <w:top w:val="nil"/>
              <w:left w:val="nil"/>
              <w:bottom w:val="nil"/>
              <w:right w:val="nil"/>
            </w:tcBorders>
          </w:tcPr>
          <w:p w14:paraId="11B9E1E0" w14:textId="77777777" w:rsidR="005A79DB" w:rsidRPr="00354796" w:rsidRDefault="006E31A1">
            <w:pPr>
              <w:pStyle w:val="Normal6a"/>
            </w:pPr>
            <w:r w:rsidRPr="00354796">
              <w:rPr>
                <w:b/>
                <w:i/>
              </w:rPr>
              <w:t>2a.</w:t>
            </w:r>
            <w:r w:rsidRPr="00354796">
              <w:tab/>
            </w:r>
            <w:r w:rsidRPr="00354796">
              <w:rPr>
                <w:b/>
                <w:i/>
              </w:rPr>
              <w:t xml:space="preserve">podkreśla bezpośredni związek między VAT a podatkiem dochodowym od osób prawnych, ponieważ oszustwa związane z VAT </w:t>
            </w:r>
            <w:r w:rsidRPr="00354796">
              <w:rPr>
                <w:b/>
                <w:i/>
              </w:rPr>
              <w:t>prowadzą do niezarejestrowanych dochodów, co z kolei oznacza, że podstawa opodatkowania podatkiem dochodowym od osób prawnych nie odzwierciedla rzeczywistej działalności gospodarczej, co zmniejsza dochody podatkowe państw członkowskich;</w:t>
            </w:r>
          </w:p>
        </w:tc>
      </w:tr>
    </w:tbl>
    <w:p w14:paraId="5F3C8D31"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1017C53" w14:textId="77777777" w:rsidR="005A79DB" w:rsidRPr="00354796" w:rsidRDefault="006E31A1">
      <w:r w:rsidRPr="00354796">
        <w:rPr>
          <w:rStyle w:val="HideTWBExt"/>
        </w:rPr>
        <w:t>&lt;/Amend&gt;</w:t>
      </w:r>
    </w:p>
    <w:p w14:paraId="210B48BB"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30</w:t>
      </w:r>
      <w:r w:rsidRPr="00354796">
        <w:rPr>
          <w:rStyle w:val="HideTWBExt"/>
        </w:rPr>
        <w:t>&lt;/NumAm&gt;</w:t>
      </w:r>
    </w:p>
    <w:p w14:paraId="48F1F9D6"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060A60A9" w14:textId="77777777" w:rsidR="005A79DB" w:rsidRPr="00354796" w:rsidRDefault="006E31A1">
      <w:pPr>
        <w:pStyle w:val="NormalBold"/>
      </w:pPr>
      <w:r w:rsidRPr="00354796">
        <w:rPr>
          <w:rStyle w:val="HideTWBExt"/>
          <w:b w:val="0"/>
        </w:rPr>
        <w:t>&lt;/RepeatBlock-By&gt;</w:t>
      </w:r>
    </w:p>
    <w:p w14:paraId="572AE5AC"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3B9CCC1" w14:textId="77777777" w:rsidR="005A79DB" w:rsidRPr="00354796" w:rsidRDefault="006E31A1">
      <w:pPr>
        <w:pStyle w:val="NormalBold"/>
      </w:pPr>
      <w:r w:rsidRPr="00354796">
        <w:rPr>
          <w:rStyle w:val="HideTWBExt"/>
        </w:rPr>
        <w:t>&lt;Article&gt;</w:t>
      </w:r>
      <w:r w:rsidRPr="00354796">
        <w:t>Ustęp 2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769F2B7" w14:textId="77777777">
        <w:trPr>
          <w:trHeight w:hRule="exact" w:val="240"/>
          <w:jc w:val="center"/>
        </w:trPr>
        <w:tc>
          <w:tcPr>
            <w:tcW w:w="9752" w:type="dxa"/>
            <w:gridSpan w:val="2"/>
            <w:tcBorders>
              <w:top w:val="nil"/>
              <w:left w:val="nil"/>
              <w:bottom w:val="nil"/>
              <w:right w:val="nil"/>
            </w:tcBorders>
          </w:tcPr>
          <w:p w14:paraId="29F0D6B7" w14:textId="77777777" w:rsidR="005A79DB" w:rsidRPr="00354796" w:rsidRDefault="005A79DB"/>
        </w:tc>
      </w:tr>
      <w:tr w:rsidR="005A79DB" w:rsidRPr="00354796" w14:paraId="7F27C18C" w14:textId="77777777">
        <w:trPr>
          <w:trHeight w:val="240"/>
          <w:jc w:val="center"/>
        </w:trPr>
        <w:tc>
          <w:tcPr>
            <w:tcW w:w="4876" w:type="dxa"/>
            <w:tcBorders>
              <w:top w:val="nil"/>
              <w:left w:val="nil"/>
              <w:bottom w:val="nil"/>
              <w:right w:val="nil"/>
            </w:tcBorders>
          </w:tcPr>
          <w:p w14:paraId="56910DDA"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15CD46F4" w14:textId="77777777" w:rsidR="005A79DB" w:rsidRPr="00354796" w:rsidRDefault="006E31A1">
            <w:pPr>
              <w:pStyle w:val="AmColumnHeading"/>
            </w:pPr>
            <w:r w:rsidRPr="00354796">
              <w:t>Poprawka</w:t>
            </w:r>
          </w:p>
        </w:tc>
      </w:tr>
      <w:tr w:rsidR="005A79DB" w:rsidRPr="00354796" w14:paraId="333DAFF5" w14:textId="77777777">
        <w:trPr>
          <w:jc w:val="center"/>
        </w:trPr>
        <w:tc>
          <w:tcPr>
            <w:tcW w:w="4876" w:type="dxa"/>
            <w:tcBorders>
              <w:top w:val="nil"/>
              <w:left w:val="nil"/>
              <w:bottom w:val="nil"/>
              <w:right w:val="nil"/>
            </w:tcBorders>
          </w:tcPr>
          <w:p w14:paraId="33391FEE" w14:textId="77777777" w:rsidR="005A79DB" w:rsidRPr="00354796" w:rsidRDefault="005A79DB">
            <w:pPr>
              <w:pStyle w:val="Normal6a"/>
            </w:pPr>
          </w:p>
        </w:tc>
        <w:tc>
          <w:tcPr>
            <w:tcW w:w="4876" w:type="dxa"/>
            <w:tcBorders>
              <w:top w:val="nil"/>
              <w:left w:val="nil"/>
              <w:bottom w:val="nil"/>
              <w:right w:val="nil"/>
            </w:tcBorders>
          </w:tcPr>
          <w:p w14:paraId="318AC1E8" w14:textId="77777777" w:rsidR="005A79DB" w:rsidRPr="00354796" w:rsidRDefault="006E31A1">
            <w:pPr>
              <w:pStyle w:val="Normal6a"/>
            </w:pPr>
            <w:r w:rsidRPr="00354796">
              <w:rPr>
                <w:b/>
                <w:i/>
              </w:rPr>
              <w:t>2a.</w:t>
            </w:r>
            <w:r w:rsidRPr="00354796">
              <w:tab/>
            </w:r>
            <w:r w:rsidRPr="00354796">
              <w:rPr>
                <w:b/>
                <w:i/>
              </w:rPr>
              <w:t xml:space="preserve">wyraża głębokie zaniepokojenie </w:t>
            </w:r>
            <w:r w:rsidRPr="00354796">
              <w:rPr>
                <w:b/>
                <w:i/>
              </w:rPr>
              <w:lastRenderedPageBreak/>
              <w:t xml:space="preserve">luką w podatku VAT, która w ostatnim roku ujętym w dostępnych danych wyniosła 128 mld EUR; ubolewa nad zwiększeniem się luki w podatku VAT o 1,6 punktu procentowego w latach </w:t>
            </w:r>
            <w:r w:rsidRPr="00354796">
              <w:rPr>
                <w:b/>
                <w:i/>
              </w:rPr>
              <w:t>2022–2023;</w:t>
            </w:r>
          </w:p>
        </w:tc>
      </w:tr>
    </w:tbl>
    <w:p w14:paraId="60941934"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C97B982" w14:textId="77777777" w:rsidR="005A79DB" w:rsidRPr="00354796" w:rsidRDefault="006E31A1">
      <w:r w:rsidRPr="00354796">
        <w:rPr>
          <w:rStyle w:val="HideTWBExt"/>
        </w:rPr>
        <w:t>&lt;/Amend&gt;</w:t>
      </w:r>
    </w:p>
    <w:p w14:paraId="53B46CFE"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31</w:t>
      </w:r>
      <w:r w:rsidRPr="00354796">
        <w:rPr>
          <w:rStyle w:val="HideTWBExt"/>
        </w:rPr>
        <w:t>&lt;/NumAm&gt;</w:t>
      </w:r>
    </w:p>
    <w:p w14:paraId="4BC63207"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0D7A03A6" w14:textId="77777777" w:rsidR="005A79DB" w:rsidRPr="00354796" w:rsidRDefault="006E31A1">
      <w:pPr>
        <w:pStyle w:val="NormalBold"/>
      </w:pPr>
      <w:r w:rsidRPr="00354796">
        <w:rPr>
          <w:rStyle w:val="HideTWBExt"/>
          <w:b w:val="0"/>
        </w:rPr>
        <w:t>&lt;/RepeatBlock-By&gt;</w:t>
      </w:r>
    </w:p>
    <w:p w14:paraId="1CEAA743"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711F7267" w14:textId="77777777" w:rsidR="005A79DB" w:rsidRPr="00354796" w:rsidRDefault="006E31A1">
      <w:pPr>
        <w:pStyle w:val="NormalBold"/>
      </w:pPr>
      <w:r w:rsidRPr="00354796">
        <w:rPr>
          <w:rStyle w:val="HideTWBExt"/>
        </w:rPr>
        <w:t>&lt;Article&gt;</w:t>
      </w:r>
      <w:r w:rsidRPr="00354796">
        <w:t>Ustęp 2 b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44041820" w14:textId="77777777">
        <w:trPr>
          <w:trHeight w:hRule="exact" w:val="240"/>
          <w:jc w:val="center"/>
        </w:trPr>
        <w:tc>
          <w:tcPr>
            <w:tcW w:w="9752" w:type="dxa"/>
            <w:gridSpan w:val="2"/>
            <w:tcBorders>
              <w:top w:val="nil"/>
              <w:left w:val="nil"/>
              <w:bottom w:val="nil"/>
              <w:right w:val="nil"/>
            </w:tcBorders>
          </w:tcPr>
          <w:p w14:paraId="5E74DB0B" w14:textId="77777777" w:rsidR="005A79DB" w:rsidRPr="00354796" w:rsidRDefault="005A79DB"/>
        </w:tc>
      </w:tr>
      <w:tr w:rsidR="005A79DB" w:rsidRPr="00354796" w14:paraId="31318F00" w14:textId="77777777">
        <w:trPr>
          <w:trHeight w:val="240"/>
          <w:jc w:val="center"/>
        </w:trPr>
        <w:tc>
          <w:tcPr>
            <w:tcW w:w="4876" w:type="dxa"/>
            <w:tcBorders>
              <w:top w:val="nil"/>
              <w:left w:val="nil"/>
              <w:bottom w:val="nil"/>
              <w:right w:val="nil"/>
            </w:tcBorders>
          </w:tcPr>
          <w:p w14:paraId="6C1E6960"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5BD7B56" w14:textId="77777777" w:rsidR="005A79DB" w:rsidRPr="00354796" w:rsidRDefault="006E31A1">
            <w:pPr>
              <w:pStyle w:val="AmColumnHeading"/>
            </w:pPr>
            <w:r w:rsidRPr="00354796">
              <w:t>Poprawka</w:t>
            </w:r>
          </w:p>
        </w:tc>
      </w:tr>
      <w:tr w:rsidR="005A79DB" w:rsidRPr="00354796" w14:paraId="7ACDBE7F" w14:textId="77777777">
        <w:trPr>
          <w:jc w:val="center"/>
        </w:trPr>
        <w:tc>
          <w:tcPr>
            <w:tcW w:w="4876" w:type="dxa"/>
            <w:tcBorders>
              <w:top w:val="nil"/>
              <w:left w:val="nil"/>
              <w:bottom w:val="nil"/>
              <w:right w:val="nil"/>
            </w:tcBorders>
          </w:tcPr>
          <w:p w14:paraId="5547B709" w14:textId="77777777" w:rsidR="005A79DB" w:rsidRPr="00354796" w:rsidRDefault="005A79DB">
            <w:pPr>
              <w:pStyle w:val="Normal6a"/>
            </w:pPr>
          </w:p>
        </w:tc>
        <w:tc>
          <w:tcPr>
            <w:tcW w:w="4876" w:type="dxa"/>
            <w:tcBorders>
              <w:top w:val="nil"/>
              <w:left w:val="nil"/>
              <w:bottom w:val="nil"/>
              <w:right w:val="nil"/>
            </w:tcBorders>
          </w:tcPr>
          <w:p w14:paraId="3B45AB69" w14:textId="77777777" w:rsidR="005A79DB" w:rsidRPr="00354796" w:rsidRDefault="006E31A1">
            <w:pPr>
              <w:pStyle w:val="Normal6a"/>
            </w:pPr>
            <w:r w:rsidRPr="00354796">
              <w:rPr>
                <w:b/>
                <w:i/>
              </w:rPr>
              <w:t>2b.</w:t>
            </w:r>
            <w:r w:rsidRPr="00354796">
              <w:tab/>
            </w:r>
            <w:r w:rsidRPr="00354796">
              <w:rPr>
                <w:b/>
                <w:i/>
              </w:rPr>
              <w:t xml:space="preserve">wyraża ubolewanie z powodu braku nawiązania przez Radę Europejską do kwestii dalszej harmonizacji polityki podatkowej w ramach programu „Jedna Europa, jeden rynek”, zwłaszcza że małe i </w:t>
            </w:r>
            <w:r w:rsidRPr="00354796">
              <w:rPr>
                <w:b/>
                <w:i/>
              </w:rPr>
              <w:t>średnie przedsiębiorstwa wskazały rozdrobnienie systemów podatkowych i VAT jako najczęstszą przeszkodę na jednolitym rynku;</w:t>
            </w:r>
          </w:p>
        </w:tc>
      </w:tr>
    </w:tbl>
    <w:p w14:paraId="421208CB"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48E83AEC" w14:textId="77777777" w:rsidR="005A79DB" w:rsidRPr="00354796" w:rsidRDefault="006E31A1">
      <w:r w:rsidRPr="00354796">
        <w:rPr>
          <w:rStyle w:val="HideTWBExt"/>
        </w:rPr>
        <w:t>&lt;/Amend&gt;</w:t>
      </w:r>
    </w:p>
    <w:p w14:paraId="10294E26"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32</w:t>
      </w:r>
      <w:r w:rsidRPr="00354796">
        <w:rPr>
          <w:rStyle w:val="HideTWBExt"/>
        </w:rPr>
        <w:t>&lt;/NumAm&gt;</w:t>
      </w:r>
    </w:p>
    <w:p w14:paraId="1BA7B630"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0C0513A0" w14:textId="77777777" w:rsidR="005A79DB" w:rsidRPr="00354796" w:rsidRDefault="006E31A1">
      <w:pPr>
        <w:pStyle w:val="NormalBold"/>
      </w:pPr>
      <w:r w:rsidRPr="00354796">
        <w:rPr>
          <w:rStyle w:val="HideTWBExt"/>
          <w:b w:val="0"/>
        </w:rPr>
        <w:t>&lt;/RepeatBlock-By&gt;</w:t>
      </w:r>
    </w:p>
    <w:p w14:paraId="39CE9FD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6D6D638" w14:textId="77777777" w:rsidR="005A79DB" w:rsidRPr="00354796" w:rsidRDefault="006E31A1">
      <w:pPr>
        <w:pStyle w:val="NormalBold"/>
      </w:pPr>
      <w:r w:rsidRPr="00354796">
        <w:rPr>
          <w:rStyle w:val="HideTWBExt"/>
        </w:rPr>
        <w:t>&lt;Article&gt;</w:t>
      </w:r>
      <w:r w:rsidRPr="00354796">
        <w:t>Ustęp 2 c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CF37105" w14:textId="77777777">
        <w:trPr>
          <w:trHeight w:hRule="exact" w:val="240"/>
          <w:jc w:val="center"/>
        </w:trPr>
        <w:tc>
          <w:tcPr>
            <w:tcW w:w="9752" w:type="dxa"/>
            <w:gridSpan w:val="2"/>
            <w:tcBorders>
              <w:top w:val="nil"/>
              <w:left w:val="nil"/>
              <w:bottom w:val="nil"/>
              <w:right w:val="nil"/>
            </w:tcBorders>
          </w:tcPr>
          <w:p w14:paraId="3AE4F763" w14:textId="77777777" w:rsidR="005A79DB" w:rsidRPr="00354796" w:rsidRDefault="005A79DB"/>
        </w:tc>
      </w:tr>
      <w:tr w:rsidR="005A79DB" w:rsidRPr="00354796" w14:paraId="33EA2253" w14:textId="77777777">
        <w:trPr>
          <w:trHeight w:val="240"/>
          <w:jc w:val="center"/>
        </w:trPr>
        <w:tc>
          <w:tcPr>
            <w:tcW w:w="4876" w:type="dxa"/>
            <w:tcBorders>
              <w:top w:val="nil"/>
              <w:left w:val="nil"/>
              <w:bottom w:val="nil"/>
              <w:right w:val="nil"/>
            </w:tcBorders>
          </w:tcPr>
          <w:p w14:paraId="2243C7C7"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1D53D39E" w14:textId="77777777" w:rsidR="005A79DB" w:rsidRPr="00354796" w:rsidRDefault="006E31A1">
            <w:pPr>
              <w:pStyle w:val="AmColumnHeading"/>
            </w:pPr>
            <w:r w:rsidRPr="00354796">
              <w:t>Poprawka</w:t>
            </w:r>
          </w:p>
        </w:tc>
      </w:tr>
      <w:tr w:rsidR="005A79DB" w:rsidRPr="00354796" w14:paraId="39C0FA8D" w14:textId="77777777">
        <w:trPr>
          <w:jc w:val="center"/>
        </w:trPr>
        <w:tc>
          <w:tcPr>
            <w:tcW w:w="4876" w:type="dxa"/>
            <w:tcBorders>
              <w:top w:val="nil"/>
              <w:left w:val="nil"/>
              <w:bottom w:val="nil"/>
              <w:right w:val="nil"/>
            </w:tcBorders>
          </w:tcPr>
          <w:p w14:paraId="3833A065" w14:textId="77777777" w:rsidR="005A79DB" w:rsidRPr="00354796" w:rsidRDefault="005A79DB">
            <w:pPr>
              <w:pStyle w:val="Normal6a"/>
            </w:pPr>
          </w:p>
        </w:tc>
        <w:tc>
          <w:tcPr>
            <w:tcW w:w="4876" w:type="dxa"/>
            <w:tcBorders>
              <w:top w:val="nil"/>
              <w:left w:val="nil"/>
              <w:bottom w:val="nil"/>
              <w:right w:val="nil"/>
            </w:tcBorders>
          </w:tcPr>
          <w:p w14:paraId="2F9D1F27" w14:textId="77777777" w:rsidR="005A79DB" w:rsidRPr="00354796" w:rsidRDefault="006E31A1">
            <w:pPr>
              <w:pStyle w:val="Normal6a"/>
            </w:pPr>
            <w:r w:rsidRPr="00354796">
              <w:rPr>
                <w:b/>
                <w:i/>
              </w:rPr>
              <w:t>2c.</w:t>
            </w:r>
            <w:r w:rsidRPr="00354796">
              <w:tab/>
            </w:r>
            <w:r w:rsidRPr="00354796">
              <w:rPr>
                <w:b/>
                <w:i/>
              </w:rPr>
              <w:t xml:space="preserve">uważa, że przejście na stosowanie głosowania większością </w:t>
            </w:r>
            <w:r w:rsidRPr="00354796">
              <w:rPr>
                <w:b/>
                <w:i/>
              </w:rPr>
              <w:t xml:space="preserve">kwalifikowaną w niektórych aspektach polityki podatkowej – takich jak wdrażanie umów międzynarodowych podpisanych przez wszystkie państwa członkowskie, współpraca administracyjna lub definicje prawne – pozwoliłoby ograniczyć </w:t>
            </w:r>
            <w:r w:rsidRPr="00354796">
              <w:rPr>
                <w:b/>
                <w:i/>
              </w:rPr>
              <w:lastRenderedPageBreak/>
              <w:t>hamujący wpływ zasady jednomyślności w harmonizacji przepisów mającej na celu zwalczanie oszustw podatkowych, uchylania się od opodatkowania i unikania opodatkowania;</w:t>
            </w:r>
          </w:p>
        </w:tc>
      </w:tr>
    </w:tbl>
    <w:p w14:paraId="3B58D5D4"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A10015A" w14:textId="77777777" w:rsidR="005A79DB" w:rsidRPr="00354796" w:rsidRDefault="006E31A1">
      <w:r w:rsidRPr="00354796">
        <w:rPr>
          <w:rStyle w:val="HideTWBExt"/>
        </w:rPr>
        <w:t>&lt;/Amend&gt;</w:t>
      </w:r>
    </w:p>
    <w:p w14:paraId="3310C3A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33</w:t>
      </w:r>
      <w:r w:rsidRPr="00354796">
        <w:rPr>
          <w:rStyle w:val="HideTWBExt"/>
        </w:rPr>
        <w:t>&lt;/NumAm&gt;</w:t>
      </w:r>
    </w:p>
    <w:p w14:paraId="252E64A3"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7FD796EE" w14:textId="77777777" w:rsidR="005A79DB" w:rsidRPr="00354796" w:rsidRDefault="006E31A1">
      <w:pPr>
        <w:pStyle w:val="NormalBold"/>
      </w:pPr>
      <w:r w:rsidRPr="00354796">
        <w:rPr>
          <w:rStyle w:val="HideTWBExt"/>
          <w:b w:val="0"/>
        </w:rPr>
        <w:t>&lt;/RepeatBlock-By&gt;</w:t>
      </w:r>
    </w:p>
    <w:p w14:paraId="0CC620E0"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7E7E0F5" w14:textId="77777777" w:rsidR="005A79DB" w:rsidRPr="00354796" w:rsidRDefault="006E31A1">
      <w:pPr>
        <w:pStyle w:val="NormalBold"/>
      </w:pPr>
      <w:r w:rsidRPr="00354796">
        <w:rPr>
          <w:rStyle w:val="HideTWBExt"/>
        </w:rPr>
        <w:t>&lt;Article&gt;</w:t>
      </w:r>
      <w:r w:rsidRPr="00354796">
        <w:t>Ustęp 2 d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934ABB8" w14:textId="77777777">
        <w:trPr>
          <w:trHeight w:hRule="exact" w:val="240"/>
          <w:jc w:val="center"/>
        </w:trPr>
        <w:tc>
          <w:tcPr>
            <w:tcW w:w="9752" w:type="dxa"/>
            <w:gridSpan w:val="2"/>
            <w:tcBorders>
              <w:top w:val="nil"/>
              <w:left w:val="nil"/>
              <w:bottom w:val="nil"/>
              <w:right w:val="nil"/>
            </w:tcBorders>
          </w:tcPr>
          <w:p w14:paraId="05ADD799" w14:textId="77777777" w:rsidR="005A79DB" w:rsidRPr="00354796" w:rsidRDefault="005A79DB"/>
        </w:tc>
      </w:tr>
      <w:tr w:rsidR="005A79DB" w:rsidRPr="00354796" w14:paraId="4C8153C4" w14:textId="77777777">
        <w:trPr>
          <w:trHeight w:val="240"/>
          <w:jc w:val="center"/>
        </w:trPr>
        <w:tc>
          <w:tcPr>
            <w:tcW w:w="4876" w:type="dxa"/>
            <w:tcBorders>
              <w:top w:val="nil"/>
              <w:left w:val="nil"/>
              <w:bottom w:val="nil"/>
              <w:right w:val="nil"/>
            </w:tcBorders>
          </w:tcPr>
          <w:p w14:paraId="74ACB950"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14E1B7D" w14:textId="77777777" w:rsidR="005A79DB" w:rsidRPr="00354796" w:rsidRDefault="006E31A1">
            <w:pPr>
              <w:pStyle w:val="AmColumnHeading"/>
            </w:pPr>
            <w:r w:rsidRPr="00354796">
              <w:t>Poprawka</w:t>
            </w:r>
          </w:p>
        </w:tc>
      </w:tr>
      <w:tr w:rsidR="005A79DB" w:rsidRPr="00354796" w14:paraId="3631443E" w14:textId="77777777">
        <w:trPr>
          <w:jc w:val="center"/>
        </w:trPr>
        <w:tc>
          <w:tcPr>
            <w:tcW w:w="4876" w:type="dxa"/>
            <w:tcBorders>
              <w:top w:val="nil"/>
              <w:left w:val="nil"/>
              <w:bottom w:val="nil"/>
              <w:right w:val="nil"/>
            </w:tcBorders>
          </w:tcPr>
          <w:p w14:paraId="18775960" w14:textId="77777777" w:rsidR="005A79DB" w:rsidRPr="00354796" w:rsidRDefault="005A79DB">
            <w:pPr>
              <w:pStyle w:val="Normal6a"/>
            </w:pPr>
          </w:p>
        </w:tc>
        <w:tc>
          <w:tcPr>
            <w:tcW w:w="4876" w:type="dxa"/>
            <w:tcBorders>
              <w:top w:val="nil"/>
              <w:left w:val="nil"/>
              <w:bottom w:val="nil"/>
              <w:right w:val="nil"/>
            </w:tcBorders>
          </w:tcPr>
          <w:p w14:paraId="35AC832E" w14:textId="77777777" w:rsidR="005A79DB" w:rsidRPr="00354796" w:rsidRDefault="006E31A1">
            <w:pPr>
              <w:pStyle w:val="Normal6a"/>
            </w:pPr>
            <w:r w:rsidRPr="00354796">
              <w:rPr>
                <w:b/>
                <w:i/>
              </w:rPr>
              <w:t>2d.</w:t>
            </w:r>
            <w:r w:rsidRPr="00354796">
              <w:tab/>
            </w:r>
            <w:r w:rsidRPr="00354796">
              <w:rPr>
                <w:b/>
                <w:i/>
              </w:rPr>
              <w:t xml:space="preserve">zauważa, że brak ostatecznego unijnego systemu VAT nadal stwarza </w:t>
            </w:r>
            <w:r w:rsidRPr="00354796">
              <w:rPr>
                <w:b/>
                <w:i/>
              </w:rPr>
              <w:t>możliwości występowania wewnątrzwspólnotowych oszustw typu „znikający podmiot gospodarczy” i oszustw karuzelowych; ubolewa nad opóźnieniem w ustanowieniu takiego systemu i przyznaje, że sytuacja ta spowodowała konieczność tymczasowego stosowania mechanizmu odwrotnego obciążenia w ramach szerszego zestawu środków zwalczania nadużyć finansowych;</w:t>
            </w:r>
          </w:p>
        </w:tc>
      </w:tr>
    </w:tbl>
    <w:p w14:paraId="1B13D1C5"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26344D6" w14:textId="77777777" w:rsidR="005A79DB" w:rsidRPr="00354796" w:rsidRDefault="006E31A1">
      <w:r w:rsidRPr="00354796">
        <w:rPr>
          <w:rStyle w:val="HideTWBExt"/>
        </w:rPr>
        <w:t>&lt;/Amend&gt;</w:t>
      </w:r>
    </w:p>
    <w:p w14:paraId="1554B08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34</w:t>
      </w:r>
      <w:r w:rsidRPr="00354796">
        <w:rPr>
          <w:rStyle w:val="HideTWBExt"/>
        </w:rPr>
        <w:t>&lt;/NumAm&gt;</w:t>
      </w:r>
    </w:p>
    <w:p w14:paraId="6D048B92"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626B5526" w14:textId="77777777" w:rsidR="005A79DB" w:rsidRPr="00354796" w:rsidRDefault="006E31A1">
      <w:pPr>
        <w:pStyle w:val="NormalBold"/>
      </w:pPr>
      <w:r w:rsidRPr="00354796">
        <w:rPr>
          <w:rStyle w:val="HideTWBExt"/>
          <w:b w:val="0"/>
        </w:rPr>
        <w:t>&lt;/RepeatBlock-By&gt;</w:t>
      </w:r>
    </w:p>
    <w:p w14:paraId="4AAE8F69"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5C08B9C" w14:textId="77777777" w:rsidR="005A79DB" w:rsidRPr="00354796" w:rsidRDefault="006E31A1">
      <w:pPr>
        <w:pStyle w:val="NormalBold"/>
      </w:pPr>
      <w:r w:rsidRPr="00354796">
        <w:rPr>
          <w:rStyle w:val="HideTWBExt"/>
        </w:rPr>
        <w:t>&lt;Article&gt;</w:t>
      </w:r>
      <w:r w:rsidRPr="00354796">
        <w:t>Ustęp 2 e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2C6A0E8" w14:textId="77777777">
        <w:trPr>
          <w:trHeight w:hRule="exact" w:val="240"/>
          <w:jc w:val="center"/>
        </w:trPr>
        <w:tc>
          <w:tcPr>
            <w:tcW w:w="9752" w:type="dxa"/>
            <w:gridSpan w:val="2"/>
            <w:tcBorders>
              <w:top w:val="nil"/>
              <w:left w:val="nil"/>
              <w:bottom w:val="nil"/>
              <w:right w:val="nil"/>
            </w:tcBorders>
          </w:tcPr>
          <w:p w14:paraId="66B898B1" w14:textId="77777777" w:rsidR="005A79DB" w:rsidRPr="00354796" w:rsidRDefault="005A79DB"/>
        </w:tc>
      </w:tr>
      <w:tr w:rsidR="005A79DB" w:rsidRPr="00354796" w14:paraId="3276FC07" w14:textId="77777777">
        <w:trPr>
          <w:trHeight w:val="240"/>
          <w:jc w:val="center"/>
        </w:trPr>
        <w:tc>
          <w:tcPr>
            <w:tcW w:w="4876" w:type="dxa"/>
            <w:tcBorders>
              <w:top w:val="nil"/>
              <w:left w:val="nil"/>
              <w:bottom w:val="nil"/>
              <w:right w:val="nil"/>
            </w:tcBorders>
          </w:tcPr>
          <w:p w14:paraId="2917BF9F"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F1EFA5A" w14:textId="77777777" w:rsidR="005A79DB" w:rsidRPr="00354796" w:rsidRDefault="006E31A1">
            <w:pPr>
              <w:pStyle w:val="AmColumnHeading"/>
            </w:pPr>
            <w:r w:rsidRPr="00354796">
              <w:t>Poprawka</w:t>
            </w:r>
          </w:p>
        </w:tc>
      </w:tr>
      <w:tr w:rsidR="005A79DB" w:rsidRPr="00354796" w14:paraId="1804F5D6" w14:textId="77777777">
        <w:trPr>
          <w:jc w:val="center"/>
        </w:trPr>
        <w:tc>
          <w:tcPr>
            <w:tcW w:w="4876" w:type="dxa"/>
            <w:tcBorders>
              <w:top w:val="nil"/>
              <w:left w:val="nil"/>
              <w:bottom w:val="nil"/>
              <w:right w:val="nil"/>
            </w:tcBorders>
          </w:tcPr>
          <w:p w14:paraId="19AF6E43" w14:textId="77777777" w:rsidR="005A79DB" w:rsidRPr="00354796" w:rsidRDefault="005A79DB">
            <w:pPr>
              <w:pStyle w:val="Normal6a"/>
            </w:pPr>
          </w:p>
        </w:tc>
        <w:tc>
          <w:tcPr>
            <w:tcW w:w="4876" w:type="dxa"/>
            <w:tcBorders>
              <w:top w:val="nil"/>
              <w:left w:val="nil"/>
              <w:bottom w:val="nil"/>
              <w:right w:val="nil"/>
            </w:tcBorders>
          </w:tcPr>
          <w:p w14:paraId="7A25D262" w14:textId="77777777" w:rsidR="005A79DB" w:rsidRPr="00354796" w:rsidRDefault="006E31A1">
            <w:pPr>
              <w:pStyle w:val="Normal6a"/>
            </w:pPr>
            <w:r w:rsidRPr="00354796">
              <w:rPr>
                <w:b/>
                <w:i/>
              </w:rPr>
              <w:t>2e.</w:t>
            </w:r>
            <w:r w:rsidRPr="00354796">
              <w:tab/>
            </w:r>
            <w:r w:rsidRPr="00354796">
              <w:rPr>
                <w:b/>
                <w:i/>
              </w:rPr>
              <w:t xml:space="preserve">zauważa z ubolewaniem, że w 2025 r. formalnie wycofano wniosek Komisji dotyczący ostatecznego systemu VAT ze </w:t>
            </w:r>
            <w:r w:rsidRPr="00354796">
              <w:rPr>
                <w:b/>
                <w:i/>
              </w:rPr>
              <w:t xml:space="preserve">względu na brak przewidywalnego porozumienia politycznego w Radzie; </w:t>
            </w:r>
            <w:r w:rsidRPr="00354796">
              <w:rPr>
                <w:b/>
                <w:i/>
              </w:rPr>
              <w:lastRenderedPageBreak/>
              <w:t>podkreśla jednak, że nadrzędny cel, jakim jest wyeliminowanie luk strukturalnych wykorzystywanych do oszustw karuzelowych i oszustw typu „znikający podmiot gospodarczy”, pozostaje priorytetem, oraz wzywa Komisję do przeprowadzenia dalszej analizy i przedstawienia na tej podstawie zmienionego wniosku bez dalszej zwłoki;</w:t>
            </w:r>
          </w:p>
        </w:tc>
      </w:tr>
    </w:tbl>
    <w:p w14:paraId="1157CC84"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704D9926" w14:textId="77777777" w:rsidR="005A79DB" w:rsidRPr="00354796" w:rsidRDefault="006E31A1">
      <w:r w:rsidRPr="00354796">
        <w:rPr>
          <w:rStyle w:val="HideTWBExt"/>
        </w:rPr>
        <w:t>&lt;/Amend&gt;</w:t>
      </w:r>
    </w:p>
    <w:p w14:paraId="6BF945A8"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35</w:t>
      </w:r>
      <w:r w:rsidRPr="00354796">
        <w:rPr>
          <w:rStyle w:val="HideTWBExt"/>
        </w:rPr>
        <w:t>&lt;/NumAm&gt;</w:t>
      </w:r>
    </w:p>
    <w:p w14:paraId="54F22BCD"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6987355B" w14:textId="77777777" w:rsidR="005A79DB" w:rsidRPr="00354796" w:rsidRDefault="006E31A1">
      <w:pPr>
        <w:pStyle w:val="NormalBold"/>
      </w:pPr>
      <w:r w:rsidRPr="00354796">
        <w:rPr>
          <w:rStyle w:val="HideTWBExt"/>
          <w:b w:val="0"/>
        </w:rPr>
        <w:t>&lt;/RepeatBlock-By&gt;</w:t>
      </w:r>
    </w:p>
    <w:p w14:paraId="0316D4C1"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DECAAC9" w14:textId="77777777" w:rsidR="005A79DB" w:rsidRPr="00354796" w:rsidRDefault="006E31A1">
      <w:pPr>
        <w:pStyle w:val="NormalBold"/>
      </w:pPr>
      <w:r w:rsidRPr="00354796">
        <w:rPr>
          <w:rStyle w:val="HideTWBExt"/>
        </w:rPr>
        <w:t>&lt;Article&gt;</w:t>
      </w:r>
      <w:r w:rsidRPr="00354796">
        <w:t>Ustęp 3</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47845F0" w14:textId="77777777">
        <w:trPr>
          <w:trHeight w:hRule="exact" w:val="240"/>
          <w:jc w:val="center"/>
        </w:trPr>
        <w:tc>
          <w:tcPr>
            <w:tcW w:w="9752" w:type="dxa"/>
            <w:gridSpan w:val="2"/>
            <w:tcBorders>
              <w:top w:val="nil"/>
              <w:left w:val="nil"/>
              <w:bottom w:val="nil"/>
              <w:right w:val="nil"/>
            </w:tcBorders>
          </w:tcPr>
          <w:p w14:paraId="1B609D1E" w14:textId="77777777" w:rsidR="005A79DB" w:rsidRPr="00354796" w:rsidRDefault="005A79DB"/>
        </w:tc>
      </w:tr>
      <w:tr w:rsidR="005A79DB" w:rsidRPr="00354796" w14:paraId="7C119136" w14:textId="77777777">
        <w:trPr>
          <w:trHeight w:val="240"/>
          <w:jc w:val="center"/>
        </w:trPr>
        <w:tc>
          <w:tcPr>
            <w:tcW w:w="4876" w:type="dxa"/>
            <w:tcBorders>
              <w:top w:val="nil"/>
              <w:left w:val="nil"/>
              <w:bottom w:val="nil"/>
              <w:right w:val="nil"/>
            </w:tcBorders>
          </w:tcPr>
          <w:p w14:paraId="751FF14F"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5795DD5" w14:textId="77777777" w:rsidR="005A79DB" w:rsidRPr="00354796" w:rsidRDefault="006E31A1">
            <w:pPr>
              <w:pStyle w:val="AmColumnHeading"/>
            </w:pPr>
            <w:r w:rsidRPr="00354796">
              <w:t>Poprawka</w:t>
            </w:r>
          </w:p>
        </w:tc>
      </w:tr>
      <w:tr w:rsidR="005A79DB" w:rsidRPr="00354796" w14:paraId="55BB0A8B" w14:textId="77777777">
        <w:trPr>
          <w:jc w:val="center"/>
        </w:trPr>
        <w:tc>
          <w:tcPr>
            <w:tcW w:w="4876" w:type="dxa"/>
            <w:tcBorders>
              <w:top w:val="nil"/>
              <w:left w:val="nil"/>
              <w:bottom w:val="nil"/>
              <w:right w:val="nil"/>
            </w:tcBorders>
          </w:tcPr>
          <w:p w14:paraId="48FCC6D8" w14:textId="77777777" w:rsidR="005A79DB" w:rsidRPr="00354796" w:rsidRDefault="006E31A1">
            <w:pPr>
              <w:pStyle w:val="Normal6a"/>
            </w:pPr>
            <w:r w:rsidRPr="00354796">
              <w:t>3.</w:t>
            </w:r>
            <w:r w:rsidRPr="00354796">
              <w:tab/>
            </w:r>
            <w:r w:rsidRPr="00354796">
              <w:t xml:space="preserve">uznaje, że mechanizm odwrotnego obciążenia okazał się skuteczny w zwalczaniu wewnątrzwspólnotowych oszustw typu „znikający podmiot gospodarczy” i oszustw karuzelowych w sektorach wysokiego ryzyka, </w:t>
            </w:r>
            <w:r w:rsidRPr="00354796">
              <w:rPr>
                <w:b/>
                <w:bCs/>
                <w:i/>
                <w:iCs/>
              </w:rPr>
              <w:t>zauważając jednocześnie</w:t>
            </w:r>
            <w:r w:rsidRPr="00354796">
              <w:t>, że mechanizmy oszustw nadal ewoluują;</w:t>
            </w:r>
          </w:p>
        </w:tc>
        <w:tc>
          <w:tcPr>
            <w:tcW w:w="4876" w:type="dxa"/>
            <w:tcBorders>
              <w:top w:val="nil"/>
              <w:left w:val="nil"/>
              <w:bottom w:val="nil"/>
              <w:right w:val="nil"/>
            </w:tcBorders>
          </w:tcPr>
          <w:p w14:paraId="24651A9F" w14:textId="77777777" w:rsidR="005A79DB" w:rsidRPr="00354796" w:rsidRDefault="006E31A1">
            <w:pPr>
              <w:pStyle w:val="Normal6a"/>
            </w:pPr>
            <w:r w:rsidRPr="00354796">
              <w:t>3.</w:t>
            </w:r>
            <w:r w:rsidRPr="00354796">
              <w:tab/>
              <w:t xml:space="preserve">uznaje, że mechanizm odwrotnego obciążenia okazał się </w:t>
            </w:r>
            <w:r w:rsidRPr="00354796">
              <w:rPr>
                <w:b/>
                <w:bCs/>
                <w:i/>
                <w:iCs/>
              </w:rPr>
              <w:t xml:space="preserve">niezwykle </w:t>
            </w:r>
            <w:r w:rsidRPr="00354796">
              <w:t xml:space="preserve">skuteczny w zwalczaniu wewnątrzwspólnotowych oszustw typu „znikający podmiot gospodarczy” i oszustw karuzelowych w sektorach wysokiego ryzyka, </w:t>
            </w:r>
            <w:r w:rsidRPr="00354796">
              <w:rPr>
                <w:b/>
                <w:bCs/>
                <w:i/>
                <w:iCs/>
              </w:rPr>
              <w:t>przy czym większość państw członkowskich zgłosiła znaczne ograniczenie, a nawet praktyczne zniknięcie takich oszustw w sektorach objętych zakresem stosowania mechanizmu odwrotnego obciążenia;</w:t>
            </w:r>
            <w:r w:rsidRPr="00354796">
              <w:rPr>
                <w:b/>
                <w:i/>
              </w:rPr>
              <w:t xml:space="preserve"> </w:t>
            </w:r>
            <w:r w:rsidRPr="00354796">
              <w:rPr>
                <w:b/>
                <w:bCs/>
                <w:i/>
                <w:iCs/>
              </w:rPr>
              <w:t>zauważa ponadto</w:t>
            </w:r>
            <w:r w:rsidRPr="00354796">
              <w:t>, że mechanizmy oszustw nadal ewoluują;</w:t>
            </w:r>
          </w:p>
        </w:tc>
      </w:tr>
    </w:tbl>
    <w:p w14:paraId="03906CF6"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6B0D383" w14:textId="77777777" w:rsidR="005A79DB" w:rsidRPr="00354796" w:rsidRDefault="006E31A1">
      <w:r w:rsidRPr="00354796">
        <w:rPr>
          <w:rStyle w:val="HideTWBExt"/>
        </w:rPr>
        <w:t>&lt;/Amend&gt;</w:t>
      </w:r>
    </w:p>
    <w:p w14:paraId="58AF20A1"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36</w:t>
      </w:r>
      <w:r w:rsidRPr="00354796">
        <w:rPr>
          <w:rStyle w:val="HideTWBExt"/>
        </w:rPr>
        <w:t>&lt;/NumAm&gt;</w:t>
      </w:r>
    </w:p>
    <w:p w14:paraId="5183AABC" w14:textId="77777777" w:rsidR="005A79DB" w:rsidRPr="00354796" w:rsidRDefault="006E31A1">
      <w:pPr>
        <w:pStyle w:val="NormalBold"/>
      </w:pPr>
      <w:r w:rsidRPr="00354796">
        <w:rPr>
          <w:rStyle w:val="HideTWBExt"/>
          <w:b w:val="0"/>
        </w:rPr>
        <w:t>&lt;RepeatBlock-By&gt;&lt;Members&gt;</w:t>
      </w:r>
      <w:proofErr w:type="spellStart"/>
      <w:r w:rsidRPr="00354796">
        <w:t>Ľudovít</w:t>
      </w:r>
      <w:proofErr w:type="spellEnd"/>
      <w:r w:rsidRPr="00354796">
        <w:t xml:space="preserve"> </w:t>
      </w:r>
      <w:proofErr w:type="spellStart"/>
      <w:r w:rsidRPr="00354796">
        <w:t>Ódor</w:t>
      </w:r>
      <w:proofErr w:type="spellEnd"/>
      <w:r w:rsidRPr="00354796">
        <w:rPr>
          <w:rStyle w:val="HideTWBExt"/>
          <w:b w:val="0"/>
        </w:rPr>
        <w:t>&lt;/Members&gt;</w:t>
      </w:r>
    </w:p>
    <w:p w14:paraId="4339DDDD" w14:textId="77777777" w:rsidR="005A79DB" w:rsidRPr="00354796" w:rsidRDefault="006E31A1">
      <w:pPr>
        <w:pStyle w:val="NormalBold"/>
      </w:pPr>
      <w:r w:rsidRPr="00354796">
        <w:rPr>
          <w:rStyle w:val="HideTWBExt"/>
          <w:b w:val="0"/>
        </w:rPr>
        <w:t>&lt;/RepeatBlock-By&gt;</w:t>
      </w:r>
    </w:p>
    <w:p w14:paraId="1E0152E2"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33D57BA6" w14:textId="77777777" w:rsidR="005A79DB" w:rsidRPr="00354796" w:rsidRDefault="006E31A1">
      <w:pPr>
        <w:pStyle w:val="NormalBold"/>
      </w:pPr>
      <w:r w:rsidRPr="00354796">
        <w:rPr>
          <w:rStyle w:val="HideTWBExt"/>
        </w:rPr>
        <w:t>&lt;Article&gt;</w:t>
      </w:r>
      <w:r w:rsidRPr="00354796">
        <w:t>Ustęp 3</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21AC148" w14:textId="77777777">
        <w:trPr>
          <w:trHeight w:hRule="exact" w:val="240"/>
          <w:jc w:val="center"/>
        </w:trPr>
        <w:tc>
          <w:tcPr>
            <w:tcW w:w="9752" w:type="dxa"/>
            <w:gridSpan w:val="2"/>
            <w:tcBorders>
              <w:top w:val="nil"/>
              <w:left w:val="nil"/>
              <w:bottom w:val="nil"/>
              <w:right w:val="nil"/>
            </w:tcBorders>
          </w:tcPr>
          <w:p w14:paraId="1FF55717" w14:textId="77777777" w:rsidR="005A79DB" w:rsidRPr="00354796" w:rsidRDefault="005A79DB"/>
        </w:tc>
      </w:tr>
      <w:tr w:rsidR="005A79DB" w:rsidRPr="00354796" w14:paraId="66B2490D" w14:textId="77777777">
        <w:trPr>
          <w:trHeight w:val="240"/>
          <w:jc w:val="center"/>
        </w:trPr>
        <w:tc>
          <w:tcPr>
            <w:tcW w:w="4876" w:type="dxa"/>
            <w:tcBorders>
              <w:top w:val="nil"/>
              <w:left w:val="nil"/>
              <w:bottom w:val="nil"/>
              <w:right w:val="nil"/>
            </w:tcBorders>
          </w:tcPr>
          <w:p w14:paraId="7775BC46"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AC4B074" w14:textId="77777777" w:rsidR="005A79DB" w:rsidRPr="00354796" w:rsidRDefault="006E31A1">
            <w:pPr>
              <w:pStyle w:val="AmColumnHeading"/>
            </w:pPr>
            <w:r w:rsidRPr="00354796">
              <w:t>Poprawka</w:t>
            </w:r>
          </w:p>
        </w:tc>
      </w:tr>
      <w:tr w:rsidR="005A79DB" w:rsidRPr="00354796" w14:paraId="7BD52810" w14:textId="77777777">
        <w:trPr>
          <w:jc w:val="center"/>
        </w:trPr>
        <w:tc>
          <w:tcPr>
            <w:tcW w:w="4876" w:type="dxa"/>
            <w:tcBorders>
              <w:top w:val="nil"/>
              <w:left w:val="nil"/>
              <w:bottom w:val="nil"/>
              <w:right w:val="nil"/>
            </w:tcBorders>
          </w:tcPr>
          <w:p w14:paraId="60A95BC0" w14:textId="77777777" w:rsidR="005A79DB" w:rsidRPr="00354796" w:rsidRDefault="006E31A1">
            <w:pPr>
              <w:pStyle w:val="Normal6a"/>
            </w:pPr>
            <w:r w:rsidRPr="00354796">
              <w:t>3.</w:t>
            </w:r>
            <w:r w:rsidRPr="00354796">
              <w:tab/>
              <w:t xml:space="preserve">uznaje, że mechanizm odwrotnego </w:t>
            </w:r>
            <w:r w:rsidRPr="00354796">
              <w:lastRenderedPageBreak/>
              <w:t xml:space="preserve">obciążenia okazał się </w:t>
            </w:r>
            <w:r w:rsidRPr="00354796">
              <w:t>skuteczny w zwalczaniu wewnątrzwspólnotowych oszustw typu „znikający podmiot gospodarczy” i oszustw karuzelowych w sektorach wysokiego ryzyka, zauważając jednocześnie, że mechanizmy oszustw nadal ewoluują;</w:t>
            </w:r>
          </w:p>
        </w:tc>
        <w:tc>
          <w:tcPr>
            <w:tcW w:w="4876" w:type="dxa"/>
            <w:tcBorders>
              <w:top w:val="nil"/>
              <w:left w:val="nil"/>
              <w:bottom w:val="nil"/>
              <w:right w:val="nil"/>
            </w:tcBorders>
          </w:tcPr>
          <w:p w14:paraId="5C31C165" w14:textId="77777777" w:rsidR="005A79DB" w:rsidRPr="00354796" w:rsidRDefault="006E31A1">
            <w:pPr>
              <w:pStyle w:val="Normal6a"/>
            </w:pPr>
            <w:r w:rsidRPr="00354796">
              <w:lastRenderedPageBreak/>
              <w:t>3.</w:t>
            </w:r>
            <w:r w:rsidRPr="00354796">
              <w:tab/>
            </w:r>
            <w:r w:rsidRPr="00354796">
              <w:t xml:space="preserve">uznaje, że mechanizm odwrotnego </w:t>
            </w:r>
            <w:r w:rsidRPr="00354796">
              <w:lastRenderedPageBreak/>
              <w:t xml:space="preserve">obciążenia okazał się skuteczny w zwalczaniu wewnątrzwspólnotowych oszustw typu „znikający podmiot gospodarczy” i oszustw karuzelowych w sektorach wysokiego ryzyka </w:t>
            </w:r>
            <w:r w:rsidRPr="00354796">
              <w:rPr>
                <w:b/>
                <w:bCs/>
                <w:i/>
                <w:iCs/>
              </w:rPr>
              <w:t>związanych z jednorodnymi produktami o wysokiej wartości</w:t>
            </w:r>
            <w:r w:rsidRPr="00354796">
              <w:t>, zauważając jednocześnie, że mechanizmy oszustw nadal ewoluują</w:t>
            </w:r>
            <w:r w:rsidRPr="00354796">
              <w:rPr>
                <w:b/>
                <w:bCs/>
                <w:i/>
                <w:iCs/>
              </w:rPr>
              <w:t>, a szersze stosowanie mechanizmu odwrotnego obciążenia może spowodować przeniesienie oszustw do sąsiednich sektorów</w:t>
            </w:r>
            <w:r w:rsidRPr="00354796">
              <w:t>;</w:t>
            </w:r>
          </w:p>
        </w:tc>
      </w:tr>
    </w:tbl>
    <w:p w14:paraId="3B6EEEFD"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9D33F72" w14:textId="77777777" w:rsidR="005A79DB" w:rsidRPr="00354796" w:rsidRDefault="006E31A1">
      <w:r w:rsidRPr="00354796">
        <w:rPr>
          <w:rStyle w:val="HideTWBExt"/>
        </w:rPr>
        <w:t>&lt;/Amend&gt;</w:t>
      </w:r>
    </w:p>
    <w:p w14:paraId="2835C298"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37</w:t>
      </w:r>
      <w:r w:rsidRPr="00354796">
        <w:rPr>
          <w:rStyle w:val="HideTWBExt"/>
        </w:rPr>
        <w:t>&lt;/NumAm&gt;</w:t>
      </w:r>
    </w:p>
    <w:p w14:paraId="31771451"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40532BC3" w14:textId="77777777" w:rsidR="005A79DB" w:rsidRPr="00354796" w:rsidRDefault="006E31A1">
      <w:pPr>
        <w:pStyle w:val="NormalBold"/>
      </w:pPr>
      <w:r w:rsidRPr="00354796">
        <w:rPr>
          <w:rStyle w:val="HideTWBExt"/>
          <w:b w:val="0"/>
        </w:rPr>
        <w:t>&lt;/RepeatBlock-By&gt;</w:t>
      </w:r>
    </w:p>
    <w:p w14:paraId="51C2A47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332D48A5" w14:textId="77777777" w:rsidR="005A79DB" w:rsidRPr="00354796" w:rsidRDefault="006E31A1">
      <w:pPr>
        <w:pStyle w:val="NormalBold"/>
      </w:pPr>
      <w:r w:rsidRPr="00354796">
        <w:rPr>
          <w:rStyle w:val="HideTWBExt"/>
        </w:rPr>
        <w:t>&lt;Article&gt;</w:t>
      </w:r>
      <w:r w:rsidRPr="00354796">
        <w:t>Ustęp 3</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FBD804F" w14:textId="77777777">
        <w:trPr>
          <w:trHeight w:hRule="exact" w:val="240"/>
          <w:jc w:val="center"/>
        </w:trPr>
        <w:tc>
          <w:tcPr>
            <w:tcW w:w="9752" w:type="dxa"/>
            <w:gridSpan w:val="2"/>
            <w:tcBorders>
              <w:top w:val="nil"/>
              <w:left w:val="nil"/>
              <w:bottom w:val="nil"/>
              <w:right w:val="nil"/>
            </w:tcBorders>
          </w:tcPr>
          <w:p w14:paraId="6B48B7BB" w14:textId="77777777" w:rsidR="005A79DB" w:rsidRPr="00354796" w:rsidRDefault="005A79DB"/>
        </w:tc>
      </w:tr>
      <w:tr w:rsidR="005A79DB" w:rsidRPr="00354796" w14:paraId="3155A70E" w14:textId="77777777">
        <w:trPr>
          <w:trHeight w:val="240"/>
          <w:jc w:val="center"/>
        </w:trPr>
        <w:tc>
          <w:tcPr>
            <w:tcW w:w="4876" w:type="dxa"/>
            <w:tcBorders>
              <w:top w:val="nil"/>
              <w:left w:val="nil"/>
              <w:bottom w:val="nil"/>
              <w:right w:val="nil"/>
            </w:tcBorders>
          </w:tcPr>
          <w:p w14:paraId="03F04ED0"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50C3B8F" w14:textId="77777777" w:rsidR="005A79DB" w:rsidRPr="00354796" w:rsidRDefault="006E31A1">
            <w:pPr>
              <w:pStyle w:val="AmColumnHeading"/>
            </w:pPr>
            <w:r w:rsidRPr="00354796">
              <w:t>Poprawka</w:t>
            </w:r>
          </w:p>
        </w:tc>
      </w:tr>
      <w:tr w:rsidR="005A79DB" w:rsidRPr="00354796" w14:paraId="2F8BD2F7" w14:textId="77777777">
        <w:trPr>
          <w:jc w:val="center"/>
        </w:trPr>
        <w:tc>
          <w:tcPr>
            <w:tcW w:w="4876" w:type="dxa"/>
            <w:tcBorders>
              <w:top w:val="nil"/>
              <w:left w:val="nil"/>
              <w:bottom w:val="nil"/>
              <w:right w:val="nil"/>
            </w:tcBorders>
          </w:tcPr>
          <w:p w14:paraId="3DF69037" w14:textId="77777777" w:rsidR="005A79DB" w:rsidRPr="00354796" w:rsidRDefault="006E31A1">
            <w:pPr>
              <w:pStyle w:val="Normal6a"/>
            </w:pPr>
            <w:r w:rsidRPr="00354796">
              <w:t>3.</w:t>
            </w:r>
            <w:r w:rsidRPr="00354796">
              <w:tab/>
              <w:t xml:space="preserve">uznaje, że </w:t>
            </w:r>
            <w:r w:rsidRPr="00354796">
              <w:t>mechanizm odwrotnego obciążenia okazał się skuteczny w zwalczaniu wewnątrzwspólnotowych oszustw typu „znikający podmiot gospodarczy” i oszustw karuzelowych w sektorach wysokiego ryzyka, zauważając jednocześnie, że mechanizmy oszustw nadal ewoluują;</w:t>
            </w:r>
          </w:p>
        </w:tc>
        <w:tc>
          <w:tcPr>
            <w:tcW w:w="4876" w:type="dxa"/>
            <w:tcBorders>
              <w:top w:val="nil"/>
              <w:left w:val="nil"/>
              <w:bottom w:val="nil"/>
              <w:right w:val="nil"/>
            </w:tcBorders>
          </w:tcPr>
          <w:p w14:paraId="37075670" w14:textId="77777777" w:rsidR="005A79DB" w:rsidRPr="00354796" w:rsidRDefault="006E31A1">
            <w:pPr>
              <w:pStyle w:val="Normal6a"/>
            </w:pPr>
            <w:r w:rsidRPr="00354796">
              <w:t>3.</w:t>
            </w:r>
            <w:r w:rsidRPr="00354796">
              <w:tab/>
              <w:t xml:space="preserve">uznaje, że mechanizm odwrotnego obciążenia </w:t>
            </w:r>
            <w:r w:rsidRPr="00354796">
              <w:rPr>
                <w:b/>
                <w:bCs/>
                <w:i/>
                <w:iCs/>
              </w:rPr>
              <w:t>ogólnie</w:t>
            </w:r>
            <w:r w:rsidRPr="00354796">
              <w:t xml:space="preserve"> okazał się skuteczny w zwalczaniu wewnątrzwspólnotowych oszustw typu „znikający podmiot gospodarczy” i oszustw karuzelowych w sektorach wysokiego ryzyka, zauważając jednocześnie, że mechanizmy oszustw nadal ewoluują;</w:t>
            </w:r>
          </w:p>
        </w:tc>
      </w:tr>
    </w:tbl>
    <w:p w14:paraId="22292420"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F5BA3AA" w14:textId="77777777" w:rsidR="005A79DB" w:rsidRPr="00354796" w:rsidRDefault="006E31A1">
      <w:r w:rsidRPr="00354796">
        <w:rPr>
          <w:rStyle w:val="HideTWBExt"/>
        </w:rPr>
        <w:t>&lt;/Amend&gt;</w:t>
      </w:r>
    </w:p>
    <w:p w14:paraId="19A2618A"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38</w:t>
      </w:r>
      <w:r w:rsidRPr="00354796">
        <w:rPr>
          <w:rStyle w:val="HideTWBExt"/>
        </w:rPr>
        <w:t>&lt;/NumAm&gt;</w:t>
      </w:r>
    </w:p>
    <w:p w14:paraId="0584A821"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4D32A7EB" w14:textId="77777777" w:rsidR="005A79DB" w:rsidRPr="00354796" w:rsidRDefault="006E31A1">
      <w:pPr>
        <w:pStyle w:val="NormalBold"/>
      </w:pPr>
      <w:r w:rsidRPr="00354796">
        <w:rPr>
          <w:rStyle w:val="HideTWBExt"/>
          <w:b w:val="0"/>
        </w:rPr>
        <w:t>&lt;/RepeatBlock-By&gt;</w:t>
      </w:r>
    </w:p>
    <w:p w14:paraId="2B60C979"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3B1DFE66" w14:textId="77777777" w:rsidR="005A79DB" w:rsidRPr="00354796" w:rsidRDefault="006E31A1">
      <w:pPr>
        <w:pStyle w:val="NormalBold"/>
      </w:pPr>
      <w:r w:rsidRPr="00354796">
        <w:rPr>
          <w:rStyle w:val="HideTWBExt"/>
        </w:rPr>
        <w:t>&lt;Article&gt;</w:t>
      </w:r>
      <w:r w:rsidRPr="00354796">
        <w:t>Ustęp 3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2608C8C" w14:textId="77777777">
        <w:trPr>
          <w:trHeight w:hRule="exact" w:val="240"/>
          <w:jc w:val="center"/>
        </w:trPr>
        <w:tc>
          <w:tcPr>
            <w:tcW w:w="9752" w:type="dxa"/>
            <w:gridSpan w:val="2"/>
            <w:tcBorders>
              <w:top w:val="nil"/>
              <w:left w:val="nil"/>
              <w:bottom w:val="nil"/>
              <w:right w:val="nil"/>
            </w:tcBorders>
          </w:tcPr>
          <w:p w14:paraId="08B567EC" w14:textId="77777777" w:rsidR="005A79DB" w:rsidRPr="00354796" w:rsidRDefault="005A79DB"/>
        </w:tc>
      </w:tr>
      <w:tr w:rsidR="005A79DB" w:rsidRPr="00354796" w14:paraId="6A9824DB" w14:textId="77777777">
        <w:trPr>
          <w:trHeight w:val="240"/>
          <w:jc w:val="center"/>
        </w:trPr>
        <w:tc>
          <w:tcPr>
            <w:tcW w:w="4876" w:type="dxa"/>
            <w:tcBorders>
              <w:top w:val="nil"/>
              <w:left w:val="nil"/>
              <w:bottom w:val="nil"/>
              <w:right w:val="nil"/>
            </w:tcBorders>
          </w:tcPr>
          <w:p w14:paraId="3CFC9919"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18A1D70" w14:textId="77777777" w:rsidR="005A79DB" w:rsidRPr="00354796" w:rsidRDefault="006E31A1">
            <w:pPr>
              <w:pStyle w:val="AmColumnHeading"/>
            </w:pPr>
            <w:r w:rsidRPr="00354796">
              <w:t>Poprawka</w:t>
            </w:r>
          </w:p>
        </w:tc>
      </w:tr>
      <w:tr w:rsidR="005A79DB" w:rsidRPr="00354796" w14:paraId="5BE4AB30" w14:textId="77777777">
        <w:trPr>
          <w:jc w:val="center"/>
        </w:trPr>
        <w:tc>
          <w:tcPr>
            <w:tcW w:w="4876" w:type="dxa"/>
            <w:tcBorders>
              <w:top w:val="nil"/>
              <w:left w:val="nil"/>
              <w:bottom w:val="nil"/>
              <w:right w:val="nil"/>
            </w:tcBorders>
          </w:tcPr>
          <w:p w14:paraId="69CAD739" w14:textId="77777777" w:rsidR="005A79DB" w:rsidRPr="00354796" w:rsidRDefault="005A79DB">
            <w:pPr>
              <w:pStyle w:val="Normal6a"/>
            </w:pPr>
          </w:p>
        </w:tc>
        <w:tc>
          <w:tcPr>
            <w:tcW w:w="4876" w:type="dxa"/>
            <w:tcBorders>
              <w:top w:val="nil"/>
              <w:left w:val="nil"/>
              <w:bottom w:val="nil"/>
              <w:right w:val="nil"/>
            </w:tcBorders>
          </w:tcPr>
          <w:p w14:paraId="25AF949A" w14:textId="77777777" w:rsidR="005A79DB" w:rsidRPr="00354796" w:rsidRDefault="006E31A1">
            <w:pPr>
              <w:pStyle w:val="Normal6a"/>
            </w:pPr>
            <w:r w:rsidRPr="00354796">
              <w:rPr>
                <w:b/>
                <w:i/>
              </w:rPr>
              <w:t>3a.</w:t>
            </w:r>
            <w:r w:rsidRPr="00354796">
              <w:tab/>
            </w:r>
            <w:r w:rsidRPr="00354796">
              <w:rPr>
                <w:b/>
                <w:i/>
              </w:rPr>
              <w:t xml:space="preserve">podkreśla, że skuteczność mechanizmu odwrotnego obciążenia zależy od szerszego środowiska kontroli – </w:t>
            </w:r>
            <w:r w:rsidRPr="00354796">
              <w:rPr>
                <w:b/>
                <w:i/>
              </w:rPr>
              <w:lastRenderedPageBreak/>
              <w:t xml:space="preserve">w tym sprawozdawczości na poziomie transakcji, zaawansowanych narzędzi </w:t>
            </w:r>
            <w:r w:rsidRPr="00354796">
              <w:rPr>
                <w:b/>
                <w:i/>
              </w:rPr>
              <w:t>audytu, weryfikacji rejestracji przedsiębiorców, audytów opartych na analizie ryzyka, kontroli zwrotów – a także od konsekwentnego stosowania przez państwa członkowskie tych instrumentów zwalczania oszustw; zauważa w związku z tym, że mechanizm odwrotnego obciążenia nie usuwa obciążeń administracyjnych dla administracji podatkowych, lecz przenosi je, wymagając innych, a w niektórych przypadkach bardziej zaawansowanych zdolności kontrolnych niż w ramach standardowego systemu VAT;</w:t>
            </w:r>
          </w:p>
        </w:tc>
      </w:tr>
    </w:tbl>
    <w:p w14:paraId="6E884912"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7D68224F" w14:textId="77777777" w:rsidR="005A79DB" w:rsidRPr="00354796" w:rsidRDefault="006E31A1">
      <w:r w:rsidRPr="00354796">
        <w:rPr>
          <w:rStyle w:val="HideTWBExt"/>
        </w:rPr>
        <w:t>&lt;/Amend&gt;</w:t>
      </w:r>
    </w:p>
    <w:p w14:paraId="1EF92AC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39</w:t>
      </w:r>
      <w:r w:rsidRPr="00354796">
        <w:rPr>
          <w:rStyle w:val="HideTWBExt"/>
        </w:rPr>
        <w:t>&lt;/NumAm&gt;</w:t>
      </w:r>
    </w:p>
    <w:p w14:paraId="57EA2A45"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4D647215" w14:textId="77777777" w:rsidR="005A79DB" w:rsidRPr="00354796" w:rsidRDefault="006E31A1">
      <w:pPr>
        <w:pStyle w:val="NormalBold"/>
      </w:pPr>
      <w:r w:rsidRPr="00354796">
        <w:rPr>
          <w:rStyle w:val="HideTWBExt"/>
          <w:b w:val="0"/>
        </w:rPr>
        <w:t>&lt;/RepeatBlock-By&gt;</w:t>
      </w:r>
    </w:p>
    <w:p w14:paraId="21796161"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899803C" w14:textId="77777777" w:rsidR="005A79DB" w:rsidRPr="00354796" w:rsidRDefault="006E31A1">
      <w:pPr>
        <w:pStyle w:val="NormalBold"/>
      </w:pPr>
      <w:r w:rsidRPr="00354796">
        <w:rPr>
          <w:rStyle w:val="HideTWBExt"/>
        </w:rPr>
        <w:t>&lt;Article&gt;</w:t>
      </w:r>
      <w:r w:rsidRPr="00354796">
        <w:t>Ustęp 4</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1A8350D" w14:textId="77777777">
        <w:trPr>
          <w:trHeight w:hRule="exact" w:val="240"/>
          <w:jc w:val="center"/>
        </w:trPr>
        <w:tc>
          <w:tcPr>
            <w:tcW w:w="9752" w:type="dxa"/>
            <w:gridSpan w:val="2"/>
            <w:tcBorders>
              <w:top w:val="nil"/>
              <w:left w:val="nil"/>
              <w:bottom w:val="nil"/>
              <w:right w:val="nil"/>
            </w:tcBorders>
          </w:tcPr>
          <w:p w14:paraId="43D947E7" w14:textId="77777777" w:rsidR="005A79DB" w:rsidRPr="00354796" w:rsidRDefault="005A79DB"/>
        </w:tc>
      </w:tr>
      <w:tr w:rsidR="005A79DB" w:rsidRPr="00354796" w14:paraId="14F6CFCA" w14:textId="77777777">
        <w:trPr>
          <w:trHeight w:val="240"/>
          <w:jc w:val="center"/>
        </w:trPr>
        <w:tc>
          <w:tcPr>
            <w:tcW w:w="4876" w:type="dxa"/>
            <w:tcBorders>
              <w:top w:val="nil"/>
              <w:left w:val="nil"/>
              <w:bottom w:val="nil"/>
              <w:right w:val="nil"/>
            </w:tcBorders>
          </w:tcPr>
          <w:p w14:paraId="2D07D5D1"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0A27F35" w14:textId="77777777" w:rsidR="005A79DB" w:rsidRPr="00354796" w:rsidRDefault="006E31A1">
            <w:pPr>
              <w:pStyle w:val="AmColumnHeading"/>
            </w:pPr>
            <w:r w:rsidRPr="00354796">
              <w:t>Poprawka</w:t>
            </w:r>
          </w:p>
        </w:tc>
      </w:tr>
      <w:tr w:rsidR="005A79DB" w:rsidRPr="00354796" w14:paraId="10B5E817" w14:textId="77777777">
        <w:trPr>
          <w:jc w:val="center"/>
        </w:trPr>
        <w:tc>
          <w:tcPr>
            <w:tcW w:w="4876" w:type="dxa"/>
            <w:tcBorders>
              <w:top w:val="nil"/>
              <w:left w:val="nil"/>
              <w:bottom w:val="nil"/>
              <w:right w:val="nil"/>
            </w:tcBorders>
          </w:tcPr>
          <w:p w14:paraId="5B8E24B4" w14:textId="77777777" w:rsidR="005A79DB" w:rsidRPr="00354796" w:rsidRDefault="006E31A1">
            <w:pPr>
              <w:pStyle w:val="Normal6a"/>
            </w:pPr>
            <w:r w:rsidRPr="00354796">
              <w:t>4.</w:t>
            </w:r>
            <w:r w:rsidRPr="00354796">
              <w:tab/>
              <w:t xml:space="preserve">zauważa, że wygaśnięcie art. 199a </w:t>
            </w:r>
            <w:r w:rsidRPr="00354796">
              <w:t>i 199b dyrektywy 2006/112/WE</w:t>
            </w:r>
            <w:r w:rsidRPr="00354796">
              <w:rPr>
                <w:b/>
                <w:bCs/>
                <w:i/>
                <w:iCs/>
              </w:rPr>
              <w:t>, które</w:t>
            </w:r>
            <w:r w:rsidRPr="00354796">
              <w:t xml:space="preserve"> usunęłoby określone narzędzia zwalczania oszustw,</w:t>
            </w:r>
            <w:r w:rsidRPr="00354796">
              <w:rPr>
                <w:b/>
                <w:bCs/>
                <w:i/>
                <w:iCs/>
              </w:rPr>
              <w:t xml:space="preserve"> ma nastąpić przed pełnym zastosowaniem pakietu dotyczącego VAT w epoce cyfrowej</w:t>
            </w:r>
            <w:r w:rsidRPr="00354796">
              <w:t>;</w:t>
            </w:r>
          </w:p>
        </w:tc>
        <w:tc>
          <w:tcPr>
            <w:tcW w:w="4876" w:type="dxa"/>
            <w:tcBorders>
              <w:top w:val="nil"/>
              <w:left w:val="nil"/>
              <w:bottom w:val="nil"/>
              <w:right w:val="nil"/>
            </w:tcBorders>
          </w:tcPr>
          <w:p w14:paraId="7722E4F1" w14:textId="77777777" w:rsidR="005A79DB" w:rsidRPr="00354796" w:rsidRDefault="006E31A1">
            <w:pPr>
              <w:pStyle w:val="Normal6a"/>
            </w:pPr>
            <w:r w:rsidRPr="00354796">
              <w:t>4.</w:t>
            </w:r>
            <w:r w:rsidRPr="00354796">
              <w:tab/>
            </w:r>
            <w:r w:rsidRPr="00354796">
              <w:t xml:space="preserve">zauważa, że wygaśnięcie art. 199a i 199b dyrektywy 2006/112/WE usunęłoby </w:t>
            </w:r>
            <w:r w:rsidRPr="00354796">
              <w:rPr>
                <w:b/>
                <w:bCs/>
                <w:i/>
                <w:iCs/>
              </w:rPr>
              <w:t xml:space="preserve">te </w:t>
            </w:r>
            <w:r w:rsidRPr="00354796">
              <w:t>określone</w:t>
            </w:r>
            <w:r w:rsidRPr="00354796">
              <w:rPr>
                <w:b/>
                <w:bCs/>
                <w:i/>
                <w:iCs/>
              </w:rPr>
              <w:t>, skuteczne i powszechnie stosowane</w:t>
            </w:r>
            <w:r w:rsidRPr="00354796">
              <w:t xml:space="preserve"> narzędzia zwalczania oszustw, </w:t>
            </w:r>
            <w:r w:rsidRPr="00354796">
              <w:rPr>
                <w:b/>
                <w:bCs/>
                <w:i/>
                <w:iCs/>
              </w:rPr>
              <w:t>tworząc próżnię prawną, która mogłaby spowodować ponowne pojawienie się oszustw związanych z VAT i zaszkodzić dochodom podatkowym i legalnym przedsiębiorstwom</w:t>
            </w:r>
            <w:r w:rsidRPr="00354796">
              <w:t>;</w:t>
            </w:r>
          </w:p>
        </w:tc>
      </w:tr>
    </w:tbl>
    <w:p w14:paraId="2D957B9F"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AB43E41" w14:textId="77777777" w:rsidR="005A79DB" w:rsidRPr="00354796" w:rsidRDefault="006E31A1">
      <w:r w:rsidRPr="00354796">
        <w:rPr>
          <w:rStyle w:val="HideTWBExt"/>
        </w:rPr>
        <w:t>&lt;/Amend&gt;</w:t>
      </w:r>
    </w:p>
    <w:p w14:paraId="4FC525FE"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40</w:t>
      </w:r>
      <w:r w:rsidRPr="00354796">
        <w:rPr>
          <w:rStyle w:val="HideTWBExt"/>
        </w:rPr>
        <w:t>&lt;/NumAm&gt;</w:t>
      </w:r>
    </w:p>
    <w:p w14:paraId="594F6E11"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573E787D" w14:textId="77777777" w:rsidR="005A79DB" w:rsidRPr="00354796" w:rsidRDefault="006E31A1">
      <w:pPr>
        <w:pStyle w:val="NormalBold"/>
      </w:pPr>
      <w:r w:rsidRPr="00354796">
        <w:rPr>
          <w:rStyle w:val="HideTWBExt"/>
          <w:b w:val="0"/>
        </w:rPr>
        <w:t>&lt;/RepeatBlock-By&gt;</w:t>
      </w:r>
    </w:p>
    <w:p w14:paraId="12A125FC"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B3AEE77" w14:textId="77777777" w:rsidR="005A79DB" w:rsidRPr="00354796" w:rsidRDefault="006E31A1">
      <w:pPr>
        <w:pStyle w:val="NormalBold"/>
      </w:pPr>
      <w:r w:rsidRPr="00354796">
        <w:rPr>
          <w:rStyle w:val="HideTWBExt"/>
        </w:rPr>
        <w:t>&lt;Article&gt;</w:t>
      </w:r>
      <w:r w:rsidRPr="00354796">
        <w:t>Ustęp 5</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A82BA2F" w14:textId="77777777">
        <w:trPr>
          <w:trHeight w:hRule="exact" w:val="240"/>
          <w:jc w:val="center"/>
        </w:trPr>
        <w:tc>
          <w:tcPr>
            <w:tcW w:w="9752" w:type="dxa"/>
            <w:gridSpan w:val="2"/>
            <w:tcBorders>
              <w:top w:val="nil"/>
              <w:left w:val="nil"/>
              <w:bottom w:val="nil"/>
              <w:right w:val="nil"/>
            </w:tcBorders>
          </w:tcPr>
          <w:p w14:paraId="2EDB34BB" w14:textId="77777777" w:rsidR="005A79DB" w:rsidRPr="00354796" w:rsidRDefault="005A79DB"/>
        </w:tc>
      </w:tr>
      <w:tr w:rsidR="005A79DB" w:rsidRPr="00354796" w14:paraId="51B7A496" w14:textId="77777777">
        <w:trPr>
          <w:trHeight w:val="240"/>
          <w:jc w:val="center"/>
        </w:trPr>
        <w:tc>
          <w:tcPr>
            <w:tcW w:w="4876" w:type="dxa"/>
            <w:tcBorders>
              <w:top w:val="nil"/>
              <w:left w:val="nil"/>
              <w:bottom w:val="nil"/>
              <w:right w:val="nil"/>
            </w:tcBorders>
          </w:tcPr>
          <w:p w14:paraId="742D6527" w14:textId="77777777" w:rsidR="005A79DB" w:rsidRPr="00354796" w:rsidRDefault="006E31A1">
            <w:pPr>
              <w:pStyle w:val="AmColumnHeading"/>
            </w:pPr>
            <w:r w:rsidRPr="00354796">
              <w:lastRenderedPageBreak/>
              <w:t>Projekt rezolucji</w:t>
            </w:r>
          </w:p>
        </w:tc>
        <w:tc>
          <w:tcPr>
            <w:tcW w:w="4876" w:type="dxa"/>
            <w:tcBorders>
              <w:top w:val="nil"/>
              <w:left w:val="nil"/>
              <w:bottom w:val="nil"/>
              <w:right w:val="nil"/>
            </w:tcBorders>
          </w:tcPr>
          <w:p w14:paraId="0C8E7F55" w14:textId="77777777" w:rsidR="005A79DB" w:rsidRPr="00354796" w:rsidRDefault="006E31A1">
            <w:pPr>
              <w:pStyle w:val="AmColumnHeading"/>
            </w:pPr>
            <w:r w:rsidRPr="00354796">
              <w:t>Poprawka</w:t>
            </w:r>
          </w:p>
        </w:tc>
      </w:tr>
      <w:tr w:rsidR="005A79DB" w:rsidRPr="00354796" w14:paraId="08734304" w14:textId="77777777">
        <w:trPr>
          <w:jc w:val="center"/>
        </w:trPr>
        <w:tc>
          <w:tcPr>
            <w:tcW w:w="4876" w:type="dxa"/>
            <w:tcBorders>
              <w:top w:val="nil"/>
              <w:left w:val="nil"/>
              <w:bottom w:val="nil"/>
              <w:right w:val="nil"/>
            </w:tcBorders>
          </w:tcPr>
          <w:p w14:paraId="0D31FDFD" w14:textId="77777777" w:rsidR="005A79DB" w:rsidRPr="00354796" w:rsidRDefault="006E31A1">
            <w:pPr>
              <w:pStyle w:val="Normal6a"/>
            </w:pPr>
            <w:r w:rsidRPr="00354796">
              <w:t>5.</w:t>
            </w:r>
            <w:r w:rsidRPr="00354796">
              <w:tab/>
              <w:t xml:space="preserve">zauważa, że zdecydowana większość państw członkowskich stosujących mechanizm odwrotnego obciążenia zadeklarowała, że ograniczyło to przypadki oszustw, </w:t>
            </w:r>
            <w:r w:rsidRPr="00354796">
              <w:t>zwłaszcza w transakcjach dotyczących produktów o wysokiej wartości i produktów standardowych;</w:t>
            </w:r>
          </w:p>
        </w:tc>
        <w:tc>
          <w:tcPr>
            <w:tcW w:w="4876" w:type="dxa"/>
            <w:tcBorders>
              <w:top w:val="nil"/>
              <w:left w:val="nil"/>
              <w:bottom w:val="nil"/>
              <w:right w:val="nil"/>
            </w:tcBorders>
          </w:tcPr>
          <w:p w14:paraId="51E9912D" w14:textId="77777777" w:rsidR="005A79DB" w:rsidRPr="00354796" w:rsidRDefault="006E31A1">
            <w:pPr>
              <w:pStyle w:val="Normal6a"/>
            </w:pPr>
            <w:r w:rsidRPr="00354796">
              <w:t>5.</w:t>
            </w:r>
            <w:r w:rsidRPr="00354796">
              <w:tab/>
              <w:t xml:space="preserve">zauważa, że zdecydowana większość państw członkowskich stosujących mechanizm odwrotnego obciążenia zadeklarowała, że ograniczyło to przypadki oszustw, zwłaszcza w transakcjach dotyczących produktów o wysokiej wartości i produktów standardowych; </w:t>
            </w:r>
            <w:r w:rsidRPr="00354796">
              <w:rPr>
                <w:b/>
                <w:i/>
              </w:rPr>
              <w:t>podkreśla, że w przeciwieństwie do standardowego systemu VAT mechanizm odwrotnego obciążenia przesuwa pobór VAT na późniejszy etap w łańcuchu dostaw, co prowadzi do koncentracji potencjalnego ryzyka w mniejszej liczbie transakcji; uważa, że jeżeli mechanizm odwrotne</w:t>
            </w:r>
            <w:r w:rsidRPr="00354796">
              <w:rPr>
                <w:b/>
                <w:i/>
              </w:rPr>
              <w:t>go obciążenia jest stosowany, powinien on zachować tymczasowy charakter i mieć ściśle ograniczony zakres, aby uniknąć długoterminowych negatywnych skutków strukturalnych dla systemu VAT;</w:t>
            </w:r>
          </w:p>
        </w:tc>
      </w:tr>
    </w:tbl>
    <w:p w14:paraId="48DEB7DC"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34050BC" w14:textId="77777777" w:rsidR="005A79DB" w:rsidRPr="00354796" w:rsidRDefault="006E31A1">
      <w:r w:rsidRPr="00354796">
        <w:rPr>
          <w:rStyle w:val="HideTWBExt"/>
        </w:rPr>
        <w:t>&lt;/Amend&gt;</w:t>
      </w:r>
    </w:p>
    <w:p w14:paraId="7565FFA8"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41</w:t>
      </w:r>
      <w:r w:rsidRPr="00354796">
        <w:rPr>
          <w:rStyle w:val="HideTWBExt"/>
        </w:rPr>
        <w:t>&lt;/NumAm&gt;</w:t>
      </w:r>
    </w:p>
    <w:p w14:paraId="650DB52F"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59ECAE4E" w14:textId="77777777" w:rsidR="005A79DB" w:rsidRPr="00354796" w:rsidRDefault="006E31A1">
      <w:pPr>
        <w:pStyle w:val="NormalBold"/>
      </w:pPr>
      <w:r w:rsidRPr="00354796">
        <w:rPr>
          <w:rStyle w:val="HideTWBExt"/>
          <w:b w:val="0"/>
        </w:rPr>
        <w:t>&lt;/RepeatBlock-By&gt;</w:t>
      </w:r>
    </w:p>
    <w:p w14:paraId="67E7C531"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184E75B" w14:textId="77777777" w:rsidR="005A79DB" w:rsidRPr="00354796" w:rsidRDefault="006E31A1">
      <w:pPr>
        <w:pStyle w:val="NormalBold"/>
      </w:pPr>
      <w:r w:rsidRPr="00354796">
        <w:rPr>
          <w:rStyle w:val="HideTWBExt"/>
        </w:rPr>
        <w:t>&lt;Article&gt;</w:t>
      </w:r>
      <w:r w:rsidRPr="00354796">
        <w:t>Ustęp 5</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49E72210" w14:textId="77777777">
        <w:trPr>
          <w:trHeight w:hRule="exact" w:val="240"/>
          <w:jc w:val="center"/>
        </w:trPr>
        <w:tc>
          <w:tcPr>
            <w:tcW w:w="9752" w:type="dxa"/>
            <w:gridSpan w:val="2"/>
            <w:tcBorders>
              <w:top w:val="nil"/>
              <w:left w:val="nil"/>
              <w:bottom w:val="nil"/>
              <w:right w:val="nil"/>
            </w:tcBorders>
          </w:tcPr>
          <w:p w14:paraId="22AC5FE2" w14:textId="77777777" w:rsidR="005A79DB" w:rsidRPr="00354796" w:rsidRDefault="005A79DB"/>
        </w:tc>
      </w:tr>
      <w:tr w:rsidR="005A79DB" w:rsidRPr="00354796" w14:paraId="0768A6FE" w14:textId="77777777">
        <w:trPr>
          <w:trHeight w:val="240"/>
          <w:jc w:val="center"/>
        </w:trPr>
        <w:tc>
          <w:tcPr>
            <w:tcW w:w="4876" w:type="dxa"/>
            <w:tcBorders>
              <w:top w:val="nil"/>
              <w:left w:val="nil"/>
              <w:bottom w:val="nil"/>
              <w:right w:val="nil"/>
            </w:tcBorders>
          </w:tcPr>
          <w:p w14:paraId="4312AC29" w14:textId="77777777" w:rsidR="005A79DB" w:rsidRPr="00354796" w:rsidRDefault="006E31A1">
            <w:pPr>
              <w:pStyle w:val="AmColumnHeading"/>
            </w:pPr>
            <w:r w:rsidRPr="00354796">
              <w:t xml:space="preserve">Projekt </w:t>
            </w:r>
            <w:r w:rsidRPr="00354796">
              <w:t>rezolucji</w:t>
            </w:r>
          </w:p>
        </w:tc>
        <w:tc>
          <w:tcPr>
            <w:tcW w:w="4876" w:type="dxa"/>
            <w:tcBorders>
              <w:top w:val="nil"/>
              <w:left w:val="nil"/>
              <w:bottom w:val="nil"/>
              <w:right w:val="nil"/>
            </w:tcBorders>
          </w:tcPr>
          <w:p w14:paraId="3E636D66" w14:textId="77777777" w:rsidR="005A79DB" w:rsidRPr="00354796" w:rsidRDefault="006E31A1">
            <w:pPr>
              <w:pStyle w:val="AmColumnHeading"/>
            </w:pPr>
            <w:r w:rsidRPr="00354796">
              <w:t>Poprawka</w:t>
            </w:r>
          </w:p>
        </w:tc>
      </w:tr>
      <w:tr w:rsidR="005A79DB" w:rsidRPr="00354796" w14:paraId="4F976680" w14:textId="77777777">
        <w:trPr>
          <w:jc w:val="center"/>
        </w:trPr>
        <w:tc>
          <w:tcPr>
            <w:tcW w:w="4876" w:type="dxa"/>
            <w:tcBorders>
              <w:top w:val="nil"/>
              <w:left w:val="nil"/>
              <w:bottom w:val="nil"/>
              <w:right w:val="nil"/>
            </w:tcBorders>
          </w:tcPr>
          <w:p w14:paraId="54DB15F2" w14:textId="77777777" w:rsidR="005A79DB" w:rsidRPr="00354796" w:rsidRDefault="006E31A1">
            <w:pPr>
              <w:pStyle w:val="Normal6a"/>
            </w:pPr>
            <w:r w:rsidRPr="00354796">
              <w:t>5.</w:t>
            </w:r>
            <w:r w:rsidRPr="00354796">
              <w:tab/>
              <w:t>zauważa, że zdecydowana większość państw członkowskich stosujących mechanizm odwrotnego obciążenia zadeklarowała, że ograniczyło to przypadki oszustw, zwłaszcza w transakcjach dotyczących produktów o wysokiej wartości i produktów standardowych;</w:t>
            </w:r>
          </w:p>
        </w:tc>
        <w:tc>
          <w:tcPr>
            <w:tcW w:w="4876" w:type="dxa"/>
            <w:tcBorders>
              <w:top w:val="nil"/>
              <w:left w:val="nil"/>
              <w:bottom w:val="nil"/>
              <w:right w:val="nil"/>
            </w:tcBorders>
          </w:tcPr>
          <w:p w14:paraId="73E5BD2D" w14:textId="77777777" w:rsidR="005A79DB" w:rsidRPr="00354796" w:rsidRDefault="006E31A1">
            <w:pPr>
              <w:pStyle w:val="Normal6a"/>
            </w:pPr>
            <w:r w:rsidRPr="00354796">
              <w:t>5.</w:t>
            </w:r>
            <w:r w:rsidRPr="00354796">
              <w:tab/>
              <w:t xml:space="preserve">zauważa, że zdecydowana większość państw członkowskich stosujących mechanizm odwrotnego obciążenia zadeklarowała, że </w:t>
            </w:r>
            <w:r w:rsidRPr="00354796">
              <w:rPr>
                <w:b/>
                <w:bCs/>
                <w:i/>
                <w:iCs/>
              </w:rPr>
              <w:t xml:space="preserve">znacznie </w:t>
            </w:r>
            <w:r w:rsidRPr="00354796">
              <w:t xml:space="preserve">ograniczyło </w:t>
            </w:r>
            <w:r w:rsidRPr="00354796">
              <w:rPr>
                <w:b/>
                <w:bCs/>
                <w:i/>
                <w:iCs/>
              </w:rPr>
              <w:t>lub nawet całkowicie wyeliminowało</w:t>
            </w:r>
            <w:r w:rsidRPr="00354796">
              <w:t xml:space="preserve"> to przypadki oszustw, zwłaszcza w transakcjach dotyczących produktów o wysokiej wartości i produktów standardowych;</w:t>
            </w:r>
          </w:p>
        </w:tc>
      </w:tr>
    </w:tbl>
    <w:p w14:paraId="7E441FC7"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68408FC" w14:textId="77777777" w:rsidR="005A79DB" w:rsidRPr="00354796" w:rsidRDefault="006E31A1">
      <w:r w:rsidRPr="00354796">
        <w:rPr>
          <w:rStyle w:val="HideTWBExt"/>
        </w:rPr>
        <w:t>&lt;/Amend&gt;</w:t>
      </w:r>
    </w:p>
    <w:p w14:paraId="62597067" w14:textId="77777777" w:rsidR="005A79DB" w:rsidRPr="00354796" w:rsidRDefault="006E31A1">
      <w:pPr>
        <w:pStyle w:val="AmNumberTabs"/>
      </w:pPr>
      <w:r w:rsidRPr="00354796">
        <w:rPr>
          <w:rStyle w:val="HideTWBExt"/>
        </w:rPr>
        <w:lastRenderedPageBreak/>
        <w:t>&lt;Amend&gt;</w:t>
      </w:r>
      <w:r w:rsidRPr="00354796">
        <w:t>Poprawka</w:t>
      </w:r>
      <w:r w:rsidRPr="00354796">
        <w:tab/>
      </w:r>
      <w:r w:rsidRPr="00354796">
        <w:tab/>
      </w:r>
      <w:r w:rsidRPr="00354796">
        <w:rPr>
          <w:rStyle w:val="HideTWBExt"/>
        </w:rPr>
        <w:t>&lt;NumAm&gt;</w:t>
      </w:r>
      <w:r w:rsidRPr="00354796">
        <w:t>42</w:t>
      </w:r>
      <w:r w:rsidRPr="00354796">
        <w:rPr>
          <w:rStyle w:val="HideTWBExt"/>
        </w:rPr>
        <w:t>&lt;/NumAm&gt;</w:t>
      </w:r>
    </w:p>
    <w:p w14:paraId="1C3A1CDA"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7C718D37" w14:textId="77777777" w:rsidR="005A79DB" w:rsidRPr="00354796" w:rsidRDefault="006E31A1">
      <w:pPr>
        <w:pStyle w:val="NormalBold"/>
      </w:pPr>
      <w:r w:rsidRPr="00354796">
        <w:rPr>
          <w:rStyle w:val="HideTWBExt"/>
          <w:b w:val="0"/>
        </w:rPr>
        <w:t>&lt;/RepeatBlock-By&gt;</w:t>
      </w:r>
    </w:p>
    <w:p w14:paraId="2B4375C3"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6097A34" w14:textId="77777777" w:rsidR="005A79DB" w:rsidRPr="00354796" w:rsidRDefault="006E31A1">
      <w:pPr>
        <w:pStyle w:val="NormalBold"/>
      </w:pPr>
      <w:r w:rsidRPr="00354796">
        <w:rPr>
          <w:rStyle w:val="HideTWBExt"/>
        </w:rPr>
        <w:t>&lt;Article&gt;</w:t>
      </w:r>
      <w:r w:rsidRPr="00354796">
        <w:t xml:space="preserve">Ustęp 5 a </w:t>
      </w:r>
      <w:r w:rsidRPr="00354796">
        <w:t>(nowy)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4AE53AB" w14:textId="77777777">
        <w:trPr>
          <w:trHeight w:hRule="exact" w:val="240"/>
          <w:jc w:val="center"/>
        </w:trPr>
        <w:tc>
          <w:tcPr>
            <w:tcW w:w="9752" w:type="dxa"/>
            <w:gridSpan w:val="2"/>
            <w:tcBorders>
              <w:top w:val="nil"/>
              <w:left w:val="nil"/>
              <w:bottom w:val="nil"/>
              <w:right w:val="nil"/>
            </w:tcBorders>
          </w:tcPr>
          <w:p w14:paraId="44A1F7DB" w14:textId="77777777" w:rsidR="005A79DB" w:rsidRPr="00354796" w:rsidRDefault="005A79DB"/>
        </w:tc>
      </w:tr>
      <w:tr w:rsidR="005A79DB" w:rsidRPr="00354796" w14:paraId="732098F9" w14:textId="77777777">
        <w:trPr>
          <w:trHeight w:val="240"/>
          <w:jc w:val="center"/>
        </w:trPr>
        <w:tc>
          <w:tcPr>
            <w:tcW w:w="4876" w:type="dxa"/>
            <w:tcBorders>
              <w:top w:val="nil"/>
              <w:left w:val="nil"/>
              <w:bottom w:val="nil"/>
              <w:right w:val="nil"/>
            </w:tcBorders>
          </w:tcPr>
          <w:p w14:paraId="7ECC890E"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7B2D84C" w14:textId="77777777" w:rsidR="005A79DB" w:rsidRPr="00354796" w:rsidRDefault="006E31A1">
            <w:pPr>
              <w:pStyle w:val="AmColumnHeading"/>
            </w:pPr>
            <w:r w:rsidRPr="00354796">
              <w:t>Poprawka</w:t>
            </w:r>
          </w:p>
        </w:tc>
      </w:tr>
      <w:tr w:rsidR="005A79DB" w:rsidRPr="00354796" w14:paraId="301A518A" w14:textId="77777777">
        <w:trPr>
          <w:jc w:val="center"/>
        </w:trPr>
        <w:tc>
          <w:tcPr>
            <w:tcW w:w="4876" w:type="dxa"/>
            <w:tcBorders>
              <w:top w:val="nil"/>
              <w:left w:val="nil"/>
              <w:bottom w:val="nil"/>
              <w:right w:val="nil"/>
            </w:tcBorders>
          </w:tcPr>
          <w:p w14:paraId="44997F98" w14:textId="77777777" w:rsidR="005A79DB" w:rsidRPr="00354796" w:rsidRDefault="005A79DB">
            <w:pPr>
              <w:pStyle w:val="Normal6a"/>
            </w:pPr>
          </w:p>
        </w:tc>
        <w:tc>
          <w:tcPr>
            <w:tcW w:w="4876" w:type="dxa"/>
            <w:tcBorders>
              <w:top w:val="nil"/>
              <w:left w:val="nil"/>
              <w:bottom w:val="nil"/>
              <w:right w:val="nil"/>
            </w:tcBorders>
          </w:tcPr>
          <w:p w14:paraId="4FC0BCDD" w14:textId="77777777" w:rsidR="005A79DB" w:rsidRPr="00354796" w:rsidRDefault="006E31A1">
            <w:pPr>
              <w:pStyle w:val="Normal6a"/>
            </w:pPr>
            <w:r w:rsidRPr="00354796">
              <w:rPr>
                <w:b/>
                <w:i/>
              </w:rPr>
              <w:t>5a.</w:t>
            </w:r>
            <w:r w:rsidRPr="00354796">
              <w:tab/>
            </w:r>
            <w:r w:rsidRPr="00354796">
              <w:rPr>
                <w:b/>
                <w:i/>
              </w:rPr>
              <w:t xml:space="preserve">podkreśla, że kilka państw członkowskich z powodzeniem zintegrowało mechanizm odwrotnego obciążenia z zaawansowanymi krajowymi systemami elektronicznego składania deklaracji i </w:t>
            </w:r>
            <w:r w:rsidRPr="00354796">
              <w:rPr>
                <w:b/>
                <w:i/>
              </w:rPr>
              <w:t>zautomatyzowanymi narzędziami analizy ryzyka; zwraca uwagę, że wszelkie przyszłe ramy UE muszą uwzględniać te dobrze funkcjonujące systemy krajowe i umożliwiać ich dalsze stosowanie bez nakładania powielających się warstw administracyjnych;</w:t>
            </w:r>
          </w:p>
        </w:tc>
      </w:tr>
    </w:tbl>
    <w:p w14:paraId="7CB6DA25"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DDBB46E" w14:textId="77777777" w:rsidR="005A79DB" w:rsidRPr="00354796" w:rsidRDefault="006E31A1">
      <w:r w:rsidRPr="00354796">
        <w:rPr>
          <w:rStyle w:val="HideTWBExt"/>
        </w:rPr>
        <w:t>&lt;/Amend&gt;</w:t>
      </w:r>
    </w:p>
    <w:p w14:paraId="40A5A48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43</w:t>
      </w:r>
      <w:r w:rsidRPr="00354796">
        <w:rPr>
          <w:rStyle w:val="HideTWBExt"/>
        </w:rPr>
        <w:t>&lt;/NumAm&gt;</w:t>
      </w:r>
    </w:p>
    <w:p w14:paraId="2DA563E0" w14:textId="77777777" w:rsidR="005A79DB" w:rsidRPr="00354796" w:rsidRDefault="006E31A1">
      <w:pPr>
        <w:pStyle w:val="NormalBold"/>
      </w:pPr>
      <w:r w:rsidRPr="00354796">
        <w:rPr>
          <w:rStyle w:val="HideTWBExt"/>
          <w:b w:val="0"/>
        </w:rPr>
        <w:t>&lt;RepeatBlock-By&gt;&lt;Members&gt;</w:t>
      </w:r>
      <w:proofErr w:type="spellStart"/>
      <w:r w:rsidRPr="00354796">
        <w:t>Ľudovít</w:t>
      </w:r>
      <w:proofErr w:type="spellEnd"/>
      <w:r w:rsidRPr="00354796">
        <w:t xml:space="preserve"> </w:t>
      </w:r>
      <w:proofErr w:type="spellStart"/>
      <w:r w:rsidRPr="00354796">
        <w:t>Ódor</w:t>
      </w:r>
      <w:proofErr w:type="spellEnd"/>
      <w:r w:rsidRPr="00354796">
        <w:rPr>
          <w:rStyle w:val="HideTWBExt"/>
          <w:b w:val="0"/>
        </w:rPr>
        <w:t>&lt;/Members&gt;</w:t>
      </w:r>
    </w:p>
    <w:p w14:paraId="3CF54EE2" w14:textId="77777777" w:rsidR="005A79DB" w:rsidRPr="00354796" w:rsidRDefault="006E31A1">
      <w:pPr>
        <w:pStyle w:val="NormalBold"/>
      </w:pPr>
      <w:r w:rsidRPr="00354796">
        <w:rPr>
          <w:rStyle w:val="HideTWBExt"/>
          <w:b w:val="0"/>
        </w:rPr>
        <w:t>&lt;/RepeatBlock-By&gt;</w:t>
      </w:r>
    </w:p>
    <w:p w14:paraId="29E00B05"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3138D45" w14:textId="77777777" w:rsidR="005A79DB" w:rsidRPr="00354796" w:rsidRDefault="006E31A1">
      <w:pPr>
        <w:pStyle w:val="NormalBold"/>
      </w:pPr>
      <w:r w:rsidRPr="00354796">
        <w:rPr>
          <w:rStyle w:val="HideTWBExt"/>
        </w:rPr>
        <w:t>&lt;Article&gt;</w:t>
      </w:r>
      <w:r w:rsidRPr="00354796">
        <w:t>Ustęp 6</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B749165" w14:textId="77777777">
        <w:trPr>
          <w:trHeight w:hRule="exact" w:val="240"/>
          <w:jc w:val="center"/>
        </w:trPr>
        <w:tc>
          <w:tcPr>
            <w:tcW w:w="9752" w:type="dxa"/>
            <w:gridSpan w:val="2"/>
            <w:tcBorders>
              <w:top w:val="nil"/>
              <w:left w:val="nil"/>
              <w:bottom w:val="nil"/>
              <w:right w:val="nil"/>
            </w:tcBorders>
          </w:tcPr>
          <w:p w14:paraId="701F4A5C" w14:textId="77777777" w:rsidR="005A79DB" w:rsidRPr="00354796" w:rsidRDefault="005A79DB"/>
        </w:tc>
      </w:tr>
      <w:tr w:rsidR="005A79DB" w:rsidRPr="00354796" w14:paraId="465D3885" w14:textId="77777777">
        <w:trPr>
          <w:trHeight w:val="240"/>
          <w:jc w:val="center"/>
        </w:trPr>
        <w:tc>
          <w:tcPr>
            <w:tcW w:w="4876" w:type="dxa"/>
            <w:tcBorders>
              <w:top w:val="nil"/>
              <w:left w:val="nil"/>
              <w:bottom w:val="nil"/>
              <w:right w:val="nil"/>
            </w:tcBorders>
          </w:tcPr>
          <w:p w14:paraId="41FAD823"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F4287B6" w14:textId="77777777" w:rsidR="005A79DB" w:rsidRPr="00354796" w:rsidRDefault="006E31A1">
            <w:pPr>
              <w:pStyle w:val="AmColumnHeading"/>
            </w:pPr>
            <w:r w:rsidRPr="00354796">
              <w:t>Poprawka</w:t>
            </w:r>
          </w:p>
        </w:tc>
      </w:tr>
      <w:tr w:rsidR="005A79DB" w:rsidRPr="00354796" w14:paraId="38722F17" w14:textId="77777777">
        <w:trPr>
          <w:jc w:val="center"/>
        </w:trPr>
        <w:tc>
          <w:tcPr>
            <w:tcW w:w="4876" w:type="dxa"/>
            <w:tcBorders>
              <w:top w:val="nil"/>
              <w:left w:val="nil"/>
              <w:bottom w:val="nil"/>
              <w:right w:val="nil"/>
            </w:tcBorders>
          </w:tcPr>
          <w:p w14:paraId="014E1346" w14:textId="77777777" w:rsidR="005A79DB" w:rsidRPr="00354796" w:rsidRDefault="006E31A1">
            <w:pPr>
              <w:pStyle w:val="Normal6a"/>
            </w:pPr>
            <w:r w:rsidRPr="00354796">
              <w:t>6.</w:t>
            </w:r>
            <w:r w:rsidRPr="00354796">
              <w:tab/>
              <w:t xml:space="preserve">wzywa do </w:t>
            </w:r>
            <w:r w:rsidRPr="00354796">
              <w:t>przedłużenia okresu obowiązywania art. 199a poza 31 grudnia 2026 r. na wystarczająco długi okres, aby zachować pewność prawa, zapobiec ponownemu narażeniu na oszustwa karuzelowe i zapewnić ciągłość podczas stopniowego wdrażania pakietu dotyczącego VAT w epoce cyfrowej;</w:t>
            </w:r>
          </w:p>
        </w:tc>
        <w:tc>
          <w:tcPr>
            <w:tcW w:w="4876" w:type="dxa"/>
            <w:tcBorders>
              <w:top w:val="nil"/>
              <w:left w:val="nil"/>
              <w:bottom w:val="nil"/>
              <w:right w:val="nil"/>
            </w:tcBorders>
          </w:tcPr>
          <w:p w14:paraId="2B460673" w14:textId="77777777" w:rsidR="005A79DB" w:rsidRPr="00354796" w:rsidRDefault="006E31A1">
            <w:pPr>
              <w:pStyle w:val="Normal6a"/>
            </w:pPr>
            <w:r w:rsidRPr="00354796">
              <w:t>6.</w:t>
            </w:r>
            <w:r w:rsidRPr="00354796">
              <w:tab/>
              <w:t xml:space="preserve">wzywa do przedłużenia okresu obowiązywania art. 199a poza 31 grudnia 2026 r. na wystarczająco długi okres, aby zachować pewność prawa, zapobiec ponownemu narażeniu na oszustwa karuzelowe i zapewnić ciągłość podczas stopniowego wdrażania pakietu dotyczącego VAT w epoce cyfrowej; </w:t>
            </w:r>
            <w:r w:rsidRPr="00354796">
              <w:rPr>
                <w:b/>
                <w:i/>
              </w:rPr>
              <w:t>ubolewa nad przedłużonymi terminami wdrożenia uzgodnionymi w ramach pakietu dotyczącego VAT w epoce cyfrowej, zgodnie z którymi wymogi dotyczące sprawozdawczości cyfrowej mają kluczowe znaczenie dla zapewnienia właściwym organom nar</w:t>
            </w:r>
            <w:r w:rsidRPr="00354796">
              <w:rPr>
                <w:b/>
                <w:i/>
              </w:rPr>
              <w:t xml:space="preserve">zędzi do </w:t>
            </w:r>
            <w:r w:rsidRPr="00354796">
              <w:rPr>
                <w:b/>
                <w:i/>
              </w:rPr>
              <w:lastRenderedPageBreak/>
              <w:t>skutecznego prowadzenia dochodzeń w sprawie oszustw związanych z VAT, zastępując tym samym potrzebę stosowania mechanizmu odwrotnego obciążenia;</w:t>
            </w:r>
          </w:p>
        </w:tc>
      </w:tr>
    </w:tbl>
    <w:p w14:paraId="0F854503"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6B53000" w14:textId="77777777" w:rsidR="005A79DB" w:rsidRPr="00354796" w:rsidRDefault="006E31A1">
      <w:r w:rsidRPr="00354796">
        <w:rPr>
          <w:rStyle w:val="HideTWBExt"/>
        </w:rPr>
        <w:t>&lt;/Amend&gt;</w:t>
      </w:r>
    </w:p>
    <w:p w14:paraId="6FFF3468"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44</w:t>
      </w:r>
      <w:r w:rsidRPr="00354796">
        <w:rPr>
          <w:rStyle w:val="HideTWBExt"/>
        </w:rPr>
        <w:t>&lt;/NumAm&gt;</w:t>
      </w:r>
    </w:p>
    <w:p w14:paraId="2C8A73C4" w14:textId="77777777" w:rsidR="005A79DB" w:rsidRPr="00354796" w:rsidRDefault="006E31A1">
      <w:pPr>
        <w:pStyle w:val="NormalBold"/>
      </w:pPr>
      <w:r w:rsidRPr="00354796">
        <w:rPr>
          <w:rStyle w:val="HideTWBExt"/>
          <w:b w:val="0"/>
        </w:rPr>
        <w:t>&lt;RepeatBlock-By&gt;&lt;Members&gt;</w:t>
      </w:r>
      <w:proofErr w:type="spellStart"/>
      <w:r w:rsidRPr="00354796">
        <w:t>Danuše</w:t>
      </w:r>
      <w:proofErr w:type="spellEnd"/>
      <w:r w:rsidRPr="00354796">
        <w:t xml:space="preserve"> </w:t>
      </w:r>
      <w:proofErr w:type="spellStart"/>
      <w:r w:rsidRPr="00354796">
        <w:t>Nerudová</w:t>
      </w:r>
      <w:proofErr w:type="spellEnd"/>
      <w:r w:rsidRPr="00354796">
        <w:rPr>
          <w:rStyle w:val="HideTWBExt"/>
          <w:b w:val="0"/>
        </w:rPr>
        <w:t>&lt;/Members&gt;</w:t>
      </w:r>
    </w:p>
    <w:p w14:paraId="5687F4F4" w14:textId="77777777" w:rsidR="005A79DB" w:rsidRPr="00354796" w:rsidRDefault="006E31A1">
      <w:pPr>
        <w:pStyle w:val="NormalBold"/>
      </w:pPr>
      <w:r w:rsidRPr="00354796">
        <w:rPr>
          <w:rStyle w:val="HideTWBExt"/>
          <w:b w:val="0"/>
        </w:rPr>
        <w:t>&lt;/RepeatBlock-By&gt;</w:t>
      </w:r>
    </w:p>
    <w:p w14:paraId="38CD0ACF"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D247CB2" w14:textId="77777777" w:rsidR="005A79DB" w:rsidRPr="00354796" w:rsidRDefault="006E31A1">
      <w:pPr>
        <w:pStyle w:val="NormalBold"/>
      </w:pPr>
      <w:r w:rsidRPr="00354796">
        <w:rPr>
          <w:rStyle w:val="HideTWBExt"/>
        </w:rPr>
        <w:t>&lt;Article&gt;</w:t>
      </w:r>
      <w:r w:rsidRPr="00354796">
        <w:t>Ustęp 6</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7444211" w14:textId="77777777">
        <w:trPr>
          <w:trHeight w:hRule="exact" w:val="240"/>
          <w:jc w:val="center"/>
        </w:trPr>
        <w:tc>
          <w:tcPr>
            <w:tcW w:w="9752" w:type="dxa"/>
            <w:gridSpan w:val="2"/>
            <w:tcBorders>
              <w:top w:val="nil"/>
              <w:left w:val="nil"/>
              <w:bottom w:val="nil"/>
              <w:right w:val="nil"/>
            </w:tcBorders>
          </w:tcPr>
          <w:p w14:paraId="6BD075CE" w14:textId="77777777" w:rsidR="005A79DB" w:rsidRPr="00354796" w:rsidRDefault="005A79DB"/>
        </w:tc>
      </w:tr>
      <w:tr w:rsidR="005A79DB" w:rsidRPr="00354796" w14:paraId="3CD20494" w14:textId="77777777">
        <w:trPr>
          <w:trHeight w:val="240"/>
          <w:jc w:val="center"/>
        </w:trPr>
        <w:tc>
          <w:tcPr>
            <w:tcW w:w="4876" w:type="dxa"/>
            <w:tcBorders>
              <w:top w:val="nil"/>
              <w:left w:val="nil"/>
              <w:bottom w:val="nil"/>
              <w:right w:val="nil"/>
            </w:tcBorders>
          </w:tcPr>
          <w:p w14:paraId="50A7651C"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0DEC255" w14:textId="77777777" w:rsidR="005A79DB" w:rsidRPr="00354796" w:rsidRDefault="006E31A1">
            <w:pPr>
              <w:pStyle w:val="AmColumnHeading"/>
            </w:pPr>
            <w:r w:rsidRPr="00354796">
              <w:t>Poprawka</w:t>
            </w:r>
          </w:p>
        </w:tc>
      </w:tr>
      <w:tr w:rsidR="005A79DB" w:rsidRPr="00354796" w14:paraId="74B48E58" w14:textId="77777777">
        <w:trPr>
          <w:jc w:val="center"/>
        </w:trPr>
        <w:tc>
          <w:tcPr>
            <w:tcW w:w="4876" w:type="dxa"/>
            <w:tcBorders>
              <w:top w:val="nil"/>
              <w:left w:val="nil"/>
              <w:bottom w:val="nil"/>
              <w:right w:val="nil"/>
            </w:tcBorders>
          </w:tcPr>
          <w:p w14:paraId="60068977" w14:textId="77777777" w:rsidR="005A79DB" w:rsidRPr="00354796" w:rsidRDefault="006E31A1">
            <w:pPr>
              <w:pStyle w:val="Normal6a"/>
            </w:pPr>
            <w:r w:rsidRPr="00354796">
              <w:t>6.</w:t>
            </w:r>
            <w:r w:rsidRPr="00354796">
              <w:tab/>
              <w:t xml:space="preserve">wzywa do przedłużenia okresu obowiązywania art. 199a poza 31 grudnia 2026 r. na </w:t>
            </w:r>
            <w:r w:rsidRPr="00354796">
              <w:t>wystarczająco długi okres, aby zachować pewność prawa, zapobiec ponownemu narażeniu na oszustwa karuzelowe i zapewnić ciągłość podczas stopniowego wdrażania pakietu dotyczącego VAT w epoce cyfrowej;</w:t>
            </w:r>
          </w:p>
        </w:tc>
        <w:tc>
          <w:tcPr>
            <w:tcW w:w="4876" w:type="dxa"/>
            <w:tcBorders>
              <w:top w:val="nil"/>
              <w:left w:val="nil"/>
              <w:bottom w:val="nil"/>
              <w:right w:val="nil"/>
            </w:tcBorders>
          </w:tcPr>
          <w:p w14:paraId="75D4830D" w14:textId="77777777" w:rsidR="005A79DB" w:rsidRPr="00354796" w:rsidRDefault="006E31A1">
            <w:pPr>
              <w:pStyle w:val="Normal6a"/>
            </w:pPr>
            <w:r w:rsidRPr="00354796">
              <w:t>6.</w:t>
            </w:r>
            <w:r w:rsidRPr="00354796">
              <w:tab/>
              <w:t>wzywa do przedłużenia okresu obowiązywania art. 199a poza 31 grudnia 2026 r. na wystarczająco długi okres, aby zachować pewność prawa, zapobiec ponownemu narażeniu na oszustwa karuzelowe i zapewnić ciągłość podczas stopniowego wdrażania pakietu dotyczącego VAT w epoce cyfrowej;</w:t>
            </w:r>
            <w:r w:rsidRPr="00354796">
              <w:rPr>
                <w:b/>
                <w:i/>
              </w:rPr>
              <w:t> uważa, że takiemu rozszerzeniu powinna towarzyszyć harmonizacja warunków, na jakich państwa członkowskie stosują ten mechanizm, w szczególności w odniesieniu do progów i zakresu objętych nim sektorów;</w:t>
            </w:r>
          </w:p>
        </w:tc>
      </w:tr>
    </w:tbl>
    <w:p w14:paraId="4DC5B34A"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47BF853" w14:textId="77777777" w:rsidR="005A79DB" w:rsidRPr="00354796" w:rsidRDefault="006E31A1">
      <w:r w:rsidRPr="00354796">
        <w:rPr>
          <w:rStyle w:val="HideTWBExt"/>
        </w:rPr>
        <w:t>&lt;/Amend&gt;</w:t>
      </w:r>
    </w:p>
    <w:p w14:paraId="12F244D9"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45</w:t>
      </w:r>
      <w:r w:rsidRPr="00354796">
        <w:rPr>
          <w:rStyle w:val="HideTWBExt"/>
        </w:rPr>
        <w:t>&lt;/NumAm&gt;</w:t>
      </w:r>
    </w:p>
    <w:p w14:paraId="7347F140"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29FF1BD6" w14:textId="77777777" w:rsidR="005A79DB" w:rsidRPr="00354796" w:rsidRDefault="006E31A1">
      <w:pPr>
        <w:pStyle w:val="NormalBold"/>
      </w:pPr>
      <w:r w:rsidRPr="00354796">
        <w:rPr>
          <w:rStyle w:val="HideTWBExt"/>
          <w:b w:val="0"/>
        </w:rPr>
        <w:t>&lt;/RepeatBlock-By&gt;</w:t>
      </w:r>
    </w:p>
    <w:p w14:paraId="3ADBB6B0"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9FC3E87" w14:textId="77777777" w:rsidR="005A79DB" w:rsidRPr="00354796" w:rsidRDefault="006E31A1">
      <w:pPr>
        <w:pStyle w:val="NormalBold"/>
      </w:pPr>
      <w:r w:rsidRPr="00354796">
        <w:rPr>
          <w:rStyle w:val="HideTWBExt"/>
        </w:rPr>
        <w:t>&lt;Article&gt;</w:t>
      </w:r>
      <w:r w:rsidRPr="00354796">
        <w:t>Ustęp 6</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F8AFDF7" w14:textId="77777777">
        <w:trPr>
          <w:trHeight w:hRule="exact" w:val="240"/>
          <w:jc w:val="center"/>
        </w:trPr>
        <w:tc>
          <w:tcPr>
            <w:tcW w:w="9752" w:type="dxa"/>
            <w:gridSpan w:val="2"/>
            <w:tcBorders>
              <w:top w:val="nil"/>
              <w:left w:val="nil"/>
              <w:bottom w:val="nil"/>
              <w:right w:val="nil"/>
            </w:tcBorders>
          </w:tcPr>
          <w:p w14:paraId="7CF78A8B" w14:textId="77777777" w:rsidR="005A79DB" w:rsidRPr="00354796" w:rsidRDefault="005A79DB"/>
        </w:tc>
      </w:tr>
      <w:tr w:rsidR="005A79DB" w:rsidRPr="00354796" w14:paraId="1E1348C4" w14:textId="77777777">
        <w:trPr>
          <w:trHeight w:val="240"/>
          <w:jc w:val="center"/>
        </w:trPr>
        <w:tc>
          <w:tcPr>
            <w:tcW w:w="4876" w:type="dxa"/>
            <w:tcBorders>
              <w:top w:val="nil"/>
              <w:left w:val="nil"/>
              <w:bottom w:val="nil"/>
              <w:right w:val="nil"/>
            </w:tcBorders>
          </w:tcPr>
          <w:p w14:paraId="523DD627"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94D85D0" w14:textId="77777777" w:rsidR="005A79DB" w:rsidRPr="00354796" w:rsidRDefault="006E31A1">
            <w:pPr>
              <w:pStyle w:val="AmColumnHeading"/>
            </w:pPr>
            <w:r w:rsidRPr="00354796">
              <w:t>Poprawka</w:t>
            </w:r>
          </w:p>
        </w:tc>
      </w:tr>
      <w:tr w:rsidR="005A79DB" w:rsidRPr="00354796" w14:paraId="3AB25EB6" w14:textId="77777777">
        <w:trPr>
          <w:jc w:val="center"/>
        </w:trPr>
        <w:tc>
          <w:tcPr>
            <w:tcW w:w="4876" w:type="dxa"/>
            <w:tcBorders>
              <w:top w:val="nil"/>
              <w:left w:val="nil"/>
              <w:bottom w:val="nil"/>
              <w:right w:val="nil"/>
            </w:tcBorders>
          </w:tcPr>
          <w:p w14:paraId="64DB56A0" w14:textId="77777777" w:rsidR="005A79DB" w:rsidRPr="00354796" w:rsidRDefault="006E31A1">
            <w:pPr>
              <w:pStyle w:val="Normal6a"/>
            </w:pPr>
            <w:r w:rsidRPr="00354796">
              <w:t>6.</w:t>
            </w:r>
            <w:r w:rsidRPr="00354796">
              <w:tab/>
            </w:r>
            <w:r w:rsidRPr="00354796">
              <w:t xml:space="preserve">wzywa do przedłużenia okresu obowiązywania art. 199a poza 31 grudnia 2026 r. na wystarczająco długi okres, aby zachować pewność prawa, zapobiec </w:t>
            </w:r>
            <w:r w:rsidRPr="00354796">
              <w:lastRenderedPageBreak/>
              <w:t xml:space="preserve">ponownemu narażeniu na oszustwa karuzelowe </w:t>
            </w:r>
            <w:r w:rsidRPr="00354796">
              <w:rPr>
                <w:b/>
                <w:bCs/>
                <w:i/>
                <w:iCs/>
              </w:rPr>
              <w:t>i</w:t>
            </w:r>
            <w:r w:rsidRPr="00354796">
              <w:t xml:space="preserve"> zapewnić ciągłość podczas stopniowego wdrażania pakietu dotyczącego VAT w epoce cyfrowej;</w:t>
            </w:r>
          </w:p>
        </w:tc>
        <w:tc>
          <w:tcPr>
            <w:tcW w:w="4876" w:type="dxa"/>
            <w:tcBorders>
              <w:top w:val="nil"/>
              <w:left w:val="nil"/>
              <w:bottom w:val="nil"/>
              <w:right w:val="nil"/>
            </w:tcBorders>
          </w:tcPr>
          <w:p w14:paraId="4D9726A5" w14:textId="77777777" w:rsidR="005A79DB" w:rsidRPr="00354796" w:rsidRDefault="006E31A1">
            <w:pPr>
              <w:pStyle w:val="Normal6a"/>
            </w:pPr>
            <w:r w:rsidRPr="00354796">
              <w:lastRenderedPageBreak/>
              <w:t>6.</w:t>
            </w:r>
            <w:r w:rsidRPr="00354796">
              <w:tab/>
              <w:t xml:space="preserve">wzywa do przedłużenia okresu obowiązywania art. 199a poza 31 grudnia 2026 r. na wystarczająco długi okres, aby zachować pewność prawa, zapobiec </w:t>
            </w:r>
            <w:r w:rsidRPr="00354796">
              <w:lastRenderedPageBreak/>
              <w:t>ponownemu narażeniu na oszustwa karuzelowe</w:t>
            </w:r>
            <w:r w:rsidRPr="00354796">
              <w:rPr>
                <w:b/>
                <w:bCs/>
                <w:i/>
                <w:iCs/>
              </w:rPr>
              <w:t>, zwalczać szarą strefę gospodarki oraz</w:t>
            </w:r>
            <w:r w:rsidRPr="00354796">
              <w:t xml:space="preserve"> zapewnić ciągłość </w:t>
            </w:r>
            <w:r w:rsidRPr="00354796">
              <w:rPr>
                <w:b/>
                <w:bCs/>
                <w:i/>
                <w:iCs/>
              </w:rPr>
              <w:t xml:space="preserve">operacyjną krajowych administracji podatkowych i przedsiębiorstw </w:t>
            </w:r>
            <w:r w:rsidRPr="00354796">
              <w:t>podczas stopniowego wdrażania pakietu dotyczącego VAT w epoce cyfrowej;</w:t>
            </w:r>
          </w:p>
        </w:tc>
      </w:tr>
    </w:tbl>
    <w:p w14:paraId="67E82CA1"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1050563" w14:textId="77777777" w:rsidR="005A79DB" w:rsidRPr="00354796" w:rsidRDefault="006E31A1">
      <w:r w:rsidRPr="00354796">
        <w:rPr>
          <w:rStyle w:val="HideTWBExt"/>
        </w:rPr>
        <w:t>&lt;/Amend&gt;</w:t>
      </w:r>
    </w:p>
    <w:p w14:paraId="48AC8C31"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46</w:t>
      </w:r>
      <w:r w:rsidRPr="00354796">
        <w:rPr>
          <w:rStyle w:val="HideTWBExt"/>
        </w:rPr>
        <w:t>&lt;/NumAm&gt;</w:t>
      </w:r>
    </w:p>
    <w:p w14:paraId="1E8B1CDA"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59DEA3FF" w14:textId="77777777" w:rsidR="005A79DB" w:rsidRPr="00354796" w:rsidRDefault="006E31A1">
      <w:pPr>
        <w:pStyle w:val="NormalBold"/>
      </w:pPr>
      <w:r w:rsidRPr="00354796">
        <w:rPr>
          <w:rStyle w:val="HideTWBExt"/>
          <w:b w:val="0"/>
        </w:rPr>
        <w:t>&lt;/RepeatBlock-By&gt;</w:t>
      </w:r>
    </w:p>
    <w:p w14:paraId="4D464E72"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D3C38F8" w14:textId="77777777" w:rsidR="005A79DB" w:rsidRPr="00354796" w:rsidRDefault="006E31A1">
      <w:pPr>
        <w:pStyle w:val="NormalBold"/>
      </w:pPr>
      <w:r w:rsidRPr="00354796">
        <w:rPr>
          <w:rStyle w:val="HideTWBExt"/>
        </w:rPr>
        <w:t>&lt;Article&gt;</w:t>
      </w:r>
      <w:r w:rsidRPr="00354796">
        <w:t>Ustęp 6</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4AB13D8" w14:textId="77777777">
        <w:trPr>
          <w:trHeight w:hRule="exact" w:val="240"/>
          <w:jc w:val="center"/>
        </w:trPr>
        <w:tc>
          <w:tcPr>
            <w:tcW w:w="9752" w:type="dxa"/>
            <w:gridSpan w:val="2"/>
            <w:tcBorders>
              <w:top w:val="nil"/>
              <w:left w:val="nil"/>
              <w:bottom w:val="nil"/>
              <w:right w:val="nil"/>
            </w:tcBorders>
          </w:tcPr>
          <w:p w14:paraId="2A62357F" w14:textId="77777777" w:rsidR="005A79DB" w:rsidRPr="00354796" w:rsidRDefault="005A79DB"/>
        </w:tc>
      </w:tr>
      <w:tr w:rsidR="005A79DB" w:rsidRPr="00354796" w14:paraId="62AEF186" w14:textId="77777777">
        <w:trPr>
          <w:trHeight w:val="240"/>
          <w:jc w:val="center"/>
        </w:trPr>
        <w:tc>
          <w:tcPr>
            <w:tcW w:w="4876" w:type="dxa"/>
            <w:tcBorders>
              <w:top w:val="nil"/>
              <w:left w:val="nil"/>
              <w:bottom w:val="nil"/>
              <w:right w:val="nil"/>
            </w:tcBorders>
          </w:tcPr>
          <w:p w14:paraId="0224FC9F"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5FFC073F" w14:textId="77777777" w:rsidR="005A79DB" w:rsidRPr="00354796" w:rsidRDefault="006E31A1">
            <w:pPr>
              <w:pStyle w:val="AmColumnHeading"/>
            </w:pPr>
            <w:r w:rsidRPr="00354796">
              <w:t>Poprawka</w:t>
            </w:r>
          </w:p>
        </w:tc>
      </w:tr>
      <w:tr w:rsidR="005A79DB" w:rsidRPr="00354796" w14:paraId="40E7EFF8" w14:textId="77777777">
        <w:trPr>
          <w:jc w:val="center"/>
        </w:trPr>
        <w:tc>
          <w:tcPr>
            <w:tcW w:w="4876" w:type="dxa"/>
            <w:tcBorders>
              <w:top w:val="nil"/>
              <w:left w:val="nil"/>
              <w:bottom w:val="nil"/>
              <w:right w:val="nil"/>
            </w:tcBorders>
          </w:tcPr>
          <w:p w14:paraId="6C749943" w14:textId="77777777" w:rsidR="005A79DB" w:rsidRPr="00354796" w:rsidRDefault="006E31A1">
            <w:pPr>
              <w:pStyle w:val="Normal6a"/>
            </w:pPr>
            <w:r w:rsidRPr="00354796">
              <w:t>6.</w:t>
            </w:r>
            <w:r w:rsidRPr="00354796">
              <w:tab/>
            </w:r>
            <w:r w:rsidRPr="00354796">
              <w:rPr>
                <w:b/>
                <w:bCs/>
                <w:i/>
                <w:iCs/>
              </w:rPr>
              <w:t>wzywa do</w:t>
            </w:r>
            <w:r w:rsidRPr="00354796">
              <w:t xml:space="preserve"> przedłużenia okresu obowiązywania art. 199a </w:t>
            </w:r>
            <w:r w:rsidRPr="00354796">
              <w:rPr>
                <w:b/>
                <w:bCs/>
                <w:i/>
                <w:iCs/>
              </w:rPr>
              <w:t>poza 31 grudnia 2026 r. na wystarczająco długi okres</w:t>
            </w:r>
            <w:r w:rsidRPr="00354796">
              <w:t>, aby zachować pewność prawa, zapobiec ponownemu narażeniu na oszustwa karuzelowe</w:t>
            </w:r>
            <w:r w:rsidRPr="00354796">
              <w:rPr>
                <w:b/>
                <w:bCs/>
                <w:i/>
                <w:iCs/>
              </w:rPr>
              <w:t xml:space="preserve"> i zapewnić ciągłość podczas stopniowego wdrażania pakietu dotyczącego VAT w epoce cyfrowej</w:t>
            </w:r>
            <w:r w:rsidRPr="00354796">
              <w:t>;</w:t>
            </w:r>
          </w:p>
        </w:tc>
        <w:tc>
          <w:tcPr>
            <w:tcW w:w="4876" w:type="dxa"/>
            <w:tcBorders>
              <w:top w:val="nil"/>
              <w:left w:val="nil"/>
              <w:bottom w:val="nil"/>
              <w:right w:val="nil"/>
            </w:tcBorders>
          </w:tcPr>
          <w:p w14:paraId="50289BA5" w14:textId="77777777" w:rsidR="005A79DB" w:rsidRPr="00354796" w:rsidRDefault="006E31A1">
            <w:pPr>
              <w:pStyle w:val="Normal6a"/>
            </w:pPr>
            <w:r w:rsidRPr="00354796">
              <w:t>6.</w:t>
            </w:r>
            <w:r w:rsidRPr="00354796">
              <w:tab/>
            </w:r>
            <w:r w:rsidRPr="00354796">
              <w:rPr>
                <w:b/>
                <w:bCs/>
                <w:i/>
                <w:iCs/>
              </w:rPr>
              <w:t>rozważa możliwość</w:t>
            </w:r>
            <w:r w:rsidRPr="00354796">
              <w:t xml:space="preserve"> przedłużenia okresu obowiązywania art. 199a </w:t>
            </w:r>
            <w:r w:rsidRPr="00354796">
              <w:rPr>
                <w:b/>
                <w:bCs/>
                <w:i/>
                <w:iCs/>
              </w:rPr>
              <w:t>jako środka pomostowego podczas wdrażania pakietu dotyczącego VAT w epoce cyfrowej</w:t>
            </w:r>
            <w:r w:rsidRPr="00354796">
              <w:t>, aby zachować pewność prawa, zapobiec ponownemu narażeniu na oszustwa karuzelowe</w:t>
            </w:r>
            <w:r w:rsidRPr="00354796">
              <w:rPr>
                <w:b/>
                <w:bCs/>
                <w:i/>
                <w:iCs/>
              </w:rPr>
              <w:t>, przy czym zauważa, że dalsze stosowanie tego mechanizmu powinno podlegać regularnym przeglądom, ocenie wykazanego ryzyka oszustw oraz ocenom proporcjonalności</w:t>
            </w:r>
            <w:r w:rsidRPr="00354796">
              <w:t>;</w:t>
            </w:r>
          </w:p>
        </w:tc>
      </w:tr>
    </w:tbl>
    <w:p w14:paraId="1CEDCD92"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9F410A9" w14:textId="77777777" w:rsidR="005A79DB" w:rsidRPr="00354796" w:rsidRDefault="006E31A1">
      <w:r w:rsidRPr="00354796">
        <w:rPr>
          <w:rStyle w:val="HideTWBExt"/>
        </w:rPr>
        <w:t>&lt;/Amend&gt;</w:t>
      </w:r>
    </w:p>
    <w:p w14:paraId="53300D31"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47</w:t>
      </w:r>
      <w:r w:rsidRPr="00354796">
        <w:rPr>
          <w:rStyle w:val="HideTWBExt"/>
        </w:rPr>
        <w:t>&lt;/NumAm&gt;</w:t>
      </w:r>
    </w:p>
    <w:p w14:paraId="7576FCEB" w14:textId="77777777" w:rsidR="005A79DB" w:rsidRPr="00354796" w:rsidRDefault="006E31A1">
      <w:pPr>
        <w:pStyle w:val="NormalBold"/>
      </w:pPr>
      <w:r w:rsidRPr="00354796">
        <w:rPr>
          <w:rStyle w:val="HideTWBExt"/>
          <w:b w:val="0"/>
        </w:rPr>
        <w:t>&lt;RepeatBlock-By&gt;&lt;Members&gt;</w:t>
      </w:r>
      <w:r w:rsidRPr="00354796">
        <w:t>Kira Marie Peter-Hansen</w:t>
      </w:r>
      <w:r w:rsidRPr="00354796">
        <w:rPr>
          <w:rStyle w:val="HideTWBExt"/>
          <w:b w:val="0"/>
        </w:rPr>
        <w:t>&lt;/Members&gt;</w:t>
      </w:r>
    </w:p>
    <w:p w14:paraId="70D1C7B1" w14:textId="77777777" w:rsidR="005A79DB" w:rsidRPr="00354796" w:rsidRDefault="006E31A1">
      <w:r w:rsidRPr="00354796">
        <w:rPr>
          <w:rStyle w:val="HideTWBExt"/>
        </w:rPr>
        <w:t>&lt;AuNomDe&gt;</w:t>
      </w:r>
      <w:r w:rsidRPr="00354796">
        <w:rPr>
          <w:rStyle w:val="HideTWBInt"/>
          <w:color w:val="auto"/>
        </w:rPr>
        <w:t>{Verts/ALE}</w:t>
      </w:r>
      <w:r w:rsidRPr="00354796">
        <w:t xml:space="preserve">w imieniu grupy </w:t>
      </w:r>
      <w:proofErr w:type="spellStart"/>
      <w:r w:rsidRPr="00354796">
        <w:t>Verts</w:t>
      </w:r>
      <w:proofErr w:type="spellEnd"/>
      <w:r w:rsidRPr="00354796">
        <w:t>/ALE</w:t>
      </w:r>
      <w:r w:rsidRPr="00354796">
        <w:rPr>
          <w:rStyle w:val="HideTWBExt"/>
        </w:rPr>
        <w:t>&lt;/AuNomDe&gt;</w:t>
      </w:r>
    </w:p>
    <w:p w14:paraId="3AE6C91D" w14:textId="77777777" w:rsidR="005A79DB" w:rsidRPr="00354796" w:rsidRDefault="006E31A1">
      <w:pPr>
        <w:pStyle w:val="NormalBold"/>
      </w:pPr>
      <w:r w:rsidRPr="00354796">
        <w:rPr>
          <w:rStyle w:val="HideTWBExt"/>
          <w:b w:val="0"/>
        </w:rPr>
        <w:t>&lt;/RepeatBlock-By&gt;</w:t>
      </w:r>
    </w:p>
    <w:p w14:paraId="42BE2218"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32ED447" w14:textId="77777777" w:rsidR="005A79DB" w:rsidRPr="00354796" w:rsidRDefault="006E31A1">
      <w:pPr>
        <w:pStyle w:val="NormalBold"/>
      </w:pPr>
      <w:r w:rsidRPr="00354796">
        <w:rPr>
          <w:rStyle w:val="HideTWBExt"/>
        </w:rPr>
        <w:t>&lt;Article&gt;</w:t>
      </w:r>
      <w:r w:rsidRPr="00354796">
        <w:t>Ustęp 6</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A9E56E4" w14:textId="77777777">
        <w:trPr>
          <w:trHeight w:hRule="exact" w:val="240"/>
          <w:jc w:val="center"/>
        </w:trPr>
        <w:tc>
          <w:tcPr>
            <w:tcW w:w="9752" w:type="dxa"/>
            <w:gridSpan w:val="2"/>
            <w:tcBorders>
              <w:top w:val="nil"/>
              <w:left w:val="nil"/>
              <w:bottom w:val="nil"/>
              <w:right w:val="nil"/>
            </w:tcBorders>
          </w:tcPr>
          <w:p w14:paraId="06926E4E" w14:textId="77777777" w:rsidR="005A79DB" w:rsidRPr="00354796" w:rsidRDefault="005A79DB"/>
        </w:tc>
      </w:tr>
      <w:tr w:rsidR="005A79DB" w:rsidRPr="00354796" w14:paraId="773F44C0" w14:textId="77777777">
        <w:trPr>
          <w:trHeight w:val="240"/>
          <w:jc w:val="center"/>
        </w:trPr>
        <w:tc>
          <w:tcPr>
            <w:tcW w:w="4876" w:type="dxa"/>
            <w:tcBorders>
              <w:top w:val="nil"/>
              <w:left w:val="nil"/>
              <w:bottom w:val="nil"/>
              <w:right w:val="nil"/>
            </w:tcBorders>
          </w:tcPr>
          <w:p w14:paraId="67783747"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9ED7F74" w14:textId="77777777" w:rsidR="005A79DB" w:rsidRPr="00354796" w:rsidRDefault="006E31A1">
            <w:pPr>
              <w:pStyle w:val="AmColumnHeading"/>
            </w:pPr>
            <w:r w:rsidRPr="00354796">
              <w:t>Poprawka</w:t>
            </w:r>
          </w:p>
        </w:tc>
      </w:tr>
      <w:tr w:rsidR="005A79DB" w:rsidRPr="00354796" w14:paraId="37298789" w14:textId="77777777">
        <w:trPr>
          <w:jc w:val="center"/>
        </w:trPr>
        <w:tc>
          <w:tcPr>
            <w:tcW w:w="4876" w:type="dxa"/>
            <w:tcBorders>
              <w:top w:val="nil"/>
              <w:left w:val="nil"/>
              <w:bottom w:val="nil"/>
              <w:right w:val="nil"/>
            </w:tcBorders>
          </w:tcPr>
          <w:p w14:paraId="513D821E" w14:textId="77777777" w:rsidR="005A79DB" w:rsidRPr="00354796" w:rsidRDefault="006E31A1">
            <w:pPr>
              <w:pStyle w:val="Normal6a"/>
            </w:pPr>
            <w:r w:rsidRPr="00354796">
              <w:t>6.</w:t>
            </w:r>
            <w:r w:rsidRPr="00354796">
              <w:tab/>
            </w:r>
            <w:r w:rsidRPr="00354796">
              <w:t xml:space="preserve">wzywa do przedłużenia okresu obowiązywania art. 199a poza 31 grudnia 2026 r. na </w:t>
            </w:r>
            <w:r w:rsidRPr="00354796">
              <w:rPr>
                <w:b/>
                <w:bCs/>
                <w:i/>
                <w:iCs/>
              </w:rPr>
              <w:t>wystarczająco długi</w:t>
            </w:r>
            <w:r w:rsidRPr="00354796">
              <w:t xml:space="preserve"> okres, aby zachować pewność prawa, zapobiec </w:t>
            </w:r>
            <w:r w:rsidRPr="00354796">
              <w:lastRenderedPageBreak/>
              <w:t>ponownemu narażeniu na oszustwa karuzelowe i zapewnić ciągłość podczas stopniowego wdrażania pakietu dotyczącego VAT w epoce cyfrowej;</w:t>
            </w:r>
          </w:p>
        </w:tc>
        <w:tc>
          <w:tcPr>
            <w:tcW w:w="4876" w:type="dxa"/>
            <w:tcBorders>
              <w:top w:val="nil"/>
              <w:left w:val="nil"/>
              <w:bottom w:val="nil"/>
              <w:right w:val="nil"/>
            </w:tcBorders>
          </w:tcPr>
          <w:p w14:paraId="3FB5A937" w14:textId="77777777" w:rsidR="005A79DB" w:rsidRPr="00354796" w:rsidRDefault="006E31A1">
            <w:pPr>
              <w:pStyle w:val="Normal6a"/>
            </w:pPr>
            <w:r w:rsidRPr="00354796">
              <w:lastRenderedPageBreak/>
              <w:t>6.</w:t>
            </w:r>
            <w:r w:rsidRPr="00354796">
              <w:tab/>
              <w:t xml:space="preserve">wzywa do przedłużenia okresu obowiązywania art. 199a poza 31 grudnia 2026 r. </w:t>
            </w:r>
            <w:r w:rsidRPr="00354796">
              <w:rPr>
                <w:b/>
                <w:bCs/>
                <w:i/>
                <w:iCs/>
              </w:rPr>
              <w:t xml:space="preserve">jako tymczasowego i ukierunkowanego środka </w:t>
            </w:r>
            <w:r w:rsidRPr="00354796">
              <w:rPr>
                <w:b/>
                <w:bCs/>
                <w:i/>
                <w:iCs/>
              </w:rPr>
              <w:lastRenderedPageBreak/>
              <w:t xml:space="preserve">przeciwdziałania oszustwom, </w:t>
            </w:r>
            <w:r w:rsidRPr="00354796">
              <w:t xml:space="preserve">na </w:t>
            </w:r>
            <w:r w:rsidRPr="00354796">
              <w:rPr>
                <w:b/>
                <w:bCs/>
                <w:i/>
                <w:iCs/>
              </w:rPr>
              <w:t>ograniczony</w:t>
            </w:r>
            <w:r w:rsidRPr="00354796">
              <w:t xml:space="preserve"> okres </w:t>
            </w:r>
            <w:r w:rsidRPr="00354796">
              <w:rPr>
                <w:b/>
                <w:bCs/>
                <w:i/>
                <w:iCs/>
              </w:rPr>
              <w:t xml:space="preserve">ściśle niezbędny do tego, </w:t>
            </w:r>
            <w:r w:rsidRPr="00354796">
              <w:t>aby zachować pewność prawa, zapobiec ponownemu narażeniu na oszustwa karuzelowe i zapewnić ciągłość podczas stopniowego wdrażania pakietu dotyczącego VAT w epoce cyfrowej;</w:t>
            </w:r>
          </w:p>
        </w:tc>
      </w:tr>
    </w:tbl>
    <w:p w14:paraId="4F416377"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A91BE20" w14:textId="77777777" w:rsidR="005A79DB" w:rsidRPr="00354796" w:rsidRDefault="006E31A1">
      <w:r w:rsidRPr="00354796">
        <w:rPr>
          <w:rStyle w:val="HideTWBExt"/>
        </w:rPr>
        <w:t>&lt;/Amend&gt;</w:t>
      </w:r>
    </w:p>
    <w:p w14:paraId="643788B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48</w:t>
      </w:r>
      <w:r w:rsidRPr="00354796">
        <w:rPr>
          <w:rStyle w:val="HideTWBExt"/>
        </w:rPr>
        <w:t>&lt;/NumAm&gt;</w:t>
      </w:r>
    </w:p>
    <w:p w14:paraId="418401E9"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004A1B0B" w14:textId="77777777" w:rsidR="005A79DB" w:rsidRPr="00354796" w:rsidRDefault="006E31A1">
      <w:pPr>
        <w:pStyle w:val="NormalBold"/>
      </w:pPr>
      <w:r w:rsidRPr="00354796">
        <w:rPr>
          <w:rStyle w:val="HideTWBExt"/>
          <w:b w:val="0"/>
        </w:rPr>
        <w:t>&lt;/RepeatBlock-By&gt;</w:t>
      </w:r>
    </w:p>
    <w:p w14:paraId="35FC2ED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69DD0A4" w14:textId="77777777" w:rsidR="005A79DB" w:rsidRPr="00354796" w:rsidRDefault="006E31A1">
      <w:pPr>
        <w:pStyle w:val="NormalBold"/>
      </w:pPr>
      <w:r w:rsidRPr="00354796">
        <w:rPr>
          <w:rStyle w:val="HideTWBExt"/>
        </w:rPr>
        <w:t>&lt;Article&gt;</w:t>
      </w:r>
      <w:r w:rsidRPr="00354796">
        <w:t>Ustęp 6</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5F2165F" w14:textId="77777777">
        <w:trPr>
          <w:trHeight w:hRule="exact" w:val="240"/>
          <w:jc w:val="center"/>
        </w:trPr>
        <w:tc>
          <w:tcPr>
            <w:tcW w:w="9752" w:type="dxa"/>
            <w:gridSpan w:val="2"/>
            <w:tcBorders>
              <w:top w:val="nil"/>
              <w:left w:val="nil"/>
              <w:bottom w:val="nil"/>
              <w:right w:val="nil"/>
            </w:tcBorders>
          </w:tcPr>
          <w:p w14:paraId="0F59DFF9" w14:textId="77777777" w:rsidR="005A79DB" w:rsidRPr="00354796" w:rsidRDefault="005A79DB"/>
        </w:tc>
      </w:tr>
      <w:tr w:rsidR="005A79DB" w:rsidRPr="00354796" w14:paraId="1BB7A00A" w14:textId="77777777">
        <w:trPr>
          <w:trHeight w:val="240"/>
          <w:jc w:val="center"/>
        </w:trPr>
        <w:tc>
          <w:tcPr>
            <w:tcW w:w="4876" w:type="dxa"/>
            <w:tcBorders>
              <w:top w:val="nil"/>
              <w:left w:val="nil"/>
              <w:bottom w:val="nil"/>
              <w:right w:val="nil"/>
            </w:tcBorders>
          </w:tcPr>
          <w:p w14:paraId="3350F5DB"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3F4A701" w14:textId="77777777" w:rsidR="005A79DB" w:rsidRPr="00354796" w:rsidRDefault="006E31A1">
            <w:pPr>
              <w:pStyle w:val="AmColumnHeading"/>
            </w:pPr>
            <w:r w:rsidRPr="00354796">
              <w:t>Poprawka</w:t>
            </w:r>
          </w:p>
        </w:tc>
      </w:tr>
      <w:tr w:rsidR="005A79DB" w:rsidRPr="00354796" w14:paraId="7EF58566" w14:textId="77777777">
        <w:trPr>
          <w:jc w:val="center"/>
        </w:trPr>
        <w:tc>
          <w:tcPr>
            <w:tcW w:w="4876" w:type="dxa"/>
            <w:tcBorders>
              <w:top w:val="nil"/>
              <w:left w:val="nil"/>
              <w:bottom w:val="nil"/>
              <w:right w:val="nil"/>
            </w:tcBorders>
          </w:tcPr>
          <w:p w14:paraId="6E836ED4" w14:textId="77777777" w:rsidR="005A79DB" w:rsidRPr="00354796" w:rsidRDefault="006E31A1">
            <w:pPr>
              <w:pStyle w:val="Normal6a"/>
            </w:pPr>
            <w:r w:rsidRPr="00354796">
              <w:t>6.</w:t>
            </w:r>
            <w:r w:rsidRPr="00354796">
              <w:tab/>
              <w:t xml:space="preserve">wzywa do przedłużenia okresu obowiązywania art. 199a poza 31 grudnia 2026 r. na wystarczająco długi okres, aby zachować pewność </w:t>
            </w:r>
            <w:r w:rsidRPr="00354796">
              <w:t>prawa, zapobiec ponownemu narażeniu na oszustwa karuzelowe i zapewnić ciągłość podczas stopniowego wdrażania pakietu dotyczącego VAT w epoce cyfrowej;</w:t>
            </w:r>
          </w:p>
        </w:tc>
        <w:tc>
          <w:tcPr>
            <w:tcW w:w="4876" w:type="dxa"/>
            <w:tcBorders>
              <w:top w:val="nil"/>
              <w:left w:val="nil"/>
              <w:bottom w:val="nil"/>
              <w:right w:val="nil"/>
            </w:tcBorders>
          </w:tcPr>
          <w:p w14:paraId="433FBAFE" w14:textId="77777777" w:rsidR="005A79DB" w:rsidRPr="00354796" w:rsidRDefault="006E31A1">
            <w:pPr>
              <w:pStyle w:val="Normal6a"/>
            </w:pPr>
            <w:r w:rsidRPr="00354796">
              <w:t>6.</w:t>
            </w:r>
            <w:r w:rsidRPr="00354796">
              <w:tab/>
            </w:r>
            <w:r w:rsidRPr="00354796">
              <w:t xml:space="preserve">wzywa do przedłużenia okresu obowiązywania art. 199a poza 31 grudnia 2026 r. na wystarczająco długi okres </w:t>
            </w:r>
            <w:r w:rsidRPr="00354796">
              <w:rPr>
                <w:b/>
                <w:bCs/>
                <w:i/>
                <w:iCs/>
              </w:rPr>
              <w:t>lub nawet bezterminowo</w:t>
            </w:r>
            <w:r w:rsidRPr="00354796">
              <w:t>, aby zachować pewność prawa, zapobiec ponownemu narażeniu na oszustwa karuzelowe i zapewnić ciągłość podczas stopniowego wdrażania pakietu dotyczącego VAT w epoce cyfrowej;</w:t>
            </w:r>
          </w:p>
        </w:tc>
      </w:tr>
    </w:tbl>
    <w:p w14:paraId="2C0BA62C"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5F2B33C" w14:textId="77777777" w:rsidR="005A79DB" w:rsidRPr="00354796" w:rsidRDefault="006E31A1">
      <w:r w:rsidRPr="00354796">
        <w:rPr>
          <w:rStyle w:val="HideTWBExt"/>
        </w:rPr>
        <w:t>&lt;/Amend&gt;</w:t>
      </w:r>
    </w:p>
    <w:p w14:paraId="5AD2E90D"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49</w:t>
      </w:r>
      <w:r w:rsidRPr="00354796">
        <w:rPr>
          <w:rStyle w:val="HideTWBExt"/>
        </w:rPr>
        <w:t>&lt;/NumAm&gt;</w:t>
      </w:r>
    </w:p>
    <w:p w14:paraId="684372E9"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7E9C30A7" w14:textId="77777777" w:rsidR="005A79DB" w:rsidRPr="00354796" w:rsidRDefault="006E31A1">
      <w:pPr>
        <w:pStyle w:val="NormalBold"/>
      </w:pPr>
      <w:r w:rsidRPr="00354796">
        <w:rPr>
          <w:rStyle w:val="HideTWBExt"/>
          <w:b w:val="0"/>
        </w:rPr>
        <w:t>&lt;/RepeatBlock-By&gt;</w:t>
      </w:r>
    </w:p>
    <w:p w14:paraId="490378F8"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5449724" w14:textId="77777777" w:rsidR="005A79DB" w:rsidRPr="00354796" w:rsidRDefault="006E31A1">
      <w:pPr>
        <w:pStyle w:val="NormalBold"/>
      </w:pPr>
      <w:r w:rsidRPr="00354796">
        <w:rPr>
          <w:rStyle w:val="HideTWBExt"/>
        </w:rPr>
        <w:t>&lt;Article&gt;</w:t>
      </w:r>
      <w:r w:rsidRPr="00354796">
        <w:t>Ustęp 7</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088F586" w14:textId="77777777">
        <w:trPr>
          <w:trHeight w:hRule="exact" w:val="240"/>
          <w:jc w:val="center"/>
        </w:trPr>
        <w:tc>
          <w:tcPr>
            <w:tcW w:w="9752" w:type="dxa"/>
            <w:gridSpan w:val="2"/>
            <w:tcBorders>
              <w:top w:val="nil"/>
              <w:left w:val="nil"/>
              <w:bottom w:val="nil"/>
              <w:right w:val="nil"/>
            </w:tcBorders>
          </w:tcPr>
          <w:p w14:paraId="5366F9C6" w14:textId="77777777" w:rsidR="005A79DB" w:rsidRPr="00354796" w:rsidRDefault="005A79DB"/>
        </w:tc>
      </w:tr>
      <w:tr w:rsidR="005A79DB" w:rsidRPr="00354796" w14:paraId="52451B41" w14:textId="77777777">
        <w:trPr>
          <w:trHeight w:val="240"/>
          <w:jc w:val="center"/>
        </w:trPr>
        <w:tc>
          <w:tcPr>
            <w:tcW w:w="4876" w:type="dxa"/>
            <w:tcBorders>
              <w:top w:val="nil"/>
              <w:left w:val="nil"/>
              <w:bottom w:val="nil"/>
              <w:right w:val="nil"/>
            </w:tcBorders>
          </w:tcPr>
          <w:p w14:paraId="113FF24B"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5D3EEE34" w14:textId="77777777" w:rsidR="005A79DB" w:rsidRPr="00354796" w:rsidRDefault="006E31A1">
            <w:pPr>
              <w:pStyle w:val="AmColumnHeading"/>
            </w:pPr>
            <w:r w:rsidRPr="00354796">
              <w:t>Poprawka</w:t>
            </w:r>
          </w:p>
        </w:tc>
      </w:tr>
      <w:tr w:rsidR="005A79DB" w:rsidRPr="00354796" w14:paraId="51A00AAC" w14:textId="77777777">
        <w:trPr>
          <w:jc w:val="center"/>
        </w:trPr>
        <w:tc>
          <w:tcPr>
            <w:tcW w:w="4876" w:type="dxa"/>
            <w:tcBorders>
              <w:top w:val="nil"/>
              <w:left w:val="nil"/>
              <w:bottom w:val="nil"/>
              <w:right w:val="nil"/>
            </w:tcBorders>
          </w:tcPr>
          <w:p w14:paraId="403368B3" w14:textId="77777777" w:rsidR="005A79DB" w:rsidRPr="00354796" w:rsidRDefault="006E31A1">
            <w:pPr>
              <w:pStyle w:val="Normal6a"/>
            </w:pPr>
            <w:r w:rsidRPr="00354796">
              <w:t>7.</w:t>
            </w:r>
            <w:r w:rsidRPr="00354796">
              <w:tab/>
              <w:t xml:space="preserve">uważa, że bardziej znaczące przedłużenie, o co najmniej cztery lata, zapewniłoby ciągłość przedsiębiorstwom i administracjom podatkowym, dopóki pakiet dotyczący VAT w </w:t>
            </w:r>
            <w:r w:rsidRPr="00354796">
              <w:t xml:space="preserve">epoce cyfrowej, sprawozdawczość cyfrowa i krajowe systemy elektronicznego fakturowania nie </w:t>
            </w:r>
            <w:r w:rsidRPr="00354796">
              <w:lastRenderedPageBreak/>
              <w:t>przyniosą pełnego efektu;</w:t>
            </w:r>
          </w:p>
        </w:tc>
        <w:tc>
          <w:tcPr>
            <w:tcW w:w="4876" w:type="dxa"/>
            <w:tcBorders>
              <w:top w:val="nil"/>
              <w:left w:val="nil"/>
              <w:bottom w:val="nil"/>
              <w:right w:val="nil"/>
            </w:tcBorders>
          </w:tcPr>
          <w:p w14:paraId="0F447DF0" w14:textId="77777777" w:rsidR="005A79DB" w:rsidRPr="00354796" w:rsidRDefault="006E31A1">
            <w:pPr>
              <w:pStyle w:val="Normal6a"/>
            </w:pPr>
            <w:r w:rsidRPr="00354796">
              <w:lastRenderedPageBreak/>
              <w:t>7.</w:t>
            </w:r>
            <w:r w:rsidRPr="00354796">
              <w:tab/>
              <w:t xml:space="preserve">uważa, że bardziej znaczące przedłużenie, o co najmniej cztery lata, zapewniłoby ciągłość przedsiębiorstwom i administracjom podatkowym, dopóki pakiet dotyczący VAT w epoce cyfrowej, sprawozdawczość cyfrowa i krajowe systemy elektronicznego fakturowania nie </w:t>
            </w:r>
            <w:r w:rsidRPr="00354796">
              <w:lastRenderedPageBreak/>
              <w:t xml:space="preserve">przyniosą pełnego efektu; </w:t>
            </w:r>
            <w:r w:rsidRPr="00354796">
              <w:rPr>
                <w:b/>
                <w:i/>
              </w:rPr>
              <w:t xml:space="preserve">przypomina, że takie przedłużenie powinno mieć charakter przejściowy i służyć jako środek pomostowy do </w:t>
            </w:r>
            <w:r w:rsidRPr="00354796">
              <w:rPr>
                <w:b/>
                <w:i/>
              </w:rPr>
              <w:t>czasu wdrożenia zharmonizowanego, cyfrowego unijnego systemu VAT, opartego na solidnych wymogach dotyczących fakturowania elektronicznego i sprawozdawczości cyfrowej, oraz może przyczynić się do strukturalnego ograniczenia oszustw, uproszczenia przestrzegania przepisów przez legalne przedsiębiorstwa i zapewnienia stabilnych dochodów dla usług publicznych;</w:t>
            </w:r>
          </w:p>
        </w:tc>
      </w:tr>
    </w:tbl>
    <w:p w14:paraId="03C641F4"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7DCDC78" w14:textId="77777777" w:rsidR="005A79DB" w:rsidRPr="00354796" w:rsidRDefault="006E31A1">
      <w:r w:rsidRPr="00354796">
        <w:rPr>
          <w:rStyle w:val="HideTWBExt"/>
        </w:rPr>
        <w:t>&lt;/Amend&gt;</w:t>
      </w:r>
    </w:p>
    <w:p w14:paraId="1F02D597"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50</w:t>
      </w:r>
      <w:r w:rsidRPr="00354796">
        <w:rPr>
          <w:rStyle w:val="HideTWBExt"/>
        </w:rPr>
        <w:t>&lt;/NumAm&gt;</w:t>
      </w:r>
    </w:p>
    <w:p w14:paraId="4AC8CE35" w14:textId="77777777" w:rsidR="005A79DB" w:rsidRPr="00354796" w:rsidRDefault="006E31A1">
      <w:pPr>
        <w:pStyle w:val="NormalBold"/>
      </w:pPr>
      <w:r w:rsidRPr="00354796">
        <w:rPr>
          <w:rStyle w:val="HideTWBExt"/>
          <w:b w:val="0"/>
        </w:rPr>
        <w:t>&lt;RepeatBlock-By&gt;&lt;Members&gt;</w:t>
      </w:r>
      <w:r w:rsidRPr="00354796">
        <w:t>Markus Ferber</w:t>
      </w:r>
      <w:r w:rsidRPr="00354796">
        <w:rPr>
          <w:rStyle w:val="HideTWBExt"/>
          <w:b w:val="0"/>
        </w:rPr>
        <w:t>&lt;/Members&gt;</w:t>
      </w:r>
    </w:p>
    <w:p w14:paraId="149BA49E" w14:textId="77777777" w:rsidR="005A79DB" w:rsidRPr="00354796" w:rsidRDefault="006E31A1">
      <w:pPr>
        <w:pStyle w:val="NormalBold"/>
      </w:pPr>
      <w:r w:rsidRPr="00354796">
        <w:rPr>
          <w:rStyle w:val="HideTWBExt"/>
          <w:b w:val="0"/>
        </w:rPr>
        <w:t>&lt;/RepeatBlock-By&gt;</w:t>
      </w:r>
    </w:p>
    <w:p w14:paraId="32070150"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1CA3194" w14:textId="77777777" w:rsidR="005A79DB" w:rsidRPr="00354796" w:rsidRDefault="006E31A1">
      <w:pPr>
        <w:pStyle w:val="NormalBold"/>
      </w:pPr>
      <w:r w:rsidRPr="00354796">
        <w:rPr>
          <w:rStyle w:val="HideTWBExt"/>
        </w:rPr>
        <w:t>&lt;Article&gt;</w:t>
      </w:r>
      <w:r w:rsidRPr="00354796">
        <w:t>Ustęp 7</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7BB05A3" w14:textId="77777777">
        <w:trPr>
          <w:trHeight w:hRule="exact" w:val="240"/>
          <w:jc w:val="center"/>
        </w:trPr>
        <w:tc>
          <w:tcPr>
            <w:tcW w:w="9752" w:type="dxa"/>
            <w:gridSpan w:val="2"/>
            <w:tcBorders>
              <w:top w:val="nil"/>
              <w:left w:val="nil"/>
              <w:bottom w:val="nil"/>
              <w:right w:val="nil"/>
            </w:tcBorders>
          </w:tcPr>
          <w:p w14:paraId="54DCDA99" w14:textId="77777777" w:rsidR="005A79DB" w:rsidRPr="00354796" w:rsidRDefault="005A79DB"/>
        </w:tc>
      </w:tr>
      <w:tr w:rsidR="005A79DB" w:rsidRPr="00354796" w14:paraId="3D4B8BC3" w14:textId="77777777">
        <w:trPr>
          <w:trHeight w:val="240"/>
          <w:jc w:val="center"/>
        </w:trPr>
        <w:tc>
          <w:tcPr>
            <w:tcW w:w="4876" w:type="dxa"/>
            <w:tcBorders>
              <w:top w:val="nil"/>
              <w:left w:val="nil"/>
              <w:bottom w:val="nil"/>
              <w:right w:val="nil"/>
            </w:tcBorders>
          </w:tcPr>
          <w:p w14:paraId="1CD400D4"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C308ADA" w14:textId="77777777" w:rsidR="005A79DB" w:rsidRPr="00354796" w:rsidRDefault="006E31A1">
            <w:pPr>
              <w:pStyle w:val="AmColumnHeading"/>
            </w:pPr>
            <w:r w:rsidRPr="00354796">
              <w:t>Poprawka</w:t>
            </w:r>
          </w:p>
        </w:tc>
      </w:tr>
      <w:tr w:rsidR="005A79DB" w:rsidRPr="00354796" w14:paraId="0B0F7CF9" w14:textId="77777777">
        <w:trPr>
          <w:jc w:val="center"/>
        </w:trPr>
        <w:tc>
          <w:tcPr>
            <w:tcW w:w="4876" w:type="dxa"/>
            <w:tcBorders>
              <w:top w:val="nil"/>
              <w:left w:val="nil"/>
              <w:bottom w:val="nil"/>
              <w:right w:val="nil"/>
            </w:tcBorders>
          </w:tcPr>
          <w:p w14:paraId="163D8505" w14:textId="77777777" w:rsidR="005A79DB" w:rsidRPr="00354796" w:rsidRDefault="006E31A1">
            <w:pPr>
              <w:pStyle w:val="Normal6a"/>
            </w:pPr>
            <w:r w:rsidRPr="00354796">
              <w:t>7.</w:t>
            </w:r>
            <w:r w:rsidRPr="00354796">
              <w:tab/>
              <w:t>uważa, że bardziej znaczące przedłużenie</w:t>
            </w:r>
            <w:r w:rsidRPr="00354796">
              <w:rPr>
                <w:b/>
                <w:bCs/>
                <w:i/>
                <w:iCs/>
              </w:rPr>
              <w:t>, o co najmniej cztery lata,</w:t>
            </w:r>
            <w:r w:rsidRPr="00354796">
              <w:t xml:space="preserve"> zapewniłoby ciągłość przedsiębiorstwom i administracjom podatkowym, dopóki pakiet dotyczący VAT w epoce cyfrowej, sprawozdawczość cyfrowa i krajowe systemy elektronicznego fakturowania nie przyniosą pełnego efektu;</w:t>
            </w:r>
          </w:p>
        </w:tc>
        <w:tc>
          <w:tcPr>
            <w:tcW w:w="4876" w:type="dxa"/>
            <w:tcBorders>
              <w:top w:val="nil"/>
              <w:left w:val="nil"/>
              <w:bottom w:val="nil"/>
              <w:right w:val="nil"/>
            </w:tcBorders>
          </w:tcPr>
          <w:p w14:paraId="5124C7BD" w14:textId="77777777" w:rsidR="005A79DB" w:rsidRPr="00354796" w:rsidRDefault="006E31A1">
            <w:pPr>
              <w:pStyle w:val="Normal6a"/>
            </w:pPr>
            <w:r w:rsidRPr="00354796">
              <w:t>7.</w:t>
            </w:r>
            <w:r w:rsidRPr="00354796">
              <w:tab/>
              <w:t xml:space="preserve">uważa, że bardziej znaczące przedłużenie </w:t>
            </w:r>
            <w:r w:rsidRPr="00354796">
              <w:rPr>
                <w:b/>
                <w:bCs/>
                <w:i/>
                <w:iCs/>
              </w:rPr>
              <w:t xml:space="preserve">na okres wystarczający do pełnego wdrożenia pakietu dotyczącego VAT w epoce cyfrowej i wykazania jego skuteczności </w:t>
            </w:r>
            <w:r w:rsidRPr="00354796">
              <w:t xml:space="preserve">zapewniłoby ciągłość </w:t>
            </w:r>
            <w:r w:rsidRPr="00354796">
              <w:rPr>
                <w:b/>
                <w:bCs/>
                <w:i/>
                <w:iCs/>
              </w:rPr>
              <w:t xml:space="preserve">i przewidywalność </w:t>
            </w:r>
            <w:r w:rsidRPr="00354796">
              <w:t>przedsiębiorstwom i administracjom podatkowym, dopóki pakiet dotyczący VAT w epoce cyfrowej, sprawozdawczość cyfrowa i krajowe systemy elektronicznego fakturowania nie przyniosą pełnego efektu;</w:t>
            </w:r>
          </w:p>
        </w:tc>
      </w:tr>
    </w:tbl>
    <w:p w14:paraId="6C3A11BB"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AC71265" w14:textId="77777777" w:rsidR="005A79DB" w:rsidRPr="00354796" w:rsidRDefault="006E31A1">
      <w:r w:rsidRPr="00354796">
        <w:rPr>
          <w:rStyle w:val="HideTWBExt"/>
        </w:rPr>
        <w:t>&lt;/Amend&gt;</w:t>
      </w:r>
    </w:p>
    <w:p w14:paraId="1219700E"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51</w:t>
      </w:r>
      <w:r w:rsidRPr="00354796">
        <w:rPr>
          <w:rStyle w:val="HideTWBExt"/>
        </w:rPr>
        <w:t>&lt;/NumAm&gt;</w:t>
      </w:r>
    </w:p>
    <w:p w14:paraId="74EC87DF" w14:textId="77777777" w:rsidR="005A79DB" w:rsidRPr="00354796" w:rsidRDefault="006E31A1">
      <w:pPr>
        <w:pStyle w:val="NormalBold"/>
      </w:pPr>
      <w:r w:rsidRPr="00354796">
        <w:rPr>
          <w:rStyle w:val="HideTWBExt"/>
          <w:b w:val="0"/>
        </w:rPr>
        <w:t>&lt;RepeatBlock-By&gt;&lt;Members&gt;</w:t>
      </w:r>
      <w:r w:rsidRPr="00354796">
        <w:t>Kira Marie Peter-Hansen</w:t>
      </w:r>
      <w:r w:rsidRPr="00354796">
        <w:rPr>
          <w:rStyle w:val="HideTWBExt"/>
          <w:b w:val="0"/>
        </w:rPr>
        <w:t>&lt;/Members&gt;</w:t>
      </w:r>
    </w:p>
    <w:p w14:paraId="31257E75" w14:textId="77777777" w:rsidR="005A79DB" w:rsidRPr="00354796" w:rsidRDefault="006E31A1">
      <w:r w:rsidRPr="00354796">
        <w:rPr>
          <w:rStyle w:val="HideTWBExt"/>
        </w:rPr>
        <w:t>&lt;AuNomDe&gt;</w:t>
      </w:r>
      <w:r w:rsidRPr="00354796">
        <w:rPr>
          <w:rStyle w:val="HideTWBInt"/>
          <w:color w:val="auto"/>
        </w:rPr>
        <w:t>{Verts/ALE}</w:t>
      </w:r>
      <w:r w:rsidRPr="00354796">
        <w:t xml:space="preserve">w imieniu grupy </w:t>
      </w:r>
      <w:proofErr w:type="spellStart"/>
      <w:r w:rsidRPr="00354796">
        <w:t>Verts</w:t>
      </w:r>
      <w:proofErr w:type="spellEnd"/>
      <w:r w:rsidRPr="00354796">
        <w:t>/ALE</w:t>
      </w:r>
      <w:r w:rsidRPr="00354796">
        <w:rPr>
          <w:rStyle w:val="HideTWBExt"/>
        </w:rPr>
        <w:t>&lt;/AuNomDe&gt;</w:t>
      </w:r>
    </w:p>
    <w:p w14:paraId="06711F81" w14:textId="77777777" w:rsidR="005A79DB" w:rsidRPr="00354796" w:rsidRDefault="006E31A1">
      <w:pPr>
        <w:pStyle w:val="NormalBold"/>
      </w:pPr>
      <w:r w:rsidRPr="00354796">
        <w:rPr>
          <w:rStyle w:val="HideTWBExt"/>
          <w:b w:val="0"/>
        </w:rPr>
        <w:t>&lt;/RepeatBlock-By&gt;</w:t>
      </w:r>
    </w:p>
    <w:p w14:paraId="3CD258E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6CA962DE" w14:textId="77777777" w:rsidR="005A79DB" w:rsidRPr="00354796" w:rsidRDefault="006E31A1">
      <w:pPr>
        <w:pStyle w:val="NormalBold"/>
      </w:pPr>
      <w:r w:rsidRPr="00354796">
        <w:rPr>
          <w:rStyle w:val="HideTWBExt"/>
        </w:rPr>
        <w:t>&lt;Article&gt;</w:t>
      </w:r>
      <w:r w:rsidRPr="00354796">
        <w:t>Ustęp 7</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2CE6126" w14:textId="77777777">
        <w:trPr>
          <w:trHeight w:hRule="exact" w:val="240"/>
          <w:jc w:val="center"/>
        </w:trPr>
        <w:tc>
          <w:tcPr>
            <w:tcW w:w="9752" w:type="dxa"/>
            <w:gridSpan w:val="2"/>
            <w:tcBorders>
              <w:top w:val="nil"/>
              <w:left w:val="nil"/>
              <w:bottom w:val="nil"/>
              <w:right w:val="nil"/>
            </w:tcBorders>
          </w:tcPr>
          <w:p w14:paraId="3942CD65" w14:textId="77777777" w:rsidR="005A79DB" w:rsidRPr="00354796" w:rsidRDefault="005A79DB"/>
        </w:tc>
      </w:tr>
      <w:tr w:rsidR="005A79DB" w:rsidRPr="00354796" w14:paraId="7E0A901A" w14:textId="77777777">
        <w:trPr>
          <w:trHeight w:val="240"/>
          <w:jc w:val="center"/>
        </w:trPr>
        <w:tc>
          <w:tcPr>
            <w:tcW w:w="4876" w:type="dxa"/>
            <w:tcBorders>
              <w:top w:val="nil"/>
              <w:left w:val="nil"/>
              <w:bottom w:val="nil"/>
              <w:right w:val="nil"/>
            </w:tcBorders>
          </w:tcPr>
          <w:p w14:paraId="5271D741"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45BBA64" w14:textId="77777777" w:rsidR="005A79DB" w:rsidRPr="00354796" w:rsidRDefault="006E31A1">
            <w:pPr>
              <w:pStyle w:val="AmColumnHeading"/>
            </w:pPr>
            <w:r w:rsidRPr="00354796">
              <w:t>Poprawka</w:t>
            </w:r>
          </w:p>
        </w:tc>
      </w:tr>
      <w:tr w:rsidR="005A79DB" w:rsidRPr="00354796" w14:paraId="2B19B876" w14:textId="77777777">
        <w:trPr>
          <w:jc w:val="center"/>
        </w:trPr>
        <w:tc>
          <w:tcPr>
            <w:tcW w:w="4876" w:type="dxa"/>
            <w:tcBorders>
              <w:top w:val="nil"/>
              <w:left w:val="nil"/>
              <w:bottom w:val="nil"/>
              <w:right w:val="nil"/>
            </w:tcBorders>
          </w:tcPr>
          <w:p w14:paraId="7647265C" w14:textId="77777777" w:rsidR="005A79DB" w:rsidRPr="00354796" w:rsidRDefault="006E31A1">
            <w:pPr>
              <w:pStyle w:val="Normal6a"/>
            </w:pPr>
            <w:r w:rsidRPr="00354796">
              <w:t>7.</w:t>
            </w:r>
            <w:r w:rsidRPr="00354796">
              <w:tab/>
              <w:t>uważa, że bardziej znaczące przedłużenie</w:t>
            </w:r>
            <w:r w:rsidRPr="00354796">
              <w:rPr>
                <w:b/>
                <w:bCs/>
                <w:i/>
                <w:iCs/>
              </w:rPr>
              <w:t>, o co najmniej cztery lata, zapewniłoby</w:t>
            </w:r>
            <w:r w:rsidRPr="00354796">
              <w:t xml:space="preserve"> ciągłość </w:t>
            </w:r>
            <w:r w:rsidRPr="00354796">
              <w:rPr>
                <w:b/>
                <w:bCs/>
                <w:i/>
                <w:iCs/>
              </w:rPr>
              <w:t>przedsiębiorstwom</w:t>
            </w:r>
            <w:r w:rsidRPr="00354796">
              <w:t xml:space="preserve"> i </w:t>
            </w:r>
            <w:r w:rsidRPr="00354796">
              <w:rPr>
                <w:b/>
                <w:bCs/>
                <w:i/>
                <w:iCs/>
              </w:rPr>
              <w:t>administracjom podatkowym</w:t>
            </w:r>
            <w:r w:rsidRPr="00354796">
              <w:t>, dopóki pakiet dotyczący VAT w epoce cyfrowej, sprawozdawczość cyfrowa i krajowe systemy elektronicznego fakturowania nie przyniosą pełnego efektu;</w:t>
            </w:r>
          </w:p>
        </w:tc>
        <w:tc>
          <w:tcPr>
            <w:tcW w:w="4876" w:type="dxa"/>
            <w:tcBorders>
              <w:top w:val="nil"/>
              <w:left w:val="nil"/>
              <w:bottom w:val="nil"/>
              <w:right w:val="nil"/>
            </w:tcBorders>
          </w:tcPr>
          <w:p w14:paraId="22978D70" w14:textId="77777777" w:rsidR="005A79DB" w:rsidRPr="00354796" w:rsidRDefault="006E31A1">
            <w:pPr>
              <w:pStyle w:val="Normal6a"/>
            </w:pPr>
            <w:r w:rsidRPr="00354796">
              <w:t>7.</w:t>
            </w:r>
            <w:r w:rsidRPr="00354796">
              <w:tab/>
              <w:t xml:space="preserve">uważa, że bardziej znaczące przedłużenie </w:t>
            </w:r>
            <w:r w:rsidRPr="00354796">
              <w:rPr>
                <w:b/>
                <w:bCs/>
                <w:i/>
                <w:iCs/>
              </w:rPr>
              <w:t>powinno podlegać klauzuli wygaśnięcia i regularnym przeglądom oraz że powinna mu towarzyszyć ocena Komisji, aby zapewnić adekwatność środka oraz</w:t>
            </w:r>
            <w:r w:rsidRPr="00354796">
              <w:t xml:space="preserve"> ciągłość </w:t>
            </w:r>
            <w:r w:rsidRPr="00354796">
              <w:rPr>
                <w:b/>
                <w:bCs/>
                <w:i/>
                <w:iCs/>
              </w:rPr>
              <w:t>dla przedsiębiorstw</w:t>
            </w:r>
            <w:r w:rsidRPr="00354796">
              <w:t xml:space="preserve"> i </w:t>
            </w:r>
            <w:r w:rsidRPr="00354796">
              <w:rPr>
                <w:b/>
                <w:bCs/>
                <w:i/>
                <w:iCs/>
              </w:rPr>
              <w:t>administracji podatkowych</w:t>
            </w:r>
            <w:r w:rsidRPr="00354796">
              <w:t>, dopóki pakiet dotyczący VAT w epoce cyfrowej, sprawozdawczość cyfrowa i krajowe systemy elektronicznego fakturowania nie przyniosą pełnego efektu;</w:t>
            </w:r>
          </w:p>
        </w:tc>
      </w:tr>
    </w:tbl>
    <w:p w14:paraId="14C6583E"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834000B" w14:textId="77777777" w:rsidR="005A79DB" w:rsidRPr="00354796" w:rsidRDefault="006E31A1">
      <w:r w:rsidRPr="00354796">
        <w:rPr>
          <w:rStyle w:val="HideTWBExt"/>
        </w:rPr>
        <w:t>&lt;/Amend&gt;</w:t>
      </w:r>
    </w:p>
    <w:p w14:paraId="1DF25E58"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52</w:t>
      </w:r>
      <w:r w:rsidRPr="00354796">
        <w:rPr>
          <w:rStyle w:val="HideTWBExt"/>
        </w:rPr>
        <w:t>&lt;/NumAm&gt;</w:t>
      </w:r>
    </w:p>
    <w:p w14:paraId="761A2038"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635304C5" w14:textId="77777777" w:rsidR="005A79DB" w:rsidRPr="00354796" w:rsidRDefault="006E31A1">
      <w:pPr>
        <w:pStyle w:val="NormalBold"/>
      </w:pPr>
      <w:r w:rsidRPr="00354796">
        <w:rPr>
          <w:rStyle w:val="HideTWBExt"/>
          <w:b w:val="0"/>
        </w:rPr>
        <w:t>&lt;/RepeatBlock-By&gt;</w:t>
      </w:r>
    </w:p>
    <w:p w14:paraId="02EAE04C"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07AB7836" w14:textId="77777777" w:rsidR="005A79DB" w:rsidRPr="00354796" w:rsidRDefault="006E31A1">
      <w:pPr>
        <w:pStyle w:val="NormalBold"/>
      </w:pPr>
      <w:r w:rsidRPr="00354796">
        <w:rPr>
          <w:rStyle w:val="HideTWBExt"/>
        </w:rPr>
        <w:t>&lt;Article&gt;</w:t>
      </w:r>
      <w:r w:rsidRPr="00354796">
        <w:t>Ustęp 7</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FEA9681" w14:textId="77777777">
        <w:trPr>
          <w:trHeight w:hRule="exact" w:val="240"/>
          <w:jc w:val="center"/>
        </w:trPr>
        <w:tc>
          <w:tcPr>
            <w:tcW w:w="9752" w:type="dxa"/>
            <w:gridSpan w:val="2"/>
            <w:tcBorders>
              <w:top w:val="nil"/>
              <w:left w:val="nil"/>
              <w:bottom w:val="nil"/>
              <w:right w:val="nil"/>
            </w:tcBorders>
          </w:tcPr>
          <w:p w14:paraId="582F76BA" w14:textId="77777777" w:rsidR="005A79DB" w:rsidRPr="00354796" w:rsidRDefault="005A79DB"/>
        </w:tc>
      </w:tr>
      <w:tr w:rsidR="005A79DB" w:rsidRPr="00354796" w14:paraId="223F847C" w14:textId="77777777">
        <w:trPr>
          <w:trHeight w:val="240"/>
          <w:jc w:val="center"/>
        </w:trPr>
        <w:tc>
          <w:tcPr>
            <w:tcW w:w="4876" w:type="dxa"/>
            <w:tcBorders>
              <w:top w:val="nil"/>
              <w:left w:val="nil"/>
              <w:bottom w:val="nil"/>
              <w:right w:val="nil"/>
            </w:tcBorders>
          </w:tcPr>
          <w:p w14:paraId="559C8E5B"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20E1B70" w14:textId="77777777" w:rsidR="005A79DB" w:rsidRPr="00354796" w:rsidRDefault="006E31A1">
            <w:pPr>
              <w:pStyle w:val="AmColumnHeading"/>
            </w:pPr>
            <w:r w:rsidRPr="00354796">
              <w:t>Poprawka</w:t>
            </w:r>
          </w:p>
        </w:tc>
      </w:tr>
      <w:tr w:rsidR="005A79DB" w:rsidRPr="00354796" w14:paraId="3ACC2EB0" w14:textId="77777777">
        <w:trPr>
          <w:jc w:val="center"/>
        </w:trPr>
        <w:tc>
          <w:tcPr>
            <w:tcW w:w="4876" w:type="dxa"/>
            <w:tcBorders>
              <w:top w:val="nil"/>
              <w:left w:val="nil"/>
              <w:bottom w:val="nil"/>
              <w:right w:val="nil"/>
            </w:tcBorders>
          </w:tcPr>
          <w:p w14:paraId="79CA58FE" w14:textId="77777777" w:rsidR="005A79DB" w:rsidRPr="00354796" w:rsidRDefault="006E31A1">
            <w:pPr>
              <w:pStyle w:val="Normal6a"/>
            </w:pPr>
            <w:r w:rsidRPr="00354796">
              <w:t>7.</w:t>
            </w:r>
            <w:r w:rsidRPr="00354796">
              <w:tab/>
              <w:t>uważa, że bardziej znaczące przedłużenie</w:t>
            </w:r>
            <w:r w:rsidRPr="00354796">
              <w:rPr>
                <w:b/>
                <w:bCs/>
                <w:i/>
                <w:iCs/>
              </w:rPr>
              <w:t>, o co najmniej cztery lata,</w:t>
            </w:r>
            <w:r w:rsidRPr="00354796">
              <w:t xml:space="preserve"> zapewniłoby ciągłość przedsiębiorstwom i administracjom podatkowym, dopóki pakiet dotyczący VAT w epoce cyfrowej, sprawozdawczość cyfrowa i krajowe systemy elektronicznego fakturowania nie przyniosą pełnego efektu;</w:t>
            </w:r>
          </w:p>
        </w:tc>
        <w:tc>
          <w:tcPr>
            <w:tcW w:w="4876" w:type="dxa"/>
            <w:tcBorders>
              <w:top w:val="nil"/>
              <w:left w:val="nil"/>
              <w:bottom w:val="nil"/>
              <w:right w:val="nil"/>
            </w:tcBorders>
          </w:tcPr>
          <w:p w14:paraId="62C50135" w14:textId="77777777" w:rsidR="005A79DB" w:rsidRPr="00354796" w:rsidRDefault="006E31A1">
            <w:pPr>
              <w:pStyle w:val="Normal6a"/>
            </w:pPr>
            <w:r w:rsidRPr="00354796">
              <w:t>7.</w:t>
            </w:r>
            <w:r w:rsidRPr="00354796">
              <w:tab/>
              <w:t xml:space="preserve">uważa, że bardziej znaczące przedłużenie </w:t>
            </w:r>
            <w:r w:rsidRPr="00354796">
              <w:rPr>
                <w:b/>
                <w:bCs/>
                <w:i/>
                <w:iCs/>
              </w:rPr>
              <w:t xml:space="preserve">niż to przyznawane dotychczas </w:t>
            </w:r>
            <w:r w:rsidRPr="00354796">
              <w:t>zapewniłoby ciągłość przedsiębiorstwom i administracjom podatkowym, dopóki pakiet dotyczący VAT w epoce cyfrowej, sprawozdawczość cyfrowa i krajowe systemy elektronicznego fakturowania nie przyniosą pełnego efektu;</w:t>
            </w:r>
          </w:p>
        </w:tc>
      </w:tr>
    </w:tbl>
    <w:p w14:paraId="4627E703"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3D6261A" w14:textId="77777777" w:rsidR="005A79DB" w:rsidRPr="00354796" w:rsidRDefault="006E31A1">
      <w:r w:rsidRPr="00354796">
        <w:rPr>
          <w:rStyle w:val="HideTWBExt"/>
        </w:rPr>
        <w:t>&lt;/Amend&gt;</w:t>
      </w:r>
    </w:p>
    <w:p w14:paraId="498055E9"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53</w:t>
      </w:r>
      <w:r w:rsidRPr="00354796">
        <w:rPr>
          <w:rStyle w:val="HideTWBExt"/>
        </w:rPr>
        <w:t>&lt;/NumAm&gt;</w:t>
      </w:r>
    </w:p>
    <w:p w14:paraId="5B6CBAC3"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7545B2FD" w14:textId="77777777" w:rsidR="005A79DB" w:rsidRPr="00354796" w:rsidRDefault="006E31A1">
      <w:pPr>
        <w:pStyle w:val="NormalBold"/>
      </w:pPr>
      <w:r w:rsidRPr="00354796">
        <w:rPr>
          <w:rStyle w:val="HideTWBExt"/>
          <w:b w:val="0"/>
        </w:rPr>
        <w:t>&lt;/RepeatBlock-By&gt;</w:t>
      </w:r>
    </w:p>
    <w:p w14:paraId="0DF0802F"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E7250AE" w14:textId="77777777" w:rsidR="005A79DB" w:rsidRPr="00354796" w:rsidRDefault="006E31A1">
      <w:pPr>
        <w:pStyle w:val="NormalBold"/>
      </w:pPr>
      <w:r w:rsidRPr="00354796">
        <w:rPr>
          <w:rStyle w:val="HideTWBExt"/>
        </w:rPr>
        <w:t>&lt;Article&gt;</w:t>
      </w:r>
      <w:r w:rsidRPr="00354796">
        <w:t>Ustęp 7</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078DC20" w14:textId="77777777">
        <w:trPr>
          <w:trHeight w:hRule="exact" w:val="240"/>
          <w:jc w:val="center"/>
        </w:trPr>
        <w:tc>
          <w:tcPr>
            <w:tcW w:w="9752" w:type="dxa"/>
            <w:gridSpan w:val="2"/>
            <w:tcBorders>
              <w:top w:val="nil"/>
              <w:left w:val="nil"/>
              <w:bottom w:val="nil"/>
              <w:right w:val="nil"/>
            </w:tcBorders>
          </w:tcPr>
          <w:p w14:paraId="628E1999" w14:textId="77777777" w:rsidR="005A79DB" w:rsidRPr="00354796" w:rsidRDefault="005A79DB"/>
        </w:tc>
      </w:tr>
      <w:tr w:rsidR="005A79DB" w:rsidRPr="00354796" w14:paraId="7490B45C" w14:textId="77777777">
        <w:trPr>
          <w:trHeight w:val="240"/>
          <w:jc w:val="center"/>
        </w:trPr>
        <w:tc>
          <w:tcPr>
            <w:tcW w:w="4876" w:type="dxa"/>
            <w:tcBorders>
              <w:top w:val="nil"/>
              <w:left w:val="nil"/>
              <w:bottom w:val="nil"/>
              <w:right w:val="nil"/>
            </w:tcBorders>
          </w:tcPr>
          <w:p w14:paraId="37A16D6D"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6EFB21C" w14:textId="77777777" w:rsidR="005A79DB" w:rsidRPr="00354796" w:rsidRDefault="006E31A1">
            <w:pPr>
              <w:pStyle w:val="AmColumnHeading"/>
            </w:pPr>
            <w:r w:rsidRPr="00354796">
              <w:t>Poprawka</w:t>
            </w:r>
          </w:p>
        </w:tc>
      </w:tr>
      <w:tr w:rsidR="005A79DB" w:rsidRPr="00354796" w14:paraId="0B1D3D47" w14:textId="77777777">
        <w:trPr>
          <w:jc w:val="center"/>
        </w:trPr>
        <w:tc>
          <w:tcPr>
            <w:tcW w:w="4876" w:type="dxa"/>
            <w:tcBorders>
              <w:top w:val="nil"/>
              <w:left w:val="nil"/>
              <w:bottom w:val="nil"/>
              <w:right w:val="nil"/>
            </w:tcBorders>
          </w:tcPr>
          <w:p w14:paraId="6E64259B" w14:textId="77777777" w:rsidR="005A79DB" w:rsidRPr="00354796" w:rsidRDefault="006E31A1">
            <w:pPr>
              <w:pStyle w:val="Normal6a"/>
            </w:pPr>
            <w:r w:rsidRPr="00354796">
              <w:t>7.</w:t>
            </w:r>
            <w:r w:rsidRPr="00354796">
              <w:tab/>
            </w:r>
            <w:r w:rsidRPr="00354796">
              <w:rPr>
                <w:b/>
                <w:bCs/>
                <w:i/>
                <w:iCs/>
              </w:rPr>
              <w:t>uważa</w:t>
            </w:r>
            <w:r w:rsidRPr="00354796">
              <w:t xml:space="preserve">, że </w:t>
            </w:r>
            <w:r w:rsidRPr="00354796">
              <w:rPr>
                <w:b/>
                <w:bCs/>
                <w:i/>
                <w:iCs/>
              </w:rPr>
              <w:t>bardziej znaczące</w:t>
            </w:r>
            <w:r w:rsidRPr="00354796">
              <w:t xml:space="preserve"> </w:t>
            </w:r>
            <w:r w:rsidRPr="00354796">
              <w:lastRenderedPageBreak/>
              <w:t>przedłużenie</w:t>
            </w:r>
            <w:r w:rsidRPr="00354796">
              <w:rPr>
                <w:b/>
                <w:bCs/>
                <w:i/>
                <w:iCs/>
              </w:rPr>
              <w:t>, o co najmniej cztery lata,</w:t>
            </w:r>
            <w:r w:rsidRPr="00354796">
              <w:t xml:space="preserve"> zapewniłoby ciągłość przedsiębiorstwom i administracjom podatkowym, dopóki pakiet dotyczący VAT w epoce cyfrowej, sprawozdawczość cyfrowa i krajowe systemy elektronicznego fakturowania nie przyniosą pełnego efektu;</w:t>
            </w:r>
          </w:p>
        </w:tc>
        <w:tc>
          <w:tcPr>
            <w:tcW w:w="4876" w:type="dxa"/>
            <w:tcBorders>
              <w:top w:val="nil"/>
              <w:left w:val="nil"/>
              <w:bottom w:val="nil"/>
              <w:right w:val="nil"/>
            </w:tcBorders>
          </w:tcPr>
          <w:p w14:paraId="130392A3" w14:textId="77777777" w:rsidR="005A79DB" w:rsidRPr="00354796" w:rsidRDefault="006E31A1">
            <w:pPr>
              <w:pStyle w:val="Normal6a"/>
            </w:pPr>
            <w:r w:rsidRPr="00354796">
              <w:lastRenderedPageBreak/>
              <w:t>7.</w:t>
            </w:r>
            <w:r w:rsidRPr="00354796">
              <w:tab/>
            </w:r>
            <w:r w:rsidRPr="00354796">
              <w:rPr>
                <w:b/>
                <w:bCs/>
                <w:i/>
                <w:iCs/>
              </w:rPr>
              <w:t>podkreśla</w:t>
            </w:r>
            <w:r w:rsidRPr="00354796">
              <w:t xml:space="preserve">, że </w:t>
            </w:r>
            <w:r w:rsidRPr="00354796">
              <w:rPr>
                <w:b/>
                <w:bCs/>
                <w:i/>
                <w:iCs/>
              </w:rPr>
              <w:t>takie</w:t>
            </w:r>
            <w:r w:rsidRPr="00354796">
              <w:t xml:space="preserve"> przedłużenie </w:t>
            </w:r>
            <w:r w:rsidRPr="00354796">
              <w:lastRenderedPageBreak/>
              <w:t>zapewniłoby ciągłość przedsiębiorstwom i administracjom podatkowym, dopóki pakiet dotyczący VAT w epoce cyfrowej, sprawozdawczość cyfrowa i krajowe systemy elektronicznego fakturowania nie przyniosą pełnego efektu;</w:t>
            </w:r>
          </w:p>
        </w:tc>
      </w:tr>
    </w:tbl>
    <w:p w14:paraId="7BC479E5"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B8553BB" w14:textId="77777777" w:rsidR="005A79DB" w:rsidRPr="00354796" w:rsidRDefault="006E31A1">
      <w:r w:rsidRPr="00354796">
        <w:rPr>
          <w:rStyle w:val="HideTWBExt"/>
        </w:rPr>
        <w:t>&lt;/Amend&gt;</w:t>
      </w:r>
    </w:p>
    <w:p w14:paraId="04EA0B6C"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54</w:t>
      </w:r>
      <w:r w:rsidRPr="00354796">
        <w:rPr>
          <w:rStyle w:val="HideTWBExt"/>
        </w:rPr>
        <w:t>&lt;/NumAm&gt;</w:t>
      </w:r>
    </w:p>
    <w:p w14:paraId="21C4E396"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195BB18F" w14:textId="77777777" w:rsidR="005A79DB" w:rsidRPr="00354796" w:rsidRDefault="006E31A1">
      <w:pPr>
        <w:pStyle w:val="NormalBold"/>
      </w:pPr>
      <w:r w:rsidRPr="00354796">
        <w:rPr>
          <w:rStyle w:val="HideTWBExt"/>
          <w:b w:val="0"/>
        </w:rPr>
        <w:t>&lt;/RepeatBlock-By&gt;</w:t>
      </w:r>
    </w:p>
    <w:p w14:paraId="6DB77A09"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32D1A93A" w14:textId="77777777" w:rsidR="005A79DB" w:rsidRPr="00354796" w:rsidRDefault="006E31A1">
      <w:pPr>
        <w:pStyle w:val="NormalBold"/>
      </w:pPr>
      <w:r w:rsidRPr="00354796">
        <w:rPr>
          <w:rStyle w:val="HideTWBExt"/>
        </w:rPr>
        <w:t>&lt;Article&gt;</w:t>
      </w:r>
      <w:r w:rsidRPr="00354796">
        <w:t>Ustęp 7</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815FB07" w14:textId="77777777">
        <w:trPr>
          <w:trHeight w:hRule="exact" w:val="240"/>
          <w:jc w:val="center"/>
        </w:trPr>
        <w:tc>
          <w:tcPr>
            <w:tcW w:w="9752" w:type="dxa"/>
            <w:gridSpan w:val="2"/>
            <w:tcBorders>
              <w:top w:val="nil"/>
              <w:left w:val="nil"/>
              <w:bottom w:val="nil"/>
              <w:right w:val="nil"/>
            </w:tcBorders>
          </w:tcPr>
          <w:p w14:paraId="3055D696" w14:textId="77777777" w:rsidR="005A79DB" w:rsidRPr="00354796" w:rsidRDefault="005A79DB"/>
        </w:tc>
      </w:tr>
      <w:tr w:rsidR="005A79DB" w:rsidRPr="00354796" w14:paraId="33479033" w14:textId="77777777">
        <w:trPr>
          <w:trHeight w:val="240"/>
          <w:jc w:val="center"/>
        </w:trPr>
        <w:tc>
          <w:tcPr>
            <w:tcW w:w="4876" w:type="dxa"/>
            <w:tcBorders>
              <w:top w:val="nil"/>
              <w:left w:val="nil"/>
              <w:bottom w:val="nil"/>
              <w:right w:val="nil"/>
            </w:tcBorders>
          </w:tcPr>
          <w:p w14:paraId="2E4C20C6"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9920E9E" w14:textId="77777777" w:rsidR="005A79DB" w:rsidRPr="00354796" w:rsidRDefault="006E31A1">
            <w:pPr>
              <w:pStyle w:val="AmColumnHeading"/>
            </w:pPr>
            <w:r w:rsidRPr="00354796">
              <w:t>Poprawka</w:t>
            </w:r>
          </w:p>
        </w:tc>
      </w:tr>
      <w:tr w:rsidR="005A79DB" w:rsidRPr="00354796" w14:paraId="00D37284" w14:textId="77777777">
        <w:trPr>
          <w:jc w:val="center"/>
        </w:trPr>
        <w:tc>
          <w:tcPr>
            <w:tcW w:w="4876" w:type="dxa"/>
            <w:tcBorders>
              <w:top w:val="nil"/>
              <w:left w:val="nil"/>
              <w:bottom w:val="nil"/>
              <w:right w:val="nil"/>
            </w:tcBorders>
          </w:tcPr>
          <w:p w14:paraId="5B73D555" w14:textId="77777777" w:rsidR="005A79DB" w:rsidRPr="00354796" w:rsidRDefault="006E31A1">
            <w:pPr>
              <w:pStyle w:val="Normal6a"/>
            </w:pPr>
            <w:r w:rsidRPr="00354796">
              <w:t>7.</w:t>
            </w:r>
            <w:r w:rsidRPr="00354796">
              <w:tab/>
              <w:t xml:space="preserve">uważa, że </w:t>
            </w:r>
            <w:r w:rsidRPr="00354796">
              <w:rPr>
                <w:b/>
                <w:bCs/>
                <w:i/>
                <w:iCs/>
              </w:rPr>
              <w:t>bardziej</w:t>
            </w:r>
            <w:r w:rsidRPr="00354796">
              <w:t xml:space="preserve"> znaczące przedłużenie</w:t>
            </w:r>
            <w:r w:rsidRPr="00354796">
              <w:rPr>
                <w:b/>
                <w:bCs/>
                <w:i/>
                <w:iCs/>
              </w:rPr>
              <w:t>, o co najmniej cztery lata,</w:t>
            </w:r>
            <w:r w:rsidRPr="00354796">
              <w:t xml:space="preserve"> zapewniłoby ciągłość przedsiębiorstwom i administracjom podatkowym, dopóki pakiet dotyczący VAT w epoce cyfrowej, sprawozdawczość cyfrowa i krajowe systemy elektronicznego fakturowania nie przyniosą pełnego efektu;</w:t>
            </w:r>
          </w:p>
        </w:tc>
        <w:tc>
          <w:tcPr>
            <w:tcW w:w="4876" w:type="dxa"/>
            <w:tcBorders>
              <w:top w:val="nil"/>
              <w:left w:val="nil"/>
              <w:bottom w:val="nil"/>
              <w:right w:val="nil"/>
            </w:tcBorders>
          </w:tcPr>
          <w:p w14:paraId="05CC11CC" w14:textId="77777777" w:rsidR="005A79DB" w:rsidRPr="00354796" w:rsidRDefault="006E31A1">
            <w:pPr>
              <w:pStyle w:val="Normal6a"/>
            </w:pPr>
            <w:r w:rsidRPr="00354796">
              <w:t>7.</w:t>
            </w:r>
            <w:r w:rsidRPr="00354796">
              <w:tab/>
              <w:t xml:space="preserve">uważa, że </w:t>
            </w:r>
            <w:r w:rsidRPr="00354796">
              <w:rPr>
                <w:b/>
                <w:bCs/>
                <w:i/>
                <w:iCs/>
              </w:rPr>
              <w:t>jedynie</w:t>
            </w:r>
            <w:r w:rsidRPr="00354796">
              <w:t xml:space="preserve"> znaczące przedłużenie zapewniłoby ciągłość przedsiębiorstwom i administracjom podatkowym, dopóki pakiet dotyczący VAT w epoce cyfrowej, sprawozdawczość cyfrowa i krajowe systemy elektronicznego fakturowania nie przyniosą pełnego efektu;</w:t>
            </w:r>
          </w:p>
        </w:tc>
      </w:tr>
    </w:tbl>
    <w:p w14:paraId="4ADCD64B"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515D8C3" w14:textId="77777777" w:rsidR="005A79DB" w:rsidRPr="00354796" w:rsidRDefault="006E31A1">
      <w:r w:rsidRPr="00354796">
        <w:rPr>
          <w:rStyle w:val="HideTWBExt"/>
        </w:rPr>
        <w:t>&lt;/Amend&gt;</w:t>
      </w:r>
    </w:p>
    <w:p w14:paraId="022963CC"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55</w:t>
      </w:r>
      <w:r w:rsidRPr="00354796">
        <w:rPr>
          <w:rStyle w:val="HideTWBExt"/>
        </w:rPr>
        <w:t>&lt;/NumAm&gt;</w:t>
      </w:r>
    </w:p>
    <w:p w14:paraId="08E62A02"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00E6383E" w14:textId="77777777" w:rsidR="005A79DB" w:rsidRPr="00354796" w:rsidRDefault="006E31A1">
      <w:pPr>
        <w:pStyle w:val="NormalBold"/>
      </w:pPr>
      <w:r w:rsidRPr="00354796">
        <w:rPr>
          <w:rStyle w:val="HideTWBExt"/>
          <w:b w:val="0"/>
        </w:rPr>
        <w:t>&lt;/RepeatBlock-By&gt;</w:t>
      </w:r>
    </w:p>
    <w:p w14:paraId="1B085EC2"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B28048F" w14:textId="77777777" w:rsidR="005A79DB" w:rsidRPr="00354796" w:rsidRDefault="006E31A1">
      <w:pPr>
        <w:pStyle w:val="NormalBold"/>
      </w:pPr>
      <w:r w:rsidRPr="00354796">
        <w:rPr>
          <w:rStyle w:val="HideTWBExt"/>
        </w:rPr>
        <w:t>&lt;Article&gt;</w:t>
      </w:r>
      <w:r w:rsidRPr="00354796">
        <w:t>Ustęp 7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5B79F6E" w14:textId="77777777">
        <w:trPr>
          <w:trHeight w:hRule="exact" w:val="240"/>
          <w:jc w:val="center"/>
        </w:trPr>
        <w:tc>
          <w:tcPr>
            <w:tcW w:w="9752" w:type="dxa"/>
            <w:gridSpan w:val="2"/>
            <w:tcBorders>
              <w:top w:val="nil"/>
              <w:left w:val="nil"/>
              <w:bottom w:val="nil"/>
              <w:right w:val="nil"/>
            </w:tcBorders>
          </w:tcPr>
          <w:p w14:paraId="3943B65B" w14:textId="77777777" w:rsidR="005A79DB" w:rsidRPr="00354796" w:rsidRDefault="005A79DB"/>
        </w:tc>
      </w:tr>
      <w:tr w:rsidR="005A79DB" w:rsidRPr="00354796" w14:paraId="57BEB16A" w14:textId="77777777">
        <w:trPr>
          <w:trHeight w:val="240"/>
          <w:jc w:val="center"/>
        </w:trPr>
        <w:tc>
          <w:tcPr>
            <w:tcW w:w="4876" w:type="dxa"/>
            <w:tcBorders>
              <w:top w:val="nil"/>
              <w:left w:val="nil"/>
              <w:bottom w:val="nil"/>
              <w:right w:val="nil"/>
            </w:tcBorders>
          </w:tcPr>
          <w:p w14:paraId="206C235E"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F958FE8" w14:textId="77777777" w:rsidR="005A79DB" w:rsidRPr="00354796" w:rsidRDefault="006E31A1">
            <w:pPr>
              <w:pStyle w:val="AmColumnHeading"/>
            </w:pPr>
            <w:r w:rsidRPr="00354796">
              <w:t>Poprawka</w:t>
            </w:r>
          </w:p>
        </w:tc>
      </w:tr>
      <w:tr w:rsidR="005A79DB" w:rsidRPr="00354796" w14:paraId="68DB2461" w14:textId="77777777">
        <w:trPr>
          <w:jc w:val="center"/>
        </w:trPr>
        <w:tc>
          <w:tcPr>
            <w:tcW w:w="4876" w:type="dxa"/>
            <w:tcBorders>
              <w:top w:val="nil"/>
              <w:left w:val="nil"/>
              <w:bottom w:val="nil"/>
              <w:right w:val="nil"/>
            </w:tcBorders>
          </w:tcPr>
          <w:p w14:paraId="49A90C58" w14:textId="77777777" w:rsidR="005A79DB" w:rsidRPr="00354796" w:rsidRDefault="005A79DB">
            <w:pPr>
              <w:pStyle w:val="Normal6a"/>
            </w:pPr>
          </w:p>
        </w:tc>
        <w:tc>
          <w:tcPr>
            <w:tcW w:w="4876" w:type="dxa"/>
            <w:tcBorders>
              <w:top w:val="nil"/>
              <w:left w:val="nil"/>
              <w:bottom w:val="nil"/>
              <w:right w:val="nil"/>
            </w:tcBorders>
          </w:tcPr>
          <w:p w14:paraId="754B67D4" w14:textId="77777777" w:rsidR="005A79DB" w:rsidRPr="00354796" w:rsidRDefault="006E31A1">
            <w:pPr>
              <w:pStyle w:val="Normal6a"/>
            </w:pPr>
            <w:r w:rsidRPr="00354796">
              <w:rPr>
                <w:b/>
                <w:i/>
              </w:rPr>
              <w:t>7a.</w:t>
            </w:r>
            <w:r w:rsidRPr="00354796">
              <w:tab/>
            </w:r>
            <w:r w:rsidRPr="00354796">
              <w:rPr>
                <w:b/>
                <w:i/>
              </w:rPr>
              <w:t xml:space="preserve">przyznaje, że </w:t>
            </w:r>
            <w:r w:rsidRPr="00354796">
              <w:rPr>
                <w:b/>
                <w:i/>
              </w:rPr>
              <w:t>przedstawiciele niektórych branż</w:t>
            </w:r>
            <w:r w:rsidRPr="00354796">
              <w:rPr>
                <w:b/>
                <w:i/>
                <w:vertAlign w:val="superscript"/>
              </w:rPr>
              <w:t>2a</w:t>
            </w:r>
            <w:r w:rsidRPr="00354796">
              <w:rPr>
                <w:b/>
                <w:i/>
              </w:rPr>
              <w:t xml:space="preserve"> i środowiska akademickiego opowiadali się za stałym mechanizmem odwrotnego obciążenia, który zapewniłby trwałe ograniczenie oszustw związanych z VAT, pewność prawa dla wszystkich uczestników rynku oraz stabilne i skuteczne ramy </w:t>
            </w:r>
            <w:r w:rsidRPr="00354796">
              <w:rPr>
                <w:b/>
                <w:i/>
              </w:rPr>
              <w:lastRenderedPageBreak/>
              <w:t>przestrzegania przepisów;</w:t>
            </w:r>
          </w:p>
        </w:tc>
      </w:tr>
      <w:tr w:rsidR="005A79DB" w:rsidRPr="00354796" w14:paraId="6375D68C" w14:textId="77777777">
        <w:trPr>
          <w:jc w:val="center"/>
        </w:trPr>
        <w:tc>
          <w:tcPr>
            <w:tcW w:w="4876" w:type="dxa"/>
            <w:tcBorders>
              <w:top w:val="nil"/>
              <w:left w:val="nil"/>
              <w:bottom w:val="nil"/>
              <w:right w:val="nil"/>
            </w:tcBorders>
          </w:tcPr>
          <w:p w14:paraId="3A0F7A86" w14:textId="77777777" w:rsidR="005A79DB" w:rsidRPr="00354796" w:rsidRDefault="005A79DB"/>
        </w:tc>
        <w:tc>
          <w:tcPr>
            <w:tcW w:w="4876" w:type="dxa"/>
            <w:tcBorders>
              <w:top w:val="nil"/>
              <w:left w:val="nil"/>
              <w:bottom w:val="nil"/>
              <w:right w:val="nil"/>
            </w:tcBorders>
          </w:tcPr>
          <w:p w14:paraId="7EDC45FC" w14:textId="77777777" w:rsidR="005A79DB" w:rsidRPr="00354796" w:rsidRDefault="006E31A1">
            <w:pPr>
              <w:pStyle w:val="Normal6a"/>
            </w:pPr>
            <w:r w:rsidRPr="00354796">
              <w:rPr>
                <w:b/>
                <w:i/>
              </w:rPr>
              <w:t>_________________</w:t>
            </w:r>
          </w:p>
        </w:tc>
      </w:tr>
      <w:tr w:rsidR="005A79DB" w:rsidRPr="00354796" w14:paraId="6D5E521B" w14:textId="77777777">
        <w:trPr>
          <w:jc w:val="center"/>
        </w:trPr>
        <w:tc>
          <w:tcPr>
            <w:tcW w:w="4876" w:type="dxa"/>
            <w:tcBorders>
              <w:top w:val="nil"/>
              <w:left w:val="nil"/>
              <w:bottom w:val="nil"/>
              <w:right w:val="nil"/>
            </w:tcBorders>
          </w:tcPr>
          <w:p w14:paraId="3AB49865" w14:textId="77777777" w:rsidR="005A79DB" w:rsidRPr="00354796" w:rsidRDefault="005A79DB"/>
        </w:tc>
        <w:tc>
          <w:tcPr>
            <w:tcW w:w="4876" w:type="dxa"/>
            <w:tcBorders>
              <w:top w:val="nil"/>
              <w:left w:val="nil"/>
              <w:bottom w:val="nil"/>
              <w:right w:val="nil"/>
            </w:tcBorders>
          </w:tcPr>
          <w:p w14:paraId="3D4724DF" w14:textId="77777777" w:rsidR="005A79DB" w:rsidRPr="00354796" w:rsidRDefault="006E31A1">
            <w:pPr>
              <w:pStyle w:val="Normal6a"/>
            </w:pPr>
            <w:r w:rsidRPr="00354796">
              <w:rPr>
                <w:b/>
                <w:bCs/>
                <w:i/>
                <w:iCs/>
                <w:vertAlign w:val="superscript"/>
              </w:rPr>
              <w:t>2a</w:t>
            </w:r>
            <w:r w:rsidRPr="00354796">
              <w:rPr>
                <w:b/>
                <w:bCs/>
                <w:i/>
                <w:iCs/>
              </w:rPr>
              <w:t xml:space="preserve"> Wspólny apel przedstawicieli branży o utrzymanie ochrony przed oszustwami związanymi z VAT w obszarach energii, handlu uprawnieniami do emisji oraz obrotu certyfikatami energetycznymi.</w:t>
            </w:r>
            <w:r w:rsidRPr="00354796">
              <w:rPr>
                <w:b/>
                <w:i/>
              </w:rPr>
              <w:t xml:space="preserve"> Bruksela, 3 marca 2026 r. Dostęp pod adresem: https://www.eurogas.org/wp-content/uploads/2026/03/20260303_Joint-Energy-Industry-Call-to-Sustain-VAT-Fraud-Protections.pdf.</w:t>
            </w:r>
          </w:p>
        </w:tc>
      </w:tr>
    </w:tbl>
    <w:p w14:paraId="5680C081"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46607E1" w14:textId="77777777" w:rsidR="005A79DB" w:rsidRPr="00354796" w:rsidRDefault="006E31A1">
      <w:r w:rsidRPr="00354796">
        <w:rPr>
          <w:rStyle w:val="HideTWBExt"/>
        </w:rPr>
        <w:t>&lt;/Amend&gt;</w:t>
      </w:r>
    </w:p>
    <w:p w14:paraId="7949159B"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56</w:t>
      </w:r>
      <w:r w:rsidRPr="00354796">
        <w:rPr>
          <w:rStyle w:val="HideTWBExt"/>
        </w:rPr>
        <w:t>&lt;/NumAm&gt;</w:t>
      </w:r>
    </w:p>
    <w:p w14:paraId="03CED778"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312CC952" w14:textId="77777777" w:rsidR="005A79DB" w:rsidRPr="00354796" w:rsidRDefault="006E31A1">
      <w:pPr>
        <w:pStyle w:val="NormalBold"/>
      </w:pPr>
      <w:r w:rsidRPr="00354796">
        <w:rPr>
          <w:rStyle w:val="HideTWBExt"/>
          <w:b w:val="0"/>
        </w:rPr>
        <w:t>&lt;/RepeatBlock-By&gt;</w:t>
      </w:r>
    </w:p>
    <w:p w14:paraId="1E342782"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1DC5C19" w14:textId="77777777" w:rsidR="005A79DB" w:rsidRPr="00354796" w:rsidRDefault="006E31A1">
      <w:pPr>
        <w:pStyle w:val="NormalBold"/>
      </w:pPr>
      <w:r w:rsidRPr="00354796">
        <w:rPr>
          <w:rStyle w:val="HideTWBExt"/>
        </w:rPr>
        <w:t>&lt;Article&gt;</w:t>
      </w:r>
      <w:r w:rsidRPr="00354796">
        <w:t>Ustęp 8</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42A1BB5" w14:textId="77777777">
        <w:trPr>
          <w:trHeight w:hRule="exact" w:val="240"/>
          <w:jc w:val="center"/>
        </w:trPr>
        <w:tc>
          <w:tcPr>
            <w:tcW w:w="9752" w:type="dxa"/>
            <w:gridSpan w:val="2"/>
            <w:tcBorders>
              <w:top w:val="nil"/>
              <w:left w:val="nil"/>
              <w:bottom w:val="nil"/>
              <w:right w:val="nil"/>
            </w:tcBorders>
          </w:tcPr>
          <w:p w14:paraId="0DC61BED" w14:textId="77777777" w:rsidR="005A79DB" w:rsidRPr="00354796" w:rsidRDefault="005A79DB"/>
        </w:tc>
      </w:tr>
      <w:tr w:rsidR="005A79DB" w:rsidRPr="00354796" w14:paraId="315B8DA7" w14:textId="77777777">
        <w:trPr>
          <w:trHeight w:val="240"/>
          <w:jc w:val="center"/>
        </w:trPr>
        <w:tc>
          <w:tcPr>
            <w:tcW w:w="4876" w:type="dxa"/>
            <w:tcBorders>
              <w:top w:val="nil"/>
              <w:left w:val="nil"/>
              <w:bottom w:val="nil"/>
              <w:right w:val="nil"/>
            </w:tcBorders>
          </w:tcPr>
          <w:p w14:paraId="5E75A29A"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1EBE275" w14:textId="77777777" w:rsidR="005A79DB" w:rsidRPr="00354796" w:rsidRDefault="006E31A1">
            <w:pPr>
              <w:pStyle w:val="AmColumnHeading"/>
            </w:pPr>
            <w:r w:rsidRPr="00354796">
              <w:t>Poprawka</w:t>
            </w:r>
          </w:p>
        </w:tc>
      </w:tr>
      <w:tr w:rsidR="005A79DB" w:rsidRPr="00354796" w14:paraId="5C7FC828" w14:textId="77777777">
        <w:trPr>
          <w:jc w:val="center"/>
        </w:trPr>
        <w:tc>
          <w:tcPr>
            <w:tcW w:w="4876" w:type="dxa"/>
            <w:tcBorders>
              <w:top w:val="nil"/>
              <w:left w:val="nil"/>
              <w:bottom w:val="nil"/>
              <w:right w:val="nil"/>
            </w:tcBorders>
          </w:tcPr>
          <w:p w14:paraId="20560FC5" w14:textId="77777777" w:rsidR="005A79DB" w:rsidRPr="00354796" w:rsidRDefault="006E31A1">
            <w:pPr>
              <w:pStyle w:val="Normal6a"/>
            </w:pPr>
            <w:r w:rsidRPr="00354796">
              <w:rPr>
                <w:b/>
                <w:i/>
              </w:rPr>
              <w:t>8.</w:t>
            </w:r>
            <w:r w:rsidRPr="00354796">
              <w:tab/>
            </w:r>
            <w:r w:rsidRPr="00354796">
              <w:rPr>
                <w:b/>
                <w:i/>
              </w:rPr>
              <w:t xml:space="preserve">podkreśla, że każde przedłużenie okresu obowiązywania art. 199a powinno pozostać ukierunkowane, oparte na dowodach i uzasadnione wyraźnym ryzykiem oszustw, </w:t>
            </w:r>
            <w:r w:rsidRPr="00354796">
              <w:rPr>
                <w:b/>
                <w:i/>
              </w:rPr>
              <w:t>specyfiką sektora i brakiem mniej uciążliwych rozwiązań alternatywnych;</w:t>
            </w:r>
          </w:p>
        </w:tc>
        <w:tc>
          <w:tcPr>
            <w:tcW w:w="4876" w:type="dxa"/>
            <w:tcBorders>
              <w:top w:val="nil"/>
              <w:left w:val="nil"/>
              <w:bottom w:val="nil"/>
              <w:right w:val="nil"/>
            </w:tcBorders>
          </w:tcPr>
          <w:p w14:paraId="20A7B2B7" w14:textId="77777777" w:rsidR="005A79DB" w:rsidRPr="00354796" w:rsidRDefault="006E31A1">
            <w:pPr>
              <w:pStyle w:val="Normal6a"/>
            </w:pPr>
            <w:r w:rsidRPr="00354796">
              <w:rPr>
                <w:b/>
                <w:i/>
              </w:rPr>
              <w:t>skreśla się</w:t>
            </w:r>
          </w:p>
        </w:tc>
      </w:tr>
    </w:tbl>
    <w:p w14:paraId="2D2E90C8"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E7511DC" w14:textId="77777777" w:rsidR="005A79DB" w:rsidRPr="00354796" w:rsidRDefault="006E31A1">
      <w:r w:rsidRPr="00354796">
        <w:rPr>
          <w:rStyle w:val="HideTWBExt"/>
        </w:rPr>
        <w:t>&lt;/Amend&gt;</w:t>
      </w:r>
    </w:p>
    <w:p w14:paraId="1C3B108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57</w:t>
      </w:r>
      <w:r w:rsidRPr="00354796">
        <w:rPr>
          <w:rStyle w:val="HideTWBExt"/>
        </w:rPr>
        <w:t>&lt;/NumAm&gt;</w:t>
      </w:r>
    </w:p>
    <w:p w14:paraId="20F591DD" w14:textId="77777777" w:rsidR="005A79DB" w:rsidRPr="00354796" w:rsidRDefault="006E31A1">
      <w:pPr>
        <w:pStyle w:val="NormalBold"/>
      </w:pPr>
      <w:r w:rsidRPr="00354796">
        <w:rPr>
          <w:rStyle w:val="HideTWBExt"/>
          <w:b w:val="0"/>
        </w:rPr>
        <w:t>&lt;RepeatBlock-By&gt;&lt;Members&gt;</w:t>
      </w:r>
      <w:r w:rsidRPr="00354796">
        <w:t>Kira Marie Peter-Hansen</w:t>
      </w:r>
      <w:r w:rsidRPr="00354796">
        <w:rPr>
          <w:rStyle w:val="HideTWBExt"/>
          <w:b w:val="0"/>
        </w:rPr>
        <w:t>&lt;/Members&gt;</w:t>
      </w:r>
    </w:p>
    <w:p w14:paraId="07E99312" w14:textId="77777777" w:rsidR="005A79DB" w:rsidRPr="00354796" w:rsidRDefault="006E31A1">
      <w:r w:rsidRPr="00354796">
        <w:rPr>
          <w:rStyle w:val="HideTWBExt"/>
        </w:rPr>
        <w:t>&lt;AuNomDe&gt;</w:t>
      </w:r>
      <w:r w:rsidRPr="00354796">
        <w:rPr>
          <w:rStyle w:val="HideTWBInt"/>
          <w:color w:val="auto"/>
        </w:rPr>
        <w:t>{Verts/ALE}</w:t>
      </w:r>
      <w:r w:rsidRPr="00354796">
        <w:t xml:space="preserve">w imieniu </w:t>
      </w:r>
      <w:r w:rsidRPr="00354796">
        <w:t xml:space="preserve">grupy </w:t>
      </w:r>
      <w:proofErr w:type="spellStart"/>
      <w:r w:rsidRPr="00354796">
        <w:t>Verts</w:t>
      </w:r>
      <w:proofErr w:type="spellEnd"/>
      <w:r w:rsidRPr="00354796">
        <w:t>/ALE</w:t>
      </w:r>
      <w:r w:rsidRPr="00354796">
        <w:rPr>
          <w:rStyle w:val="HideTWBExt"/>
        </w:rPr>
        <w:t>&lt;/AuNomDe&gt;</w:t>
      </w:r>
    </w:p>
    <w:p w14:paraId="26BBCD77" w14:textId="77777777" w:rsidR="005A79DB" w:rsidRPr="00354796" w:rsidRDefault="006E31A1">
      <w:pPr>
        <w:pStyle w:val="NormalBold"/>
      </w:pPr>
      <w:r w:rsidRPr="00354796">
        <w:rPr>
          <w:rStyle w:val="HideTWBExt"/>
          <w:b w:val="0"/>
        </w:rPr>
        <w:t>&lt;/RepeatBlock-By&gt;</w:t>
      </w:r>
    </w:p>
    <w:p w14:paraId="0DC6235A"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0546F45D" w14:textId="77777777" w:rsidR="005A79DB" w:rsidRPr="00354796" w:rsidRDefault="006E31A1">
      <w:pPr>
        <w:pStyle w:val="NormalBold"/>
      </w:pPr>
      <w:r w:rsidRPr="00354796">
        <w:rPr>
          <w:rStyle w:val="HideTWBExt"/>
        </w:rPr>
        <w:t>&lt;Article&gt;</w:t>
      </w:r>
      <w:r w:rsidRPr="00354796">
        <w:t>Ustęp 8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968572D" w14:textId="77777777">
        <w:trPr>
          <w:trHeight w:hRule="exact" w:val="240"/>
          <w:jc w:val="center"/>
        </w:trPr>
        <w:tc>
          <w:tcPr>
            <w:tcW w:w="9752" w:type="dxa"/>
            <w:gridSpan w:val="2"/>
            <w:tcBorders>
              <w:top w:val="nil"/>
              <w:left w:val="nil"/>
              <w:bottom w:val="nil"/>
              <w:right w:val="nil"/>
            </w:tcBorders>
          </w:tcPr>
          <w:p w14:paraId="0E193DE6" w14:textId="77777777" w:rsidR="005A79DB" w:rsidRPr="00354796" w:rsidRDefault="005A79DB"/>
        </w:tc>
      </w:tr>
      <w:tr w:rsidR="005A79DB" w:rsidRPr="00354796" w14:paraId="63FA4845" w14:textId="77777777">
        <w:trPr>
          <w:trHeight w:val="240"/>
          <w:jc w:val="center"/>
        </w:trPr>
        <w:tc>
          <w:tcPr>
            <w:tcW w:w="4876" w:type="dxa"/>
            <w:tcBorders>
              <w:top w:val="nil"/>
              <w:left w:val="nil"/>
              <w:bottom w:val="nil"/>
              <w:right w:val="nil"/>
            </w:tcBorders>
          </w:tcPr>
          <w:p w14:paraId="32E54326"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04DCE91" w14:textId="77777777" w:rsidR="005A79DB" w:rsidRPr="00354796" w:rsidRDefault="006E31A1">
            <w:pPr>
              <w:pStyle w:val="AmColumnHeading"/>
            </w:pPr>
            <w:r w:rsidRPr="00354796">
              <w:t>Poprawka</w:t>
            </w:r>
          </w:p>
        </w:tc>
      </w:tr>
      <w:tr w:rsidR="005A79DB" w:rsidRPr="00354796" w14:paraId="04D94385" w14:textId="77777777">
        <w:trPr>
          <w:jc w:val="center"/>
        </w:trPr>
        <w:tc>
          <w:tcPr>
            <w:tcW w:w="4876" w:type="dxa"/>
            <w:tcBorders>
              <w:top w:val="nil"/>
              <w:left w:val="nil"/>
              <w:bottom w:val="nil"/>
              <w:right w:val="nil"/>
            </w:tcBorders>
          </w:tcPr>
          <w:p w14:paraId="13B376BB" w14:textId="77777777" w:rsidR="005A79DB" w:rsidRPr="00354796" w:rsidRDefault="005A79DB">
            <w:pPr>
              <w:pStyle w:val="Normal6a"/>
            </w:pPr>
          </w:p>
        </w:tc>
        <w:tc>
          <w:tcPr>
            <w:tcW w:w="4876" w:type="dxa"/>
            <w:tcBorders>
              <w:top w:val="nil"/>
              <w:left w:val="nil"/>
              <w:bottom w:val="nil"/>
              <w:right w:val="nil"/>
            </w:tcBorders>
          </w:tcPr>
          <w:p w14:paraId="66DE9A7B" w14:textId="77777777" w:rsidR="005A79DB" w:rsidRPr="00354796" w:rsidRDefault="006E31A1">
            <w:pPr>
              <w:pStyle w:val="Normal6a"/>
            </w:pPr>
            <w:r w:rsidRPr="00354796">
              <w:rPr>
                <w:b/>
                <w:i/>
              </w:rPr>
              <w:t>8a.</w:t>
            </w:r>
            <w:r w:rsidRPr="00354796">
              <w:tab/>
            </w:r>
            <w:r w:rsidRPr="00354796">
              <w:rPr>
                <w:b/>
                <w:i/>
              </w:rPr>
              <w:t xml:space="preserve">podkreśla, że mechanizm odwrotnego obciążenia musi pozostać </w:t>
            </w:r>
            <w:r w:rsidRPr="00354796">
              <w:rPr>
                <w:b/>
                <w:i/>
              </w:rPr>
              <w:lastRenderedPageBreak/>
              <w:t xml:space="preserve">wyjątkowym odstępstwem i nie może </w:t>
            </w:r>
            <w:r w:rsidRPr="00354796">
              <w:rPr>
                <w:b/>
                <w:i/>
              </w:rPr>
              <w:t xml:space="preserve">zastępować potrzeby szerszej reformy VAT; wzywa Komisję do przedstawienia planu działania na rzecz kompleksowych i spójnych ram VAT, mających na celu wyeliminowanie luk prawnych umożliwiających oszustwa związane z VAT na dużą skalę i opartych na </w:t>
            </w:r>
            <w:proofErr w:type="spellStart"/>
            <w:r w:rsidRPr="00354796">
              <w:rPr>
                <w:b/>
                <w:i/>
              </w:rPr>
              <w:t>ogólnounijnej</w:t>
            </w:r>
            <w:proofErr w:type="spellEnd"/>
            <w:r w:rsidRPr="00354796">
              <w:rPr>
                <w:b/>
                <w:i/>
              </w:rPr>
              <w:t xml:space="preserve"> sprawozdawczości cyfrowej i fakturowaniu elektronicznym, ściślejszej współpracy administracyjnej oraz skutecznym egzekwowaniu przepisów przeciwko transgranicznym oszustwom związanym z VAT;</w:t>
            </w:r>
          </w:p>
        </w:tc>
      </w:tr>
    </w:tbl>
    <w:p w14:paraId="1DFFE8D6"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7D9410F6" w14:textId="77777777" w:rsidR="005A79DB" w:rsidRPr="00354796" w:rsidRDefault="006E31A1">
      <w:r w:rsidRPr="00354796">
        <w:rPr>
          <w:rStyle w:val="HideTWBExt"/>
        </w:rPr>
        <w:t>&lt;/Amend&gt;</w:t>
      </w:r>
    </w:p>
    <w:p w14:paraId="345BA88D"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58</w:t>
      </w:r>
      <w:r w:rsidRPr="00354796">
        <w:rPr>
          <w:rStyle w:val="HideTWBExt"/>
        </w:rPr>
        <w:t>&lt;/NumAm&gt;</w:t>
      </w:r>
    </w:p>
    <w:p w14:paraId="3B5DF460" w14:textId="77777777" w:rsidR="005A79DB" w:rsidRPr="00354796" w:rsidRDefault="006E31A1">
      <w:pPr>
        <w:pStyle w:val="NormalBold"/>
      </w:pPr>
      <w:r w:rsidRPr="00354796">
        <w:rPr>
          <w:rStyle w:val="HideTWBExt"/>
          <w:b w:val="0"/>
        </w:rPr>
        <w:t>&lt;RepeatBlock-By&gt;&lt;Members&gt;</w:t>
      </w:r>
      <w:r w:rsidRPr="00354796">
        <w:t>Kira Marie Peter-Hansen</w:t>
      </w:r>
      <w:r w:rsidRPr="00354796">
        <w:rPr>
          <w:rStyle w:val="HideTWBExt"/>
          <w:b w:val="0"/>
        </w:rPr>
        <w:t>&lt;/Members&gt;</w:t>
      </w:r>
    </w:p>
    <w:p w14:paraId="1E74E7D6" w14:textId="77777777" w:rsidR="005A79DB" w:rsidRPr="00354796" w:rsidRDefault="006E31A1">
      <w:r w:rsidRPr="00354796">
        <w:rPr>
          <w:rStyle w:val="HideTWBExt"/>
        </w:rPr>
        <w:t>&lt;AuNomDe&gt;</w:t>
      </w:r>
      <w:r w:rsidRPr="00354796">
        <w:rPr>
          <w:rStyle w:val="HideTWBInt"/>
          <w:color w:val="auto"/>
        </w:rPr>
        <w:t>{Verts/ALE}</w:t>
      </w:r>
      <w:r w:rsidRPr="00354796">
        <w:t xml:space="preserve">w imieniu grupy </w:t>
      </w:r>
      <w:proofErr w:type="spellStart"/>
      <w:r w:rsidRPr="00354796">
        <w:t>Verts</w:t>
      </w:r>
      <w:proofErr w:type="spellEnd"/>
      <w:r w:rsidRPr="00354796">
        <w:t>/ALE</w:t>
      </w:r>
      <w:r w:rsidRPr="00354796">
        <w:rPr>
          <w:rStyle w:val="HideTWBExt"/>
        </w:rPr>
        <w:t>&lt;/AuNomDe&gt;</w:t>
      </w:r>
    </w:p>
    <w:p w14:paraId="05EEB1DF" w14:textId="77777777" w:rsidR="005A79DB" w:rsidRPr="00354796" w:rsidRDefault="006E31A1">
      <w:pPr>
        <w:pStyle w:val="NormalBold"/>
      </w:pPr>
      <w:r w:rsidRPr="00354796">
        <w:rPr>
          <w:rStyle w:val="HideTWBExt"/>
          <w:b w:val="0"/>
        </w:rPr>
        <w:t>&lt;/RepeatBlock-By&gt;</w:t>
      </w:r>
    </w:p>
    <w:p w14:paraId="312A632C"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22B5A70" w14:textId="77777777" w:rsidR="005A79DB" w:rsidRPr="00354796" w:rsidRDefault="006E31A1">
      <w:pPr>
        <w:pStyle w:val="NormalBold"/>
      </w:pPr>
      <w:r w:rsidRPr="00354796">
        <w:rPr>
          <w:rStyle w:val="HideTWBExt"/>
        </w:rPr>
        <w:t>&lt;Article&gt;</w:t>
      </w:r>
      <w:r w:rsidRPr="00354796">
        <w:t>Ustęp 8 b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5EB3688" w14:textId="77777777">
        <w:trPr>
          <w:trHeight w:hRule="exact" w:val="240"/>
          <w:jc w:val="center"/>
        </w:trPr>
        <w:tc>
          <w:tcPr>
            <w:tcW w:w="9752" w:type="dxa"/>
            <w:gridSpan w:val="2"/>
            <w:tcBorders>
              <w:top w:val="nil"/>
              <w:left w:val="nil"/>
              <w:bottom w:val="nil"/>
              <w:right w:val="nil"/>
            </w:tcBorders>
          </w:tcPr>
          <w:p w14:paraId="14395128" w14:textId="77777777" w:rsidR="005A79DB" w:rsidRPr="00354796" w:rsidRDefault="005A79DB"/>
        </w:tc>
      </w:tr>
      <w:tr w:rsidR="005A79DB" w:rsidRPr="00354796" w14:paraId="063EC650" w14:textId="77777777">
        <w:trPr>
          <w:trHeight w:val="240"/>
          <w:jc w:val="center"/>
        </w:trPr>
        <w:tc>
          <w:tcPr>
            <w:tcW w:w="4876" w:type="dxa"/>
            <w:tcBorders>
              <w:top w:val="nil"/>
              <w:left w:val="nil"/>
              <w:bottom w:val="nil"/>
              <w:right w:val="nil"/>
            </w:tcBorders>
          </w:tcPr>
          <w:p w14:paraId="5B97F8CA"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030411C" w14:textId="77777777" w:rsidR="005A79DB" w:rsidRPr="00354796" w:rsidRDefault="006E31A1">
            <w:pPr>
              <w:pStyle w:val="AmColumnHeading"/>
            </w:pPr>
            <w:r w:rsidRPr="00354796">
              <w:t>Poprawka</w:t>
            </w:r>
          </w:p>
        </w:tc>
      </w:tr>
      <w:tr w:rsidR="005A79DB" w:rsidRPr="00354796" w14:paraId="410533B9" w14:textId="77777777">
        <w:trPr>
          <w:jc w:val="center"/>
        </w:trPr>
        <w:tc>
          <w:tcPr>
            <w:tcW w:w="4876" w:type="dxa"/>
            <w:tcBorders>
              <w:top w:val="nil"/>
              <w:left w:val="nil"/>
              <w:bottom w:val="nil"/>
              <w:right w:val="nil"/>
            </w:tcBorders>
          </w:tcPr>
          <w:p w14:paraId="314A9759" w14:textId="77777777" w:rsidR="005A79DB" w:rsidRPr="00354796" w:rsidRDefault="005A79DB">
            <w:pPr>
              <w:pStyle w:val="Normal6a"/>
            </w:pPr>
          </w:p>
        </w:tc>
        <w:tc>
          <w:tcPr>
            <w:tcW w:w="4876" w:type="dxa"/>
            <w:tcBorders>
              <w:top w:val="nil"/>
              <w:left w:val="nil"/>
              <w:bottom w:val="nil"/>
              <w:right w:val="nil"/>
            </w:tcBorders>
          </w:tcPr>
          <w:p w14:paraId="159CF239" w14:textId="77777777" w:rsidR="005A79DB" w:rsidRPr="00354796" w:rsidRDefault="006E31A1">
            <w:pPr>
              <w:pStyle w:val="Normal6a"/>
            </w:pPr>
            <w:r w:rsidRPr="00354796">
              <w:rPr>
                <w:b/>
                <w:i/>
              </w:rPr>
              <w:t>8b.</w:t>
            </w:r>
            <w:r w:rsidRPr="00354796">
              <w:tab/>
            </w:r>
            <w:r w:rsidRPr="00354796">
              <w:rPr>
                <w:b/>
                <w:i/>
              </w:rPr>
              <w:t xml:space="preserve">ubolewa, że zgodnie z najnowszymi szacunkami Komisji w 2023 r. luka w podatku VAT w UE wyniosła 128 mld EUR; zauważa z zaniepokojeniem, że oszustwa karuzelowe związane z VAT odpowiadały za około jedną czwartą rocznych strat z tytułu </w:t>
            </w:r>
            <w:r w:rsidRPr="00354796">
              <w:rPr>
                <w:b/>
                <w:i/>
              </w:rPr>
              <w:t>niepobranych dochodów VAT, a roczne straty spowodowane wewnątrzwspólnotowymi oszustwami typu „znikający podmiot gospodarczy” szacuje się na 12,5–32,8 mld EUR; podkreśla, że utracone w ten sposób dochody pozbawiają budżety publiczne zasobów na inwestycje publiczne, osłabiają zasoby własne Unii oraz podważają uczciwą konkurencję dla legalnych przedsiębiorstw na jednolitym rynku;</w:t>
            </w:r>
          </w:p>
        </w:tc>
      </w:tr>
    </w:tbl>
    <w:p w14:paraId="7F9E10D4"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DF87FF0" w14:textId="77777777" w:rsidR="005A79DB" w:rsidRPr="00354796" w:rsidRDefault="006E31A1">
      <w:r w:rsidRPr="00354796">
        <w:rPr>
          <w:rStyle w:val="HideTWBExt"/>
        </w:rPr>
        <w:lastRenderedPageBreak/>
        <w:t>&lt;/Amend&gt;</w:t>
      </w:r>
    </w:p>
    <w:p w14:paraId="7150FBD1"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59</w:t>
      </w:r>
      <w:r w:rsidRPr="00354796">
        <w:rPr>
          <w:rStyle w:val="HideTWBExt"/>
        </w:rPr>
        <w:t>&lt;/NumAm&gt;</w:t>
      </w:r>
    </w:p>
    <w:p w14:paraId="4AD974D7" w14:textId="77777777" w:rsidR="005A79DB" w:rsidRPr="00354796" w:rsidRDefault="006E31A1">
      <w:pPr>
        <w:pStyle w:val="NormalBold"/>
      </w:pPr>
      <w:r w:rsidRPr="00354796">
        <w:rPr>
          <w:rStyle w:val="HideTWBExt"/>
          <w:b w:val="0"/>
        </w:rPr>
        <w:t>&lt;RepeatBlock-By&gt;&lt;Members&gt;</w:t>
      </w:r>
      <w:proofErr w:type="spellStart"/>
      <w:r w:rsidRPr="00354796">
        <w:t>Danuše</w:t>
      </w:r>
      <w:proofErr w:type="spellEnd"/>
      <w:r w:rsidRPr="00354796">
        <w:t xml:space="preserve"> </w:t>
      </w:r>
      <w:proofErr w:type="spellStart"/>
      <w:r w:rsidRPr="00354796">
        <w:t>Nerudová</w:t>
      </w:r>
      <w:proofErr w:type="spellEnd"/>
      <w:r w:rsidRPr="00354796">
        <w:rPr>
          <w:rStyle w:val="HideTWBExt"/>
          <w:b w:val="0"/>
        </w:rPr>
        <w:t>&lt;/Members&gt;</w:t>
      </w:r>
    </w:p>
    <w:p w14:paraId="136435F3" w14:textId="77777777" w:rsidR="005A79DB" w:rsidRPr="00354796" w:rsidRDefault="006E31A1">
      <w:pPr>
        <w:pStyle w:val="NormalBold"/>
      </w:pPr>
      <w:r w:rsidRPr="00354796">
        <w:rPr>
          <w:rStyle w:val="HideTWBExt"/>
          <w:b w:val="0"/>
        </w:rPr>
        <w:t>&lt;/RepeatBlock-By&gt;</w:t>
      </w:r>
    </w:p>
    <w:p w14:paraId="0676569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04E491E3" w14:textId="77777777" w:rsidR="005A79DB" w:rsidRPr="00354796" w:rsidRDefault="006E31A1">
      <w:pPr>
        <w:pStyle w:val="NormalBold"/>
      </w:pPr>
      <w:r w:rsidRPr="00354796">
        <w:rPr>
          <w:rStyle w:val="HideTWBExt"/>
        </w:rPr>
        <w:t>&lt;Article&gt;</w:t>
      </w:r>
      <w:r w:rsidRPr="00354796">
        <w:t>Ustęp 9</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E18B745" w14:textId="77777777">
        <w:trPr>
          <w:trHeight w:hRule="exact" w:val="240"/>
          <w:jc w:val="center"/>
        </w:trPr>
        <w:tc>
          <w:tcPr>
            <w:tcW w:w="9752" w:type="dxa"/>
            <w:gridSpan w:val="2"/>
            <w:tcBorders>
              <w:top w:val="nil"/>
              <w:left w:val="nil"/>
              <w:bottom w:val="nil"/>
              <w:right w:val="nil"/>
            </w:tcBorders>
          </w:tcPr>
          <w:p w14:paraId="4FBD5953" w14:textId="77777777" w:rsidR="005A79DB" w:rsidRPr="00354796" w:rsidRDefault="005A79DB"/>
        </w:tc>
      </w:tr>
      <w:tr w:rsidR="005A79DB" w:rsidRPr="00354796" w14:paraId="18CE4843" w14:textId="77777777">
        <w:trPr>
          <w:trHeight w:val="240"/>
          <w:jc w:val="center"/>
        </w:trPr>
        <w:tc>
          <w:tcPr>
            <w:tcW w:w="4876" w:type="dxa"/>
            <w:tcBorders>
              <w:top w:val="nil"/>
              <w:left w:val="nil"/>
              <w:bottom w:val="nil"/>
              <w:right w:val="nil"/>
            </w:tcBorders>
          </w:tcPr>
          <w:p w14:paraId="053B9E0C"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5B2AECE1" w14:textId="77777777" w:rsidR="005A79DB" w:rsidRPr="00354796" w:rsidRDefault="006E31A1">
            <w:pPr>
              <w:pStyle w:val="AmColumnHeading"/>
            </w:pPr>
            <w:r w:rsidRPr="00354796">
              <w:t>Poprawka</w:t>
            </w:r>
          </w:p>
        </w:tc>
      </w:tr>
      <w:tr w:rsidR="005A79DB" w:rsidRPr="00354796" w14:paraId="75A22117" w14:textId="77777777">
        <w:trPr>
          <w:jc w:val="center"/>
        </w:trPr>
        <w:tc>
          <w:tcPr>
            <w:tcW w:w="4876" w:type="dxa"/>
            <w:tcBorders>
              <w:top w:val="nil"/>
              <w:left w:val="nil"/>
              <w:bottom w:val="nil"/>
              <w:right w:val="nil"/>
            </w:tcBorders>
          </w:tcPr>
          <w:p w14:paraId="3CB6E19F" w14:textId="77777777" w:rsidR="005A79DB" w:rsidRPr="00354796" w:rsidRDefault="006E31A1">
            <w:pPr>
              <w:pStyle w:val="Normal6a"/>
            </w:pPr>
            <w:r w:rsidRPr="00354796">
              <w:t>9.</w:t>
            </w:r>
            <w:r w:rsidRPr="00354796">
              <w:tab/>
              <w:t xml:space="preserve">wzywa Komisję, aby wraz z państwami członkowskimi oceniła koszty i korzyści wynikające ze stosowania MSR, sektor po sektorze, w tym jego </w:t>
            </w:r>
            <w:r w:rsidRPr="00354796">
              <w:t>wpływ na oszustwa, przedsiębiorstwa, administracje podatkowe i ewentualne przenoszenie oszustw, oraz aby odpowiednio dostosowała wykaz sektorów;</w:t>
            </w:r>
          </w:p>
        </w:tc>
        <w:tc>
          <w:tcPr>
            <w:tcW w:w="4876" w:type="dxa"/>
            <w:tcBorders>
              <w:top w:val="nil"/>
              <w:left w:val="nil"/>
              <w:bottom w:val="nil"/>
              <w:right w:val="nil"/>
            </w:tcBorders>
          </w:tcPr>
          <w:p w14:paraId="4EFA5BD7" w14:textId="77777777" w:rsidR="005A79DB" w:rsidRPr="00354796" w:rsidRDefault="006E31A1">
            <w:pPr>
              <w:pStyle w:val="Normal6a"/>
            </w:pPr>
            <w:r w:rsidRPr="00354796">
              <w:t>9.</w:t>
            </w:r>
            <w:r w:rsidRPr="00354796">
              <w:tab/>
              <w:t>wzywa Komisję, aby wraz z państwami członkowskimi oceniła koszty i korzyści wynikające ze stosowania MSR, sektor po sektorze, w tym jego wpływ na oszustwa, przedsiębiorstwa, administracje podatkowe i ewentualne przenoszenie oszustw, oraz aby odpowiednio dostosowała wykaz sektorów;</w:t>
            </w:r>
            <w:r w:rsidRPr="00354796">
              <w:rPr>
                <w:b/>
                <w:i/>
              </w:rPr>
              <w:t> wzywa, w oparciu o wyniki tej oceny, do ustanowienia wspólnych minimalnych warunków stosowania mechanizmu odwrotnego obciążenia we wszystkich państwach członkowskich, aby ograniczyć niepewność prawa oraz zapobiegać przenoszeniu o</w:t>
            </w:r>
            <w:r w:rsidRPr="00354796">
              <w:rPr>
                <w:b/>
                <w:i/>
              </w:rPr>
              <w:t>szustw między państwami członkowskimi, w których obowiązują rozbieżne przepisy;</w:t>
            </w:r>
          </w:p>
        </w:tc>
      </w:tr>
    </w:tbl>
    <w:p w14:paraId="67DC7553"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F8DE8AB" w14:textId="77777777" w:rsidR="005A79DB" w:rsidRPr="00354796" w:rsidRDefault="006E31A1">
      <w:r w:rsidRPr="00354796">
        <w:rPr>
          <w:rStyle w:val="HideTWBExt"/>
        </w:rPr>
        <w:t>&lt;/Amend&gt;</w:t>
      </w:r>
    </w:p>
    <w:p w14:paraId="522390BB"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60</w:t>
      </w:r>
      <w:r w:rsidRPr="00354796">
        <w:rPr>
          <w:rStyle w:val="HideTWBExt"/>
        </w:rPr>
        <w:t>&lt;/NumAm&gt;</w:t>
      </w:r>
    </w:p>
    <w:p w14:paraId="39744102" w14:textId="77777777" w:rsidR="005A79DB" w:rsidRPr="00354796" w:rsidRDefault="006E31A1">
      <w:pPr>
        <w:pStyle w:val="NormalBold"/>
      </w:pPr>
      <w:r w:rsidRPr="00354796">
        <w:rPr>
          <w:rStyle w:val="HideTWBExt"/>
          <w:b w:val="0"/>
        </w:rPr>
        <w:t>&lt;RepeatBlock-By&gt;&lt;Members&gt;</w:t>
      </w:r>
      <w:r w:rsidRPr="00354796">
        <w:t xml:space="preserve">Fernando </w:t>
      </w:r>
      <w:proofErr w:type="spellStart"/>
      <w:r w:rsidRPr="00354796">
        <w:t>Navarrete</w:t>
      </w:r>
      <w:proofErr w:type="spellEnd"/>
      <w:r w:rsidRPr="00354796">
        <w:t xml:space="preserve"> </w:t>
      </w:r>
      <w:proofErr w:type="spellStart"/>
      <w:r w:rsidRPr="00354796">
        <w:t>Rojas</w:t>
      </w:r>
      <w:proofErr w:type="spellEnd"/>
      <w:r w:rsidRPr="00354796">
        <w:t xml:space="preserve">, Herbert </w:t>
      </w:r>
      <w:proofErr w:type="spellStart"/>
      <w:r w:rsidRPr="00354796">
        <w:t>Dorfmann</w:t>
      </w:r>
      <w:proofErr w:type="spellEnd"/>
      <w:r w:rsidRPr="00354796">
        <w:rPr>
          <w:rStyle w:val="HideTWBExt"/>
          <w:b w:val="0"/>
        </w:rPr>
        <w:t>&lt;/Members&gt;</w:t>
      </w:r>
    </w:p>
    <w:p w14:paraId="3BEEB2DB" w14:textId="77777777" w:rsidR="005A79DB" w:rsidRPr="00354796" w:rsidRDefault="006E31A1">
      <w:pPr>
        <w:pStyle w:val="NormalBold"/>
      </w:pPr>
      <w:r w:rsidRPr="00354796">
        <w:rPr>
          <w:rStyle w:val="HideTWBExt"/>
          <w:b w:val="0"/>
        </w:rPr>
        <w:t>&lt;/RepeatBlock-By&gt;</w:t>
      </w:r>
    </w:p>
    <w:p w14:paraId="4F506030"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986E91A" w14:textId="77777777" w:rsidR="005A79DB" w:rsidRPr="00354796" w:rsidRDefault="006E31A1">
      <w:pPr>
        <w:pStyle w:val="NormalBold"/>
      </w:pPr>
      <w:r w:rsidRPr="00354796">
        <w:rPr>
          <w:rStyle w:val="HideTWBExt"/>
        </w:rPr>
        <w:t>&lt;Article&gt;</w:t>
      </w:r>
      <w:r w:rsidRPr="00354796">
        <w:t>Ustęp 9</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B75B3CB" w14:textId="77777777">
        <w:trPr>
          <w:trHeight w:hRule="exact" w:val="240"/>
          <w:jc w:val="center"/>
        </w:trPr>
        <w:tc>
          <w:tcPr>
            <w:tcW w:w="9752" w:type="dxa"/>
            <w:gridSpan w:val="2"/>
            <w:tcBorders>
              <w:top w:val="nil"/>
              <w:left w:val="nil"/>
              <w:bottom w:val="nil"/>
              <w:right w:val="nil"/>
            </w:tcBorders>
          </w:tcPr>
          <w:p w14:paraId="27A97838" w14:textId="77777777" w:rsidR="005A79DB" w:rsidRPr="00354796" w:rsidRDefault="005A79DB"/>
        </w:tc>
      </w:tr>
      <w:tr w:rsidR="005A79DB" w:rsidRPr="00354796" w14:paraId="11B85574" w14:textId="77777777">
        <w:trPr>
          <w:trHeight w:val="240"/>
          <w:jc w:val="center"/>
        </w:trPr>
        <w:tc>
          <w:tcPr>
            <w:tcW w:w="4876" w:type="dxa"/>
            <w:tcBorders>
              <w:top w:val="nil"/>
              <w:left w:val="nil"/>
              <w:bottom w:val="nil"/>
              <w:right w:val="nil"/>
            </w:tcBorders>
          </w:tcPr>
          <w:p w14:paraId="5D7F361B"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44B8EF5" w14:textId="77777777" w:rsidR="005A79DB" w:rsidRPr="00354796" w:rsidRDefault="006E31A1">
            <w:pPr>
              <w:pStyle w:val="AmColumnHeading"/>
            </w:pPr>
            <w:r w:rsidRPr="00354796">
              <w:t>Poprawka</w:t>
            </w:r>
          </w:p>
        </w:tc>
      </w:tr>
      <w:tr w:rsidR="005A79DB" w:rsidRPr="00354796" w14:paraId="22D805D5" w14:textId="77777777">
        <w:trPr>
          <w:jc w:val="center"/>
        </w:trPr>
        <w:tc>
          <w:tcPr>
            <w:tcW w:w="4876" w:type="dxa"/>
            <w:tcBorders>
              <w:top w:val="nil"/>
              <w:left w:val="nil"/>
              <w:bottom w:val="nil"/>
              <w:right w:val="nil"/>
            </w:tcBorders>
          </w:tcPr>
          <w:p w14:paraId="67B2EDC6" w14:textId="77777777" w:rsidR="005A79DB" w:rsidRPr="00354796" w:rsidRDefault="006E31A1">
            <w:pPr>
              <w:pStyle w:val="Normal6a"/>
            </w:pPr>
            <w:r w:rsidRPr="00354796">
              <w:t>9.</w:t>
            </w:r>
            <w:r w:rsidRPr="00354796">
              <w:tab/>
            </w:r>
            <w:r w:rsidRPr="00354796">
              <w:t>wzywa Komisję, aby wraz z państwami członkowskimi oceniła koszty i korzyści wynikające ze stosowania MSR, sektor po sektorze, w tym jego wpływ na oszustwa, przedsiębiorstwa, administracje podatkowe i ewentualne przenoszenie oszustw, oraz aby odpowiednio dostosowała wykaz sektorów;</w:t>
            </w:r>
          </w:p>
        </w:tc>
        <w:tc>
          <w:tcPr>
            <w:tcW w:w="4876" w:type="dxa"/>
            <w:tcBorders>
              <w:top w:val="nil"/>
              <w:left w:val="nil"/>
              <w:bottom w:val="nil"/>
              <w:right w:val="nil"/>
            </w:tcBorders>
          </w:tcPr>
          <w:p w14:paraId="5658AC54" w14:textId="77777777" w:rsidR="005A79DB" w:rsidRPr="00354796" w:rsidRDefault="006E31A1">
            <w:pPr>
              <w:pStyle w:val="Normal6a"/>
            </w:pPr>
            <w:r w:rsidRPr="00354796">
              <w:t>9.</w:t>
            </w:r>
            <w:r w:rsidRPr="00354796">
              <w:tab/>
              <w:t xml:space="preserve">wzywa Komisję, aby wraz z państwami członkowskimi oceniła koszty i korzyści wynikające ze stosowania MSR, sektor po sektorze, w tym jego wpływ na oszustwa, przedsiębiorstwa, administracje podatkowe i ewentualne przenoszenie oszustw, </w:t>
            </w:r>
            <w:r w:rsidRPr="00354796">
              <w:rPr>
                <w:b/>
                <w:bCs/>
                <w:i/>
                <w:iCs/>
              </w:rPr>
              <w:t xml:space="preserve">w szczególności przez porównanie szacowanych oszustw związanych z VAT, którym udało się </w:t>
            </w:r>
            <w:r w:rsidRPr="00354796">
              <w:rPr>
                <w:b/>
                <w:bCs/>
                <w:i/>
                <w:iCs/>
              </w:rPr>
              <w:lastRenderedPageBreak/>
              <w:t>zapobiec, z kosztami przestrzegania przepisów ponoszonymi przez przedsiębiorstwa, ze szczególnym uwzględnieniem małych i średnich przedsiębiorstw (MŚP),</w:t>
            </w:r>
            <w:r w:rsidRPr="00354796">
              <w:t xml:space="preserve"> oraz aby odpowiednio dostosowała wyka</w:t>
            </w:r>
            <w:r w:rsidRPr="00354796">
              <w:t>z sektorów;</w:t>
            </w:r>
          </w:p>
        </w:tc>
      </w:tr>
    </w:tbl>
    <w:p w14:paraId="546484C2"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F45F226" w14:textId="77777777" w:rsidR="005A79DB" w:rsidRPr="00354796" w:rsidRDefault="006E31A1">
      <w:r w:rsidRPr="00354796">
        <w:rPr>
          <w:rStyle w:val="HideTWBExt"/>
        </w:rPr>
        <w:t>&lt;/Amend&gt;</w:t>
      </w:r>
    </w:p>
    <w:p w14:paraId="2967765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61</w:t>
      </w:r>
      <w:r w:rsidRPr="00354796">
        <w:rPr>
          <w:rStyle w:val="HideTWBExt"/>
        </w:rPr>
        <w:t>&lt;/NumAm&gt;</w:t>
      </w:r>
    </w:p>
    <w:p w14:paraId="0132EB74"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197F7571" w14:textId="77777777" w:rsidR="005A79DB" w:rsidRPr="00354796" w:rsidRDefault="006E31A1">
      <w:pPr>
        <w:pStyle w:val="NormalBold"/>
      </w:pPr>
      <w:r w:rsidRPr="00354796">
        <w:rPr>
          <w:rStyle w:val="HideTWBExt"/>
          <w:b w:val="0"/>
        </w:rPr>
        <w:t>&lt;/RepeatBlock-By&gt;</w:t>
      </w:r>
    </w:p>
    <w:p w14:paraId="49C941A6"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8E85B3A" w14:textId="77777777" w:rsidR="005A79DB" w:rsidRPr="00354796" w:rsidRDefault="006E31A1">
      <w:pPr>
        <w:pStyle w:val="NormalBold"/>
      </w:pPr>
      <w:r w:rsidRPr="00354796">
        <w:rPr>
          <w:rStyle w:val="HideTWBExt"/>
        </w:rPr>
        <w:t>&lt;Article&gt;</w:t>
      </w:r>
      <w:r w:rsidRPr="00354796">
        <w:t>Ustęp 9</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42E6508" w14:textId="77777777">
        <w:trPr>
          <w:trHeight w:hRule="exact" w:val="240"/>
          <w:jc w:val="center"/>
        </w:trPr>
        <w:tc>
          <w:tcPr>
            <w:tcW w:w="9752" w:type="dxa"/>
            <w:gridSpan w:val="2"/>
            <w:tcBorders>
              <w:top w:val="nil"/>
              <w:left w:val="nil"/>
              <w:bottom w:val="nil"/>
              <w:right w:val="nil"/>
            </w:tcBorders>
          </w:tcPr>
          <w:p w14:paraId="1500A108" w14:textId="77777777" w:rsidR="005A79DB" w:rsidRPr="00354796" w:rsidRDefault="005A79DB"/>
        </w:tc>
      </w:tr>
      <w:tr w:rsidR="005A79DB" w:rsidRPr="00354796" w14:paraId="030EA0FB" w14:textId="77777777">
        <w:trPr>
          <w:trHeight w:val="240"/>
          <w:jc w:val="center"/>
        </w:trPr>
        <w:tc>
          <w:tcPr>
            <w:tcW w:w="4876" w:type="dxa"/>
            <w:tcBorders>
              <w:top w:val="nil"/>
              <w:left w:val="nil"/>
              <w:bottom w:val="nil"/>
              <w:right w:val="nil"/>
            </w:tcBorders>
          </w:tcPr>
          <w:p w14:paraId="12E6B56E"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7CB086A" w14:textId="77777777" w:rsidR="005A79DB" w:rsidRPr="00354796" w:rsidRDefault="006E31A1">
            <w:pPr>
              <w:pStyle w:val="AmColumnHeading"/>
            </w:pPr>
            <w:r w:rsidRPr="00354796">
              <w:t>Poprawka</w:t>
            </w:r>
          </w:p>
        </w:tc>
      </w:tr>
      <w:tr w:rsidR="005A79DB" w:rsidRPr="00354796" w14:paraId="62CCF737" w14:textId="77777777">
        <w:trPr>
          <w:jc w:val="center"/>
        </w:trPr>
        <w:tc>
          <w:tcPr>
            <w:tcW w:w="4876" w:type="dxa"/>
            <w:tcBorders>
              <w:top w:val="nil"/>
              <w:left w:val="nil"/>
              <w:bottom w:val="nil"/>
              <w:right w:val="nil"/>
            </w:tcBorders>
          </w:tcPr>
          <w:p w14:paraId="634261D2" w14:textId="77777777" w:rsidR="005A79DB" w:rsidRPr="00354796" w:rsidRDefault="006E31A1">
            <w:pPr>
              <w:pStyle w:val="Normal6a"/>
            </w:pPr>
            <w:r w:rsidRPr="00354796">
              <w:t>9.</w:t>
            </w:r>
            <w:r w:rsidRPr="00354796">
              <w:tab/>
              <w:t>wzywa Komisję, aby wraz z państwami członkowskimi oceniła koszty i korzyści wynikające ze stosowania MSR, sektor po sektorze, w tym jego wpływ na oszustwa, przedsiębiorstwa, administracje podatkowe i ewentualne przenoszenie oszustw, oraz aby odpowiednio dostosowała wykaz sektorów;</w:t>
            </w:r>
          </w:p>
        </w:tc>
        <w:tc>
          <w:tcPr>
            <w:tcW w:w="4876" w:type="dxa"/>
            <w:tcBorders>
              <w:top w:val="nil"/>
              <w:left w:val="nil"/>
              <w:bottom w:val="nil"/>
              <w:right w:val="nil"/>
            </w:tcBorders>
          </w:tcPr>
          <w:p w14:paraId="04AFAEAE" w14:textId="77777777" w:rsidR="005A79DB" w:rsidRPr="00354796" w:rsidRDefault="006E31A1">
            <w:pPr>
              <w:pStyle w:val="Normal6a"/>
            </w:pPr>
            <w:r w:rsidRPr="00354796">
              <w:t>9.</w:t>
            </w:r>
            <w:r w:rsidRPr="00354796">
              <w:tab/>
              <w:t xml:space="preserve">wzywa Komisję, aby wraz z państwami członkowskimi oceniła koszty i korzyści wynikające ze stosowania MSR, sektor po sektorze, w tym </w:t>
            </w:r>
            <w:r w:rsidRPr="00354796">
              <w:t xml:space="preserve">jego wpływ na oszustwa, przedsiębiorstwa, administracje podatkowe i ewentualne przenoszenie oszustw, oraz aby odpowiednio dostosowała wykaz sektorów; </w:t>
            </w:r>
            <w:r w:rsidRPr="00354796">
              <w:rPr>
                <w:b/>
                <w:i/>
              </w:rPr>
              <w:t>ponadto apeluje do Komisji, aby przeanalizowała kwestię występowania oszustw na etapie „ostatniej mili” w transakcjach między przedsiębiorstwami a konsumentami w sektorach, w których zastosowanie ma mechanizm odwrotnego obciążenia, oraz wydała zalecenia dla państw członkowskich w tym zakresie;</w:t>
            </w:r>
          </w:p>
        </w:tc>
      </w:tr>
    </w:tbl>
    <w:p w14:paraId="6C34E70C"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4490B10B" w14:textId="77777777" w:rsidR="005A79DB" w:rsidRPr="00354796" w:rsidRDefault="006E31A1">
      <w:r w:rsidRPr="00354796">
        <w:rPr>
          <w:rStyle w:val="HideTWBExt"/>
        </w:rPr>
        <w:t>&lt;/Amend&gt;</w:t>
      </w:r>
    </w:p>
    <w:p w14:paraId="7DE4CC3B"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62</w:t>
      </w:r>
      <w:r w:rsidRPr="00354796">
        <w:rPr>
          <w:rStyle w:val="HideTWBExt"/>
        </w:rPr>
        <w:t>&lt;/NumAm&gt;</w:t>
      </w:r>
    </w:p>
    <w:p w14:paraId="4D7C0073"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292A0FEC" w14:textId="77777777" w:rsidR="005A79DB" w:rsidRPr="00354796" w:rsidRDefault="006E31A1">
      <w:pPr>
        <w:pStyle w:val="NormalBold"/>
      </w:pPr>
      <w:r w:rsidRPr="00354796">
        <w:rPr>
          <w:rStyle w:val="HideTWBExt"/>
          <w:b w:val="0"/>
        </w:rPr>
        <w:t>&lt;/RepeatBlock-By&gt;</w:t>
      </w:r>
    </w:p>
    <w:p w14:paraId="4DB1A9E6"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33CFBC3D" w14:textId="77777777" w:rsidR="005A79DB" w:rsidRPr="00354796" w:rsidRDefault="006E31A1">
      <w:pPr>
        <w:pStyle w:val="NormalBold"/>
      </w:pPr>
      <w:r w:rsidRPr="00354796">
        <w:rPr>
          <w:rStyle w:val="HideTWBExt"/>
        </w:rPr>
        <w:t>&lt;Article&gt;</w:t>
      </w:r>
      <w:r w:rsidRPr="00354796">
        <w:t>Ustęp 9</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56296A6" w14:textId="77777777">
        <w:trPr>
          <w:trHeight w:hRule="exact" w:val="240"/>
          <w:jc w:val="center"/>
        </w:trPr>
        <w:tc>
          <w:tcPr>
            <w:tcW w:w="9752" w:type="dxa"/>
            <w:gridSpan w:val="2"/>
            <w:tcBorders>
              <w:top w:val="nil"/>
              <w:left w:val="nil"/>
              <w:bottom w:val="nil"/>
              <w:right w:val="nil"/>
            </w:tcBorders>
          </w:tcPr>
          <w:p w14:paraId="43754847" w14:textId="77777777" w:rsidR="005A79DB" w:rsidRPr="00354796" w:rsidRDefault="005A79DB"/>
        </w:tc>
      </w:tr>
      <w:tr w:rsidR="005A79DB" w:rsidRPr="00354796" w14:paraId="0B685F37" w14:textId="77777777">
        <w:trPr>
          <w:trHeight w:val="240"/>
          <w:jc w:val="center"/>
        </w:trPr>
        <w:tc>
          <w:tcPr>
            <w:tcW w:w="4876" w:type="dxa"/>
            <w:tcBorders>
              <w:top w:val="nil"/>
              <w:left w:val="nil"/>
              <w:bottom w:val="nil"/>
              <w:right w:val="nil"/>
            </w:tcBorders>
          </w:tcPr>
          <w:p w14:paraId="323A2364"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B6C78EF" w14:textId="77777777" w:rsidR="005A79DB" w:rsidRPr="00354796" w:rsidRDefault="006E31A1">
            <w:pPr>
              <w:pStyle w:val="AmColumnHeading"/>
            </w:pPr>
            <w:r w:rsidRPr="00354796">
              <w:t>Poprawka</w:t>
            </w:r>
          </w:p>
        </w:tc>
      </w:tr>
      <w:tr w:rsidR="005A79DB" w:rsidRPr="00354796" w14:paraId="55FCB62C" w14:textId="77777777">
        <w:trPr>
          <w:jc w:val="center"/>
        </w:trPr>
        <w:tc>
          <w:tcPr>
            <w:tcW w:w="4876" w:type="dxa"/>
            <w:tcBorders>
              <w:top w:val="nil"/>
              <w:left w:val="nil"/>
              <w:bottom w:val="nil"/>
              <w:right w:val="nil"/>
            </w:tcBorders>
          </w:tcPr>
          <w:p w14:paraId="3E197428" w14:textId="77777777" w:rsidR="005A79DB" w:rsidRPr="00354796" w:rsidRDefault="006E31A1">
            <w:pPr>
              <w:pStyle w:val="Normal6a"/>
            </w:pPr>
            <w:r w:rsidRPr="00354796">
              <w:t>9.</w:t>
            </w:r>
            <w:r w:rsidRPr="00354796">
              <w:tab/>
            </w:r>
            <w:r w:rsidRPr="00354796">
              <w:t xml:space="preserve">wzywa Komisję, aby wraz z </w:t>
            </w:r>
            <w:r w:rsidRPr="00354796">
              <w:lastRenderedPageBreak/>
              <w:t xml:space="preserve">państwami członkowskimi oceniła koszty i korzyści wynikające ze stosowania MSR, sektor po sektorze, w tym jego wpływ na oszustwa, przedsiębiorstwa, administracje podatkowe i ewentualne przenoszenie oszustw, oraz aby odpowiednio </w:t>
            </w:r>
            <w:r w:rsidRPr="00354796">
              <w:rPr>
                <w:b/>
                <w:bCs/>
                <w:i/>
                <w:iCs/>
              </w:rPr>
              <w:t>dostosowała</w:t>
            </w:r>
            <w:r w:rsidRPr="00354796">
              <w:t xml:space="preserve"> wykaz sektorów;</w:t>
            </w:r>
          </w:p>
        </w:tc>
        <w:tc>
          <w:tcPr>
            <w:tcW w:w="4876" w:type="dxa"/>
            <w:tcBorders>
              <w:top w:val="nil"/>
              <w:left w:val="nil"/>
              <w:bottom w:val="nil"/>
              <w:right w:val="nil"/>
            </w:tcBorders>
          </w:tcPr>
          <w:p w14:paraId="7189FEB1" w14:textId="77777777" w:rsidR="005A79DB" w:rsidRPr="00354796" w:rsidRDefault="006E31A1">
            <w:pPr>
              <w:pStyle w:val="Normal6a"/>
            </w:pPr>
            <w:r w:rsidRPr="00354796">
              <w:lastRenderedPageBreak/>
              <w:t>9.</w:t>
            </w:r>
            <w:r w:rsidRPr="00354796">
              <w:tab/>
              <w:t xml:space="preserve">wzywa Komisję, aby wraz z </w:t>
            </w:r>
            <w:r w:rsidRPr="00354796">
              <w:lastRenderedPageBreak/>
              <w:t xml:space="preserve">państwami członkowskimi oceniła koszty i korzyści wynikające ze stosowania MSR, sektor po sektorze, w tym jego wpływ na oszustwa, przedsiębiorstwa, administracje podatkowe i ewentualne przenoszenie oszustw, oraz aby odpowiednio </w:t>
            </w:r>
            <w:r w:rsidRPr="00354796">
              <w:rPr>
                <w:b/>
                <w:bCs/>
                <w:i/>
                <w:iCs/>
              </w:rPr>
              <w:t>rozszerzyła</w:t>
            </w:r>
            <w:r w:rsidRPr="00354796">
              <w:t xml:space="preserve"> wykaz sektorów;</w:t>
            </w:r>
          </w:p>
        </w:tc>
      </w:tr>
    </w:tbl>
    <w:p w14:paraId="5AE5A926"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796F79D" w14:textId="77777777" w:rsidR="005A79DB" w:rsidRPr="00354796" w:rsidRDefault="006E31A1">
      <w:r w:rsidRPr="00354796">
        <w:rPr>
          <w:rStyle w:val="HideTWBExt"/>
        </w:rPr>
        <w:t>&lt;/Amend&gt;</w:t>
      </w:r>
    </w:p>
    <w:p w14:paraId="35A60F96"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63</w:t>
      </w:r>
      <w:r w:rsidRPr="00354796">
        <w:rPr>
          <w:rStyle w:val="HideTWBExt"/>
        </w:rPr>
        <w:t>&lt;/NumAm&gt;</w:t>
      </w:r>
    </w:p>
    <w:p w14:paraId="3EB0C742"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1ED8F9AF" w14:textId="77777777" w:rsidR="005A79DB" w:rsidRPr="00354796" w:rsidRDefault="006E31A1">
      <w:pPr>
        <w:pStyle w:val="NormalBold"/>
      </w:pPr>
      <w:r w:rsidRPr="00354796">
        <w:rPr>
          <w:rStyle w:val="HideTWBExt"/>
          <w:b w:val="0"/>
        </w:rPr>
        <w:t>&lt;/RepeatBlock-By&gt;</w:t>
      </w:r>
    </w:p>
    <w:p w14:paraId="04EF65BA"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6F1E380E" w14:textId="77777777" w:rsidR="005A79DB" w:rsidRPr="00354796" w:rsidRDefault="006E31A1">
      <w:pPr>
        <w:pStyle w:val="NormalBold"/>
      </w:pPr>
      <w:r w:rsidRPr="00354796">
        <w:rPr>
          <w:rStyle w:val="HideTWBExt"/>
        </w:rPr>
        <w:t>&lt;Article&gt;</w:t>
      </w:r>
      <w:r w:rsidRPr="00354796">
        <w:t>Ustęp 9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1C6A7F2" w14:textId="77777777">
        <w:trPr>
          <w:trHeight w:hRule="exact" w:val="240"/>
          <w:jc w:val="center"/>
        </w:trPr>
        <w:tc>
          <w:tcPr>
            <w:tcW w:w="9752" w:type="dxa"/>
            <w:gridSpan w:val="2"/>
            <w:tcBorders>
              <w:top w:val="nil"/>
              <w:left w:val="nil"/>
              <w:bottom w:val="nil"/>
              <w:right w:val="nil"/>
            </w:tcBorders>
          </w:tcPr>
          <w:p w14:paraId="755966B8" w14:textId="77777777" w:rsidR="005A79DB" w:rsidRPr="00354796" w:rsidRDefault="005A79DB"/>
        </w:tc>
      </w:tr>
      <w:tr w:rsidR="005A79DB" w:rsidRPr="00354796" w14:paraId="77771461" w14:textId="77777777">
        <w:trPr>
          <w:trHeight w:val="240"/>
          <w:jc w:val="center"/>
        </w:trPr>
        <w:tc>
          <w:tcPr>
            <w:tcW w:w="4876" w:type="dxa"/>
            <w:tcBorders>
              <w:top w:val="nil"/>
              <w:left w:val="nil"/>
              <w:bottom w:val="nil"/>
              <w:right w:val="nil"/>
            </w:tcBorders>
          </w:tcPr>
          <w:p w14:paraId="3D258F35"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4F3C91C" w14:textId="77777777" w:rsidR="005A79DB" w:rsidRPr="00354796" w:rsidRDefault="006E31A1">
            <w:pPr>
              <w:pStyle w:val="AmColumnHeading"/>
            </w:pPr>
            <w:r w:rsidRPr="00354796">
              <w:t>Poprawka</w:t>
            </w:r>
          </w:p>
        </w:tc>
      </w:tr>
      <w:tr w:rsidR="005A79DB" w:rsidRPr="00354796" w14:paraId="6EB0E1A7" w14:textId="77777777">
        <w:trPr>
          <w:jc w:val="center"/>
        </w:trPr>
        <w:tc>
          <w:tcPr>
            <w:tcW w:w="4876" w:type="dxa"/>
            <w:tcBorders>
              <w:top w:val="nil"/>
              <w:left w:val="nil"/>
              <w:bottom w:val="nil"/>
              <w:right w:val="nil"/>
            </w:tcBorders>
          </w:tcPr>
          <w:p w14:paraId="2E55CBF2" w14:textId="77777777" w:rsidR="005A79DB" w:rsidRPr="00354796" w:rsidRDefault="005A79DB">
            <w:pPr>
              <w:pStyle w:val="Normal6a"/>
            </w:pPr>
          </w:p>
        </w:tc>
        <w:tc>
          <w:tcPr>
            <w:tcW w:w="4876" w:type="dxa"/>
            <w:tcBorders>
              <w:top w:val="nil"/>
              <w:left w:val="nil"/>
              <w:bottom w:val="nil"/>
              <w:right w:val="nil"/>
            </w:tcBorders>
          </w:tcPr>
          <w:p w14:paraId="2C7DBC63" w14:textId="77777777" w:rsidR="005A79DB" w:rsidRPr="00354796" w:rsidRDefault="006E31A1">
            <w:pPr>
              <w:pStyle w:val="Normal6a"/>
            </w:pPr>
            <w:r w:rsidRPr="00354796">
              <w:rPr>
                <w:b/>
                <w:i/>
              </w:rPr>
              <w:t>9a.</w:t>
            </w:r>
            <w:r w:rsidRPr="00354796">
              <w:tab/>
            </w:r>
            <w:r w:rsidRPr="00354796">
              <w:rPr>
                <w:b/>
                <w:i/>
              </w:rPr>
              <w:t xml:space="preserve">zauważa, że Komisja nie przedstawiła zaktualizowanej oceny skutków art. 199a i 199b, o którą zwrócił się Parlament przed </w:t>
            </w:r>
            <w:r w:rsidRPr="00354796">
              <w:rPr>
                <w:b/>
                <w:i/>
              </w:rPr>
              <w:t xml:space="preserve">ewentualnym dalszym przedłużeniem; wzywa Komisję do przedstawienia takiej oceny </w:t>
            </w:r>
            <w:proofErr w:type="gramStart"/>
            <w:r w:rsidRPr="00354796">
              <w:rPr>
                <w:b/>
                <w:i/>
              </w:rPr>
              <w:t>oraz,</w:t>
            </w:r>
            <w:proofErr w:type="gramEnd"/>
            <w:r w:rsidRPr="00354796">
              <w:rPr>
                <w:b/>
                <w:i/>
              </w:rPr>
              <w:t xml:space="preserve"> w oparciu o jej wyniki, terminowego wniosku z dużym wyprzedzeniem przed wygaśnięciem obowiązywania tych przepisów 31 grudnia 2026 r.;</w:t>
            </w:r>
          </w:p>
        </w:tc>
      </w:tr>
    </w:tbl>
    <w:p w14:paraId="12CDACA5"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7764FBD9" w14:textId="77777777" w:rsidR="005A79DB" w:rsidRPr="00354796" w:rsidRDefault="006E31A1">
      <w:r w:rsidRPr="00354796">
        <w:rPr>
          <w:rStyle w:val="HideTWBExt"/>
        </w:rPr>
        <w:t>&lt;/Amend&gt;</w:t>
      </w:r>
    </w:p>
    <w:p w14:paraId="781E9FBA"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64</w:t>
      </w:r>
      <w:r w:rsidRPr="00354796">
        <w:rPr>
          <w:rStyle w:val="HideTWBExt"/>
        </w:rPr>
        <w:t>&lt;/NumAm&gt;</w:t>
      </w:r>
    </w:p>
    <w:p w14:paraId="49E291FD"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140774A6" w14:textId="77777777" w:rsidR="005A79DB" w:rsidRPr="00354796" w:rsidRDefault="006E31A1">
      <w:pPr>
        <w:pStyle w:val="NormalBold"/>
      </w:pPr>
      <w:r w:rsidRPr="00354796">
        <w:rPr>
          <w:rStyle w:val="HideTWBExt"/>
          <w:b w:val="0"/>
        </w:rPr>
        <w:t>&lt;/RepeatBlock-By&gt;</w:t>
      </w:r>
    </w:p>
    <w:p w14:paraId="7D12C0B2"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37755F0" w14:textId="77777777" w:rsidR="005A79DB" w:rsidRPr="00354796" w:rsidRDefault="006E31A1">
      <w:pPr>
        <w:pStyle w:val="NormalBold"/>
      </w:pPr>
      <w:r w:rsidRPr="00354796">
        <w:rPr>
          <w:rStyle w:val="HideTWBExt"/>
        </w:rPr>
        <w:t>&lt;Article&gt;</w:t>
      </w:r>
      <w:r w:rsidRPr="00354796">
        <w:t>Ustęp 9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49733A82" w14:textId="77777777">
        <w:trPr>
          <w:trHeight w:hRule="exact" w:val="240"/>
          <w:jc w:val="center"/>
        </w:trPr>
        <w:tc>
          <w:tcPr>
            <w:tcW w:w="9752" w:type="dxa"/>
            <w:gridSpan w:val="2"/>
            <w:tcBorders>
              <w:top w:val="nil"/>
              <w:left w:val="nil"/>
              <w:bottom w:val="nil"/>
              <w:right w:val="nil"/>
            </w:tcBorders>
          </w:tcPr>
          <w:p w14:paraId="2428B9F9" w14:textId="77777777" w:rsidR="005A79DB" w:rsidRPr="00354796" w:rsidRDefault="005A79DB"/>
        </w:tc>
      </w:tr>
      <w:tr w:rsidR="005A79DB" w:rsidRPr="00354796" w14:paraId="3027A487" w14:textId="77777777">
        <w:trPr>
          <w:trHeight w:val="240"/>
          <w:jc w:val="center"/>
        </w:trPr>
        <w:tc>
          <w:tcPr>
            <w:tcW w:w="4876" w:type="dxa"/>
            <w:tcBorders>
              <w:top w:val="nil"/>
              <w:left w:val="nil"/>
              <w:bottom w:val="nil"/>
              <w:right w:val="nil"/>
            </w:tcBorders>
          </w:tcPr>
          <w:p w14:paraId="649857C7"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36C633B" w14:textId="77777777" w:rsidR="005A79DB" w:rsidRPr="00354796" w:rsidRDefault="006E31A1">
            <w:pPr>
              <w:pStyle w:val="AmColumnHeading"/>
            </w:pPr>
            <w:r w:rsidRPr="00354796">
              <w:t>Poprawka</w:t>
            </w:r>
          </w:p>
        </w:tc>
      </w:tr>
      <w:tr w:rsidR="005A79DB" w:rsidRPr="00354796" w14:paraId="17348AE8" w14:textId="77777777">
        <w:trPr>
          <w:jc w:val="center"/>
        </w:trPr>
        <w:tc>
          <w:tcPr>
            <w:tcW w:w="4876" w:type="dxa"/>
            <w:tcBorders>
              <w:top w:val="nil"/>
              <w:left w:val="nil"/>
              <w:bottom w:val="nil"/>
              <w:right w:val="nil"/>
            </w:tcBorders>
          </w:tcPr>
          <w:p w14:paraId="7BDF9D91" w14:textId="77777777" w:rsidR="005A79DB" w:rsidRPr="00354796" w:rsidRDefault="005A79DB">
            <w:pPr>
              <w:pStyle w:val="Normal6a"/>
            </w:pPr>
          </w:p>
        </w:tc>
        <w:tc>
          <w:tcPr>
            <w:tcW w:w="4876" w:type="dxa"/>
            <w:tcBorders>
              <w:top w:val="nil"/>
              <w:left w:val="nil"/>
              <w:bottom w:val="nil"/>
              <w:right w:val="nil"/>
            </w:tcBorders>
          </w:tcPr>
          <w:p w14:paraId="4CACAB4D" w14:textId="77777777" w:rsidR="005A79DB" w:rsidRPr="00354796" w:rsidRDefault="006E31A1">
            <w:pPr>
              <w:pStyle w:val="Normal6a"/>
            </w:pPr>
            <w:r w:rsidRPr="00354796">
              <w:rPr>
                <w:b/>
                <w:i/>
              </w:rPr>
              <w:t>9a.</w:t>
            </w:r>
            <w:r w:rsidRPr="00354796">
              <w:tab/>
            </w:r>
            <w:r w:rsidRPr="00354796">
              <w:rPr>
                <w:b/>
                <w:i/>
              </w:rPr>
              <w:t xml:space="preserve">zauważa, że wycofanie </w:t>
            </w:r>
            <w:r w:rsidRPr="00354796">
              <w:rPr>
                <w:b/>
                <w:i/>
              </w:rPr>
              <w:t xml:space="preserve">mechanizmu odwrotnego obciążenia z sektorów gospodarki, w których przyczynił się on do skutecznego wyeliminowania oszustw karuzelowych, bez zapewnienia równie solidnej i sprawdzonej alternatywy, </w:t>
            </w:r>
            <w:r w:rsidRPr="00354796">
              <w:rPr>
                <w:b/>
                <w:i/>
              </w:rPr>
              <w:lastRenderedPageBreak/>
              <w:t>w pełni operacyjnej w praktyce, prawdopodobnie doprowadziłoby do natychmiastowego ponownego pojawienia się siatek przestępczych oraz poważnych strat w dochodach podatkowych;</w:t>
            </w:r>
          </w:p>
        </w:tc>
      </w:tr>
    </w:tbl>
    <w:p w14:paraId="55C1A944"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1877E62" w14:textId="77777777" w:rsidR="005A79DB" w:rsidRPr="00354796" w:rsidRDefault="006E31A1">
      <w:r w:rsidRPr="00354796">
        <w:rPr>
          <w:rStyle w:val="HideTWBExt"/>
        </w:rPr>
        <w:t>&lt;/Amend&gt;</w:t>
      </w:r>
    </w:p>
    <w:p w14:paraId="46081F90"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65</w:t>
      </w:r>
      <w:r w:rsidRPr="00354796">
        <w:rPr>
          <w:rStyle w:val="HideTWBExt"/>
        </w:rPr>
        <w:t>&lt;/NumAm&gt;</w:t>
      </w:r>
    </w:p>
    <w:p w14:paraId="40AFA65D" w14:textId="77777777" w:rsidR="005A79DB" w:rsidRPr="00354796" w:rsidRDefault="006E31A1">
      <w:pPr>
        <w:pStyle w:val="NormalBold"/>
      </w:pPr>
      <w:r w:rsidRPr="00354796">
        <w:rPr>
          <w:rStyle w:val="HideTWBExt"/>
          <w:b w:val="0"/>
        </w:rPr>
        <w:t>&lt;RepeatBlock-By&gt;&lt;Members&gt;</w:t>
      </w:r>
      <w:proofErr w:type="spellStart"/>
      <w:r w:rsidRPr="00354796">
        <w:t>Danuše</w:t>
      </w:r>
      <w:proofErr w:type="spellEnd"/>
      <w:r w:rsidRPr="00354796">
        <w:t xml:space="preserve"> </w:t>
      </w:r>
      <w:proofErr w:type="spellStart"/>
      <w:r w:rsidRPr="00354796">
        <w:t>Nerudová</w:t>
      </w:r>
      <w:proofErr w:type="spellEnd"/>
      <w:r w:rsidRPr="00354796">
        <w:rPr>
          <w:rStyle w:val="HideTWBExt"/>
          <w:b w:val="0"/>
        </w:rPr>
        <w:t>&lt;/Members&gt;</w:t>
      </w:r>
    </w:p>
    <w:p w14:paraId="2D8E14EE" w14:textId="77777777" w:rsidR="005A79DB" w:rsidRPr="00354796" w:rsidRDefault="006E31A1">
      <w:pPr>
        <w:pStyle w:val="NormalBold"/>
      </w:pPr>
      <w:r w:rsidRPr="00354796">
        <w:rPr>
          <w:rStyle w:val="HideTWBExt"/>
          <w:b w:val="0"/>
        </w:rPr>
        <w:t>&lt;/RepeatBlock-By&gt;</w:t>
      </w:r>
    </w:p>
    <w:p w14:paraId="3EC5AB74"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04F556F" w14:textId="77777777" w:rsidR="005A79DB" w:rsidRPr="00354796" w:rsidRDefault="006E31A1">
      <w:pPr>
        <w:pStyle w:val="NormalBold"/>
      </w:pPr>
      <w:r w:rsidRPr="00354796">
        <w:rPr>
          <w:rStyle w:val="HideTWBExt"/>
        </w:rPr>
        <w:t>&lt;Article&gt;</w:t>
      </w:r>
      <w:r w:rsidRPr="00354796">
        <w:t>Ustęp 10</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238AF0A" w14:textId="77777777">
        <w:trPr>
          <w:trHeight w:hRule="exact" w:val="240"/>
          <w:jc w:val="center"/>
        </w:trPr>
        <w:tc>
          <w:tcPr>
            <w:tcW w:w="9752" w:type="dxa"/>
            <w:gridSpan w:val="2"/>
            <w:tcBorders>
              <w:top w:val="nil"/>
              <w:left w:val="nil"/>
              <w:bottom w:val="nil"/>
              <w:right w:val="nil"/>
            </w:tcBorders>
          </w:tcPr>
          <w:p w14:paraId="3E8D6A6D" w14:textId="77777777" w:rsidR="005A79DB" w:rsidRPr="00354796" w:rsidRDefault="005A79DB"/>
        </w:tc>
      </w:tr>
      <w:tr w:rsidR="005A79DB" w:rsidRPr="00354796" w14:paraId="51AE2C4C" w14:textId="77777777">
        <w:trPr>
          <w:trHeight w:val="240"/>
          <w:jc w:val="center"/>
        </w:trPr>
        <w:tc>
          <w:tcPr>
            <w:tcW w:w="4876" w:type="dxa"/>
            <w:tcBorders>
              <w:top w:val="nil"/>
              <w:left w:val="nil"/>
              <w:bottom w:val="nil"/>
              <w:right w:val="nil"/>
            </w:tcBorders>
          </w:tcPr>
          <w:p w14:paraId="639FEB7F"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91A5150" w14:textId="77777777" w:rsidR="005A79DB" w:rsidRPr="00354796" w:rsidRDefault="006E31A1">
            <w:pPr>
              <w:pStyle w:val="AmColumnHeading"/>
            </w:pPr>
            <w:r w:rsidRPr="00354796">
              <w:t>Poprawka</w:t>
            </w:r>
          </w:p>
        </w:tc>
      </w:tr>
      <w:tr w:rsidR="005A79DB" w:rsidRPr="00354796" w14:paraId="501F573D" w14:textId="77777777">
        <w:trPr>
          <w:jc w:val="center"/>
        </w:trPr>
        <w:tc>
          <w:tcPr>
            <w:tcW w:w="4876" w:type="dxa"/>
            <w:tcBorders>
              <w:top w:val="nil"/>
              <w:left w:val="nil"/>
              <w:bottom w:val="nil"/>
              <w:right w:val="nil"/>
            </w:tcBorders>
          </w:tcPr>
          <w:p w14:paraId="21E64F54" w14:textId="77777777" w:rsidR="005A79DB" w:rsidRPr="00354796" w:rsidRDefault="006E31A1">
            <w:pPr>
              <w:pStyle w:val="Normal6a"/>
            </w:pPr>
            <w:r w:rsidRPr="00354796">
              <w:t>10.</w:t>
            </w:r>
            <w:r w:rsidRPr="00354796">
              <w:tab/>
              <w:t xml:space="preserve">podkreśla, że </w:t>
            </w:r>
            <w:r w:rsidRPr="00354796">
              <w:rPr>
                <w:b/>
                <w:bCs/>
                <w:i/>
                <w:iCs/>
              </w:rPr>
              <w:t xml:space="preserve">większa spójność w stosowaniu </w:t>
            </w:r>
            <w:r w:rsidRPr="00354796">
              <w:t>art. 199a</w:t>
            </w:r>
            <w:r w:rsidRPr="00354796">
              <w:rPr>
                <w:b/>
                <w:bCs/>
                <w:i/>
                <w:iCs/>
              </w:rPr>
              <w:t xml:space="preserve"> nie powinna czynić mechanizmu odwrotnego obciążenia obowiązkowym ani prowadzić do wymuszonej harmonizacji krajowych systemów VAT, ale powinna zapewnić jaśniejsze </w:t>
            </w:r>
            <w:r w:rsidRPr="00354796">
              <w:t>i</w:t>
            </w:r>
            <w:r w:rsidRPr="00354796">
              <w:rPr>
                <w:b/>
                <w:bCs/>
                <w:i/>
                <w:iCs/>
              </w:rPr>
              <w:t xml:space="preserve"> bardziej przewidywalne traktowanie </w:t>
            </w:r>
            <w:r w:rsidRPr="00354796">
              <w:t>porównywalnych transakcji wysokiego ryzyka;</w:t>
            </w:r>
          </w:p>
        </w:tc>
        <w:tc>
          <w:tcPr>
            <w:tcW w:w="4876" w:type="dxa"/>
            <w:tcBorders>
              <w:top w:val="nil"/>
              <w:left w:val="nil"/>
              <w:bottom w:val="nil"/>
              <w:right w:val="nil"/>
            </w:tcBorders>
          </w:tcPr>
          <w:p w14:paraId="1B7E1CB0" w14:textId="77777777" w:rsidR="005A79DB" w:rsidRPr="00354796" w:rsidRDefault="006E31A1">
            <w:pPr>
              <w:pStyle w:val="Normal6a"/>
            </w:pPr>
            <w:r w:rsidRPr="00354796">
              <w:t>10.</w:t>
            </w:r>
            <w:r w:rsidRPr="00354796">
              <w:tab/>
              <w:t xml:space="preserve">podkreśla, że </w:t>
            </w:r>
            <w:r w:rsidRPr="00354796">
              <w:rPr>
                <w:b/>
                <w:bCs/>
                <w:i/>
                <w:iCs/>
              </w:rPr>
              <w:t xml:space="preserve">mechanizm odwrotnego obciążenia powinien pozostać opcjonalny dla państw członkowskich, uważa jednak, że w przypadku gdy państwo członkowskie stosuje mechanizm odwrotnego obciążenia zgodnie z </w:t>
            </w:r>
            <w:r w:rsidRPr="00354796">
              <w:t>art. 199a</w:t>
            </w:r>
            <w:r w:rsidRPr="00354796">
              <w:rPr>
                <w:b/>
                <w:bCs/>
                <w:i/>
                <w:iCs/>
              </w:rPr>
              <w:t xml:space="preserve">, warunki jego stosowania, w tym progi, powyżej których mechanizm ma zastosowanie, oraz definicje sektorów i towarów lub usług objętych mechanizmem, należy dostosować na szczeblu Unii w celu zapewnienia jaśniejszego </w:t>
            </w:r>
            <w:r w:rsidRPr="00354796">
              <w:t>i</w:t>
            </w:r>
            <w:r w:rsidRPr="00354796">
              <w:rPr>
                <w:b/>
                <w:bCs/>
                <w:i/>
                <w:iCs/>
              </w:rPr>
              <w:t xml:space="preserve"> bardziej przewidywalnego traktowania </w:t>
            </w:r>
            <w:r w:rsidRPr="00354796">
              <w:t>porównywalnych transakcji wysokiego ryzyka</w:t>
            </w:r>
            <w:r w:rsidRPr="00354796">
              <w:rPr>
                <w:b/>
                <w:bCs/>
                <w:i/>
                <w:iCs/>
              </w:rPr>
              <w:t xml:space="preserve"> na całym rynku wewnętrznym oraz ograniczenia możliwości przenoszenia oszustw wynikających z rozbieżnych przepisów krajowych</w:t>
            </w:r>
            <w:r w:rsidRPr="00354796">
              <w:t>;</w:t>
            </w:r>
          </w:p>
        </w:tc>
      </w:tr>
    </w:tbl>
    <w:p w14:paraId="5D62AE0D"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DBC2255" w14:textId="77777777" w:rsidR="005A79DB" w:rsidRPr="00354796" w:rsidRDefault="006E31A1">
      <w:r w:rsidRPr="00354796">
        <w:rPr>
          <w:rStyle w:val="HideTWBExt"/>
        </w:rPr>
        <w:t>&lt;/Amend&gt;</w:t>
      </w:r>
    </w:p>
    <w:p w14:paraId="257DE927"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66</w:t>
      </w:r>
      <w:r w:rsidRPr="00354796">
        <w:rPr>
          <w:rStyle w:val="HideTWBExt"/>
        </w:rPr>
        <w:t>&lt;/NumAm&gt;</w:t>
      </w:r>
    </w:p>
    <w:p w14:paraId="6A664193"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6FEE9E62" w14:textId="77777777" w:rsidR="005A79DB" w:rsidRPr="00354796" w:rsidRDefault="006E31A1">
      <w:pPr>
        <w:pStyle w:val="NormalBold"/>
      </w:pPr>
      <w:r w:rsidRPr="00354796">
        <w:rPr>
          <w:rStyle w:val="HideTWBExt"/>
          <w:b w:val="0"/>
        </w:rPr>
        <w:t>&lt;/RepeatBlock-By&gt;</w:t>
      </w:r>
    </w:p>
    <w:p w14:paraId="303F0AB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7D8AE4B8" w14:textId="77777777" w:rsidR="005A79DB" w:rsidRPr="00354796" w:rsidRDefault="006E31A1">
      <w:pPr>
        <w:pStyle w:val="NormalBold"/>
      </w:pPr>
      <w:r w:rsidRPr="00354796">
        <w:rPr>
          <w:rStyle w:val="HideTWBExt"/>
        </w:rPr>
        <w:t>&lt;Article&gt;</w:t>
      </w:r>
      <w:r w:rsidRPr="00354796">
        <w:t>Ustęp 10</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763A4A8" w14:textId="77777777">
        <w:trPr>
          <w:trHeight w:hRule="exact" w:val="240"/>
          <w:jc w:val="center"/>
        </w:trPr>
        <w:tc>
          <w:tcPr>
            <w:tcW w:w="9752" w:type="dxa"/>
            <w:gridSpan w:val="2"/>
            <w:tcBorders>
              <w:top w:val="nil"/>
              <w:left w:val="nil"/>
              <w:bottom w:val="nil"/>
              <w:right w:val="nil"/>
            </w:tcBorders>
          </w:tcPr>
          <w:p w14:paraId="547569AB" w14:textId="77777777" w:rsidR="005A79DB" w:rsidRPr="00354796" w:rsidRDefault="005A79DB"/>
        </w:tc>
      </w:tr>
      <w:tr w:rsidR="005A79DB" w:rsidRPr="00354796" w14:paraId="46B955D1" w14:textId="77777777">
        <w:trPr>
          <w:trHeight w:val="240"/>
          <w:jc w:val="center"/>
        </w:trPr>
        <w:tc>
          <w:tcPr>
            <w:tcW w:w="4876" w:type="dxa"/>
            <w:tcBorders>
              <w:top w:val="nil"/>
              <w:left w:val="nil"/>
              <w:bottom w:val="nil"/>
              <w:right w:val="nil"/>
            </w:tcBorders>
          </w:tcPr>
          <w:p w14:paraId="04B08B37" w14:textId="77777777" w:rsidR="005A79DB" w:rsidRPr="00354796" w:rsidRDefault="006E31A1">
            <w:pPr>
              <w:pStyle w:val="AmColumnHeading"/>
            </w:pPr>
            <w:r w:rsidRPr="00354796">
              <w:lastRenderedPageBreak/>
              <w:t>Projekt rezolucji</w:t>
            </w:r>
          </w:p>
        </w:tc>
        <w:tc>
          <w:tcPr>
            <w:tcW w:w="4876" w:type="dxa"/>
            <w:tcBorders>
              <w:top w:val="nil"/>
              <w:left w:val="nil"/>
              <w:bottom w:val="nil"/>
              <w:right w:val="nil"/>
            </w:tcBorders>
          </w:tcPr>
          <w:p w14:paraId="03D969B7" w14:textId="77777777" w:rsidR="005A79DB" w:rsidRPr="00354796" w:rsidRDefault="006E31A1">
            <w:pPr>
              <w:pStyle w:val="AmColumnHeading"/>
            </w:pPr>
            <w:r w:rsidRPr="00354796">
              <w:t>Poprawka</w:t>
            </w:r>
          </w:p>
        </w:tc>
      </w:tr>
      <w:tr w:rsidR="005A79DB" w:rsidRPr="00354796" w14:paraId="2DAC7A02" w14:textId="77777777">
        <w:trPr>
          <w:jc w:val="center"/>
        </w:trPr>
        <w:tc>
          <w:tcPr>
            <w:tcW w:w="4876" w:type="dxa"/>
            <w:tcBorders>
              <w:top w:val="nil"/>
              <w:left w:val="nil"/>
              <w:bottom w:val="nil"/>
              <w:right w:val="nil"/>
            </w:tcBorders>
          </w:tcPr>
          <w:p w14:paraId="4F1DFF94" w14:textId="77777777" w:rsidR="005A79DB" w:rsidRPr="00354796" w:rsidRDefault="006E31A1">
            <w:pPr>
              <w:pStyle w:val="Normal6a"/>
            </w:pPr>
            <w:r w:rsidRPr="00354796">
              <w:t>10.</w:t>
            </w:r>
            <w:r w:rsidRPr="00354796">
              <w:tab/>
              <w:t xml:space="preserve">podkreśla, że </w:t>
            </w:r>
            <w:r w:rsidRPr="00354796">
              <w:rPr>
                <w:b/>
                <w:bCs/>
                <w:i/>
                <w:iCs/>
              </w:rPr>
              <w:t>większa</w:t>
            </w:r>
            <w:r w:rsidRPr="00354796">
              <w:t xml:space="preserve"> spójność w stosowaniu art. 199a </w:t>
            </w:r>
            <w:r w:rsidRPr="00354796">
              <w:rPr>
                <w:b/>
                <w:bCs/>
                <w:i/>
                <w:iCs/>
              </w:rPr>
              <w:t>nie powinna czynić mechanizmu odwrotnego obciążenia obowiązkowym ani</w:t>
            </w:r>
            <w:r w:rsidRPr="00354796">
              <w:t xml:space="preserve"> prowadzić do wymuszonej harmonizacji krajowych systemów VAT, </w:t>
            </w:r>
            <w:r w:rsidRPr="00354796">
              <w:rPr>
                <w:b/>
                <w:bCs/>
                <w:i/>
                <w:iCs/>
              </w:rPr>
              <w:t>ale powinna</w:t>
            </w:r>
            <w:r w:rsidRPr="00354796">
              <w:t xml:space="preserve"> zapewnić jaśniejsze i bardziej przewidywalne traktowanie porównywalnych transakcji wysokiego ryzyka;</w:t>
            </w:r>
          </w:p>
        </w:tc>
        <w:tc>
          <w:tcPr>
            <w:tcW w:w="4876" w:type="dxa"/>
            <w:tcBorders>
              <w:top w:val="nil"/>
              <w:left w:val="nil"/>
              <w:bottom w:val="nil"/>
              <w:right w:val="nil"/>
            </w:tcBorders>
          </w:tcPr>
          <w:p w14:paraId="4CE2A3A3" w14:textId="77777777" w:rsidR="005A79DB" w:rsidRPr="00354796" w:rsidRDefault="006E31A1">
            <w:pPr>
              <w:pStyle w:val="Normal6a"/>
            </w:pPr>
            <w:r w:rsidRPr="00354796">
              <w:t>10.</w:t>
            </w:r>
            <w:r w:rsidRPr="00354796">
              <w:tab/>
              <w:t xml:space="preserve">podkreśla, że </w:t>
            </w:r>
            <w:r w:rsidRPr="00354796">
              <w:rPr>
                <w:b/>
                <w:bCs/>
                <w:i/>
                <w:iCs/>
              </w:rPr>
              <w:t>należy zapewnić większą</w:t>
            </w:r>
            <w:r w:rsidRPr="00354796">
              <w:t xml:space="preserve"> spójność w stosowaniu art. 199a</w:t>
            </w:r>
            <w:r w:rsidRPr="00354796">
              <w:rPr>
                <w:b/>
                <w:bCs/>
                <w:i/>
                <w:iCs/>
              </w:rPr>
              <w:t>, co</w:t>
            </w:r>
            <w:r w:rsidRPr="00354796">
              <w:t xml:space="preserve"> </w:t>
            </w:r>
            <w:r w:rsidRPr="00354796">
              <w:rPr>
                <w:b/>
                <w:bCs/>
                <w:i/>
                <w:iCs/>
              </w:rPr>
              <w:t>nie powinno jednak</w:t>
            </w:r>
            <w:r w:rsidRPr="00354796">
              <w:t xml:space="preserve"> prowadzić do wymuszonej harmonizacji krajowych systemów VAT, </w:t>
            </w:r>
            <w:r w:rsidRPr="00354796">
              <w:rPr>
                <w:b/>
                <w:bCs/>
                <w:i/>
                <w:iCs/>
              </w:rPr>
              <w:t>lecz powinno</w:t>
            </w:r>
            <w:r w:rsidRPr="00354796">
              <w:t xml:space="preserve"> zapewnić jaśniejsze i bardziej przewidywalne traktowanie porównywalnych transakcji wysokiego ryzyka </w:t>
            </w:r>
            <w:r w:rsidRPr="00354796">
              <w:rPr>
                <w:b/>
                <w:bCs/>
                <w:i/>
                <w:iCs/>
              </w:rPr>
              <w:t>w celu uproszczenia działalności transgranicznej dla MŚP</w:t>
            </w:r>
            <w:r w:rsidRPr="00354796">
              <w:t>;</w:t>
            </w:r>
          </w:p>
        </w:tc>
      </w:tr>
    </w:tbl>
    <w:p w14:paraId="4CD177BE"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AEB85C6" w14:textId="77777777" w:rsidR="005A79DB" w:rsidRPr="00354796" w:rsidRDefault="006E31A1">
      <w:r w:rsidRPr="00354796">
        <w:rPr>
          <w:rStyle w:val="HideTWBExt"/>
        </w:rPr>
        <w:t>&lt;/Amend&gt;</w:t>
      </w:r>
    </w:p>
    <w:p w14:paraId="5877B6EC"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67</w:t>
      </w:r>
      <w:r w:rsidRPr="00354796">
        <w:rPr>
          <w:rStyle w:val="HideTWBExt"/>
        </w:rPr>
        <w:t>&lt;/NumAm&gt;</w:t>
      </w:r>
    </w:p>
    <w:p w14:paraId="03B16C35"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4890D304" w14:textId="77777777" w:rsidR="005A79DB" w:rsidRPr="00354796" w:rsidRDefault="006E31A1">
      <w:pPr>
        <w:pStyle w:val="NormalBold"/>
      </w:pPr>
      <w:r w:rsidRPr="00354796">
        <w:rPr>
          <w:rStyle w:val="HideTWBExt"/>
          <w:b w:val="0"/>
        </w:rPr>
        <w:t>&lt;/RepeatBlock-By&gt;</w:t>
      </w:r>
    </w:p>
    <w:p w14:paraId="76FC2F45"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3AE5CB5" w14:textId="77777777" w:rsidR="005A79DB" w:rsidRPr="00354796" w:rsidRDefault="006E31A1">
      <w:pPr>
        <w:pStyle w:val="NormalBold"/>
      </w:pPr>
      <w:r w:rsidRPr="00354796">
        <w:rPr>
          <w:rStyle w:val="HideTWBExt"/>
        </w:rPr>
        <w:t>&lt;Article&gt;</w:t>
      </w:r>
      <w:r w:rsidRPr="00354796">
        <w:t>Ustęp 10</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8F2CF94" w14:textId="77777777">
        <w:trPr>
          <w:trHeight w:hRule="exact" w:val="240"/>
          <w:jc w:val="center"/>
        </w:trPr>
        <w:tc>
          <w:tcPr>
            <w:tcW w:w="9752" w:type="dxa"/>
            <w:gridSpan w:val="2"/>
            <w:tcBorders>
              <w:top w:val="nil"/>
              <w:left w:val="nil"/>
              <w:bottom w:val="nil"/>
              <w:right w:val="nil"/>
            </w:tcBorders>
          </w:tcPr>
          <w:p w14:paraId="1327624D" w14:textId="77777777" w:rsidR="005A79DB" w:rsidRPr="00354796" w:rsidRDefault="005A79DB"/>
        </w:tc>
      </w:tr>
      <w:tr w:rsidR="005A79DB" w:rsidRPr="00354796" w14:paraId="38B9638E" w14:textId="77777777">
        <w:trPr>
          <w:trHeight w:val="240"/>
          <w:jc w:val="center"/>
        </w:trPr>
        <w:tc>
          <w:tcPr>
            <w:tcW w:w="4876" w:type="dxa"/>
            <w:tcBorders>
              <w:top w:val="nil"/>
              <w:left w:val="nil"/>
              <w:bottom w:val="nil"/>
              <w:right w:val="nil"/>
            </w:tcBorders>
          </w:tcPr>
          <w:p w14:paraId="46125607"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87B2EA6" w14:textId="77777777" w:rsidR="005A79DB" w:rsidRPr="00354796" w:rsidRDefault="006E31A1">
            <w:pPr>
              <w:pStyle w:val="AmColumnHeading"/>
            </w:pPr>
            <w:r w:rsidRPr="00354796">
              <w:t>Poprawka</w:t>
            </w:r>
          </w:p>
        </w:tc>
      </w:tr>
      <w:tr w:rsidR="005A79DB" w:rsidRPr="00354796" w14:paraId="51D3B242" w14:textId="77777777">
        <w:trPr>
          <w:jc w:val="center"/>
        </w:trPr>
        <w:tc>
          <w:tcPr>
            <w:tcW w:w="4876" w:type="dxa"/>
            <w:tcBorders>
              <w:top w:val="nil"/>
              <w:left w:val="nil"/>
              <w:bottom w:val="nil"/>
              <w:right w:val="nil"/>
            </w:tcBorders>
          </w:tcPr>
          <w:p w14:paraId="3B2D22D7" w14:textId="77777777" w:rsidR="005A79DB" w:rsidRPr="00354796" w:rsidRDefault="006E31A1">
            <w:pPr>
              <w:pStyle w:val="Normal6a"/>
            </w:pPr>
            <w:r w:rsidRPr="00354796">
              <w:t>10.</w:t>
            </w:r>
            <w:r w:rsidRPr="00354796">
              <w:tab/>
              <w:t xml:space="preserve">podkreśla, że większa spójność w stosowaniu art. 199a nie powinna czynić mechanizmu odwrotnego obciążenia obowiązkowym </w:t>
            </w:r>
            <w:r w:rsidRPr="00354796">
              <w:rPr>
                <w:b/>
                <w:bCs/>
                <w:i/>
                <w:iCs/>
              </w:rPr>
              <w:t>ani prowadzić do wymuszonej harmonizacji krajowych systemów VAT</w:t>
            </w:r>
            <w:r w:rsidRPr="00354796">
              <w:t>, ale powinna zapewnić jaśniejsze i bardziej przewidywalne traktowanie porównywalnych transakcji wysokiego ryzyka;</w:t>
            </w:r>
          </w:p>
        </w:tc>
        <w:tc>
          <w:tcPr>
            <w:tcW w:w="4876" w:type="dxa"/>
            <w:tcBorders>
              <w:top w:val="nil"/>
              <w:left w:val="nil"/>
              <w:bottom w:val="nil"/>
              <w:right w:val="nil"/>
            </w:tcBorders>
          </w:tcPr>
          <w:p w14:paraId="4D9E6D4B" w14:textId="77777777" w:rsidR="005A79DB" w:rsidRPr="00354796" w:rsidRDefault="006E31A1">
            <w:pPr>
              <w:pStyle w:val="Normal6a"/>
            </w:pPr>
            <w:r w:rsidRPr="00354796">
              <w:t>10.</w:t>
            </w:r>
            <w:r w:rsidRPr="00354796">
              <w:tab/>
              <w:t xml:space="preserve">podkreśla, że większa spójność w stosowaniu art. 199a nie powinna czynić mechanizmu odwrotnego obciążenia obowiązkowym, ale powinna zapewnić jaśniejsze i </w:t>
            </w:r>
            <w:r w:rsidRPr="00354796">
              <w:t>bardziej przewidywalne traktowanie porównywalnych transakcji wysokiego ryzyka</w:t>
            </w:r>
            <w:r w:rsidRPr="00354796">
              <w:rPr>
                <w:b/>
                <w:bCs/>
                <w:i/>
                <w:iCs/>
              </w:rPr>
              <w:t>, przy jednoczesnym zachowaniu możliwości bardziej zharmonizowanego stosowania tego mechanizmu w odniesieniu do ograniczonej liczby sektorów o najwyższym poziomie ryzyka oszustw</w:t>
            </w:r>
            <w:r w:rsidRPr="00354796">
              <w:t>;</w:t>
            </w:r>
          </w:p>
        </w:tc>
      </w:tr>
    </w:tbl>
    <w:p w14:paraId="416A69EA"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A6E0AFA" w14:textId="77777777" w:rsidR="005A79DB" w:rsidRPr="00354796" w:rsidRDefault="006E31A1">
      <w:r w:rsidRPr="00354796">
        <w:rPr>
          <w:rStyle w:val="HideTWBExt"/>
        </w:rPr>
        <w:t>&lt;/Amend&gt;</w:t>
      </w:r>
    </w:p>
    <w:p w14:paraId="5AA7F1E9"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68</w:t>
      </w:r>
      <w:r w:rsidRPr="00354796">
        <w:rPr>
          <w:rStyle w:val="HideTWBExt"/>
        </w:rPr>
        <w:t>&lt;/NumAm&gt;</w:t>
      </w:r>
    </w:p>
    <w:p w14:paraId="77F8505B"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0C2FB5A9" w14:textId="77777777" w:rsidR="005A79DB" w:rsidRPr="00354796" w:rsidRDefault="006E31A1">
      <w:pPr>
        <w:pStyle w:val="NormalBold"/>
      </w:pPr>
      <w:r w:rsidRPr="00354796">
        <w:rPr>
          <w:rStyle w:val="HideTWBExt"/>
          <w:b w:val="0"/>
        </w:rPr>
        <w:t>&lt;/RepeatBlock-By&gt;</w:t>
      </w:r>
    </w:p>
    <w:p w14:paraId="1D58DEF3"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756DDFD9" w14:textId="77777777" w:rsidR="005A79DB" w:rsidRPr="00354796" w:rsidRDefault="006E31A1">
      <w:pPr>
        <w:pStyle w:val="NormalBold"/>
      </w:pPr>
      <w:r w:rsidRPr="00354796">
        <w:rPr>
          <w:rStyle w:val="HideTWBExt"/>
        </w:rPr>
        <w:t>&lt;Article&gt;</w:t>
      </w:r>
      <w:r w:rsidRPr="00354796">
        <w:t>Ustęp 10</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DACD97B" w14:textId="77777777">
        <w:trPr>
          <w:trHeight w:hRule="exact" w:val="240"/>
          <w:jc w:val="center"/>
        </w:trPr>
        <w:tc>
          <w:tcPr>
            <w:tcW w:w="9752" w:type="dxa"/>
            <w:gridSpan w:val="2"/>
            <w:tcBorders>
              <w:top w:val="nil"/>
              <w:left w:val="nil"/>
              <w:bottom w:val="nil"/>
              <w:right w:val="nil"/>
            </w:tcBorders>
          </w:tcPr>
          <w:p w14:paraId="1331844A" w14:textId="77777777" w:rsidR="005A79DB" w:rsidRPr="00354796" w:rsidRDefault="005A79DB"/>
        </w:tc>
      </w:tr>
      <w:tr w:rsidR="005A79DB" w:rsidRPr="00354796" w14:paraId="4F023CCC" w14:textId="77777777">
        <w:trPr>
          <w:trHeight w:val="240"/>
          <w:jc w:val="center"/>
        </w:trPr>
        <w:tc>
          <w:tcPr>
            <w:tcW w:w="4876" w:type="dxa"/>
            <w:tcBorders>
              <w:top w:val="nil"/>
              <w:left w:val="nil"/>
              <w:bottom w:val="nil"/>
              <w:right w:val="nil"/>
            </w:tcBorders>
          </w:tcPr>
          <w:p w14:paraId="1B203248"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D35AB87" w14:textId="77777777" w:rsidR="005A79DB" w:rsidRPr="00354796" w:rsidRDefault="006E31A1">
            <w:pPr>
              <w:pStyle w:val="AmColumnHeading"/>
            </w:pPr>
            <w:r w:rsidRPr="00354796">
              <w:t>Poprawka</w:t>
            </w:r>
          </w:p>
        </w:tc>
      </w:tr>
      <w:tr w:rsidR="005A79DB" w:rsidRPr="00354796" w14:paraId="7D801724" w14:textId="77777777">
        <w:trPr>
          <w:jc w:val="center"/>
        </w:trPr>
        <w:tc>
          <w:tcPr>
            <w:tcW w:w="4876" w:type="dxa"/>
            <w:tcBorders>
              <w:top w:val="nil"/>
              <w:left w:val="nil"/>
              <w:bottom w:val="nil"/>
              <w:right w:val="nil"/>
            </w:tcBorders>
          </w:tcPr>
          <w:p w14:paraId="23E34763" w14:textId="77777777" w:rsidR="005A79DB" w:rsidRPr="00354796" w:rsidRDefault="006E31A1">
            <w:pPr>
              <w:pStyle w:val="Normal6a"/>
            </w:pPr>
            <w:r w:rsidRPr="00354796">
              <w:lastRenderedPageBreak/>
              <w:t>10.</w:t>
            </w:r>
            <w:r w:rsidRPr="00354796">
              <w:tab/>
            </w:r>
            <w:r w:rsidRPr="00354796">
              <w:t xml:space="preserve">podkreśla, że większa spójność w stosowaniu art. 199a nie powinna czynić mechanizmu odwrotnego obciążenia obowiązkowym </w:t>
            </w:r>
            <w:r w:rsidRPr="00354796">
              <w:rPr>
                <w:b/>
                <w:bCs/>
                <w:i/>
                <w:iCs/>
              </w:rPr>
              <w:t>ani prowadzić do wymuszonej harmonizacji krajowych systemów VAT</w:t>
            </w:r>
            <w:r w:rsidRPr="00354796">
              <w:t>, ale powinna zapewnić jaśniejsze i bardziej przewidywalne traktowanie porównywalnych transakcji wysokiego ryzyka;</w:t>
            </w:r>
          </w:p>
        </w:tc>
        <w:tc>
          <w:tcPr>
            <w:tcW w:w="4876" w:type="dxa"/>
            <w:tcBorders>
              <w:top w:val="nil"/>
              <w:left w:val="nil"/>
              <w:bottom w:val="nil"/>
              <w:right w:val="nil"/>
            </w:tcBorders>
          </w:tcPr>
          <w:p w14:paraId="61365C4E" w14:textId="77777777" w:rsidR="005A79DB" w:rsidRPr="00354796" w:rsidRDefault="006E31A1">
            <w:pPr>
              <w:pStyle w:val="Normal6a"/>
            </w:pPr>
            <w:r w:rsidRPr="00354796">
              <w:t>10.</w:t>
            </w:r>
            <w:r w:rsidRPr="00354796">
              <w:tab/>
              <w:t>podkreśla, że większa spójność w stosowaniu art. 199a nie powinna czynić mechanizmu odwrotnego obciążenia obowiązkowym, ale powinna zapewnić jaśniejsze i bardziej przewidywalne traktowanie porównywalnych transakcji wysokiego ryzyka;</w:t>
            </w:r>
          </w:p>
        </w:tc>
      </w:tr>
    </w:tbl>
    <w:p w14:paraId="3604B51E"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DA50F3F" w14:textId="77777777" w:rsidR="005A79DB" w:rsidRPr="00354796" w:rsidRDefault="006E31A1">
      <w:r w:rsidRPr="00354796">
        <w:rPr>
          <w:rStyle w:val="HideTWBExt"/>
        </w:rPr>
        <w:t>&lt;/Amend&gt;</w:t>
      </w:r>
    </w:p>
    <w:p w14:paraId="7046CB6F"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69</w:t>
      </w:r>
      <w:r w:rsidRPr="00354796">
        <w:rPr>
          <w:rStyle w:val="HideTWBExt"/>
        </w:rPr>
        <w:t>&lt;/NumAm&gt;</w:t>
      </w:r>
    </w:p>
    <w:p w14:paraId="66F762B9"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3B9347B9" w14:textId="77777777" w:rsidR="005A79DB" w:rsidRPr="00354796" w:rsidRDefault="006E31A1">
      <w:pPr>
        <w:pStyle w:val="NormalBold"/>
      </w:pPr>
      <w:r w:rsidRPr="00354796">
        <w:rPr>
          <w:rStyle w:val="HideTWBExt"/>
          <w:b w:val="0"/>
        </w:rPr>
        <w:t>&lt;/RepeatBlock-By&gt;</w:t>
      </w:r>
    </w:p>
    <w:p w14:paraId="1C3348F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7684085E" w14:textId="77777777" w:rsidR="005A79DB" w:rsidRPr="00354796" w:rsidRDefault="006E31A1">
      <w:pPr>
        <w:pStyle w:val="NormalBold"/>
      </w:pPr>
      <w:r w:rsidRPr="00354796">
        <w:rPr>
          <w:rStyle w:val="HideTWBExt"/>
        </w:rPr>
        <w:t>&lt;Article&gt;</w:t>
      </w:r>
      <w:r w:rsidRPr="00354796">
        <w:t>Ustęp 10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9C768DB" w14:textId="77777777">
        <w:trPr>
          <w:trHeight w:hRule="exact" w:val="240"/>
          <w:jc w:val="center"/>
        </w:trPr>
        <w:tc>
          <w:tcPr>
            <w:tcW w:w="9752" w:type="dxa"/>
            <w:gridSpan w:val="2"/>
            <w:tcBorders>
              <w:top w:val="nil"/>
              <w:left w:val="nil"/>
              <w:bottom w:val="nil"/>
              <w:right w:val="nil"/>
            </w:tcBorders>
          </w:tcPr>
          <w:p w14:paraId="42420505" w14:textId="77777777" w:rsidR="005A79DB" w:rsidRPr="00354796" w:rsidRDefault="005A79DB"/>
        </w:tc>
      </w:tr>
      <w:tr w:rsidR="005A79DB" w:rsidRPr="00354796" w14:paraId="7BBBCBD4" w14:textId="77777777">
        <w:trPr>
          <w:trHeight w:val="240"/>
          <w:jc w:val="center"/>
        </w:trPr>
        <w:tc>
          <w:tcPr>
            <w:tcW w:w="4876" w:type="dxa"/>
            <w:tcBorders>
              <w:top w:val="nil"/>
              <w:left w:val="nil"/>
              <w:bottom w:val="nil"/>
              <w:right w:val="nil"/>
            </w:tcBorders>
          </w:tcPr>
          <w:p w14:paraId="720E83CE"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1E3658E" w14:textId="77777777" w:rsidR="005A79DB" w:rsidRPr="00354796" w:rsidRDefault="006E31A1">
            <w:pPr>
              <w:pStyle w:val="AmColumnHeading"/>
            </w:pPr>
            <w:r w:rsidRPr="00354796">
              <w:t>Poprawka</w:t>
            </w:r>
          </w:p>
        </w:tc>
      </w:tr>
      <w:tr w:rsidR="005A79DB" w:rsidRPr="00354796" w14:paraId="66DEADB3" w14:textId="77777777">
        <w:trPr>
          <w:jc w:val="center"/>
        </w:trPr>
        <w:tc>
          <w:tcPr>
            <w:tcW w:w="4876" w:type="dxa"/>
            <w:tcBorders>
              <w:top w:val="nil"/>
              <w:left w:val="nil"/>
              <w:bottom w:val="nil"/>
              <w:right w:val="nil"/>
            </w:tcBorders>
          </w:tcPr>
          <w:p w14:paraId="6E877CA6" w14:textId="77777777" w:rsidR="005A79DB" w:rsidRPr="00354796" w:rsidRDefault="005A79DB">
            <w:pPr>
              <w:pStyle w:val="Normal6a"/>
            </w:pPr>
          </w:p>
        </w:tc>
        <w:tc>
          <w:tcPr>
            <w:tcW w:w="4876" w:type="dxa"/>
            <w:tcBorders>
              <w:top w:val="nil"/>
              <w:left w:val="nil"/>
              <w:bottom w:val="nil"/>
              <w:right w:val="nil"/>
            </w:tcBorders>
          </w:tcPr>
          <w:p w14:paraId="5EC5D73A" w14:textId="77777777" w:rsidR="005A79DB" w:rsidRPr="00354796" w:rsidRDefault="006E31A1">
            <w:pPr>
              <w:pStyle w:val="Normal6a"/>
            </w:pPr>
            <w:r w:rsidRPr="00354796">
              <w:rPr>
                <w:b/>
                <w:i/>
              </w:rPr>
              <w:t>10a.</w:t>
            </w:r>
            <w:r w:rsidRPr="00354796">
              <w:tab/>
            </w:r>
            <w:r w:rsidRPr="00354796">
              <w:rPr>
                <w:b/>
                <w:i/>
              </w:rPr>
              <w:t>podkreśla, że dążenie do większej spójności na szczeblu UE musi odbywać się przy pełnym poszanowaniu zasady pomocniczości, tak aby państwa członkowskie zachowały niezbędną elastyczność umożliwiającą im szybkie dostosowania mechanizmu odwrotnego obciążenia do konkretnych lokalnych zagrożeń związanych z oszustwami oraz ryzyka występowania szarej strefy gospodarki, bez konieczności oczekiwania na przedłużające się zmiany legislacyjne na poziomie UE;</w:t>
            </w:r>
          </w:p>
        </w:tc>
      </w:tr>
    </w:tbl>
    <w:p w14:paraId="07BA9FDF"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D93DA72" w14:textId="77777777" w:rsidR="005A79DB" w:rsidRPr="00354796" w:rsidRDefault="006E31A1">
      <w:r w:rsidRPr="00354796">
        <w:rPr>
          <w:rStyle w:val="HideTWBExt"/>
        </w:rPr>
        <w:t>&lt;/Amend&gt;</w:t>
      </w:r>
    </w:p>
    <w:p w14:paraId="4C30163D"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70</w:t>
      </w:r>
      <w:r w:rsidRPr="00354796">
        <w:rPr>
          <w:rStyle w:val="HideTWBExt"/>
        </w:rPr>
        <w:t>&lt;/NumAm&gt;</w:t>
      </w:r>
    </w:p>
    <w:p w14:paraId="6BD1FF4B"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723BD7FB" w14:textId="77777777" w:rsidR="005A79DB" w:rsidRPr="00354796" w:rsidRDefault="006E31A1">
      <w:pPr>
        <w:pStyle w:val="NormalBold"/>
      </w:pPr>
      <w:r w:rsidRPr="00354796">
        <w:rPr>
          <w:rStyle w:val="HideTWBExt"/>
          <w:b w:val="0"/>
        </w:rPr>
        <w:t>&lt;/RepeatBlock-By&gt;</w:t>
      </w:r>
    </w:p>
    <w:p w14:paraId="7CD99C36"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34AB057" w14:textId="77777777" w:rsidR="005A79DB" w:rsidRPr="00354796" w:rsidRDefault="006E31A1">
      <w:pPr>
        <w:pStyle w:val="NormalBold"/>
      </w:pPr>
      <w:r w:rsidRPr="00354796">
        <w:rPr>
          <w:rStyle w:val="HideTWBExt"/>
        </w:rPr>
        <w:t>&lt;Article&gt;</w:t>
      </w:r>
      <w:r w:rsidRPr="00354796">
        <w:t>Ustęp 11</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247AB0F" w14:textId="77777777">
        <w:trPr>
          <w:trHeight w:hRule="exact" w:val="240"/>
          <w:jc w:val="center"/>
        </w:trPr>
        <w:tc>
          <w:tcPr>
            <w:tcW w:w="9752" w:type="dxa"/>
            <w:gridSpan w:val="2"/>
            <w:tcBorders>
              <w:top w:val="nil"/>
              <w:left w:val="nil"/>
              <w:bottom w:val="nil"/>
              <w:right w:val="nil"/>
            </w:tcBorders>
          </w:tcPr>
          <w:p w14:paraId="235BC2AA" w14:textId="77777777" w:rsidR="005A79DB" w:rsidRPr="00354796" w:rsidRDefault="005A79DB"/>
        </w:tc>
      </w:tr>
      <w:tr w:rsidR="005A79DB" w:rsidRPr="00354796" w14:paraId="7AE25A1C" w14:textId="77777777">
        <w:trPr>
          <w:trHeight w:val="240"/>
          <w:jc w:val="center"/>
        </w:trPr>
        <w:tc>
          <w:tcPr>
            <w:tcW w:w="4876" w:type="dxa"/>
            <w:tcBorders>
              <w:top w:val="nil"/>
              <w:left w:val="nil"/>
              <w:bottom w:val="nil"/>
              <w:right w:val="nil"/>
            </w:tcBorders>
          </w:tcPr>
          <w:p w14:paraId="627A13DF" w14:textId="77777777" w:rsidR="005A79DB" w:rsidRPr="00354796" w:rsidRDefault="006E31A1">
            <w:pPr>
              <w:pStyle w:val="AmColumnHeading"/>
            </w:pPr>
            <w:r w:rsidRPr="00354796">
              <w:t xml:space="preserve">Projekt </w:t>
            </w:r>
            <w:r w:rsidRPr="00354796">
              <w:t>rezolucji</w:t>
            </w:r>
          </w:p>
        </w:tc>
        <w:tc>
          <w:tcPr>
            <w:tcW w:w="4876" w:type="dxa"/>
            <w:tcBorders>
              <w:top w:val="nil"/>
              <w:left w:val="nil"/>
              <w:bottom w:val="nil"/>
              <w:right w:val="nil"/>
            </w:tcBorders>
          </w:tcPr>
          <w:p w14:paraId="00593F69" w14:textId="77777777" w:rsidR="005A79DB" w:rsidRPr="00354796" w:rsidRDefault="006E31A1">
            <w:pPr>
              <w:pStyle w:val="AmColumnHeading"/>
            </w:pPr>
            <w:r w:rsidRPr="00354796">
              <w:t>Poprawka</w:t>
            </w:r>
          </w:p>
        </w:tc>
      </w:tr>
      <w:tr w:rsidR="005A79DB" w:rsidRPr="00354796" w14:paraId="66294C26" w14:textId="77777777">
        <w:trPr>
          <w:jc w:val="center"/>
        </w:trPr>
        <w:tc>
          <w:tcPr>
            <w:tcW w:w="4876" w:type="dxa"/>
            <w:tcBorders>
              <w:top w:val="nil"/>
              <w:left w:val="nil"/>
              <w:bottom w:val="nil"/>
              <w:right w:val="nil"/>
            </w:tcBorders>
          </w:tcPr>
          <w:p w14:paraId="58A7E280" w14:textId="77777777" w:rsidR="005A79DB" w:rsidRPr="00354796" w:rsidRDefault="006E31A1">
            <w:pPr>
              <w:pStyle w:val="Normal6a"/>
            </w:pPr>
            <w:r w:rsidRPr="00354796">
              <w:t>11.</w:t>
            </w:r>
            <w:r w:rsidRPr="00354796">
              <w:tab/>
              <w:t>wzywa Komisję, aby</w:t>
            </w:r>
            <w:r w:rsidRPr="00354796">
              <w:rPr>
                <w:b/>
                <w:bCs/>
                <w:i/>
                <w:iCs/>
              </w:rPr>
              <w:t xml:space="preserve"> wraz</w:t>
            </w:r>
            <w:r w:rsidRPr="00354796">
              <w:t xml:space="preserve"> z </w:t>
            </w:r>
            <w:r w:rsidRPr="00354796">
              <w:lastRenderedPageBreak/>
              <w:t xml:space="preserve">państwami członkowskimi </w:t>
            </w:r>
            <w:r w:rsidRPr="00354796">
              <w:rPr>
                <w:b/>
                <w:bCs/>
                <w:i/>
                <w:iCs/>
              </w:rPr>
              <w:t>wyjaśniła zakres</w:t>
            </w:r>
            <w:r w:rsidRPr="00354796">
              <w:t xml:space="preserve"> i </w:t>
            </w:r>
            <w:r w:rsidRPr="00354796">
              <w:rPr>
                <w:b/>
                <w:bCs/>
                <w:i/>
                <w:iCs/>
              </w:rPr>
              <w:t>definicje</w:t>
            </w:r>
            <w:r w:rsidRPr="00354796">
              <w:t xml:space="preserve"> sektorów objętych art. 199a, </w:t>
            </w:r>
            <w:r w:rsidRPr="00354796">
              <w:rPr>
                <w:b/>
                <w:bCs/>
                <w:i/>
                <w:iCs/>
              </w:rPr>
              <w:t>w których</w:t>
            </w:r>
            <w:r w:rsidRPr="00354796">
              <w:t xml:space="preserve"> rozbieżne interpretacje spowodowały niepewność prawa, obciążenia regulacyjne lub możliwości popełnienia oszustw;</w:t>
            </w:r>
          </w:p>
        </w:tc>
        <w:tc>
          <w:tcPr>
            <w:tcW w:w="4876" w:type="dxa"/>
            <w:tcBorders>
              <w:top w:val="nil"/>
              <w:left w:val="nil"/>
              <w:bottom w:val="nil"/>
              <w:right w:val="nil"/>
            </w:tcBorders>
          </w:tcPr>
          <w:p w14:paraId="3BA93A2B" w14:textId="77777777" w:rsidR="005A79DB" w:rsidRPr="00354796" w:rsidRDefault="006E31A1">
            <w:pPr>
              <w:pStyle w:val="Normal6a"/>
            </w:pPr>
            <w:r w:rsidRPr="00354796">
              <w:lastRenderedPageBreak/>
              <w:t>11.</w:t>
            </w:r>
            <w:r w:rsidRPr="00354796">
              <w:tab/>
              <w:t xml:space="preserve">wzywa Komisję, aby </w:t>
            </w:r>
            <w:r w:rsidRPr="00354796">
              <w:rPr>
                <w:b/>
                <w:bCs/>
                <w:i/>
                <w:iCs/>
              </w:rPr>
              <w:t>w konsultacji</w:t>
            </w:r>
            <w:r w:rsidRPr="00354796">
              <w:t xml:space="preserve"> </w:t>
            </w:r>
            <w:r w:rsidRPr="00354796">
              <w:lastRenderedPageBreak/>
              <w:t xml:space="preserve">z państwami członkowskimi </w:t>
            </w:r>
            <w:r w:rsidRPr="00354796">
              <w:rPr>
                <w:b/>
                <w:bCs/>
                <w:i/>
                <w:iCs/>
              </w:rPr>
              <w:t>przedstawiła propozycję prawnego doprecyzowania zakresu</w:t>
            </w:r>
            <w:r w:rsidRPr="00354796">
              <w:t xml:space="preserve"> i </w:t>
            </w:r>
            <w:r w:rsidRPr="00354796">
              <w:rPr>
                <w:b/>
                <w:bCs/>
                <w:i/>
                <w:iCs/>
              </w:rPr>
              <w:t>definicji</w:t>
            </w:r>
            <w:r w:rsidRPr="00354796">
              <w:t xml:space="preserve"> sektorów objętych art. 199a, </w:t>
            </w:r>
            <w:r w:rsidRPr="00354796">
              <w:rPr>
                <w:b/>
                <w:bCs/>
                <w:i/>
                <w:iCs/>
              </w:rPr>
              <w:t>ponieważ</w:t>
            </w:r>
            <w:r w:rsidRPr="00354796">
              <w:t xml:space="preserve"> rozbieżne interpretacje spowodowały niepewność prawa, obciążenia regulacyjne lub możliwości popełnienia oszustw;</w:t>
            </w:r>
          </w:p>
        </w:tc>
      </w:tr>
    </w:tbl>
    <w:p w14:paraId="595B4769"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DCF7FC8" w14:textId="77777777" w:rsidR="005A79DB" w:rsidRPr="00354796" w:rsidRDefault="006E31A1">
      <w:r w:rsidRPr="00354796">
        <w:rPr>
          <w:rStyle w:val="HideTWBExt"/>
        </w:rPr>
        <w:t>&lt;/Amend&gt;</w:t>
      </w:r>
    </w:p>
    <w:p w14:paraId="3C65E011"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71</w:t>
      </w:r>
      <w:r w:rsidRPr="00354796">
        <w:rPr>
          <w:rStyle w:val="HideTWBExt"/>
        </w:rPr>
        <w:t>&lt;/NumAm&gt;</w:t>
      </w:r>
    </w:p>
    <w:p w14:paraId="2B51BFCC"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7A37C3DB" w14:textId="77777777" w:rsidR="005A79DB" w:rsidRPr="00354796" w:rsidRDefault="006E31A1">
      <w:pPr>
        <w:pStyle w:val="NormalBold"/>
      </w:pPr>
      <w:r w:rsidRPr="00354796">
        <w:rPr>
          <w:rStyle w:val="HideTWBExt"/>
          <w:b w:val="0"/>
        </w:rPr>
        <w:t>&lt;/RepeatBlock-By&gt;</w:t>
      </w:r>
    </w:p>
    <w:p w14:paraId="4861A51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650738FF" w14:textId="77777777" w:rsidR="005A79DB" w:rsidRPr="00354796" w:rsidRDefault="006E31A1">
      <w:pPr>
        <w:pStyle w:val="NormalBold"/>
      </w:pPr>
      <w:r w:rsidRPr="00354796">
        <w:rPr>
          <w:rStyle w:val="HideTWBExt"/>
        </w:rPr>
        <w:t>&lt;Article&gt;</w:t>
      </w:r>
      <w:r w:rsidRPr="00354796">
        <w:t>Ustęp 11</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3985942" w14:textId="77777777">
        <w:trPr>
          <w:trHeight w:hRule="exact" w:val="240"/>
          <w:jc w:val="center"/>
        </w:trPr>
        <w:tc>
          <w:tcPr>
            <w:tcW w:w="9752" w:type="dxa"/>
            <w:gridSpan w:val="2"/>
            <w:tcBorders>
              <w:top w:val="nil"/>
              <w:left w:val="nil"/>
              <w:bottom w:val="nil"/>
              <w:right w:val="nil"/>
            </w:tcBorders>
          </w:tcPr>
          <w:p w14:paraId="61228014" w14:textId="77777777" w:rsidR="005A79DB" w:rsidRPr="00354796" w:rsidRDefault="005A79DB"/>
        </w:tc>
      </w:tr>
      <w:tr w:rsidR="005A79DB" w:rsidRPr="00354796" w14:paraId="299DB189" w14:textId="77777777">
        <w:trPr>
          <w:trHeight w:val="240"/>
          <w:jc w:val="center"/>
        </w:trPr>
        <w:tc>
          <w:tcPr>
            <w:tcW w:w="4876" w:type="dxa"/>
            <w:tcBorders>
              <w:top w:val="nil"/>
              <w:left w:val="nil"/>
              <w:bottom w:val="nil"/>
              <w:right w:val="nil"/>
            </w:tcBorders>
          </w:tcPr>
          <w:p w14:paraId="06A4F23A"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0ED45DC" w14:textId="77777777" w:rsidR="005A79DB" w:rsidRPr="00354796" w:rsidRDefault="006E31A1">
            <w:pPr>
              <w:pStyle w:val="AmColumnHeading"/>
            </w:pPr>
            <w:r w:rsidRPr="00354796">
              <w:t>Poprawka</w:t>
            </w:r>
          </w:p>
        </w:tc>
      </w:tr>
      <w:tr w:rsidR="005A79DB" w:rsidRPr="00354796" w14:paraId="15036858" w14:textId="77777777">
        <w:trPr>
          <w:jc w:val="center"/>
        </w:trPr>
        <w:tc>
          <w:tcPr>
            <w:tcW w:w="4876" w:type="dxa"/>
            <w:tcBorders>
              <w:top w:val="nil"/>
              <w:left w:val="nil"/>
              <w:bottom w:val="nil"/>
              <w:right w:val="nil"/>
            </w:tcBorders>
          </w:tcPr>
          <w:p w14:paraId="21B0997B" w14:textId="77777777" w:rsidR="005A79DB" w:rsidRPr="00354796" w:rsidRDefault="006E31A1">
            <w:pPr>
              <w:pStyle w:val="Normal6a"/>
            </w:pPr>
            <w:r w:rsidRPr="00354796">
              <w:t>11.</w:t>
            </w:r>
            <w:r w:rsidRPr="00354796">
              <w:tab/>
              <w:t xml:space="preserve">wzywa Komisję, aby wraz z państwami członkowskimi wyjaśniła zakres i definicje sektorów objętych art. 199a, w których rozbieżne interpretacje spowodowały niepewność prawa, </w:t>
            </w:r>
            <w:r w:rsidRPr="00354796">
              <w:t>obciążenia regulacyjne lub możliwości popełnienia oszustw;</w:t>
            </w:r>
          </w:p>
        </w:tc>
        <w:tc>
          <w:tcPr>
            <w:tcW w:w="4876" w:type="dxa"/>
            <w:tcBorders>
              <w:top w:val="nil"/>
              <w:left w:val="nil"/>
              <w:bottom w:val="nil"/>
              <w:right w:val="nil"/>
            </w:tcBorders>
          </w:tcPr>
          <w:p w14:paraId="0EFCD852" w14:textId="77777777" w:rsidR="005A79DB" w:rsidRPr="00354796" w:rsidRDefault="006E31A1">
            <w:pPr>
              <w:pStyle w:val="Normal6a"/>
            </w:pPr>
            <w:r w:rsidRPr="00354796">
              <w:t>11.</w:t>
            </w:r>
            <w:r w:rsidRPr="00354796">
              <w:tab/>
              <w:t xml:space="preserve">wzywa Komisję, aby wraz z państwami członkowskimi wyjaśniła </w:t>
            </w:r>
            <w:r w:rsidRPr="00354796">
              <w:rPr>
                <w:b/>
                <w:bCs/>
                <w:i/>
                <w:iCs/>
              </w:rPr>
              <w:t>i regularnie aktualizowała</w:t>
            </w:r>
            <w:r w:rsidRPr="00354796">
              <w:t xml:space="preserve"> zakres i definicje sektorów objętych art. 199a, w których rozbieżne interpretacje spowodowały niepewność prawa, obciążenia regulacyjne lub możliwości popełnienia oszustw;</w:t>
            </w:r>
          </w:p>
        </w:tc>
      </w:tr>
    </w:tbl>
    <w:p w14:paraId="3EC6A9AF"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668791F" w14:textId="77777777" w:rsidR="005A79DB" w:rsidRPr="00354796" w:rsidRDefault="006E31A1">
      <w:r w:rsidRPr="00354796">
        <w:rPr>
          <w:rStyle w:val="HideTWBExt"/>
        </w:rPr>
        <w:t>&lt;/Amend&gt;</w:t>
      </w:r>
    </w:p>
    <w:p w14:paraId="50FB9AFD"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72</w:t>
      </w:r>
      <w:r w:rsidRPr="00354796">
        <w:rPr>
          <w:rStyle w:val="HideTWBExt"/>
        </w:rPr>
        <w:t>&lt;/NumAm&gt;</w:t>
      </w:r>
    </w:p>
    <w:p w14:paraId="5F75B7FF"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4220948B" w14:textId="77777777" w:rsidR="005A79DB" w:rsidRPr="00354796" w:rsidRDefault="006E31A1">
      <w:pPr>
        <w:pStyle w:val="NormalBold"/>
      </w:pPr>
      <w:r w:rsidRPr="00354796">
        <w:rPr>
          <w:rStyle w:val="HideTWBExt"/>
          <w:b w:val="0"/>
        </w:rPr>
        <w:t>&lt;/RepeatBlock-By&gt;</w:t>
      </w:r>
    </w:p>
    <w:p w14:paraId="76EF695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9A92E6F" w14:textId="77777777" w:rsidR="005A79DB" w:rsidRPr="00354796" w:rsidRDefault="006E31A1">
      <w:pPr>
        <w:pStyle w:val="NormalBold"/>
      </w:pPr>
      <w:r w:rsidRPr="00354796">
        <w:rPr>
          <w:rStyle w:val="HideTWBExt"/>
        </w:rPr>
        <w:t>&lt;Article&gt;</w:t>
      </w:r>
      <w:r w:rsidRPr="00354796">
        <w:t>Ustęp 11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34FCEB0" w14:textId="77777777">
        <w:trPr>
          <w:trHeight w:hRule="exact" w:val="240"/>
          <w:jc w:val="center"/>
        </w:trPr>
        <w:tc>
          <w:tcPr>
            <w:tcW w:w="9752" w:type="dxa"/>
            <w:gridSpan w:val="2"/>
            <w:tcBorders>
              <w:top w:val="nil"/>
              <w:left w:val="nil"/>
              <w:bottom w:val="nil"/>
              <w:right w:val="nil"/>
            </w:tcBorders>
          </w:tcPr>
          <w:p w14:paraId="4A672DAB" w14:textId="77777777" w:rsidR="005A79DB" w:rsidRPr="00354796" w:rsidRDefault="005A79DB"/>
        </w:tc>
      </w:tr>
      <w:tr w:rsidR="005A79DB" w:rsidRPr="00354796" w14:paraId="20538EB8" w14:textId="77777777">
        <w:trPr>
          <w:trHeight w:val="240"/>
          <w:jc w:val="center"/>
        </w:trPr>
        <w:tc>
          <w:tcPr>
            <w:tcW w:w="4876" w:type="dxa"/>
            <w:tcBorders>
              <w:top w:val="nil"/>
              <w:left w:val="nil"/>
              <w:bottom w:val="nil"/>
              <w:right w:val="nil"/>
            </w:tcBorders>
          </w:tcPr>
          <w:p w14:paraId="57B92069"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41D3A54" w14:textId="77777777" w:rsidR="005A79DB" w:rsidRPr="00354796" w:rsidRDefault="006E31A1">
            <w:pPr>
              <w:pStyle w:val="AmColumnHeading"/>
            </w:pPr>
            <w:r w:rsidRPr="00354796">
              <w:t>Poprawka</w:t>
            </w:r>
          </w:p>
        </w:tc>
      </w:tr>
      <w:tr w:rsidR="005A79DB" w:rsidRPr="00354796" w14:paraId="0AD690D6" w14:textId="77777777">
        <w:trPr>
          <w:jc w:val="center"/>
        </w:trPr>
        <w:tc>
          <w:tcPr>
            <w:tcW w:w="4876" w:type="dxa"/>
            <w:tcBorders>
              <w:top w:val="nil"/>
              <w:left w:val="nil"/>
              <w:bottom w:val="nil"/>
              <w:right w:val="nil"/>
            </w:tcBorders>
          </w:tcPr>
          <w:p w14:paraId="4096F964" w14:textId="77777777" w:rsidR="005A79DB" w:rsidRPr="00354796" w:rsidRDefault="005A79DB">
            <w:pPr>
              <w:pStyle w:val="Normal6a"/>
            </w:pPr>
          </w:p>
        </w:tc>
        <w:tc>
          <w:tcPr>
            <w:tcW w:w="4876" w:type="dxa"/>
            <w:tcBorders>
              <w:top w:val="nil"/>
              <w:left w:val="nil"/>
              <w:bottom w:val="nil"/>
              <w:right w:val="nil"/>
            </w:tcBorders>
          </w:tcPr>
          <w:p w14:paraId="7AEA5547" w14:textId="77777777" w:rsidR="005A79DB" w:rsidRPr="00354796" w:rsidRDefault="006E31A1">
            <w:pPr>
              <w:pStyle w:val="Normal6a"/>
            </w:pPr>
            <w:r w:rsidRPr="00354796">
              <w:rPr>
                <w:b/>
                <w:i/>
              </w:rPr>
              <w:t>11a.</w:t>
            </w:r>
            <w:r w:rsidRPr="00354796">
              <w:tab/>
            </w:r>
            <w:r w:rsidRPr="00354796">
              <w:rPr>
                <w:b/>
                <w:i/>
              </w:rPr>
              <w:t xml:space="preserve">podkreśla, że minimalna harmonizacja progów oraz definicji sektorów mających zastosowanie na podstawie art. 199a może </w:t>
            </w:r>
            <w:r w:rsidRPr="00354796">
              <w:rPr>
                <w:b/>
                <w:i/>
              </w:rPr>
              <w:t xml:space="preserve">zapewnić traktowanie porównywalnych transakcji wysokiego ryzyka w zasadniczo równoważny sposób we wszystkich państwach członkowskich; wzywa Komisję </w:t>
            </w:r>
            <w:r w:rsidRPr="00354796">
              <w:rPr>
                <w:b/>
                <w:i/>
              </w:rPr>
              <w:lastRenderedPageBreak/>
              <w:t>do zaproponowania, jeżeli dowody na to wskazują, ram wspólnych minimalnych norm stosowania mechanizmu odwrotnego obciążenia w sektorach wymienionych w art. 199a ust. 1, przy jednoczesnym zachowaniu zdolności państw członkowskich do stosowania bardziej ukierunkowanych środków;</w:t>
            </w:r>
          </w:p>
        </w:tc>
      </w:tr>
    </w:tbl>
    <w:p w14:paraId="647F27F3"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7D2C76AE" w14:textId="77777777" w:rsidR="005A79DB" w:rsidRPr="00354796" w:rsidRDefault="006E31A1">
      <w:r w:rsidRPr="00354796">
        <w:rPr>
          <w:rStyle w:val="HideTWBExt"/>
        </w:rPr>
        <w:t>&lt;/Amend&gt;</w:t>
      </w:r>
    </w:p>
    <w:p w14:paraId="2DD1F683"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73</w:t>
      </w:r>
      <w:r w:rsidRPr="00354796">
        <w:rPr>
          <w:rStyle w:val="HideTWBExt"/>
        </w:rPr>
        <w:t>&lt;/NumAm&gt;</w:t>
      </w:r>
    </w:p>
    <w:p w14:paraId="6AEAB875"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49B35B89" w14:textId="77777777" w:rsidR="005A79DB" w:rsidRPr="00354796" w:rsidRDefault="006E31A1">
      <w:pPr>
        <w:pStyle w:val="NormalBold"/>
      </w:pPr>
      <w:r w:rsidRPr="00354796">
        <w:rPr>
          <w:rStyle w:val="HideTWBExt"/>
          <w:b w:val="0"/>
        </w:rPr>
        <w:t>&lt;/RepeatBlock-By&gt;</w:t>
      </w:r>
    </w:p>
    <w:p w14:paraId="00CB7A81"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9275147" w14:textId="77777777" w:rsidR="005A79DB" w:rsidRPr="00354796" w:rsidRDefault="006E31A1">
      <w:pPr>
        <w:pStyle w:val="NormalBold"/>
      </w:pPr>
      <w:r w:rsidRPr="00354796">
        <w:rPr>
          <w:rStyle w:val="HideTWBExt"/>
        </w:rPr>
        <w:t>&lt;Article&gt;</w:t>
      </w:r>
      <w:r w:rsidRPr="00354796">
        <w:t>Ustęp 12</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E0DB4EB" w14:textId="77777777">
        <w:trPr>
          <w:trHeight w:hRule="exact" w:val="240"/>
          <w:jc w:val="center"/>
        </w:trPr>
        <w:tc>
          <w:tcPr>
            <w:tcW w:w="9752" w:type="dxa"/>
            <w:gridSpan w:val="2"/>
            <w:tcBorders>
              <w:top w:val="nil"/>
              <w:left w:val="nil"/>
              <w:bottom w:val="nil"/>
              <w:right w:val="nil"/>
            </w:tcBorders>
          </w:tcPr>
          <w:p w14:paraId="1465BCEE" w14:textId="77777777" w:rsidR="005A79DB" w:rsidRPr="00354796" w:rsidRDefault="005A79DB"/>
        </w:tc>
      </w:tr>
      <w:tr w:rsidR="005A79DB" w:rsidRPr="00354796" w14:paraId="0D30F2FF" w14:textId="77777777">
        <w:trPr>
          <w:trHeight w:val="240"/>
          <w:jc w:val="center"/>
        </w:trPr>
        <w:tc>
          <w:tcPr>
            <w:tcW w:w="4876" w:type="dxa"/>
            <w:tcBorders>
              <w:top w:val="nil"/>
              <w:left w:val="nil"/>
              <w:bottom w:val="nil"/>
              <w:right w:val="nil"/>
            </w:tcBorders>
          </w:tcPr>
          <w:p w14:paraId="0EE24AEB"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1A60C34C" w14:textId="77777777" w:rsidR="005A79DB" w:rsidRPr="00354796" w:rsidRDefault="006E31A1">
            <w:pPr>
              <w:pStyle w:val="AmColumnHeading"/>
            </w:pPr>
            <w:r w:rsidRPr="00354796">
              <w:t>Poprawka</w:t>
            </w:r>
          </w:p>
        </w:tc>
      </w:tr>
      <w:tr w:rsidR="005A79DB" w:rsidRPr="00354796" w14:paraId="2E4B9750" w14:textId="77777777">
        <w:trPr>
          <w:jc w:val="center"/>
        </w:trPr>
        <w:tc>
          <w:tcPr>
            <w:tcW w:w="4876" w:type="dxa"/>
            <w:tcBorders>
              <w:top w:val="nil"/>
              <w:left w:val="nil"/>
              <w:bottom w:val="nil"/>
              <w:right w:val="nil"/>
            </w:tcBorders>
          </w:tcPr>
          <w:p w14:paraId="29E6DB32" w14:textId="77777777" w:rsidR="005A79DB" w:rsidRPr="00354796" w:rsidRDefault="006E31A1">
            <w:pPr>
              <w:pStyle w:val="Normal6a"/>
            </w:pPr>
            <w:r w:rsidRPr="00354796">
              <w:t>12.</w:t>
            </w:r>
            <w:r w:rsidRPr="00354796">
              <w:tab/>
            </w:r>
            <w:r w:rsidRPr="00354796">
              <w:t xml:space="preserve">uważa, że szczególną uwagę należy </w:t>
            </w:r>
            <w:r w:rsidRPr="00354796">
              <w:rPr>
                <w:b/>
                <w:bCs/>
                <w:i/>
                <w:iCs/>
              </w:rPr>
              <w:t>zwrócić</w:t>
            </w:r>
            <w:r w:rsidRPr="00354796">
              <w:t xml:space="preserve"> na transakcje o wysokiej wartości, szybko zmieniające się i </w:t>
            </w:r>
            <w:proofErr w:type="spellStart"/>
            <w:r w:rsidRPr="00354796">
              <w:t>zdigitalizowane</w:t>
            </w:r>
            <w:proofErr w:type="spellEnd"/>
            <w:r w:rsidRPr="00354796">
              <w:t>, w tym dostawy energii, uprawnienia do emisji, świadectwa energetyczne, elektronikę i metale;</w:t>
            </w:r>
          </w:p>
        </w:tc>
        <w:tc>
          <w:tcPr>
            <w:tcW w:w="4876" w:type="dxa"/>
            <w:tcBorders>
              <w:top w:val="nil"/>
              <w:left w:val="nil"/>
              <w:bottom w:val="nil"/>
              <w:right w:val="nil"/>
            </w:tcBorders>
          </w:tcPr>
          <w:p w14:paraId="1873D1FD" w14:textId="77777777" w:rsidR="005A79DB" w:rsidRPr="00354796" w:rsidRDefault="006E31A1">
            <w:pPr>
              <w:pStyle w:val="Normal6a"/>
            </w:pPr>
            <w:r w:rsidRPr="00354796">
              <w:t>12.</w:t>
            </w:r>
            <w:r w:rsidRPr="00354796">
              <w:tab/>
            </w:r>
            <w:r w:rsidRPr="00354796">
              <w:t xml:space="preserve">uważa, że szczególną uwagę należy </w:t>
            </w:r>
            <w:r w:rsidRPr="00354796">
              <w:rPr>
                <w:b/>
                <w:bCs/>
                <w:i/>
                <w:iCs/>
              </w:rPr>
              <w:t>nadal zwracać</w:t>
            </w:r>
            <w:r w:rsidRPr="00354796">
              <w:t xml:space="preserve"> na transakcje o wysokiej wartości, szybko zmieniające się i </w:t>
            </w:r>
            <w:proofErr w:type="spellStart"/>
            <w:r w:rsidRPr="00354796">
              <w:t>zdigitalizowane</w:t>
            </w:r>
            <w:proofErr w:type="spellEnd"/>
            <w:r w:rsidRPr="00354796">
              <w:t xml:space="preserve">, w tym dostawy energii, uprawnienia do emisji, świadectwa energetyczne, elektronikę i metale; </w:t>
            </w:r>
            <w:r w:rsidRPr="00354796">
              <w:rPr>
                <w:b/>
                <w:i/>
              </w:rPr>
              <w:t>wzywa Komisję do doprecyzowania zasad opodatkowania VAT certyfikatów energetycznych, w tym gwarancji pochodzenia, które obecnie pozostają w szarej strefie prawnej, co naraża podmioty gospodarcze na niepewność prawa oraz ryzyko odpowiedzialności;</w:t>
            </w:r>
          </w:p>
        </w:tc>
      </w:tr>
    </w:tbl>
    <w:p w14:paraId="24F8A354"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719EA5BE" w14:textId="77777777" w:rsidR="005A79DB" w:rsidRPr="00354796" w:rsidRDefault="006E31A1">
      <w:r w:rsidRPr="00354796">
        <w:rPr>
          <w:rStyle w:val="HideTWBExt"/>
        </w:rPr>
        <w:t>&lt;/Amend&gt;</w:t>
      </w:r>
    </w:p>
    <w:p w14:paraId="6E49528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74</w:t>
      </w:r>
      <w:r w:rsidRPr="00354796">
        <w:rPr>
          <w:rStyle w:val="HideTWBExt"/>
        </w:rPr>
        <w:t>&lt;/NumAm&gt;</w:t>
      </w:r>
    </w:p>
    <w:p w14:paraId="0DEF3DCA"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2E222BE6" w14:textId="77777777" w:rsidR="005A79DB" w:rsidRPr="00354796" w:rsidRDefault="006E31A1">
      <w:pPr>
        <w:pStyle w:val="NormalBold"/>
      </w:pPr>
      <w:r w:rsidRPr="00354796">
        <w:rPr>
          <w:rStyle w:val="HideTWBExt"/>
          <w:b w:val="0"/>
        </w:rPr>
        <w:t>&lt;/RepeatBlock-By&gt;</w:t>
      </w:r>
    </w:p>
    <w:p w14:paraId="6FFAF543"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099FFBF6" w14:textId="77777777" w:rsidR="005A79DB" w:rsidRPr="00354796" w:rsidRDefault="006E31A1">
      <w:pPr>
        <w:pStyle w:val="NormalBold"/>
      </w:pPr>
      <w:r w:rsidRPr="00354796">
        <w:rPr>
          <w:rStyle w:val="HideTWBExt"/>
        </w:rPr>
        <w:t>&lt;Article&gt;</w:t>
      </w:r>
      <w:r w:rsidRPr="00354796">
        <w:t>Ustęp 12</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478512A0" w14:textId="77777777">
        <w:trPr>
          <w:trHeight w:hRule="exact" w:val="240"/>
          <w:jc w:val="center"/>
        </w:trPr>
        <w:tc>
          <w:tcPr>
            <w:tcW w:w="9752" w:type="dxa"/>
            <w:gridSpan w:val="2"/>
            <w:tcBorders>
              <w:top w:val="nil"/>
              <w:left w:val="nil"/>
              <w:bottom w:val="nil"/>
              <w:right w:val="nil"/>
            </w:tcBorders>
          </w:tcPr>
          <w:p w14:paraId="5991C024" w14:textId="77777777" w:rsidR="005A79DB" w:rsidRPr="00354796" w:rsidRDefault="005A79DB"/>
        </w:tc>
      </w:tr>
      <w:tr w:rsidR="005A79DB" w:rsidRPr="00354796" w14:paraId="26053385" w14:textId="77777777">
        <w:trPr>
          <w:trHeight w:val="240"/>
          <w:jc w:val="center"/>
        </w:trPr>
        <w:tc>
          <w:tcPr>
            <w:tcW w:w="4876" w:type="dxa"/>
            <w:tcBorders>
              <w:top w:val="nil"/>
              <w:left w:val="nil"/>
              <w:bottom w:val="nil"/>
              <w:right w:val="nil"/>
            </w:tcBorders>
          </w:tcPr>
          <w:p w14:paraId="57284D07"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01FFBA1" w14:textId="77777777" w:rsidR="005A79DB" w:rsidRPr="00354796" w:rsidRDefault="006E31A1">
            <w:pPr>
              <w:pStyle w:val="AmColumnHeading"/>
            </w:pPr>
            <w:r w:rsidRPr="00354796">
              <w:t>Poprawka</w:t>
            </w:r>
          </w:p>
        </w:tc>
      </w:tr>
      <w:tr w:rsidR="005A79DB" w:rsidRPr="00354796" w14:paraId="5D5745D1" w14:textId="77777777">
        <w:trPr>
          <w:jc w:val="center"/>
        </w:trPr>
        <w:tc>
          <w:tcPr>
            <w:tcW w:w="4876" w:type="dxa"/>
            <w:tcBorders>
              <w:top w:val="nil"/>
              <w:left w:val="nil"/>
              <w:bottom w:val="nil"/>
              <w:right w:val="nil"/>
            </w:tcBorders>
          </w:tcPr>
          <w:p w14:paraId="30963B9A" w14:textId="77777777" w:rsidR="005A79DB" w:rsidRPr="00354796" w:rsidRDefault="006E31A1">
            <w:pPr>
              <w:pStyle w:val="Normal6a"/>
            </w:pPr>
            <w:r w:rsidRPr="00354796">
              <w:t>12.</w:t>
            </w:r>
            <w:r w:rsidRPr="00354796">
              <w:tab/>
              <w:t xml:space="preserve">uważa, że szczególną uwagę należy zwrócić na </w:t>
            </w:r>
            <w:r w:rsidRPr="00354796">
              <w:t xml:space="preserve">transakcje o wysokiej wartości, </w:t>
            </w:r>
            <w:r w:rsidRPr="00354796">
              <w:lastRenderedPageBreak/>
              <w:t xml:space="preserve">szybko zmieniające się i </w:t>
            </w:r>
            <w:proofErr w:type="spellStart"/>
            <w:r w:rsidRPr="00354796">
              <w:t>zdigitalizowane</w:t>
            </w:r>
            <w:proofErr w:type="spellEnd"/>
            <w:r w:rsidRPr="00354796">
              <w:t>, w tym dostawy energii, uprawnienia do emisji, świadectwa energetyczne, elektronikę</w:t>
            </w:r>
            <w:r w:rsidRPr="00354796">
              <w:rPr>
                <w:b/>
                <w:bCs/>
                <w:i/>
                <w:iCs/>
              </w:rPr>
              <w:t xml:space="preserve"> i</w:t>
            </w:r>
            <w:r w:rsidRPr="00354796">
              <w:t xml:space="preserve"> metale;</w:t>
            </w:r>
          </w:p>
        </w:tc>
        <w:tc>
          <w:tcPr>
            <w:tcW w:w="4876" w:type="dxa"/>
            <w:tcBorders>
              <w:top w:val="nil"/>
              <w:left w:val="nil"/>
              <w:bottom w:val="nil"/>
              <w:right w:val="nil"/>
            </w:tcBorders>
          </w:tcPr>
          <w:p w14:paraId="0E7944F6" w14:textId="77777777" w:rsidR="005A79DB" w:rsidRPr="00354796" w:rsidRDefault="006E31A1">
            <w:pPr>
              <w:pStyle w:val="Normal6a"/>
            </w:pPr>
            <w:r w:rsidRPr="00354796">
              <w:lastRenderedPageBreak/>
              <w:t>12.</w:t>
            </w:r>
            <w:r w:rsidRPr="00354796">
              <w:tab/>
              <w:t xml:space="preserve">uważa, że szczególną uwagę należy zwrócić na transakcje o wysokiej wartości, </w:t>
            </w:r>
            <w:r w:rsidRPr="00354796">
              <w:lastRenderedPageBreak/>
              <w:t xml:space="preserve">szybko zmieniające się i </w:t>
            </w:r>
            <w:proofErr w:type="spellStart"/>
            <w:r w:rsidRPr="00354796">
              <w:t>zdigitalizowane</w:t>
            </w:r>
            <w:proofErr w:type="spellEnd"/>
            <w:r w:rsidRPr="00354796">
              <w:t>, w tym dostawy energii, uprawnienia do emisji, świadectwa energetyczne, elektronikę</w:t>
            </w:r>
            <w:r w:rsidRPr="00354796">
              <w:rPr>
                <w:b/>
                <w:bCs/>
                <w:i/>
                <w:iCs/>
              </w:rPr>
              <w:t xml:space="preserve">, surowe i półprzetworzone </w:t>
            </w:r>
            <w:r w:rsidRPr="00354796">
              <w:t>metale</w:t>
            </w:r>
            <w:r w:rsidRPr="00354796">
              <w:rPr>
                <w:b/>
                <w:bCs/>
                <w:i/>
                <w:iCs/>
              </w:rPr>
              <w:t>, metale szlachetne oraz towary rolne, takie jak zboża i uprawy przemysłowe, które nadal są w wysokim stopniu narażone na oszustwa typu „znikający podmiot gospodarczy”</w:t>
            </w:r>
            <w:r w:rsidRPr="00354796">
              <w:t>;</w:t>
            </w:r>
          </w:p>
        </w:tc>
      </w:tr>
    </w:tbl>
    <w:p w14:paraId="781E4275"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BE8730C" w14:textId="77777777" w:rsidR="005A79DB" w:rsidRPr="00354796" w:rsidRDefault="006E31A1">
      <w:r w:rsidRPr="00354796">
        <w:rPr>
          <w:rStyle w:val="HideTWBExt"/>
        </w:rPr>
        <w:t>&lt;/Amend&gt;</w:t>
      </w:r>
    </w:p>
    <w:p w14:paraId="5F92669A"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75</w:t>
      </w:r>
      <w:r w:rsidRPr="00354796">
        <w:rPr>
          <w:rStyle w:val="HideTWBExt"/>
        </w:rPr>
        <w:t>&lt;/NumAm&gt;</w:t>
      </w:r>
    </w:p>
    <w:p w14:paraId="0E771A95"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0A438A8B" w14:textId="77777777" w:rsidR="005A79DB" w:rsidRPr="00354796" w:rsidRDefault="006E31A1">
      <w:pPr>
        <w:pStyle w:val="NormalBold"/>
      </w:pPr>
      <w:r w:rsidRPr="00354796">
        <w:rPr>
          <w:rStyle w:val="HideTWBExt"/>
          <w:b w:val="0"/>
        </w:rPr>
        <w:t>&lt;/RepeatBlock-By&gt;</w:t>
      </w:r>
    </w:p>
    <w:p w14:paraId="5C26A3C0"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164F1DD" w14:textId="77777777" w:rsidR="005A79DB" w:rsidRPr="00354796" w:rsidRDefault="006E31A1">
      <w:pPr>
        <w:pStyle w:val="NormalBold"/>
      </w:pPr>
      <w:r w:rsidRPr="00354796">
        <w:rPr>
          <w:rStyle w:val="HideTWBExt"/>
        </w:rPr>
        <w:t>&lt;Article&gt;</w:t>
      </w:r>
      <w:r w:rsidRPr="00354796">
        <w:t>Ustęp 12</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A3614A3" w14:textId="77777777">
        <w:trPr>
          <w:trHeight w:hRule="exact" w:val="240"/>
          <w:jc w:val="center"/>
        </w:trPr>
        <w:tc>
          <w:tcPr>
            <w:tcW w:w="9752" w:type="dxa"/>
            <w:gridSpan w:val="2"/>
            <w:tcBorders>
              <w:top w:val="nil"/>
              <w:left w:val="nil"/>
              <w:bottom w:val="nil"/>
              <w:right w:val="nil"/>
            </w:tcBorders>
          </w:tcPr>
          <w:p w14:paraId="289F8174" w14:textId="77777777" w:rsidR="005A79DB" w:rsidRPr="00354796" w:rsidRDefault="005A79DB"/>
        </w:tc>
      </w:tr>
      <w:tr w:rsidR="005A79DB" w:rsidRPr="00354796" w14:paraId="6856A4BD" w14:textId="77777777">
        <w:trPr>
          <w:trHeight w:val="240"/>
          <w:jc w:val="center"/>
        </w:trPr>
        <w:tc>
          <w:tcPr>
            <w:tcW w:w="4876" w:type="dxa"/>
            <w:tcBorders>
              <w:top w:val="nil"/>
              <w:left w:val="nil"/>
              <w:bottom w:val="nil"/>
              <w:right w:val="nil"/>
            </w:tcBorders>
          </w:tcPr>
          <w:p w14:paraId="57C26E5B"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59107B4A" w14:textId="77777777" w:rsidR="005A79DB" w:rsidRPr="00354796" w:rsidRDefault="006E31A1">
            <w:pPr>
              <w:pStyle w:val="AmColumnHeading"/>
            </w:pPr>
            <w:r w:rsidRPr="00354796">
              <w:t>Poprawka</w:t>
            </w:r>
          </w:p>
        </w:tc>
      </w:tr>
      <w:tr w:rsidR="005A79DB" w:rsidRPr="00354796" w14:paraId="3B1ADFCD" w14:textId="77777777">
        <w:trPr>
          <w:jc w:val="center"/>
        </w:trPr>
        <w:tc>
          <w:tcPr>
            <w:tcW w:w="4876" w:type="dxa"/>
            <w:tcBorders>
              <w:top w:val="nil"/>
              <w:left w:val="nil"/>
              <w:bottom w:val="nil"/>
              <w:right w:val="nil"/>
            </w:tcBorders>
          </w:tcPr>
          <w:p w14:paraId="5EFAE536" w14:textId="77777777" w:rsidR="005A79DB" w:rsidRPr="00354796" w:rsidRDefault="006E31A1">
            <w:pPr>
              <w:pStyle w:val="Normal6a"/>
            </w:pPr>
            <w:r w:rsidRPr="00354796">
              <w:t>12.</w:t>
            </w:r>
            <w:r w:rsidRPr="00354796">
              <w:tab/>
              <w:t xml:space="preserve">uważa, że szczególną uwagę należy zwrócić na transakcje o wysokiej wartości, szybko zmieniające się i </w:t>
            </w:r>
            <w:proofErr w:type="spellStart"/>
            <w:r w:rsidRPr="00354796">
              <w:t>zdigitalizowane</w:t>
            </w:r>
            <w:proofErr w:type="spellEnd"/>
            <w:r w:rsidRPr="00354796">
              <w:t xml:space="preserve">, w tym dostawy energii, uprawnienia do emisji, świadectwa </w:t>
            </w:r>
            <w:r w:rsidRPr="00354796">
              <w:t>energetyczne, elektronikę i metale;</w:t>
            </w:r>
          </w:p>
        </w:tc>
        <w:tc>
          <w:tcPr>
            <w:tcW w:w="4876" w:type="dxa"/>
            <w:tcBorders>
              <w:top w:val="nil"/>
              <w:left w:val="nil"/>
              <w:bottom w:val="nil"/>
              <w:right w:val="nil"/>
            </w:tcBorders>
          </w:tcPr>
          <w:p w14:paraId="5A3840CD" w14:textId="77777777" w:rsidR="005A79DB" w:rsidRPr="00354796" w:rsidRDefault="006E31A1">
            <w:pPr>
              <w:pStyle w:val="Normal6a"/>
            </w:pPr>
            <w:r w:rsidRPr="00354796">
              <w:t>12.</w:t>
            </w:r>
            <w:r w:rsidRPr="00354796">
              <w:tab/>
              <w:t xml:space="preserve">uważa, że szczególną uwagę należy zwrócić na transakcje o wysokiej wartości, szybko zmieniające się i </w:t>
            </w:r>
            <w:proofErr w:type="spellStart"/>
            <w:r w:rsidRPr="00354796">
              <w:t>zdigitalizowane</w:t>
            </w:r>
            <w:proofErr w:type="spellEnd"/>
            <w:r w:rsidRPr="00354796">
              <w:t xml:space="preserve">, w tym dostawy energii, uprawnienia do emisji </w:t>
            </w:r>
            <w:r w:rsidRPr="00354796">
              <w:rPr>
                <w:b/>
                <w:bCs/>
                <w:i/>
                <w:iCs/>
              </w:rPr>
              <w:t>(w szczególności w ramach drugiego etapu unijnego systemu handlu uprawnieniami do emisji)</w:t>
            </w:r>
            <w:r w:rsidRPr="00354796">
              <w:t>, świadectwa energetyczne, elektronikę i metale;</w:t>
            </w:r>
          </w:p>
        </w:tc>
      </w:tr>
    </w:tbl>
    <w:p w14:paraId="11088175"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E5B3202" w14:textId="77777777" w:rsidR="005A79DB" w:rsidRPr="00354796" w:rsidRDefault="006E31A1">
      <w:r w:rsidRPr="00354796">
        <w:rPr>
          <w:rStyle w:val="HideTWBExt"/>
        </w:rPr>
        <w:t>&lt;/Amend&gt;</w:t>
      </w:r>
    </w:p>
    <w:p w14:paraId="5B9A3BA9"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76</w:t>
      </w:r>
      <w:r w:rsidRPr="00354796">
        <w:rPr>
          <w:rStyle w:val="HideTWBExt"/>
        </w:rPr>
        <w:t>&lt;/NumAm&gt;</w:t>
      </w:r>
    </w:p>
    <w:p w14:paraId="46EFA06E"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71EA7439" w14:textId="77777777" w:rsidR="005A79DB" w:rsidRPr="00354796" w:rsidRDefault="006E31A1">
      <w:pPr>
        <w:pStyle w:val="NormalBold"/>
      </w:pPr>
      <w:r w:rsidRPr="00354796">
        <w:rPr>
          <w:rStyle w:val="HideTWBExt"/>
          <w:b w:val="0"/>
        </w:rPr>
        <w:t>&lt;/RepeatBlock-By&gt;</w:t>
      </w:r>
    </w:p>
    <w:p w14:paraId="4A79ADDC" w14:textId="77777777" w:rsidR="005A79DB" w:rsidRPr="00354796" w:rsidRDefault="006E31A1">
      <w:pPr>
        <w:pStyle w:val="NormalBold"/>
      </w:pPr>
      <w:r w:rsidRPr="00354796">
        <w:rPr>
          <w:rStyle w:val="HideTWBExt"/>
        </w:rPr>
        <w:t>&lt;DocAmend&gt;</w:t>
      </w:r>
      <w:r w:rsidRPr="00354796">
        <w:t xml:space="preserve">Projekt </w:t>
      </w:r>
      <w:r w:rsidRPr="00354796">
        <w:t>rezolucji</w:t>
      </w:r>
      <w:r w:rsidRPr="00354796">
        <w:rPr>
          <w:rStyle w:val="HideTWBExt"/>
        </w:rPr>
        <w:t>&lt;/DocAmend&gt;</w:t>
      </w:r>
    </w:p>
    <w:p w14:paraId="390FB434" w14:textId="77777777" w:rsidR="005A79DB" w:rsidRPr="00354796" w:rsidRDefault="006E31A1">
      <w:pPr>
        <w:pStyle w:val="NormalBold"/>
      </w:pPr>
      <w:r w:rsidRPr="00354796">
        <w:rPr>
          <w:rStyle w:val="HideTWBExt"/>
        </w:rPr>
        <w:t>&lt;Article&gt;</w:t>
      </w:r>
      <w:r w:rsidRPr="00354796">
        <w:t>Ustęp 12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158B534" w14:textId="77777777">
        <w:trPr>
          <w:trHeight w:hRule="exact" w:val="240"/>
          <w:jc w:val="center"/>
        </w:trPr>
        <w:tc>
          <w:tcPr>
            <w:tcW w:w="9752" w:type="dxa"/>
            <w:gridSpan w:val="2"/>
            <w:tcBorders>
              <w:top w:val="nil"/>
              <w:left w:val="nil"/>
              <w:bottom w:val="nil"/>
              <w:right w:val="nil"/>
            </w:tcBorders>
          </w:tcPr>
          <w:p w14:paraId="2A80FC38" w14:textId="77777777" w:rsidR="005A79DB" w:rsidRPr="00354796" w:rsidRDefault="005A79DB"/>
        </w:tc>
      </w:tr>
      <w:tr w:rsidR="005A79DB" w:rsidRPr="00354796" w14:paraId="68232DBE" w14:textId="77777777">
        <w:trPr>
          <w:trHeight w:val="240"/>
          <w:jc w:val="center"/>
        </w:trPr>
        <w:tc>
          <w:tcPr>
            <w:tcW w:w="4876" w:type="dxa"/>
            <w:tcBorders>
              <w:top w:val="nil"/>
              <w:left w:val="nil"/>
              <w:bottom w:val="nil"/>
              <w:right w:val="nil"/>
            </w:tcBorders>
          </w:tcPr>
          <w:p w14:paraId="332C62F5"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8DD2D64" w14:textId="77777777" w:rsidR="005A79DB" w:rsidRPr="00354796" w:rsidRDefault="006E31A1">
            <w:pPr>
              <w:pStyle w:val="AmColumnHeading"/>
            </w:pPr>
            <w:r w:rsidRPr="00354796">
              <w:t>Poprawka</w:t>
            </w:r>
          </w:p>
        </w:tc>
      </w:tr>
      <w:tr w:rsidR="005A79DB" w:rsidRPr="00354796" w14:paraId="017DCB97" w14:textId="77777777">
        <w:trPr>
          <w:jc w:val="center"/>
        </w:trPr>
        <w:tc>
          <w:tcPr>
            <w:tcW w:w="4876" w:type="dxa"/>
            <w:tcBorders>
              <w:top w:val="nil"/>
              <w:left w:val="nil"/>
              <w:bottom w:val="nil"/>
              <w:right w:val="nil"/>
            </w:tcBorders>
          </w:tcPr>
          <w:p w14:paraId="289EB8C0" w14:textId="77777777" w:rsidR="005A79DB" w:rsidRPr="00354796" w:rsidRDefault="005A79DB">
            <w:pPr>
              <w:pStyle w:val="Normal6a"/>
            </w:pPr>
          </w:p>
        </w:tc>
        <w:tc>
          <w:tcPr>
            <w:tcW w:w="4876" w:type="dxa"/>
            <w:tcBorders>
              <w:top w:val="nil"/>
              <w:left w:val="nil"/>
              <w:bottom w:val="nil"/>
              <w:right w:val="nil"/>
            </w:tcBorders>
          </w:tcPr>
          <w:p w14:paraId="6C2278B6" w14:textId="77777777" w:rsidR="005A79DB" w:rsidRPr="00354796" w:rsidRDefault="006E31A1">
            <w:pPr>
              <w:pStyle w:val="Normal6a"/>
            </w:pPr>
            <w:r w:rsidRPr="00354796">
              <w:rPr>
                <w:b/>
                <w:i/>
              </w:rPr>
              <w:t>12a.</w:t>
            </w:r>
            <w:r w:rsidRPr="00354796">
              <w:tab/>
            </w:r>
            <w:r w:rsidRPr="00354796">
              <w:rPr>
                <w:b/>
                <w:i/>
              </w:rPr>
              <w:t xml:space="preserve">przypomina, że unijny system handlu uprawnieniami do emisji był narzędziem jednego z największych systemów oszustw karuzelowych w historii UE, które w </w:t>
            </w:r>
            <w:r w:rsidRPr="00354796">
              <w:rPr>
                <w:b/>
                <w:i/>
              </w:rPr>
              <w:t xml:space="preserve">latach 2008–2009 doprowadziły do strat szacowanych na </w:t>
            </w:r>
            <w:r w:rsidRPr="00354796">
              <w:rPr>
                <w:b/>
                <w:i/>
              </w:rPr>
              <w:lastRenderedPageBreak/>
              <w:t xml:space="preserve">około 5 mld EUR, oraz że systemy te zostały zlikwidowane dopiero po wystąpieniu strat; wzywa Komisję do przeprowadzenia prewencyjnej oceny narażenia na ryzyko oszustw karuzelowych związanych z VAT i przestępstw finansowych mających wpływ na transakcje dotyczące jednostek emisji dwutlenku węgla i uprawnień do emisji w ramach drugiego etapu unijnego systemu handlu uprawnieniami do emisji (ETS2) oraz do odroczenia uruchomienia ETS2, jeżeli istnieje wysokie </w:t>
            </w:r>
            <w:r w:rsidRPr="00354796">
              <w:rPr>
                <w:b/>
                <w:i/>
              </w:rPr>
              <w:t>ryzyko takich przestępstw;</w:t>
            </w:r>
          </w:p>
        </w:tc>
      </w:tr>
    </w:tbl>
    <w:p w14:paraId="51F821DE"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7381C77" w14:textId="77777777" w:rsidR="005A79DB" w:rsidRPr="00354796" w:rsidRDefault="006E31A1">
      <w:r w:rsidRPr="00354796">
        <w:rPr>
          <w:rStyle w:val="HideTWBExt"/>
        </w:rPr>
        <w:t>&lt;/Amend&gt;</w:t>
      </w:r>
    </w:p>
    <w:p w14:paraId="7EA8C5DC"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77</w:t>
      </w:r>
      <w:r w:rsidRPr="00354796">
        <w:rPr>
          <w:rStyle w:val="HideTWBExt"/>
        </w:rPr>
        <w:t>&lt;/NumAm&gt;</w:t>
      </w:r>
    </w:p>
    <w:p w14:paraId="2BBB97D0"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56BBC906" w14:textId="77777777" w:rsidR="005A79DB" w:rsidRPr="00354796" w:rsidRDefault="006E31A1">
      <w:pPr>
        <w:pStyle w:val="NormalBold"/>
      </w:pPr>
      <w:r w:rsidRPr="00354796">
        <w:rPr>
          <w:rStyle w:val="HideTWBExt"/>
          <w:b w:val="0"/>
        </w:rPr>
        <w:t>&lt;/RepeatBlock-By&gt;</w:t>
      </w:r>
    </w:p>
    <w:p w14:paraId="7D1BC970" w14:textId="77777777" w:rsidR="005A79DB" w:rsidRPr="00354796" w:rsidRDefault="006E31A1">
      <w:pPr>
        <w:pStyle w:val="NormalBold"/>
      </w:pPr>
      <w:r w:rsidRPr="00354796">
        <w:rPr>
          <w:rStyle w:val="HideTWBExt"/>
        </w:rPr>
        <w:t>&lt;DocAmend&gt;</w:t>
      </w:r>
      <w:r w:rsidRPr="00354796">
        <w:t xml:space="preserve">Projekt </w:t>
      </w:r>
      <w:r w:rsidRPr="00354796">
        <w:t>rezolucji</w:t>
      </w:r>
      <w:r w:rsidRPr="00354796">
        <w:rPr>
          <w:rStyle w:val="HideTWBExt"/>
        </w:rPr>
        <w:t>&lt;/DocAmend&gt;</w:t>
      </w:r>
    </w:p>
    <w:p w14:paraId="2E0BBADC" w14:textId="77777777" w:rsidR="005A79DB" w:rsidRPr="00354796" w:rsidRDefault="006E31A1">
      <w:pPr>
        <w:pStyle w:val="NormalBold"/>
      </w:pPr>
      <w:r w:rsidRPr="00354796">
        <w:rPr>
          <w:rStyle w:val="HideTWBExt"/>
        </w:rPr>
        <w:t>&lt;Article&gt;</w:t>
      </w:r>
      <w:r w:rsidRPr="00354796">
        <w:t>Ustęp 13</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B5C5888" w14:textId="77777777">
        <w:trPr>
          <w:trHeight w:hRule="exact" w:val="240"/>
          <w:jc w:val="center"/>
        </w:trPr>
        <w:tc>
          <w:tcPr>
            <w:tcW w:w="9752" w:type="dxa"/>
            <w:gridSpan w:val="2"/>
            <w:tcBorders>
              <w:top w:val="nil"/>
              <w:left w:val="nil"/>
              <w:bottom w:val="nil"/>
              <w:right w:val="nil"/>
            </w:tcBorders>
          </w:tcPr>
          <w:p w14:paraId="130C566D" w14:textId="77777777" w:rsidR="005A79DB" w:rsidRPr="00354796" w:rsidRDefault="005A79DB"/>
        </w:tc>
      </w:tr>
      <w:tr w:rsidR="005A79DB" w:rsidRPr="00354796" w14:paraId="2F9F7638" w14:textId="77777777">
        <w:trPr>
          <w:trHeight w:val="240"/>
          <w:jc w:val="center"/>
        </w:trPr>
        <w:tc>
          <w:tcPr>
            <w:tcW w:w="4876" w:type="dxa"/>
            <w:tcBorders>
              <w:top w:val="nil"/>
              <w:left w:val="nil"/>
              <w:bottom w:val="nil"/>
              <w:right w:val="nil"/>
            </w:tcBorders>
          </w:tcPr>
          <w:p w14:paraId="00BD3772"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7604C250" w14:textId="77777777" w:rsidR="005A79DB" w:rsidRPr="00354796" w:rsidRDefault="006E31A1">
            <w:pPr>
              <w:pStyle w:val="AmColumnHeading"/>
            </w:pPr>
            <w:r w:rsidRPr="00354796">
              <w:t>Poprawka</w:t>
            </w:r>
          </w:p>
        </w:tc>
      </w:tr>
      <w:tr w:rsidR="005A79DB" w:rsidRPr="00354796" w14:paraId="6CF96A24" w14:textId="77777777">
        <w:trPr>
          <w:jc w:val="center"/>
        </w:trPr>
        <w:tc>
          <w:tcPr>
            <w:tcW w:w="4876" w:type="dxa"/>
            <w:tcBorders>
              <w:top w:val="nil"/>
              <w:left w:val="nil"/>
              <w:bottom w:val="nil"/>
              <w:right w:val="nil"/>
            </w:tcBorders>
          </w:tcPr>
          <w:p w14:paraId="13870ACD" w14:textId="77777777" w:rsidR="005A79DB" w:rsidRPr="00354796" w:rsidRDefault="006E31A1">
            <w:pPr>
              <w:pStyle w:val="Normal6a"/>
            </w:pPr>
            <w:r w:rsidRPr="00354796">
              <w:t>13.</w:t>
            </w:r>
            <w:r w:rsidRPr="00354796">
              <w:tab/>
              <w:t xml:space="preserve">ostrzega, że rozbieżne progi, definicje sektorów i praktyki wdrożeniowe mogą zwiększyć koszty dla przedsiębiorstw transgranicznych i stworzyć możliwości </w:t>
            </w:r>
            <w:r w:rsidRPr="00354796">
              <w:t>wykorzystania luk przez oszustów;</w:t>
            </w:r>
          </w:p>
        </w:tc>
        <w:tc>
          <w:tcPr>
            <w:tcW w:w="4876" w:type="dxa"/>
            <w:tcBorders>
              <w:top w:val="nil"/>
              <w:left w:val="nil"/>
              <w:bottom w:val="nil"/>
              <w:right w:val="nil"/>
            </w:tcBorders>
          </w:tcPr>
          <w:p w14:paraId="3EB626C0" w14:textId="77777777" w:rsidR="005A79DB" w:rsidRPr="00354796" w:rsidRDefault="006E31A1">
            <w:pPr>
              <w:pStyle w:val="Normal6a"/>
            </w:pPr>
            <w:r w:rsidRPr="00354796">
              <w:t>13.</w:t>
            </w:r>
            <w:r w:rsidRPr="00354796">
              <w:tab/>
              <w:t xml:space="preserve">ostrzega, że rozbieżne progi, definicje sektorów i praktyki wdrożeniowe mogą zwiększyć koszty dla przedsiębiorstw transgranicznych i stworzyć możliwości wykorzystania luk przez oszustów; </w:t>
            </w:r>
            <w:r w:rsidRPr="00354796">
              <w:rPr>
                <w:b/>
                <w:i/>
              </w:rPr>
              <w:t>podkreśla znaczenie harmonizacji przepisów, usprawnionej wymiany informacji oraz ściślejszej współpracy między właściwymi organami a unijnymi agencjami ds. oszustw w zakresie przeciwdziałania ryzyku związanemu z transgranicznymi oszustwami podatkowymi, uchylaniem się od opodatkowania i unikaniem opodatkowania, a także w up</w:t>
            </w:r>
            <w:r w:rsidRPr="00354796">
              <w:rPr>
                <w:b/>
                <w:i/>
              </w:rPr>
              <w:t>raszczaniu transgranicznej działalności gospodarczej;</w:t>
            </w:r>
          </w:p>
        </w:tc>
      </w:tr>
    </w:tbl>
    <w:p w14:paraId="3769D17A"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71960C76" w14:textId="77777777" w:rsidR="005A79DB" w:rsidRPr="00354796" w:rsidRDefault="006E31A1">
      <w:r w:rsidRPr="00354796">
        <w:rPr>
          <w:rStyle w:val="HideTWBExt"/>
        </w:rPr>
        <w:t>&lt;/Amend&gt;</w:t>
      </w:r>
    </w:p>
    <w:p w14:paraId="2468EE39" w14:textId="77777777" w:rsidR="005A79DB" w:rsidRPr="00354796" w:rsidRDefault="006E31A1">
      <w:pPr>
        <w:pStyle w:val="AmNumberTabs"/>
      </w:pPr>
      <w:r w:rsidRPr="00354796">
        <w:rPr>
          <w:rStyle w:val="HideTWBExt"/>
        </w:rPr>
        <w:lastRenderedPageBreak/>
        <w:t>&lt;Amend&gt;</w:t>
      </w:r>
      <w:r w:rsidRPr="00354796">
        <w:t>Poprawka</w:t>
      </w:r>
      <w:r w:rsidRPr="00354796">
        <w:tab/>
      </w:r>
      <w:r w:rsidRPr="00354796">
        <w:tab/>
      </w:r>
      <w:r w:rsidRPr="00354796">
        <w:rPr>
          <w:rStyle w:val="HideTWBExt"/>
        </w:rPr>
        <w:t>&lt;NumAm&gt;</w:t>
      </w:r>
      <w:r w:rsidRPr="00354796">
        <w:t>78</w:t>
      </w:r>
      <w:r w:rsidRPr="00354796">
        <w:rPr>
          <w:rStyle w:val="HideTWBExt"/>
        </w:rPr>
        <w:t>&lt;/NumAm&gt;</w:t>
      </w:r>
    </w:p>
    <w:p w14:paraId="6887D526" w14:textId="77777777" w:rsidR="005A79DB" w:rsidRPr="00354796" w:rsidRDefault="006E31A1">
      <w:pPr>
        <w:pStyle w:val="NormalBold"/>
      </w:pPr>
      <w:r w:rsidRPr="00354796">
        <w:rPr>
          <w:rStyle w:val="HideTWBExt"/>
          <w:b w:val="0"/>
        </w:rPr>
        <w:t>&lt;RepeatBlock-By&gt;&lt;Members&gt;</w:t>
      </w:r>
      <w:proofErr w:type="spellStart"/>
      <w:r w:rsidRPr="00354796">
        <w:t>Danuše</w:t>
      </w:r>
      <w:proofErr w:type="spellEnd"/>
      <w:r w:rsidRPr="00354796">
        <w:t xml:space="preserve"> </w:t>
      </w:r>
      <w:proofErr w:type="spellStart"/>
      <w:r w:rsidRPr="00354796">
        <w:t>Nerudová</w:t>
      </w:r>
      <w:proofErr w:type="spellEnd"/>
      <w:r w:rsidRPr="00354796">
        <w:rPr>
          <w:rStyle w:val="HideTWBExt"/>
          <w:b w:val="0"/>
        </w:rPr>
        <w:t>&lt;/Members&gt;</w:t>
      </w:r>
    </w:p>
    <w:p w14:paraId="3E0907D8" w14:textId="77777777" w:rsidR="005A79DB" w:rsidRPr="00354796" w:rsidRDefault="006E31A1">
      <w:pPr>
        <w:pStyle w:val="NormalBold"/>
      </w:pPr>
      <w:r w:rsidRPr="00354796">
        <w:rPr>
          <w:rStyle w:val="HideTWBExt"/>
          <w:b w:val="0"/>
        </w:rPr>
        <w:t>&lt;/RepeatBlock-By&gt;</w:t>
      </w:r>
    </w:p>
    <w:p w14:paraId="7B7EB8AA"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77F51BC" w14:textId="77777777" w:rsidR="005A79DB" w:rsidRPr="00354796" w:rsidRDefault="006E31A1">
      <w:pPr>
        <w:pStyle w:val="NormalBold"/>
      </w:pPr>
      <w:r w:rsidRPr="00354796">
        <w:rPr>
          <w:rStyle w:val="HideTWBExt"/>
        </w:rPr>
        <w:t>&lt;Article&gt;</w:t>
      </w:r>
      <w:r w:rsidRPr="00354796">
        <w:t>Ustęp 13</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205475A" w14:textId="77777777">
        <w:trPr>
          <w:trHeight w:hRule="exact" w:val="240"/>
          <w:jc w:val="center"/>
        </w:trPr>
        <w:tc>
          <w:tcPr>
            <w:tcW w:w="9752" w:type="dxa"/>
            <w:gridSpan w:val="2"/>
            <w:tcBorders>
              <w:top w:val="nil"/>
              <w:left w:val="nil"/>
              <w:bottom w:val="nil"/>
              <w:right w:val="nil"/>
            </w:tcBorders>
          </w:tcPr>
          <w:p w14:paraId="7A6F7C6C" w14:textId="77777777" w:rsidR="005A79DB" w:rsidRPr="00354796" w:rsidRDefault="005A79DB"/>
        </w:tc>
      </w:tr>
      <w:tr w:rsidR="005A79DB" w:rsidRPr="00354796" w14:paraId="3CF988CF" w14:textId="77777777">
        <w:trPr>
          <w:trHeight w:val="240"/>
          <w:jc w:val="center"/>
        </w:trPr>
        <w:tc>
          <w:tcPr>
            <w:tcW w:w="4876" w:type="dxa"/>
            <w:tcBorders>
              <w:top w:val="nil"/>
              <w:left w:val="nil"/>
              <w:bottom w:val="nil"/>
              <w:right w:val="nil"/>
            </w:tcBorders>
          </w:tcPr>
          <w:p w14:paraId="3F8F14F2"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F236C2A" w14:textId="77777777" w:rsidR="005A79DB" w:rsidRPr="00354796" w:rsidRDefault="006E31A1">
            <w:pPr>
              <w:pStyle w:val="AmColumnHeading"/>
            </w:pPr>
            <w:r w:rsidRPr="00354796">
              <w:t>Poprawka</w:t>
            </w:r>
          </w:p>
        </w:tc>
      </w:tr>
      <w:tr w:rsidR="005A79DB" w:rsidRPr="00354796" w14:paraId="50C71E72" w14:textId="77777777">
        <w:trPr>
          <w:jc w:val="center"/>
        </w:trPr>
        <w:tc>
          <w:tcPr>
            <w:tcW w:w="4876" w:type="dxa"/>
            <w:tcBorders>
              <w:top w:val="nil"/>
              <w:left w:val="nil"/>
              <w:bottom w:val="nil"/>
              <w:right w:val="nil"/>
            </w:tcBorders>
          </w:tcPr>
          <w:p w14:paraId="4C024949" w14:textId="77777777" w:rsidR="005A79DB" w:rsidRPr="00354796" w:rsidRDefault="006E31A1">
            <w:pPr>
              <w:pStyle w:val="Normal6a"/>
            </w:pPr>
            <w:r w:rsidRPr="00354796">
              <w:t>13.</w:t>
            </w:r>
            <w:r w:rsidRPr="00354796">
              <w:tab/>
              <w:t xml:space="preserve">ostrzega, że rozbieżne progi, definicje sektorów i praktyki wdrożeniowe mogą zwiększyć koszty dla przedsiębiorstw transgranicznych i stworzyć </w:t>
            </w:r>
            <w:r w:rsidRPr="00354796">
              <w:t>możliwości wykorzystania luk przez oszustów;</w:t>
            </w:r>
          </w:p>
        </w:tc>
        <w:tc>
          <w:tcPr>
            <w:tcW w:w="4876" w:type="dxa"/>
            <w:tcBorders>
              <w:top w:val="nil"/>
              <w:left w:val="nil"/>
              <w:bottom w:val="nil"/>
              <w:right w:val="nil"/>
            </w:tcBorders>
          </w:tcPr>
          <w:p w14:paraId="0EC2586E" w14:textId="77777777" w:rsidR="005A79DB" w:rsidRPr="00354796" w:rsidRDefault="006E31A1">
            <w:pPr>
              <w:pStyle w:val="Normal6a"/>
            </w:pPr>
            <w:r w:rsidRPr="00354796">
              <w:t>13.</w:t>
            </w:r>
            <w:r w:rsidRPr="00354796">
              <w:tab/>
              <w:t>ostrzega, że rozbieżne progi, definicje sektorów i praktyki wdrożeniowe mogą zwiększyć koszty dla przedsiębiorstw transgranicznych i stworzyć możliwości wykorzystania luk przez oszustów;</w:t>
            </w:r>
            <w:r w:rsidRPr="00354796">
              <w:rPr>
                <w:b/>
                <w:i/>
              </w:rPr>
              <w:t> wzywa Komisję do zaproponowania, w stosownych przypadkach w drodze środków wykonawczych lub wytycznych, wspólnego zestawu progów oraz definicji sektorów, które miałyby być stosowane przez państwa członkowskie korzystające z art. 199a;</w:t>
            </w:r>
          </w:p>
        </w:tc>
      </w:tr>
    </w:tbl>
    <w:p w14:paraId="01E7D4E2"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5DE90EF" w14:textId="77777777" w:rsidR="005A79DB" w:rsidRPr="00354796" w:rsidRDefault="006E31A1">
      <w:r w:rsidRPr="00354796">
        <w:rPr>
          <w:rStyle w:val="HideTWBExt"/>
        </w:rPr>
        <w:t>&lt;/Amend&gt;</w:t>
      </w:r>
    </w:p>
    <w:p w14:paraId="366AE87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79</w:t>
      </w:r>
      <w:r w:rsidRPr="00354796">
        <w:rPr>
          <w:rStyle w:val="HideTWBExt"/>
        </w:rPr>
        <w:t>&lt;/NumAm&gt;</w:t>
      </w:r>
    </w:p>
    <w:p w14:paraId="3E64B3DC" w14:textId="77777777" w:rsidR="005A79DB" w:rsidRPr="00354796" w:rsidRDefault="006E31A1">
      <w:pPr>
        <w:pStyle w:val="NormalBold"/>
      </w:pPr>
      <w:r w:rsidRPr="00354796">
        <w:rPr>
          <w:rStyle w:val="HideTWBExt"/>
          <w:b w:val="0"/>
        </w:rPr>
        <w:t>&lt;RepeatBlock-By&gt;&lt;Members&gt;</w:t>
      </w:r>
      <w:r w:rsidRPr="00354796">
        <w:t>Markus Ferber</w:t>
      </w:r>
      <w:r w:rsidRPr="00354796">
        <w:rPr>
          <w:rStyle w:val="HideTWBExt"/>
          <w:b w:val="0"/>
        </w:rPr>
        <w:t>&lt;/Members&gt;</w:t>
      </w:r>
    </w:p>
    <w:p w14:paraId="3854D338" w14:textId="77777777" w:rsidR="005A79DB" w:rsidRPr="00354796" w:rsidRDefault="006E31A1">
      <w:pPr>
        <w:pStyle w:val="NormalBold"/>
      </w:pPr>
      <w:r w:rsidRPr="00354796">
        <w:rPr>
          <w:rStyle w:val="HideTWBExt"/>
          <w:b w:val="0"/>
        </w:rPr>
        <w:t>&lt;/RepeatBlock-By&gt;</w:t>
      </w:r>
    </w:p>
    <w:p w14:paraId="2937CC15"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C9D1912" w14:textId="77777777" w:rsidR="005A79DB" w:rsidRPr="00354796" w:rsidRDefault="006E31A1">
      <w:pPr>
        <w:pStyle w:val="NormalBold"/>
      </w:pPr>
      <w:r w:rsidRPr="00354796">
        <w:rPr>
          <w:rStyle w:val="HideTWBExt"/>
        </w:rPr>
        <w:t>&lt;Article&gt;</w:t>
      </w:r>
      <w:r w:rsidRPr="00354796">
        <w:t>Ustęp 13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8317998" w14:textId="77777777">
        <w:trPr>
          <w:trHeight w:hRule="exact" w:val="240"/>
          <w:jc w:val="center"/>
        </w:trPr>
        <w:tc>
          <w:tcPr>
            <w:tcW w:w="9752" w:type="dxa"/>
            <w:gridSpan w:val="2"/>
            <w:tcBorders>
              <w:top w:val="nil"/>
              <w:left w:val="nil"/>
              <w:bottom w:val="nil"/>
              <w:right w:val="nil"/>
            </w:tcBorders>
          </w:tcPr>
          <w:p w14:paraId="11D7A068" w14:textId="77777777" w:rsidR="005A79DB" w:rsidRPr="00354796" w:rsidRDefault="005A79DB"/>
        </w:tc>
      </w:tr>
      <w:tr w:rsidR="005A79DB" w:rsidRPr="00354796" w14:paraId="11C22618" w14:textId="77777777">
        <w:trPr>
          <w:trHeight w:val="240"/>
          <w:jc w:val="center"/>
        </w:trPr>
        <w:tc>
          <w:tcPr>
            <w:tcW w:w="4876" w:type="dxa"/>
            <w:tcBorders>
              <w:top w:val="nil"/>
              <w:left w:val="nil"/>
              <w:bottom w:val="nil"/>
              <w:right w:val="nil"/>
            </w:tcBorders>
          </w:tcPr>
          <w:p w14:paraId="3D127E75"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98A17DD" w14:textId="77777777" w:rsidR="005A79DB" w:rsidRPr="00354796" w:rsidRDefault="006E31A1">
            <w:pPr>
              <w:pStyle w:val="AmColumnHeading"/>
            </w:pPr>
            <w:r w:rsidRPr="00354796">
              <w:t>Poprawka</w:t>
            </w:r>
          </w:p>
        </w:tc>
      </w:tr>
      <w:tr w:rsidR="005A79DB" w:rsidRPr="00354796" w14:paraId="4521915D" w14:textId="77777777">
        <w:trPr>
          <w:jc w:val="center"/>
        </w:trPr>
        <w:tc>
          <w:tcPr>
            <w:tcW w:w="4876" w:type="dxa"/>
            <w:tcBorders>
              <w:top w:val="nil"/>
              <w:left w:val="nil"/>
              <w:bottom w:val="nil"/>
              <w:right w:val="nil"/>
            </w:tcBorders>
          </w:tcPr>
          <w:p w14:paraId="603C3205" w14:textId="77777777" w:rsidR="005A79DB" w:rsidRPr="00354796" w:rsidRDefault="005A79DB">
            <w:pPr>
              <w:pStyle w:val="Normal6a"/>
            </w:pPr>
          </w:p>
        </w:tc>
        <w:tc>
          <w:tcPr>
            <w:tcW w:w="4876" w:type="dxa"/>
            <w:tcBorders>
              <w:top w:val="nil"/>
              <w:left w:val="nil"/>
              <w:bottom w:val="nil"/>
              <w:right w:val="nil"/>
            </w:tcBorders>
          </w:tcPr>
          <w:p w14:paraId="0057D8B7" w14:textId="77777777" w:rsidR="005A79DB" w:rsidRPr="00354796" w:rsidRDefault="006E31A1">
            <w:pPr>
              <w:pStyle w:val="Normal6a"/>
            </w:pPr>
            <w:r w:rsidRPr="00354796">
              <w:rPr>
                <w:b/>
                <w:i/>
              </w:rPr>
              <w:t>13a.</w:t>
            </w:r>
            <w:r w:rsidRPr="00354796">
              <w:tab/>
            </w:r>
            <w:r w:rsidRPr="00354796">
              <w:rPr>
                <w:b/>
                <w:i/>
              </w:rPr>
              <w:t xml:space="preserve">apeluje do Komisji, aby zadbała </w:t>
            </w:r>
            <w:r w:rsidRPr="00354796">
              <w:rPr>
                <w:b/>
                <w:i/>
              </w:rPr>
              <w:t xml:space="preserve">o to, by każdemu wnioskowi ustawodawczemu dotyczącemu przedłużenia stosowania art. 199a towarzyszyły ukierunkowane środki upraszczające, służące ograniczeniu niepewności prawa oraz kosztów przestrzegania przepisów dla przedsiębiorstw prowadzących działalność w kilku państwach członkowskich; podkreśla, że takie środki powinny być zgodne z kompetencjami państw członkowskich w dziedzinie opodatkowania i nie powinny prowadzić do obowiązkowego stosowania </w:t>
            </w:r>
            <w:r w:rsidRPr="00354796">
              <w:rPr>
                <w:b/>
                <w:i/>
              </w:rPr>
              <w:lastRenderedPageBreak/>
              <w:t xml:space="preserve">mechanizmu ani wprowadzać harmonizacji wykraczającej poza </w:t>
            </w:r>
            <w:r w:rsidRPr="00354796">
              <w:rPr>
                <w:b/>
                <w:i/>
              </w:rPr>
              <w:t>zakres niezbędny do ograniczenia arbitrażu regulacyjnego i powielania obowiązków związanych z przestrzeganiem przepisów;</w:t>
            </w:r>
          </w:p>
        </w:tc>
      </w:tr>
    </w:tbl>
    <w:p w14:paraId="33D26F0F"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AFB653F" w14:textId="77777777" w:rsidR="005A79DB" w:rsidRPr="00354796" w:rsidRDefault="006E31A1">
      <w:r w:rsidRPr="00354796">
        <w:rPr>
          <w:rStyle w:val="HideTWBExt"/>
        </w:rPr>
        <w:t>&lt;/Amend&gt;</w:t>
      </w:r>
    </w:p>
    <w:p w14:paraId="0967F0B7"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80</w:t>
      </w:r>
      <w:r w:rsidRPr="00354796">
        <w:rPr>
          <w:rStyle w:val="HideTWBExt"/>
        </w:rPr>
        <w:t>&lt;/NumAm&gt;</w:t>
      </w:r>
    </w:p>
    <w:p w14:paraId="738A5340" w14:textId="77777777" w:rsidR="005A79DB" w:rsidRPr="00354796" w:rsidRDefault="006E31A1">
      <w:pPr>
        <w:pStyle w:val="NormalBold"/>
      </w:pPr>
      <w:r w:rsidRPr="00354796">
        <w:rPr>
          <w:rStyle w:val="HideTWBExt"/>
          <w:b w:val="0"/>
        </w:rPr>
        <w:t>&lt;RepeatBlock-By&gt;&lt;Members&gt;</w:t>
      </w:r>
      <w:proofErr w:type="spellStart"/>
      <w:r w:rsidRPr="00354796">
        <w:t>Danuše</w:t>
      </w:r>
      <w:proofErr w:type="spellEnd"/>
      <w:r w:rsidRPr="00354796">
        <w:t xml:space="preserve"> </w:t>
      </w:r>
      <w:proofErr w:type="spellStart"/>
      <w:r w:rsidRPr="00354796">
        <w:t>Nerudová</w:t>
      </w:r>
      <w:proofErr w:type="spellEnd"/>
      <w:r w:rsidRPr="00354796">
        <w:rPr>
          <w:rStyle w:val="HideTWBExt"/>
          <w:b w:val="0"/>
        </w:rPr>
        <w:t>&lt;/Members&gt;</w:t>
      </w:r>
    </w:p>
    <w:p w14:paraId="1CA8B5FD" w14:textId="77777777" w:rsidR="005A79DB" w:rsidRPr="00354796" w:rsidRDefault="006E31A1">
      <w:pPr>
        <w:pStyle w:val="NormalBold"/>
      </w:pPr>
      <w:r w:rsidRPr="00354796">
        <w:rPr>
          <w:rStyle w:val="HideTWBExt"/>
          <w:b w:val="0"/>
        </w:rPr>
        <w:t>&lt;/RepeatBlock-By&gt;</w:t>
      </w:r>
    </w:p>
    <w:p w14:paraId="0F5A6894"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A6ABC0D" w14:textId="77777777" w:rsidR="005A79DB" w:rsidRPr="00354796" w:rsidRDefault="006E31A1">
      <w:pPr>
        <w:pStyle w:val="NormalBold"/>
      </w:pPr>
      <w:r w:rsidRPr="00354796">
        <w:rPr>
          <w:rStyle w:val="HideTWBExt"/>
        </w:rPr>
        <w:t>&lt;Article&gt;</w:t>
      </w:r>
      <w:r w:rsidRPr="00354796">
        <w:t>Ustęp 14</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CD2071C" w14:textId="77777777">
        <w:trPr>
          <w:trHeight w:hRule="exact" w:val="240"/>
          <w:jc w:val="center"/>
        </w:trPr>
        <w:tc>
          <w:tcPr>
            <w:tcW w:w="9752" w:type="dxa"/>
            <w:gridSpan w:val="2"/>
            <w:tcBorders>
              <w:top w:val="nil"/>
              <w:left w:val="nil"/>
              <w:bottom w:val="nil"/>
              <w:right w:val="nil"/>
            </w:tcBorders>
          </w:tcPr>
          <w:p w14:paraId="0BBD00BD" w14:textId="77777777" w:rsidR="005A79DB" w:rsidRPr="00354796" w:rsidRDefault="005A79DB"/>
        </w:tc>
      </w:tr>
      <w:tr w:rsidR="005A79DB" w:rsidRPr="00354796" w14:paraId="68CEA4CA" w14:textId="77777777">
        <w:trPr>
          <w:trHeight w:val="240"/>
          <w:jc w:val="center"/>
        </w:trPr>
        <w:tc>
          <w:tcPr>
            <w:tcW w:w="4876" w:type="dxa"/>
            <w:tcBorders>
              <w:top w:val="nil"/>
              <w:left w:val="nil"/>
              <w:bottom w:val="nil"/>
              <w:right w:val="nil"/>
            </w:tcBorders>
          </w:tcPr>
          <w:p w14:paraId="50679CB4"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1F39602" w14:textId="77777777" w:rsidR="005A79DB" w:rsidRPr="00354796" w:rsidRDefault="006E31A1">
            <w:pPr>
              <w:pStyle w:val="AmColumnHeading"/>
            </w:pPr>
            <w:r w:rsidRPr="00354796">
              <w:t>Poprawka</w:t>
            </w:r>
          </w:p>
        </w:tc>
      </w:tr>
      <w:tr w:rsidR="005A79DB" w:rsidRPr="00354796" w14:paraId="4C2FAB0A" w14:textId="77777777">
        <w:trPr>
          <w:jc w:val="center"/>
        </w:trPr>
        <w:tc>
          <w:tcPr>
            <w:tcW w:w="4876" w:type="dxa"/>
            <w:tcBorders>
              <w:top w:val="nil"/>
              <w:left w:val="nil"/>
              <w:bottom w:val="nil"/>
              <w:right w:val="nil"/>
            </w:tcBorders>
          </w:tcPr>
          <w:p w14:paraId="5A94BFF5" w14:textId="77777777" w:rsidR="005A79DB" w:rsidRPr="00354796" w:rsidRDefault="006E31A1">
            <w:pPr>
              <w:pStyle w:val="Normal6a"/>
            </w:pPr>
            <w:r w:rsidRPr="00354796">
              <w:t>14.</w:t>
            </w:r>
            <w:r w:rsidRPr="00354796">
              <w:tab/>
              <w:t xml:space="preserve">podkreśla potrzebę wprowadzenia dodatkowych wytycznych w sprawie wdrożenia za pośrednictwem Komitetu ds. VAT </w:t>
            </w:r>
            <w:proofErr w:type="gramStart"/>
            <w:r w:rsidRPr="00354796">
              <w:t>oraz,</w:t>
            </w:r>
            <w:proofErr w:type="gramEnd"/>
            <w:r w:rsidRPr="00354796">
              <w:t xml:space="preserve"> w stosownych </w:t>
            </w:r>
            <w:r w:rsidRPr="00354796">
              <w:t>przypadkach, not wyjaśniających Komisji, przy jednoczesnym unikaniu niepotrzebnej złożoności i poszanowaniu kompetencji państw członkowskich w dziedzinie opodatkowania;</w:t>
            </w:r>
          </w:p>
        </w:tc>
        <w:tc>
          <w:tcPr>
            <w:tcW w:w="4876" w:type="dxa"/>
            <w:tcBorders>
              <w:top w:val="nil"/>
              <w:left w:val="nil"/>
              <w:bottom w:val="nil"/>
              <w:right w:val="nil"/>
            </w:tcBorders>
          </w:tcPr>
          <w:p w14:paraId="17950D65" w14:textId="77777777" w:rsidR="005A79DB" w:rsidRPr="00354796" w:rsidRDefault="006E31A1">
            <w:pPr>
              <w:pStyle w:val="Normal6a"/>
            </w:pPr>
            <w:r w:rsidRPr="00354796">
              <w:t>14.</w:t>
            </w:r>
            <w:r w:rsidRPr="00354796">
              <w:tab/>
              <w:t xml:space="preserve">podkreśla potrzebę wprowadzenia dodatkowych wytycznych w sprawie wdrożenia za pośrednictwem Komitetu ds. VAT </w:t>
            </w:r>
            <w:proofErr w:type="gramStart"/>
            <w:r w:rsidRPr="00354796">
              <w:t>oraz,</w:t>
            </w:r>
            <w:proofErr w:type="gramEnd"/>
            <w:r w:rsidRPr="00354796">
              <w:t xml:space="preserve"> w stosownych przypadkach, not wyjaśniających Komisji </w:t>
            </w:r>
            <w:r w:rsidRPr="00354796">
              <w:rPr>
                <w:b/>
                <w:bCs/>
                <w:i/>
                <w:iCs/>
              </w:rPr>
              <w:t>i innych środków, aby osiągnąć spójne i jednolite stosowanie warunków mechanizmu odwrotnego obciążenia we wszystkich państwach członkowskich</w:t>
            </w:r>
            <w:r w:rsidRPr="00354796">
              <w:t>, przy jednoczesnym unikaniu niepotrzebnej złożoności i poszanowaniu kompetencji państw członkowskich w dziedzinie opodatkowania;</w:t>
            </w:r>
          </w:p>
        </w:tc>
      </w:tr>
    </w:tbl>
    <w:p w14:paraId="5BC1862F"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A4593F7" w14:textId="77777777" w:rsidR="005A79DB" w:rsidRPr="00354796" w:rsidRDefault="006E31A1">
      <w:r w:rsidRPr="00354796">
        <w:rPr>
          <w:rStyle w:val="HideTWBExt"/>
        </w:rPr>
        <w:t>&lt;/Amend&gt;</w:t>
      </w:r>
    </w:p>
    <w:p w14:paraId="4A4A2ADE"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81</w:t>
      </w:r>
      <w:r w:rsidRPr="00354796">
        <w:rPr>
          <w:rStyle w:val="HideTWBExt"/>
        </w:rPr>
        <w:t>&lt;/NumAm&gt;</w:t>
      </w:r>
    </w:p>
    <w:p w14:paraId="1A5B7313"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rPr>
          <w:rStyle w:val="HideTWBExt"/>
          <w:b w:val="0"/>
        </w:rPr>
        <w:t>&lt;/Members&gt;</w:t>
      </w:r>
    </w:p>
    <w:p w14:paraId="415A4D02" w14:textId="77777777" w:rsidR="005A79DB" w:rsidRPr="00354796" w:rsidRDefault="006E31A1">
      <w:pPr>
        <w:pStyle w:val="NormalBold"/>
      </w:pPr>
      <w:r w:rsidRPr="00354796">
        <w:rPr>
          <w:rStyle w:val="HideTWBExt"/>
          <w:b w:val="0"/>
        </w:rPr>
        <w:t>&lt;/RepeatBlock-By&gt;</w:t>
      </w:r>
    </w:p>
    <w:p w14:paraId="40492CE7"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24C7854" w14:textId="77777777" w:rsidR="005A79DB" w:rsidRPr="00354796" w:rsidRDefault="006E31A1">
      <w:pPr>
        <w:pStyle w:val="NormalBold"/>
      </w:pPr>
      <w:r w:rsidRPr="00354796">
        <w:rPr>
          <w:rStyle w:val="HideTWBExt"/>
        </w:rPr>
        <w:t>&lt;Article&gt;</w:t>
      </w:r>
      <w:r w:rsidRPr="00354796">
        <w:t>Ustęp 14</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3D6E586" w14:textId="77777777">
        <w:trPr>
          <w:trHeight w:hRule="exact" w:val="240"/>
          <w:jc w:val="center"/>
        </w:trPr>
        <w:tc>
          <w:tcPr>
            <w:tcW w:w="9752" w:type="dxa"/>
            <w:gridSpan w:val="2"/>
            <w:tcBorders>
              <w:top w:val="nil"/>
              <w:left w:val="nil"/>
              <w:bottom w:val="nil"/>
              <w:right w:val="nil"/>
            </w:tcBorders>
          </w:tcPr>
          <w:p w14:paraId="5AB10342" w14:textId="77777777" w:rsidR="005A79DB" w:rsidRPr="00354796" w:rsidRDefault="005A79DB"/>
        </w:tc>
      </w:tr>
      <w:tr w:rsidR="005A79DB" w:rsidRPr="00354796" w14:paraId="635F88E6" w14:textId="77777777">
        <w:trPr>
          <w:trHeight w:val="240"/>
          <w:jc w:val="center"/>
        </w:trPr>
        <w:tc>
          <w:tcPr>
            <w:tcW w:w="4876" w:type="dxa"/>
            <w:tcBorders>
              <w:top w:val="nil"/>
              <w:left w:val="nil"/>
              <w:bottom w:val="nil"/>
              <w:right w:val="nil"/>
            </w:tcBorders>
          </w:tcPr>
          <w:p w14:paraId="76302AC1"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0E52F97" w14:textId="77777777" w:rsidR="005A79DB" w:rsidRPr="00354796" w:rsidRDefault="006E31A1">
            <w:pPr>
              <w:pStyle w:val="AmColumnHeading"/>
            </w:pPr>
            <w:r w:rsidRPr="00354796">
              <w:t>Poprawka</w:t>
            </w:r>
          </w:p>
        </w:tc>
      </w:tr>
      <w:tr w:rsidR="005A79DB" w:rsidRPr="00354796" w14:paraId="3C60031A" w14:textId="77777777">
        <w:trPr>
          <w:jc w:val="center"/>
        </w:trPr>
        <w:tc>
          <w:tcPr>
            <w:tcW w:w="4876" w:type="dxa"/>
            <w:tcBorders>
              <w:top w:val="nil"/>
              <w:left w:val="nil"/>
              <w:bottom w:val="nil"/>
              <w:right w:val="nil"/>
            </w:tcBorders>
          </w:tcPr>
          <w:p w14:paraId="6313BF9C" w14:textId="77777777" w:rsidR="005A79DB" w:rsidRPr="00354796" w:rsidRDefault="006E31A1">
            <w:pPr>
              <w:pStyle w:val="Normal6a"/>
            </w:pPr>
            <w:r w:rsidRPr="00354796">
              <w:t>14.</w:t>
            </w:r>
            <w:r w:rsidRPr="00354796">
              <w:tab/>
              <w:t xml:space="preserve">podkreśla potrzebę wprowadzenia dodatkowych wytycznych w sprawie wdrożenia za pośrednictwem Komitetu ds. VAT </w:t>
            </w:r>
            <w:proofErr w:type="gramStart"/>
            <w:r w:rsidRPr="00354796">
              <w:t>oraz,</w:t>
            </w:r>
            <w:proofErr w:type="gramEnd"/>
            <w:r w:rsidRPr="00354796">
              <w:t xml:space="preserve"> w </w:t>
            </w:r>
            <w:r w:rsidRPr="00354796">
              <w:t>stosownych przypadkach, not wyjaśniających Komisji</w:t>
            </w:r>
            <w:r w:rsidRPr="00354796">
              <w:rPr>
                <w:b/>
                <w:bCs/>
                <w:i/>
                <w:iCs/>
              </w:rPr>
              <w:t xml:space="preserve">, przy </w:t>
            </w:r>
            <w:r w:rsidRPr="00354796">
              <w:rPr>
                <w:b/>
                <w:bCs/>
                <w:i/>
                <w:iCs/>
              </w:rPr>
              <w:lastRenderedPageBreak/>
              <w:t>jednoczesnym unikaniu niepotrzebnej złożoności i poszanowaniu kompetencji państw członkowskich w dziedzinie opodatkowania</w:t>
            </w:r>
            <w:r w:rsidRPr="00354796">
              <w:t>;</w:t>
            </w:r>
          </w:p>
        </w:tc>
        <w:tc>
          <w:tcPr>
            <w:tcW w:w="4876" w:type="dxa"/>
            <w:tcBorders>
              <w:top w:val="nil"/>
              <w:left w:val="nil"/>
              <w:bottom w:val="nil"/>
              <w:right w:val="nil"/>
            </w:tcBorders>
          </w:tcPr>
          <w:p w14:paraId="07AABEA2" w14:textId="77777777" w:rsidR="005A79DB" w:rsidRPr="00354796" w:rsidRDefault="006E31A1">
            <w:pPr>
              <w:pStyle w:val="Normal6a"/>
            </w:pPr>
            <w:r w:rsidRPr="00354796">
              <w:lastRenderedPageBreak/>
              <w:t>14.</w:t>
            </w:r>
            <w:r w:rsidRPr="00354796">
              <w:tab/>
              <w:t xml:space="preserve">podkreśla potrzebę wprowadzenia dodatkowych wytycznych w sprawie wdrożenia za pośrednictwem Komitetu ds. VAT </w:t>
            </w:r>
            <w:proofErr w:type="gramStart"/>
            <w:r w:rsidRPr="00354796">
              <w:t>oraz,</w:t>
            </w:r>
            <w:proofErr w:type="gramEnd"/>
            <w:r w:rsidRPr="00354796">
              <w:t xml:space="preserve"> w stosownych przypadkach, not wyjaśniających Komisji;</w:t>
            </w:r>
          </w:p>
        </w:tc>
      </w:tr>
    </w:tbl>
    <w:p w14:paraId="4A63C367"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704C20C7" w14:textId="77777777" w:rsidR="005A79DB" w:rsidRPr="00354796" w:rsidRDefault="006E31A1">
      <w:r w:rsidRPr="00354796">
        <w:rPr>
          <w:rStyle w:val="HideTWBExt"/>
        </w:rPr>
        <w:t>&lt;/Amend&gt;</w:t>
      </w:r>
    </w:p>
    <w:p w14:paraId="339274BF"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82</w:t>
      </w:r>
      <w:r w:rsidRPr="00354796">
        <w:rPr>
          <w:rStyle w:val="HideTWBExt"/>
        </w:rPr>
        <w:t>&lt;/NumAm&gt;</w:t>
      </w:r>
    </w:p>
    <w:p w14:paraId="14958002"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465C7E2E" w14:textId="77777777" w:rsidR="005A79DB" w:rsidRPr="00354796" w:rsidRDefault="006E31A1">
      <w:pPr>
        <w:pStyle w:val="NormalBold"/>
      </w:pPr>
      <w:r w:rsidRPr="00354796">
        <w:rPr>
          <w:rStyle w:val="HideTWBExt"/>
          <w:b w:val="0"/>
        </w:rPr>
        <w:t>&lt;/RepeatBlock-By&gt;</w:t>
      </w:r>
    </w:p>
    <w:p w14:paraId="6561800D"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687A6EA7" w14:textId="77777777" w:rsidR="005A79DB" w:rsidRPr="00354796" w:rsidRDefault="006E31A1">
      <w:pPr>
        <w:pStyle w:val="NormalBold"/>
      </w:pPr>
      <w:r w:rsidRPr="00354796">
        <w:rPr>
          <w:rStyle w:val="HideTWBExt"/>
        </w:rPr>
        <w:t>&lt;Article&gt;</w:t>
      </w:r>
      <w:r w:rsidRPr="00354796">
        <w:t>Ustęp 15</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6F72E31" w14:textId="77777777">
        <w:trPr>
          <w:trHeight w:hRule="exact" w:val="240"/>
          <w:jc w:val="center"/>
        </w:trPr>
        <w:tc>
          <w:tcPr>
            <w:tcW w:w="9752" w:type="dxa"/>
            <w:gridSpan w:val="2"/>
            <w:tcBorders>
              <w:top w:val="nil"/>
              <w:left w:val="nil"/>
              <w:bottom w:val="nil"/>
              <w:right w:val="nil"/>
            </w:tcBorders>
          </w:tcPr>
          <w:p w14:paraId="3BF3E724" w14:textId="77777777" w:rsidR="005A79DB" w:rsidRPr="00354796" w:rsidRDefault="005A79DB"/>
        </w:tc>
      </w:tr>
      <w:tr w:rsidR="005A79DB" w:rsidRPr="00354796" w14:paraId="2E6F80C0" w14:textId="77777777">
        <w:trPr>
          <w:trHeight w:val="240"/>
          <w:jc w:val="center"/>
        </w:trPr>
        <w:tc>
          <w:tcPr>
            <w:tcW w:w="4876" w:type="dxa"/>
            <w:tcBorders>
              <w:top w:val="nil"/>
              <w:left w:val="nil"/>
              <w:bottom w:val="nil"/>
              <w:right w:val="nil"/>
            </w:tcBorders>
          </w:tcPr>
          <w:p w14:paraId="23B3C6AC"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2D98927" w14:textId="77777777" w:rsidR="005A79DB" w:rsidRPr="00354796" w:rsidRDefault="006E31A1">
            <w:pPr>
              <w:pStyle w:val="AmColumnHeading"/>
            </w:pPr>
            <w:r w:rsidRPr="00354796">
              <w:t>Poprawka</w:t>
            </w:r>
          </w:p>
        </w:tc>
      </w:tr>
      <w:tr w:rsidR="005A79DB" w:rsidRPr="00354796" w14:paraId="2EBAD900" w14:textId="77777777">
        <w:trPr>
          <w:jc w:val="center"/>
        </w:trPr>
        <w:tc>
          <w:tcPr>
            <w:tcW w:w="4876" w:type="dxa"/>
            <w:tcBorders>
              <w:top w:val="nil"/>
              <w:left w:val="nil"/>
              <w:bottom w:val="nil"/>
              <w:right w:val="nil"/>
            </w:tcBorders>
          </w:tcPr>
          <w:p w14:paraId="06AB0897" w14:textId="77777777" w:rsidR="005A79DB" w:rsidRPr="00354796" w:rsidRDefault="006E31A1">
            <w:pPr>
              <w:pStyle w:val="Normal6a"/>
            </w:pPr>
            <w:r w:rsidRPr="00354796">
              <w:rPr>
                <w:b/>
                <w:i/>
              </w:rPr>
              <w:t>15.</w:t>
            </w:r>
            <w:r w:rsidRPr="00354796">
              <w:tab/>
            </w:r>
            <w:r w:rsidRPr="00354796">
              <w:rPr>
                <w:b/>
                <w:i/>
              </w:rPr>
              <w:t xml:space="preserve">sugeruje, że okres obowiązywania mechanizmu odwrotnego obciążenia należy przedłużyć tylko wtedy, gdy poprawi się </w:t>
            </w:r>
            <w:r w:rsidRPr="00354796">
              <w:rPr>
                <w:b/>
                <w:i/>
              </w:rPr>
              <w:t>jego funkcjonalność;</w:t>
            </w:r>
          </w:p>
        </w:tc>
        <w:tc>
          <w:tcPr>
            <w:tcW w:w="4876" w:type="dxa"/>
            <w:tcBorders>
              <w:top w:val="nil"/>
              <w:left w:val="nil"/>
              <w:bottom w:val="nil"/>
              <w:right w:val="nil"/>
            </w:tcBorders>
          </w:tcPr>
          <w:p w14:paraId="6A753D3A" w14:textId="77777777" w:rsidR="005A79DB" w:rsidRPr="00354796" w:rsidRDefault="006E31A1">
            <w:pPr>
              <w:pStyle w:val="Normal6a"/>
            </w:pPr>
            <w:r w:rsidRPr="00354796">
              <w:rPr>
                <w:b/>
                <w:i/>
              </w:rPr>
              <w:t>skreśla się</w:t>
            </w:r>
          </w:p>
        </w:tc>
      </w:tr>
    </w:tbl>
    <w:p w14:paraId="5123A34D"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F3C93B1" w14:textId="77777777" w:rsidR="005A79DB" w:rsidRPr="00354796" w:rsidRDefault="006E31A1">
      <w:r w:rsidRPr="00354796">
        <w:rPr>
          <w:rStyle w:val="HideTWBExt"/>
        </w:rPr>
        <w:t>&lt;/Amend&gt;</w:t>
      </w:r>
    </w:p>
    <w:p w14:paraId="31FADB8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83</w:t>
      </w:r>
      <w:r w:rsidRPr="00354796">
        <w:rPr>
          <w:rStyle w:val="HideTWBExt"/>
        </w:rPr>
        <w:t>&lt;/NumAm&gt;</w:t>
      </w:r>
    </w:p>
    <w:p w14:paraId="7FC45E92" w14:textId="77777777" w:rsidR="005A79DB" w:rsidRPr="00354796" w:rsidRDefault="006E31A1">
      <w:pPr>
        <w:pStyle w:val="NormalBold"/>
      </w:pPr>
      <w:r w:rsidRPr="00354796">
        <w:rPr>
          <w:rStyle w:val="HideTWBExt"/>
          <w:b w:val="0"/>
        </w:rPr>
        <w:t>&lt;RepeatBlock-By&gt;&lt;Members&gt;</w:t>
      </w:r>
      <w:r w:rsidRPr="00354796">
        <w:t>Markus Ferber</w:t>
      </w:r>
      <w:r w:rsidRPr="00354796">
        <w:rPr>
          <w:rStyle w:val="HideTWBExt"/>
          <w:b w:val="0"/>
        </w:rPr>
        <w:t>&lt;/Members&gt;</w:t>
      </w:r>
    </w:p>
    <w:p w14:paraId="2B6CFE67" w14:textId="77777777" w:rsidR="005A79DB" w:rsidRPr="00354796" w:rsidRDefault="006E31A1">
      <w:pPr>
        <w:pStyle w:val="NormalBold"/>
      </w:pPr>
      <w:r w:rsidRPr="00354796">
        <w:rPr>
          <w:rStyle w:val="HideTWBExt"/>
          <w:b w:val="0"/>
        </w:rPr>
        <w:t>&lt;/RepeatBlock-By&gt;</w:t>
      </w:r>
    </w:p>
    <w:p w14:paraId="0F687689"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35981354" w14:textId="77777777" w:rsidR="005A79DB" w:rsidRPr="00354796" w:rsidRDefault="006E31A1">
      <w:pPr>
        <w:pStyle w:val="NormalBold"/>
      </w:pPr>
      <w:r w:rsidRPr="00354796">
        <w:rPr>
          <w:rStyle w:val="HideTWBExt"/>
        </w:rPr>
        <w:t>&lt;Article&gt;</w:t>
      </w:r>
      <w:r w:rsidRPr="00354796">
        <w:t>Ustęp 16</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E2A34FA" w14:textId="77777777">
        <w:trPr>
          <w:trHeight w:hRule="exact" w:val="240"/>
          <w:jc w:val="center"/>
        </w:trPr>
        <w:tc>
          <w:tcPr>
            <w:tcW w:w="9752" w:type="dxa"/>
            <w:gridSpan w:val="2"/>
            <w:tcBorders>
              <w:top w:val="nil"/>
              <w:left w:val="nil"/>
              <w:bottom w:val="nil"/>
              <w:right w:val="nil"/>
            </w:tcBorders>
          </w:tcPr>
          <w:p w14:paraId="262A41C7" w14:textId="77777777" w:rsidR="005A79DB" w:rsidRPr="00354796" w:rsidRDefault="005A79DB"/>
        </w:tc>
      </w:tr>
      <w:tr w:rsidR="005A79DB" w:rsidRPr="00354796" w14:paraId="7DF8F2B7" w14:textId="77777777">
        <w:trPr>
          <w:trHeight w:val="240"/>
          <w:jc w:val="center"/>
        </w:trPr>
        <w:tc>
          <w:tcPr>
            <w:tcW w:w="4876" w:type="dxa"/>
            <w:tcBorders>
              <w:top w:val="nil"/>
              <w:left w:val="nil"/>
              <w:bottom w:val="nil"/>
              <w:right w:val="nil"/>
            </w:tcBorders>
          </w:tcPr>
          <w:p w14:paraId="743F31CF"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766CDFB" w14:textId="77777777" w:rsidR="005A79DB" w:rsidRPr="00354796" w:rsidRDefault="006E31A1">
            <w:pPr>
              <w:pStyle w:val="AmColumnHeading"/>
            </w:pPr>
            <w:r w:rsidRPr="00354796">
              <w:t>Poprawka</w:t>
            </w:r>
          </w:p>
        </w:tc>
      </w:tr>
      <w:tr w:rsidR="005A79DB" w:rsidRPr="00354796" w14:paraId="5B41A2C2" w14:textId="77777777">
        <w:trPr>
          <w:jc w:val="center"/>
        </w:trPr>
        <w:tc>
          <w:tcPr>
            <w:tcW w:w="4876" w:type="dxa"/>
            <w:tcBorders>
              <w:top w:val="nil"/>
              <w:left w:val="nil"/>
              <w:bottom w:val="nil"/>
              <w:right w:val="nil"/>
            </w:tcBorders>
          </w:tcPr>
          <w:p w14:paraId="52846332" w14:textId="77777777" w:rsidR="005A79DB" w:rsidRPr="00354796" w:rsidRDefault="006E31A1">
            <w:pPr>
              <w:pStyle w:val="Normal6a"/>
            </w:pPr>
            <w:r w:rsidRPr="00354796">
              <w:t>16.</w:t>
            </w:r>
            <w:r w:rsidRPr="00354796">
              <w:tab/>
              <w:t xml:space="preserve">wzywa Komisję do oceny i zaproponowania, w jaki sposób można uprościć i przyspieszyć </w:t>
            </w:r>
            <w:r w:rsidRPr="00354796">
              <w:rPr>
                <w:b/>
                <w:bCs/>
                <w:i/>
                <w:iCs/>
              </w:rPr>
              <w:t>mechanizm odwrotnego obciążenia</w:t>
            </w:r>
            <w:r w:rsidRPr="00354796">
              <w:t>, przy jednoczesnym zachowaniu zabezpieczeń;</w:t>
            </w:r>
          </w:p>
        </w:tc>
        <w:tc>
          <w:tcPr>
            <w:tcW w:w="4876" w:type="dxa"/>
            <w:tcBorders>
              <w:top w:val="nil"/>
              <w:left w:val="nil"/>
              <w:bottom w:val="nil"/>
              <w:right w:val="nil"/>
            </w:tcBorders>
          </w:tcPr>
          <w:p w14:paraId="3BDE53CD" w14:textId="77777777" w:rsidR="005A79DB" w:rsidRPr="00354796" w:rsidRDefault="006E31A1">
            <w:pPr>
              <w:pStyle w:val="Normal6a"/>
            </w:pPr>
            <w:r w:rsidRPr="00354796">
              <w:t>16.</w:t>
            </w:r>
            <w:r w:rsidRPr="00354796">
              <w:tab/>
              <w:t xml:space="preserve">wzywa Komisję do oceny i zaproponowania, w jaki sposób można uprościć i przyspieszyć </w:t>
            </w:r>
            <w:r w:rsidRPr="00354796">
              <w:rPr>
                <w:b/>
                <w:bCs/>
                <w:i/>
                <w:iCs/>
              </w:rPr>
              <w:t>MSR</w:t>
            </w:r>
            <w:r w:rsidRPr="00354796">
              <w:t xml:space="preserve">, </w:t>
            </w:r>
            <w:r w:rsidRPr="00354796">
              <w:rPr>
                <w:b/>
                <w:bCs/>
                <w:i/>
                <w:iCs/>
              </w:rPr>
              <w:t xml:space="preserve">tak aby stał się on bardziej wiarygodnym rozwiązaniem operacyjnym w sytuacjach nadzwyczajnych, </w:t>
            </w:r>
            <w:r w:rsidRPr="00354796">
              <w:t>przy jednoczesnym zachowaniu zabezpieczeń;</w:t>
            </w:r>
          </w:p>
        </w:tc>
      </w:tr>
    </w:tbl>
    <w:p w14:paraId="000DCAAA"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C249B99" w14:textId="77777777" w:rsidR="005A79DB" w:rsidRPr="00354796" w:rsidRDefault="006E31A1">
      <w:r w:rsidRPr="00354796">
        <w:rPr>
          <w:rStyle w:val="HideTWBExt"/>
        </w:rPr>
        <w:t>&lt;/Amend&gt;</w:t>
      </w:r>
    </w:p>
    <w:p w14:paraId="13720D22"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84</w:t>
      </w:r>
      <w:r w:rsidRPr="00354796">
        <w:rPr>
          <w:rStyle w:val="HideTWBExt"/>
        </w:rPr>
        <w:t>&lt;/NumAm&gt;</w:t>
      </w:r>
    </w:p>
    <w:p w14:paraId="196E9C95"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4379C1B1" w14:textId="77777777" w:rsidR="005A79DB" w:rsidRPr="00354796" w:rsidRDefault="006E31A1">
      <w:pPr>
        <w:pStyle w:val="NormalBold"/>
      </w:pPr>
      <w:r w:rsidRPr="00354796">
        <w:rPr>
          <w:rStyle w:val="HideTWBExt"/>
          <w:b w:val="0"/>
        </w:rPr>
        <w:t>&lt;/RepeatBlock-By&gt;</w:t>
      </w:r>
    </w:p>
    <w:p w14:paraId="31087AAB" w14:textId="77777777" w:rsidR="005A79DB" w:rsidRPr="00354796" w:rsidRDefault="006E31A1">
      <w:pPr>
        <w:pStyle w:val="NormalBold"/>
      </w:pPr>
      <w:r w:rsidRPr="00354796">
        <w:rPr>
          <w:rStyle w:val="HideTWBExt"/>
        </w:rPr>
        <w:lastRenderedPageBreak/>
        <w:t>&lt;DocAmend&gt;</w:t>
      </w:r>
      <w:r w:rsidRPr="00354796">
        <w:t>Projekt rezolucji</w:t>
      </w:r>
      <w:r w:rsidRPr="00354796">
        <w:rPr>
          <w:rStyle w:val="HideTWBExt"/>
        </w:rPr>
        <w:t>&lt;/DocAmend&gt;</w:t>
      </w:r>
    </w:p>
    <w:p w14:paraId="2D56C405" w14:textId="77777777" w:rsidR="005A79DB" w:rsidRPr="00354796" w:rsidRDefault="006E31A1">
      <w:pPr>
        <w:pStyle w:val="NormalBold"/>
      </w:pPr>
      <w:r w:rsidRPr="00354796">
        <w:rPr>
          <w:rStyle w:val="HideTWBExt"/>
        </w:rPr>
        <w:t>&lt;Article&gt;</w:t>
      </w:r>
      <w:r w:rsidRPr="00354796">
        <w:t>Ustęp 16</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4F1769C" w14:textId="77777777">
        <w:trPr>
          <w:trHeight w:hRule="exact" w:val="240"/>
          <w:jc w:val="center"/>
        </w:trPr>
        <w:tc>
          <w:tcPr>
            <w:tcW w:w="9752" w:type="dxa"/>
            <w:gridSpan w:val="2"/>
            <w:tcBorders>
              <w:top w:val="nil"/>
              <w:left w:val="nil"/>
              <w:bottom w:val="nil"/>
              <w:right w:val="nil"/>
            </w:tcBorders>
          </w:tcPr>
          <w:p w14:paraId="74AABBBF" w14:textId="77777777" w:rsidR="005A79DB" w:rsidRPr="00354796" w:rsidRDefault="005A79DB"/>
        </w:tc>
      </w:tr>
      <w:tr w:rsidR="005A79DB" w:rsidRPr="00354796" w14:paraId="1FA2258F" w14:textId="77777777">
        <w:trPr>
          <w:trHeight w:val="240"/>
          <w:jc w:val="center"/>
        </w:trPr>
        <w:tc>
          <w:tcPr>
            <w:tcW w:w="4876" w:type="dxa"/>
            <w:tcBorders>
              <w:top w:val="nil"/>
              <w:left w:val="nil"/>
              <w:bottom w:val="nil"/>
              <w:right w:val="nil"/>
            </w:tcBorders>
          </w:tcPr>
          <w:p w14:paraId="4E6031FC"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5B6A7F4A" w14:textId="77777777" w:rsidR="005A79DB" w:rsidRPr="00354796" w:rsidRDefault="006E31A1">
            <w:pPr>
              <w:pStyle w:val="AmColumnHeading"/>
            </w:pPr>
            <w:r w:rsidRPr="00354796">
              <w:t>Poprawka</w:t>
            </w:r>
          </w:p>
        </w:tc>
      </w:tr>
      <w:tr w:rsidR="005A79DB" w:rsidRPr="00354796" w14:paraId="122DB67A" w14:textId="77777777">
        <w:trPr>
          <w:jc w:val="center"/>
        </w:trPr>
        <w:tc>
          <w:tcPr>
            <w:tcW w:w="4876" w:type="dxa"/>
            <w:tcBorders>
              <w:top w:val="nil"/>
              <w:left w:val="nil"/>
              <w:bottom w:val="nil"/>
              <w:right w:val="nil"/>
            </w:tcBorders>
          </w:tcPr>
          <w:p w14:paraId="2A87931A" w14:textId="77777777" w:rsidR="005A79DB" w:rsidRPr="00354796" w:rsidRDefault="006E31A1">
            <w:pPr>
              <w:pStyle w:val="Normal6a"/>
            </w:pPr>
            <w:r w:rsidRPr="00354796">
              <w:t>16.</w:t>
            </w:r>
            <w:r w:rsidRPr="00354796">
              <w:tab/>
            </w:r>
            <w:r w:rsidRPr="00354796">
              <w:t xml:space="preserve">wzywa Komisję do oceny i zaproponowania, w jaki sposób można </w:t>
            </w:r>
            <w:r w:rsidRPr="00354796">
              <w:rPr>
                <w:b/>
                <w:bCs/>
                <w:i/>
                <w:iCs/>
              </w:rPr>
              <w:t>uprościć i przyspieszyć</w:t>
            </w:r>
            <w:r w:rsidRPr="00354796">
              <w:t xml:space="preserve"> </w:t>
            </w:r>
            <w:r w:rsidRPr="00354796">
              <w:rPr>
                <w:b/>
                <w:bCs/>
                <w:i/>
                <w:iCs/>
              </w:rPr>
              <w:t>mechanizm odwrotnego obciążenia</w:t>
            </w:r>
            <w:r w:rsidRPr="00354796">
              <w:t>, przy jednoczesnym zachowaniu zabezpieczeń;</w:t>
            </w:r>
          </w:p>
        </w:tc>
        <w:tc>
          <w:tcPr>
            <w:tcW w:w="4876" w:type="dxa"/>
            <w:tcBorders>
              <w:top w:val="nil"/>
              <w:left w:val="nil"/>
              <w:bottom w:val="nil"/>
              <w:right w:val="nil"/>
            </w:tcBorders>
          </w:tcPr>
          <w:p w14:paraId="2E23101B" w14:textId="77777777" w:rsidR="005A79DB" w:rsidRPr="00354796" w:rsidRDefault="006E31A1">
            <w:pPr>
              <w:pStyle w:val="Normal6a"/>
            </w:pPr>
            <w:r w:rsidRPr="00354796">
              <w:t>16.</w:t>
            </w:r>
            <w:r w:rsidRPr="00354796">
              <w:tab/>
              <w:t xml:space="preserve">wzywa Komisję do oceny i zaproponowania, w jaki sposób można </w:t>
            </w:r>
            <w:r w:rsidRPr="00354796">
              <w:rPr>
                <w:b/>
                <w:bCs/>
                <w:i/>
                <w:iCs/>
              </w:rPr>
              <w:t>zapewnić większą dostępność operacyjną</w:t>
            </w:r>
            <w:r w:rsidRPr="00354796">
              <w:t xml:space="preserve"> </w:t>
            </w:r>
            <w:r w:rsidRPr="00354796">
              <w:rPr>
                <w:b/>
                <w:bCs/>
                <w:i/>
                <w:iCs/>
              </w:rPr>
              <w:t>MSR</w:t>
            </w:r>
            <w:r w:rsidRPr="00354796">
              <w:t>, przy jednoczesnym zachowaniu zabezpieczeń;</w:t>
            </w:r>
          </w:p>
        </w:tc>
      </w:tr>
    </w:tbl>
    <w:p w14:paraId="7EBE118D"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CB44701" w14:textId="77777777" w:rsidR="005A79DB" w:rsidRPr="00354796" w:rsidRDefault="006E31A1">
      <w:r w:rsidRPr="00354796">
        <w:rPr>
          <w:rStyle w:val="HideTWBExt"/>
        </w:rPr>
        <w:t>&lt;/Amend&gt;</w:t>
      </w:r>
    </w:p>
    <w:p w14:paraId="0B14EA14"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85</w:t>
      </w:r>
      <w:r w:rsidRPr="00354796">
        <w:rPr>
          <w:rStyle w:val="HideTWBExt"/>
        </w:rPr>
        <w:t>&lt;/NumAm&gt;</w:t>
      </w:r>
    </w:p>
    <w:p w14:paraId="3C64A648"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7C4BE7A7" w14:textId="77777777" w:rsidR="005A79DB" w:rsidRPr="00354796" w:rsidRDefault="006E31A1">
      <w:pPr>
        <w:pStyle w:val="NormalBold"/>
      </w:pPr>
      <w:r w:rsidRPr="00354796">
        <w:rPr>
          <w:rStyle w:val="HideTWBExt"/>
          <w:b w:val="0"/>
        </w:rPr>
        <w:t>&lt;/RepeatBlock-By&gt;</w:t>
      </w:r>
    </w:p>
    <w:p w14:paraId="0702E729"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56ABC2E" w14:textId="77777777" w:rsidR="005A79DB" w:rsidRPr="00354796" w:rsidRDefault="006E31A1">
      <w:pPr>
        <w:pStyle w:val="NormalBold"/>
      </w:pPr>
      <w:r w:rsidRPr="00354796">
        <w:rPr>
          <w:rStyle w:val="HideTWBExt"/>
        </w:rPr>
        <w:t>&lt;Article&gt;</w:t>
      </w:r>
      <w:r w:rsidRPr="00354796">
        <w:t>Ustęp 17</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D5E5FF6" w14:textId="77777777">
        <w:trPr>
          <w:trHeight w:hRule="exact" w:val="240"/>
          <w:jc w:val="center"/>
        </w:trPr>
        <w:tc>
          <w:tcPr>
            <w:tcW w:w="9752" w:type="dxa"/>
            <w:gridSpan w:val="2"/>
            <w:tcBorders>
              <w:top w:val="nil"/>
              <w:left w:val="nil"/>
              <w:bottom w:val="nil"/>
              <w:right w:val="nil"/>
            </w:tcBorders>
          </w:tcPr>
          <w:p w14:paraId="3AC1F199" w14:textId="77777777" w:rsidR="005A79DB" w:rsidRPr="00354796" w:rsidRDefault="005A79DB"/>
        </w:tc>
      </w:tr>
      <w:tr w:rsidR="005A79DB" w:rsidRPr="00354796" w14:paraId="5BE580EF" w14:textId="77777777">
        <w:trPr>
          <w:trHeight w:val="240"/>
          <w:jc w:val="center"/>
        </w:trPr>
        <w:tc>
          <w:tcPr>
            <w:tcW w:w="4876" w:type="dxa"/>
            <w:tcBorders>
              <w:top w:val="nil"/>
              <w:left w:val="nil"/>
              <w:bottom w:val="nil"/>
              <w:right w:val="nil"/>
            </w:tcBorders>
          </w:tcPr>
          <w:p w14:paraId="689430FD"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182844D6" w14:textId="77777777" w:rsidR="005A79DB" w:rsidRPr="00354796" w:rsidRDefault="006E31A1">
            <w:pPr>
              <w:pStyle w:val="AmColumnHeading"/>
            </w:pPr>
            <w:r w:rsidRPr="00354796">
              <w:t>Poprawka</w:t>
            </w:r>
          </w:p>
        </w:tc>
      </w:tr>
      <w:tr w:rsidR="005A79DB" w:rsidRPr="00354796" w14:paraId="45389E94" w14:textId="77777777">
        <w:trPr>
          <w:jc w:val="center"/>
        </w:trPr>
        <w:tc>
          <w:tcPr>
            <w:tcW w:w="4876" w:type="dxa"/>
            <w:tcBorders>
              <w:top w:val="nil"/>
              <w:left w:val="nil"/>
              <w:bottom w:val="nil"/>
              <w:right w:val="nil"/>
            </w:tcBorders>
          </w:tcPr>
          <w:p w14:paraId="0E903DB3" w14:textId="77777777" w:rsidR="005A79DB" w:rsidRPr="00354796" w:rsidRDefault="006E31A1">
            <w:pPr>
              <w:pStyle w:val="Normal6a"/>
            </w:pPr>
            <w:r w:rsidRPr="00354796">
              <w:t>17.</w:t>
            </w:r>
            <w:r w:rsidRPr="00354796">
              <w:tab/>
              <w:t xml:space="preserve">uważa, że taka reforma mogłaby obejmować </w:t>
            </w:r>
            <w:r w:rsidRPr="00354796">
              <w:rPr>
                <w:b/>
                <w:bCs/>
                <w:i/>
                <w:iCs/>
              </w:rPr>
              <w:t>uproszczoną procedurę uruchomienia,</w:t>
            </w:r>
            <w:r w:rsidRPr="00354796">
              <w:t xml:space="preserve"> standardowy wzór powiadomienia, jaśniejsze wymogi dowodowe i lepsze powiązanie z procedurą odstępstwa, o której mowa w art. 395 dyrektywy 2006/112/WE.</w:t>
            </w:r>
          </w:p>
        </w:tc>
        <w:tc>
          <w:tcPr>
            <w:tcW w:w="4876" w:type="dxa"/>
            <w:tcBorders>
              <w:top w:val="nil"/>
              <w:left w:val="nil"/>
              <w:bottom w:val="nil"/>
              <w:right w:val="nil"/>
            </w:tcBorders>
          </w:tcPr>
          <w:p w14:paraId="4E9BAC95" w14:textId="77777777" w:rsidR="005A79DB" w:rsidRPr="00354796" w:rsidRDefault="006E31A1">
            <w:pPr>
              <w:pStyle w:val="Normal6a"/>
            </w:pPr>
            <w:r w:rsidRPr="00354796">
              <w:t>17.</w:t>
            </w:r>
            <w:r w:rsidRPr="00354796">
              <w:tab/>
              <w:t xml:space="preserve">uważa, że taka reforma mogłaby obejmować standardowy wzór powiadomienia, jaśniejsze wymogi dowodowe i lepsze powiązanie z procedurą odstępstwa, o której mowa w </w:t>
            </w:r>
            <w:r w:rsidRPr="00354796">
              <w:t>art. 395 dyrektywy 2006/112/WE.</w:t>
            </w:r>
          </w:p>
        </w:tc>
      </w:tr>
    </w:tbl>
    <w:p w14:paraId="2828746D"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3073937" w14:textId="77777777" w:rsidR="005A79DB" w:rsidRPr="00354796" w:rsidRDefault="006E31A1">
      <w:r w:rsidRPr="00354796">
        <w:rPr>
          <w:rStyle w:val="HideTWBExt"/>
        </w:rPr>
        <w:t>&lt;/Amend&gt;</w:t>
      </w:r>
    </w:p>
    <w:p w14:paraId="372AAEA0"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86</w:t>
      </w:r>
      <w:r w:rsidRPr="00354796">
        <w:rPr>
          <w:rStyle w:val="HideTWBExt"/>
        </w:rPr>
        <w:t>&lt;/NumAm&gt;</w:t>
      </w:r>
    </w:p>
    <w:p w14:paraId="7B79FA13"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117BB5D3" w14:textId="77777777" w:rsidR="005A79DB" w:rsidRPr="00354796" w:rsidRDefault="006E31A1">
      <w:pPr>
        <w:pStyle w:val="NormalBold"/>
      </w:pPr>
      <w:r w:rsidRPr="00354796">
        <w:rPr>
          <w:rStyle w:val="HideTWBExt"/>
          <w:b w:val="0"/>
        </w:rPr>
        <w:t>&lt;/RepeatBlock-By&gt;</w:t>
      </w:r>
    </w:p>
    <w:p w14:paraId="51FB0A23"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6C0BA2E" w14:textId="77777777" w:rsidR="005A79DB" w:rsidRPr="00354796" w:rsidRDefault="006E31A1">
      <w:pPr>
        <w:pStyle w:val="NormalBold"/>
      </w:pPr>
      <w:r w:rsidRPr="00354796">
        <w:rPr>
          <w:rStyle w:val="HideTWBExt"/>
        </w:rPr>
        <w:t>&lt;Article&gt;</w:t>
      </w:r>
      <w:r w:rsidRPr="00354796">
        <w:t>Ustęp 18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5B73CAE9" w14:textId="77777777">
        <w:trPr>
          <w:trHeight w:hRule="exact" w:val="240"/>
          <w:jc w:val="center"/>
        </w:trPr>
        <w:tc>
          <w:tcPr>
            <w:tcW w:w="9752" w:type="dxa"/>
            <w:gridSpan w:val="2"/>
            <w:tcBorders>
              <w:top w:val="nil"/>
              <w:left w:val="nil"/>
              <w:bottom w:val="nil"/>
              <w:right w:val="nil"/>
            </w:tcBorders>
          </w:tcPr>
          <w:p w14:paraId="4AB34BE7" w14:textId="77777777" w:rsidR="005A79DB" w:rsidRPr="00354796" w:rsidRDefault="005A79DB"/>
        </w:tc>
      </w:tr>
      <w:tr w:rsidR="005A79DB" w:rsidRPr="00354796" w14:paraId="374DA3EF" w14:textId="77777777">
        <w:trPr>
          <w:trHeight w:val="240"/>
          <w:jc w:val="center"/>
        </w:trPr>
        <w:tc>
          <w:tcPr>
            <w:tcW w:w="4876" w:type="dxa"/>
            <w:tcBorders>
              <w:top w:val="nil"/>
              <w:left w:val="nil"/>
              <w:bottom w:val="nil"/>
              <w:right w:val="nil"/>
            </w:tcBorders>
          </w:tcPr>
          <w:p w14:paraId="043C3F5D"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165789C9" w14:textId="77777777" w:rsidR="005A79DB" w:rsidRPr="00354796" w:rsidRDefault="006E31A1">
            <w:pPr>
              <w:pStyle w:val="AmColumnHeading"/>
            </w:pPr>
            <w:r w:rsidRPr="00354796">
              <w:t>Poprawka</w:t>
            </w:r>
          </w:p>
        </w:tc>
      </w:tr>
      <w:tr w:rsidR="005A79DB" w:rsidRPr="00354796" w14:paraId="7E356ABD" w14:textId="77777777">
        <w:trPr>
          <w:jc w:val="center"/>
        </w:trPr>
        <w:tc>
          <w:tcPr>
            <w:tcW w:w="4876" w:type="dxa"/>
            <w:tcBorders>
              <w:top w:val="nil"/>
              <w:left w:val="nil"/>
              <w:bottom w:val="nil"/>
              <w:right w:val="nil"/>
            </w:tcBorders>
          </w:tcPr>
          <w:p w14:paraId="3896DF57" w14:textId="77777777" w:rsidR="005A79DB" w:rsidRPr="00354796" w:rsidRDefault="005A79DB">
            <w:pPr>
              <w:pStyle w:val="Normal6a"/>
            </w:pPr>
          </w:p>
        </w:tc>
        <w:tc>
          <w:tcPr>
            <w:tcW w:w="4876" w:type="dxa"/>
            <w:tcBorders>
              <w:top w:val="nil"/>
              <w:left w:val="nil"/>
              <w:bottom w:val="nil"/>
              <w:right w:val="nil"/>
            </w:tcBorders>
          </w:tcPr>
          <w:p w14:paraId="0F02EC71" w14:textId="77777777" w:rsidR="005A79DB" w:rsidRPr="00354796" w:rsidRDefault="006E31A1">
            <w:pPr>
              <w:pStyle w:val="Normal6a"/>
            </w:pPr>
            <w:r w:rsidRPr="00354796">
              <w:rPr>
                <w:b/>
                <w:i/>
              </w:rPr>
              <w:t>18a.</w:t>
            </w:r>
            <w:r w:rsidRPr="00354796">
              <w:tab/>
            </w:r>
            <w:r w:rsidRPr="00354796">
              <w:rPr>
                <w:b/>
                <w:i/>
              </w:rPr>
              <w:t xml:space="preserve">podkreśla, że mechanizm szybkiego reagowania (MSR) może stanowić wiarygodny środek odstraszający wyłącznie wówczas, gdy państwa członkowskie będą uprawnione do jego szybkiego uruchomienia w oparciu o </w:t>
            </w:r>
            <w:r w:rsidRPr="00354796">
              <w:rPr>
                <w:b/>
                <w:i/>
              </w:rPr>
              <w:lastRenderedPageBreak/>
              <w:t>własne rzetelne krajowe dane wywiadowcze oraz zautomatyzowane profilowanie ryzyka, zanim krajowy budżet poniesie nieodwracalne straty finansowe;</w:t>
            </w:r>
          </w:p>
        </w:tc>
      </w:tr>
    </w:tbl>
    <w:p w14:paraId="624CBDA2"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513DC20" w14:textId="77777777" w:rsidR="005A79DB" w:rsidRPr="00354796" w:rsidRDefault="006E31A1">
      <w:r w:rsidRPr="00354796">
        <w:rPr>
          <w:rStyle w:val="HideTWBExt"/>
        </w:rPr>
        <w:t>&lt;/Amend&gt;</w:t>
      </w:r>
    </w:p>
    <w:p w14:paraId="55F07D28"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87</w:t>
      </w:r>
      <w:r w:rsidRPr="00354796">
        <w:rPr>
          <w:rStyle w:val="HideTWBExt"/>
        </w:rPr>
        <w:t>&lt;/NumAm&gt;</w:t>
      </w:r>
    </w:p>
    <w:p w14:paraId="05FE56F4"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095A85F1" w14:textId="77777777" w:rsidR="005A79DB" w:rsidRPr="00354796" w:rsidRDefault="006E31A1">
      <w:pPr>
        <w:pStyle w:val="NormalBold"/>
      </w:pPr>
      <w:r w:rsidRPr="00354796">
        <w:rPr>
          <w:rStyle w:val="HideTWBExt"/>
          <w:b w:val="0"/>
        </w:rPr>
        <w:t>&lt;/RepeatBlock-By&gt;</w:t>
      </w:r>
    </w:p>
    <w:p w14:paraId="70D123F9"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25DF4DB" w14:textId="77777777" w:rsidR="005A79DB" w:rsidRPr="00354796" w:rsidRDefault="006E31A1">
      <w:pPr>
        <w:pStyle w:val="NormalBold"/>
      </w:pPr>
      <w:r w:rsidRPr="00354796">
        <w:rPr>
          <w:rStyle w:val="HideTWBExt"/>
        </w:rPr>
        <w:t>&lt;Article&gt;</w:t>
      </w:r>
      <w:r w:rsidRPr="00354796">
        <w:t>Ustęp 19</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25D8303" w14:textId="77777777">
        <w:trPr>
          <w:trHeight w:hRule="exact" w:val="240"/>
          <w:jc w:val="center"/>
        </w:trPr>
        <w:tc>
          <w:tcPr>
            <w:tcW w:w="9752" w:type="dxa"/>
            <w:gridSpan w:val="2"/>
            <w:tcBorders>
              <w:top w:val="nil"/>
              <w:left w:val="nil"/>
              <w:bottom w:val="nil"/>
              <w:right w:val="nil"/>
            </w:tcBorders>
          </w:tcPr>
          <w:p w14:paraId="09873088" w14:textId="77777777" w:rsidR="005A79DB" w:rsidRPr="00354796" w:rsidRDefault="005A79DB"/>
        </w:tc>
      </w:tr>
      <w:tr w:rsidR="005A79DB" w:rsidRPr="00354796" w14:paraId="5DA38EF2" w14:textId="77777777">
        <w:trPr>
          <w:trHeight w:val="240"/>
          <w:jc w:val="center"/>
        </w:trPr>
        <w:tc>
          <w:tcPr>
            <w:tcW w:w="4876" w:type="dxa"/>
            <w:tcBorders>
              <w:top w:val="nil"/>
              <w:left w:val="nil"/>
              <w:bottom w:val="nil"/>
              <w:right w:val="nil"/>
            </w:tcBorders>
          </w:tcPr>
          <w:p w14:paraId="7877C701"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61A650E" w14:textId="77777777" w:rsidR="005A79DB" w:rsidRPr="00354796" w:rsidRDefault="006E31A1">
            <w:pPr>
              <w:pStyle w:val="AmColumnHeading"/>
            </w:pPr>
            <w:r w:rsidRPr="00354796">
              <w:t>Poprawka</w:t>
            </w:r>
          </w:p>
        </w:tc>
      </w:tr>
      <w:tr w:rsidR="005A79DB" w:rsidRPr="00354796" w14:paraId="1F4FDE75" w14:textId="77777777">
        <w:trPr>
          <w:jc w:val="center"/>
        </w:trPr>
        <w:tc>
          <w:tcPr>
            <w:tcW w:w="4876" w:type="dxa"/>
            <w:tcBorders>
              <w:top w:val="nil"/>
              <w:left w:val="nil"/>
              <w:bottom w:val="nil"/>
              <w:right w:val="nil"/>
            </w:tcBorders>
          </w:tcPr>
          <w:p w14:paraId="66AFB0FB" w14:textId="77777777" w:rsidR="005A79DB" w:rsidRPr="00354796" w:rsidRDefault="006E31A1">
            <w:pPr>
              <w:pStyle w:val="Normal6a"/>
            </w:pPr>
            <w:r w:rsidRPr="00354796">
              <w:t>19.</w:t>
            </w:r>
            <w:r w:rsidRPr="00354796">
              <w:tab/>
              <w:t xml:space="preserve">podkreśla, że </w:t>
            </w:r>
            <w:r w:rsidRPr="00354796">
              <w:rPr>
                <w:b/>
                <w:bCs/>
                <w:i/>
                <w:iCs/>
              </w:rPr>
              <w:t>chociaż</w:t>
            </w:r>
            <w:r w:rsidRPr="00354796">
              <w:t xml:space="preserve"> mechanizm odwrotnego obciążenia powinien pozostać wyjątkowym, tymczasowym środkiem ograniczonym do reagowania na poważne i nagłe ryzyko oszustwa</w:t>
            </w:r>
            <w:r w:rsidRPr="00354796">
              <w:rPr>
                <w:b/>
                <w:bCs/>
                <w:i/>
                <w:iCs/>
              </w:rPr>
              <w:t>, można rozważyć przedłużenie okresu jego stosowania poza obecne dziewięć miesięcy</w:t>
            </w:r>
            <w:r w:rsidRPr="00354796">
              <w:t>;</w:t>
            </w:r>
          </w:p>
        </w:tc>
        <w:tc>
          <w:tcPr>
            <w:tcW w:w="4876" w:type="dxa"/>
            <w:tcBorders>
              <w:top w:val="nil"/>
              <w:left w:val="nil"/>
              <w:bottom w:val="nil"/>
              <w:right w:val="nil"/>
            </w:tcBorders>
          </w:tcPr>
          <w:p w14:paraId="7D256991" w14:textId="77777777" w:rsidR="005A79DB" w:rsidRPr="00354796" w:rsidRDefault="006E31A1">
            <w:pPr>
              <w:pStyle w:val="Normal6a"/>
            </w:pPr>
            <w:r w:rsidRPr="00354796">
              <w:t>19.</w:t>
            </w:r>
            <w:r w:rsidRPr="00354796">
              <w:tab/>
              <w:t>podkreśla, że mechanizm odwrotnego obciążenia powinien pozostać wyjątkowym, tymczasowym środkiem ograniczonym do reagowania na poważne i nagłe ryzyko oszustwa;</w:t>
            </w:r>
          </w:p>
        </w:tc>
      </w:tr>
    </w:tbl>
    <w:p w14:paraId="5615EEDE"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279959D" w14:textId="77777777" w:rsidR="005A79DB" w:rsidRPr="00354796" w:rsidRDefault="006E31A1">
      <w:r w:rsidRPr="00354796">
        <w:rPr>
          <w:rStyle w:val="HideTWBExt"/>
        </w:rPr>
        <w:t>&lt;/Amend&gt;</w:t>
      </w:r>
    </w:p>
    <w:p w14:paraId="2D6D6F2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88</w:t>
      </w:r>
      <w:r w:rsidRPr="00354796">
        <w:rPr>
          <w:rStyle w:val="HideTWBExt"/>
        </w:rPr>
        <w:t>&lt;/NumAm&gt;</w:t>
      </w:r>
    </w:p>
    <w:p w14:paraId="5A4DA061" w14:textId="77777777" w:rsidR="005A79DB" w:rsidRPr="00354796" w:rsidRDefault="006E31A1">
      <w:pPr>
        <w:pStyle w:val="NormalBold"/>
      </w:pPr>
      <w:r w:rsidRPr="00354796">
        <w:rPr>
          <w:rStyle w:val="HideTWBExt"/>
          <w:b w:val="0"/>
        </w:rPr>
        <w:t>&lt;RepeatBlock-By&gt;&lt;Members&gt;</w:t>
      </w:r>
      <w:r w:rsidRPr="00354796">
        <w:t xml:space="preserve">Markus </w:t>
      </w:r>
      <w:r w:rsidRPr="00354796">
        <w:t>Ferber</w:t>
      </w:r>
      <w:r w:rsidRPr="00354796">
        <w:rPr>
          <w:rStyle w:val="HideTWBExt"/>
          <w:b w:val="0"/>
        </w:rPr>
        <w:t>&lt;/Members&gt;</w:t>
      </w:r>
    </w:p>
    <w:p w14:paraId="6F0E7D15" w14:textId="77777777" w:rsidR="005A79DB" w:rsidRPr="00354796" w:rsidRDefault="006E31A1">
      <w:pPr>
        <w:pStyle w:val="NormalBold"/>
      </w:pPr>
      <w:r w:rsidRPr="00354796">
        <w:rPr>
          <w:rStyle w:val="HideTWBExt"/>
          <w:b w:val="0"/>
        </w:rPr>
        <w:t>&lt;/RepeatBlock-By&gt;</w:t>
      </w:r>
    </w:p>
    <w:p w14:paraId="19E17249"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78EA2478" w14:textId="77777777" w:rsidR="005A79DB" w:rsidRPr="00354796" w:rsidRDefault="006E31A1">
      <w:pPr>
        <w:pStyle w:val="NormalBold"/>
      </w:pPr>
      <w:r w:rsidRPr="00354796">
        <w:rPr>
          <w:rStyle w:val="HideTWBExt"/>
        </w:rPr>
        <w:t>&lt;Article&gt;</w:t>
      </w:r>
      <w:r w:rsidRPr="00354796">
        <w:t>Ustęp 20</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8B3E470" w14:textId="77777777">
        <w:trPr>
          <w:trHeight w:hRule="exact" w:val="240"/>
          <w:jc w:val="center"/>
        </w:trPr>
        <w:tc>
          <w:tcPr>
            <w:tcW w:w="9752" w:type="dxa"/>
            <w:gridSpan w:val="2"/>
            <w:tcBorders>
              <w:top w:val="nil"/>
              <w:left w:val="nil"/>
              <w:bottom w:val="nil"/>
              <w:right w:val="nil"/>
            </w:tcBorders>
          </w:tcPr>
          <w:p w14:paraId="49861A83" w14:textId="77777777" w:rsidR="005A79DB" w:rsidRPr="00354796" w:rsidRDefault="005A79DB"/>
        </w:tc>
      </w:tr>
      <w:tr w:rsidR="005A79DB" w:rsidRPr="00354796" w14:paraId="5113366A" w14:textId="77777777">
        <w:trPr>
          <w:trHeight w:val="240"/>
          <w:jc w:val="center"/>
        </w:trPr>
        <w:tc>
          <w:tcPr>
            <w:tcW w:w="4876" w:type="dxa"/>
            <w:tcBorders>
              <w:top w:val="nil"/>
              <w:left w:val="nil"/>
              <w:bottom w:val="nil"/>
              <w:right w:val="nil"/>
            </w:tcBorders>
          </w:tcPr>
          <w:p w14:paraId="684F7626"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B748B5C" w14:textId="77777777" w:rsidR="005A79DB" w:rsidRPr="00354796" w:rsidRDefault="006E31A1">
            <w:pPr>
              <w:pStyle w:val="AmColumnHeading"/>
            </w:pPr>
            <w:r w:rsidRPr="00354796">
              <w:t>Poprawka</w:t>
            </w:r>
          </w:p>
        </w:tc>
      </w:tr>
      <w:tr w:rsidR="005A79DB" w:rsidRPr="00354796" w14:paraId="36BA8574" w14:textId="77777777">
        <w:trPr>
          <w:jc w:val="center"/>
        </w:trPr>
        <w:tc>
          <w:tcPr>
            <w:tcW w:w="4876" w:type="dxa"/>
            <w:tcBorders>
              <w:top w:val="nil"/>
              <w:left w:val="nil"/>
              <w:bottom w:val="nil"/>
              <w:right w:val="nil"/>
            </w:tcBorders>
          </w:tcPr>
          <w:p w14:paraId="691B7339" w14:textId="77777777" w:rsidR="005A79DB" w:rsidRPr="00354796" w:rsidRDefault="006E31A1">
            <w:pPr>
              <w:pStyle w:val="Normal6a"/>
            </w:pPr>
            <w:r w:rsidRPr="00354796">
              <w:t>20.</w:t>
            </w:r>
            <w:r w:rsidRPr="00354796">
              <w:tab/>
              <w:t xml:space="preserve">podkreśla, że każde przedłużenie lub dostosowanie musi uwzględniać koszty zapewnienia zgodności z przepisami </w:t>
            </w:r>
            <w:r w:rsidRPr="00354796">
              <w:t>ponoszone przez przedsiębiorstwa, zwłaszcza MŚP, w tym koszty dostosowania i koszty wynikające z klasyfikacji transakcji, obowiązków sprawozdawczych i niepewności prawa;</w:t>
            </w:r>
          </w:p>
        </w:tc>
        <w:tc>
          <w:tcPr>
            <w:tcW w:w="4876" w:type="dxa"/>
            <w:tcBorders>
              <w:top w:val="nil"/>
              <w:left w:val="nil"/>
              <w:bottom w:val="nil"/>
              <w:right w:val="nil"/>
            </w:tcBorders>
          </w:tcPr>
          <w:p w14:paraId="5D202F11" w14:textId="77777777" w:rsidR="005A79DB" w:rsidRPr="00354796" w:rsidRDefault="006E31A1">
            <w:pPr>
              <w:pStyle w:val="Normal6a"/>
            </w:pPr>
            <w:r w:rsidRPr="00354796">
              <w:t>20.</w:t>
            </w:r>
            <w:r w:rsidRPr="00354796">
              <w:tab/>
              <w:t xml:space="preserve">podkreśla, że każde przedłużenie lub dostosowanie musi uwzględniać koszty </w:t>
            </w:r>
            <w:r w:rsidRPr="00354796">
              <w:t xml:space="preserve">zapewnienia zgodności z przepisami ponoszone przez przedsiębiorstwa, zwłaszcza MŚP, w tym koszty dostosowania i koszty wynikające z klasyfikacji transakcji, obowiązków sprawozdawczych i niepewności prawa; </w:t>
            </w:r>
            <w:r w:rsidRPr="00354796">
              <w:rPr>
                <w:b/>
                <w:i/>
              </w:rPr>
              <w:t xml:space="preserve">zaznacza w szczególności, że mechanizm odwrotnego obciążenia, jeżeli jest stosowany, przenosi obowiązki w zakresie </w:t>
            </w:r>
            <w:r w:rsidRPr="00354796">
              <w:rPr>
                <w:b/>
                <w:i/>
              </w:rPr>
              <w:lastRenderedPageBreak/>
              <w:t>rozliczania VAT w całości na odbiorcę, którym może być małe przedsiębiorstwo lub mikroprzedsiębiorstwo o ograniczonych zdolnościach administracyjnych; uważa, że tę strukturalną asymetrię należ</w:t>
            </w:r>
            <w:r w:rsidRPr="00354796">
              <w:rPr>
                <w:b/>
                <w:i/>
              </w:rPr>
              <w:t>y uwzględnić przy opracowywaniu wszelkich rozszerzonych lub zreformowanych mechanizmów, zapewniając uproszczone szablony sprawozdawcze, jasne wytyczne dotyczące klasyfikacji oraz skuteczną ochronę przed karami wynikającymi z rzeczywistej niepewności co do zakresu sektorowego stosowania mechanizmu;</w:t>
            </w:r>
          </w:p>
        </w:tc>
      </w:tr>
    </w:tbl>
    <w:p w14:paraId="2C9E8AA9"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593A2EDD" w14:textId="77777777" w:rsidR="005A79DB" w:rsidRPr="00354796" w:rsidRDefault="006E31A1">
      <w:r w:rsidRPr="00354796">
        <w:rPr>
          <w:rStyle w:val="HideTWBExt"/>
        </w:rPr>
        <w:t>&lt;/Amend&gt;</w:t>
      </w:r>
    </w:p>
    <w:p w14:paraId="2824BA57"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89</w:t>
      </w:r>
      <w:r w:rsidRPr="00354796">
        <w:rPr>
          <w:rStyle w:val="HideTWBExt"/>
        </w:rPr>
        <w:t>&lt;/NumAm&gt;</w:t>
      </w:r>
    </w:p>
    <w:p w14:paraId="240D5E38" w14:textId="77777777" w:rsidR="005A79DB" w:rsidRPr="00354796" w:rsidRDefault="006E31A1">
      <w:pPr>
        <w:pStyle w:val="NormalBold"/>
      </w:pPr>
      <w:r w:rsidRPr="00354796">
        <w:rPr>
          <w:rStyle w:val="HideTWBExt"/>
          <w:b w:val="0"/>
        </w:rPr>
        <w:t>&lt;RepeatBlock-By&gt;&lt;Members&gt;</w:t>
      </w:r>
      <w:r w:rsidRPr="00354796">
        <w:t xml:space="preserve">Herbert </w:t>
      </w:r>
      <w:proofErr w:type="spellStart"/>
      <w:r w:rsidRPr="00354796">
        <w:t>Dorfmann</w:t>
      </w:r>
      <w:proofErr w:type="spellEnd"/>
      <w:r w:rsidRPr="00354796">
        <w:t xml:space="preserve">, Markus Ferber, Fernando </w:t>
      </w:r>
      <w:proofErr w:type="spellStart"/>
      <w:r w:rsidRPr="00354796">
        <w:t>Navarrete</w:t>
      </w:r>
      <w:proofErr w:type="spellEnd"/>
      <w:r w:rsidRPr="00354796">
        <w:t xml:space="preserve"> </w:t>
      </w:r>
      <w:proofErr w:type="spellStart"/>
      <w:r w:rsidRPr="00354796">
        <w:t>Rojas</w:t>
      </w:r>
      <w:proofErr w:type="spellEnd"/>
      <w:r w:rsidRPr="00354796">
        <w:t xml:space="preserve">, Marco </w:t>
      </w:r>
      <w:proofErr w:type="spellStart"/>
      <w:r w:rsidRPr="00354796">
        <w:t>Falcone</w:t>
      </w:r>
      <w:proofErr w:type="spellEnd"/>
      <w:r w:rsidRPr="00354796">
        <w:rPr>
          <w:rStyle w:val="HideTWBExt"/>
          <w:b w:val="0"/>
        </w:rPr>
        <w:t>&lt;/Members&gt;</w:t>
      </w:r>
    </w:p>
    <w:p w14:paraId="2FE4502E" w14:textId="77777777" w:rsidR="005A79DB" w:rsidRPr="00354796" w:rsidRDefault="006E31A1">
      <w:pPr>
        <w:pStyle w:val="NormalBold"/>
      </w:pPr>
      <w:r w:rsidRPr="00354796">
        <w:rPr>
          <w:rStyle w:val="HideTWBExt"/>
          <w:b w:val="0"/>
        </w:rPr>
        <w:t>&lt;/RepeatBlock-By&gt;</w:t>
      </w:r>
    </w:p>
    <w:p w14:paraId="64E4B346"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34BE77F8" w14:textId="77777777" w:rsidR="005A79DB" w:rsidRPr="00354796" w:rsidRDefault="006E31A1">
      <w:pPr>
        <w:pStyle w:val="NormalBold"/>
      </w:pPr>
      <w:r w:rsidRPr="00354796">
        <w:rPr>
          <w:rStyle w:val="HideTWBExt"/>
        </w:rPr>
        <w:t>&lt;Article&gt;</w:t>
      </w:r>
      <w:r w:rsidRPr="00354796">
        <w:t>Ustęp 20</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9B8628C" w14:textId="77777777">
        <w:trPr>
          <w:trHeight w:hRule="exact" w:val="240"/>
          <w:jc w:val="center"/>
        </w:trPr>
        <w:tc>
          <w:tcPr>
            <w:tcW w:w="9752" w:type="dxa"/>
            <w:gridSpan w:val="2"/>
            <w:tcBorders>
              <w:top w:val="nil"/>
              <w:left w:val="nil"/>
              <w:bottom w:val="nil"/>
              <w:right w:val="nil"/>
            </w:tcBorders>
          </w:tcPr>
          <w:p w14:paraId="0A0D4262" w14:textId="77777777" w:rsidR="005A79DB" w:rsidRPr="00354796" w:rsidRDefault="005A79DB"/>
        </w:tc>
      </w:tr>
      <w:tr w:rsidR="005A79DB" w:rsidRPr="00354796" w14:paraId="17BD8BF2" w14:textId="77777777">
        <w:trPr>
          <w:trHeight w:val="240"/>
          <w:jc w:val="center"/>
        </w:trPr>
        <w:tc>
          <w:tcPr>
            <w:tcW w:w="4876" w:type="dxa"/>
            <w:tcBorders>
              <w:top w:val="nil"/>
              <w:left w:val="nil"/>
              <w:bottom w:val="nil"/>
              <w:right w:val="nil"/>
            </w:tcBorders>
          </w:tcPr>
          <w:p w14:paraId="71A9707E"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C4D9799" w14:textId="77777777" w:rsidR="005A79DB" w:rsidRPr="00354796" w:rsidRDefault="006E31A1">
            <w:pPr>
              <w:pStyle w:val="AmColumnHeading"/>
            </w:pPr>
            <w:r w:rsidRPr="00354796">
              <w:t>Poprawka</w:t>
            </w:r>
          </w:p>
        </w:tc>
      </w:tr>
      <w:tr w:rsidR="005A79DB" w:rsidRPr="00354796" w14:paraId="055BCAE2" w14:textId="77777777">
        <w:trPr>
          <w:jc w:val="center"/>
        </w:trPr>
        <w:tc>
          <w:tcPr>
            <w:tcW w:w="4876" w:type="dxa"/>
            <w:tcBorders>
              <w:top w:val="nil"/>
              <w:left w:val="nil"/>
              <w:bottom w:val="nil"/>
              <w:right w:val="nil"/>
            </w:tcBorders>
          </w:tcPr>
          <w:p w14:paraId="5DAE81B4" w14:textId="77777777" w:rsidR="005A79DB" w:rsidRPr="00354796" w:rsidRDefault="006E31A1">
            <w:pPr>
              <w:pStyle w:val="Normal6a"/>
            </w:pPr>
            <w:r w:rsidRPr="00354796">
              <w:t>20.</w:t>
            </w:r>
            <w:r w:rsidRPr="00354796">
              <w:tab/>
              <w:t xml:space="preserve">podkreśla, że każde przedłużenie lub dostosowanie musi uwzględniać koszty zapewnienia zgodności z przepisami ponoszone przez przedsiębiorstwa, zwłaszcza MŚP, w </w:t>
            </w:r>
            <w:r w:rsidRPr="00354796">
              <w:t>tym koszty dostosowania i koszty wynikające z klasyfikacji transakcji, obowiązków sprawozdawczych i niepewności prawa;</w:t>
            </w:r>
          </w:p>
        </w:tc>
        <w:tc>
          <w:tcPr>
            <w:tcW w:w="4876" w:type="dxa"/>
            <w:tcBorders>
              <w:top w:val="nil"/>
              <w:left w:val="nil"/>
              <w:bottom w:val="nil"/>
              <w:right w:val="nil"/>
            </w:tcBorders>
          </w:tcPr>
          <w:p w14:paraId="0AB2B87A" w14:textId="77777777" w:rsidR="005A79DB" w:rsidRPr="00354796" w:rsidRDefault="006E31A1">
            <w:pPr>
              <w:pStyle w:val="Normal6a"/>
            </w:pPr>
            <w:r w:rsidRPr="00354796">
              <w:t>20.</w:t>
            </w:r>
            <w:r w:rsidRPr="00354796">
              <w:tab/>
              <w:t xml:space="preserve">podkreśla, że każde przedłużenie lub dostosowanie musi uwzględniać koszty zapewnienia zgodności z przepisami ponoszone przez przedsiębiorstwa, zwłaszcza MŚP, w tym koszty dostosowania i koszty wynikające z klasyfikacji transakcji, obowiązków sprawozdawczych i niepewności prawa; </w:t>
            </w:r>
            <w:r w:rsidRPr="00354796">
              <w:rPr>
                <w:b/>
                <w:i/>
              </w:rPr>
              <w:t xml:space="preserve">apeluje, aby koszty te dokumentowano w sposób </w:t>
            </w:r>
            <w:proofErr w:type="spellStart"/>
            <w:r w:rsidRPr="00354796">
              <w:rPr>
                <w:b/>
                <w:i/>
              </w:rPr>
              <w:t>zdezagregowany</w:t>
            </w:r>
            <w:proofErr w:type="spellEnd"/>
            <w:r w:rsidRPr="00354796">
              <w:rPr>
                <w:b/>
                <w:i/>
              </w:rPr>
              <w:t>, z rozróżnieniem między obciążeniem ponoszonym przez MŚP a tym ponoszonym przez duże podmioty gospodarcze, oraz aby zestawiono je z efektami osiągniętymi w zakresie ograni</w:t>
            </w:r>
            <w:r w:rsidRPr="00354796">
              <w:rPr>
                <w:b/>
                <w:i/>
              </w:rPr>
              <w:t>czenia oszustw, tak aby można było rzetelnie ocenić proporcjonalność mechanizmu;</w:t>
            </w:r>
          </w:p>
        </w:tc>
      </w:tr>
    </w:tbl>
    <w:p w14:paraId="2D82FA2C"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4C43B0F" w14:textId="77777777" w:rsidR="005A79DB" w:rsidRPr="00354796" w:rsidRDefault="006E31A1">
      <w:r w:rsidRPr="00354796">
        <w:rPr>
          <w:rStyle w:val="HideTWBExt"/>
        </w:rPr>
        <w:t>&lt;/Amend&gt;</w:t>
      </w:r>
    </w:p>
    <w:p w14:paraId="471A7675" w14:textId="77777777" w:rsidR="005A79DB" w:rsidRPr="00354796" w:rsidRDefault="006E31A1">
      <w:pPr>
        <w:pStyle w:val="AmNumberTabs"/>
      </w:pPr>
      <w:r w:rsidRPr="00354796">
        <w:rPr>
          <w:rStyle w:val="HideTWBExt"/>
        </w:rPr>
        <w:lastRenderedPageBreak/>
        <w:t>&lt;Amend&gt;</w:t>
      </w:r>
      <w:r w:rsidRPr="00354796">
        <w:t>Poprawka</w:t>
      </w:r>
      <w:r w:rsidRPr="00354796">
        <w:tab/>
      </w:r>
      <w:r w:rsidRPr="00354796">
        <w:tab/>
      </w:r>
      <w:r w:rsidRPr="00354796">
        <w:rPr>
          <w:rStyle w:val="HideTWBExt"/>
        </w:rPr>
        <w:t>&lt;NumAm&gt;</w:t>
      </w:r>
      <w:r w:rsidRPr="00354796">
        <w:t>90</w:t>
      </w:r>
      <w:r w:rsidRPr="00354796">
        <w:rPr>
          <w:rStyle w:val="HideTWBExt"/>
        </w:rPr>
        <w:t>&lt;/NumAm&gt;</w:t>
      </w:r>
    </w:p>
    <w:p w14:paraId="5D3F2F55"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5C07BEFF" w14:textId="77777777" w:rsidR="005A79DB" w:rsidRPr="00354796" w:rsidRDefault="006E31A1">
      <w:pPr>
        <w:pStyle w:val="NormalBold"/>
      </w:pPr>
      <w:r w:rsidRPr="00354796">
        <w:rPr>
          <w:rStyle w:val="HideTWBExt"/>
          <w:b w:val="0"/>
        </w:rPr>
        <w:t>&lt;/RepeatBlock-By&gt;</w:t>
      </w:r>
    </w:p>
    <w:p w14:paraId="303724CA"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E8B1F4A" w14:textId="77777777" w:rsidR="005A79DB" w:rsidRPr="00354796" w:rsidRDefault="006E31A1">
      <w:pPr>
        <w:pStyle w:val="NormalBold"/>
      </w:pPr>
      <w:r w:rsidRPr="00354796">
        <w:rPr>
          <w:rStyle w:val="HideTWBExt"/>
        </w:rPr>
        <w:t>&lt;Article&gt;</w:t>
      </w:r>
      <w:r w:rsidRPr="00354796">
        <w:t>Ustęp 21</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054DD2B7" w14:textId="77777777">
        <w:trPr>
          <w:trHeight w:hRule="exact" w:val="240"/>
          <w:jc w:val="center"/>
        </w:trPr>
        <w:tc>
          <w:tcPr>
            <w:tcW w:w="9752" w:type="dxa"/>
            <w:gridSpan w:val="2"/>
            <w:tcBorders>
              <w:top w:val="nil"/>
              <w:left w:val="nil"/>
              <w:bottom w:val="nil"/>
              <w:right w:val="nil"/>
            </w:tcBorders>
          </w:tcPr>
          <w:p w14:paraId="4A3C45C7" w14:textId="77777777" w:rsidR="005A79DB" w:rsidRPr="00354796" w:rsidRDefault="005A79DB"/>
        </w:tc>
      </w:tr>
      <w:tr w:rsidR="005A79DB" w:rsidRPr="00354796" w14:paraId="5D54B7A9" w14:textId="77777777">
        <w:trPr>
          <w:trHeight w:val="240"/>
          <w:jc w:val="center"/>
        </w:trPr>
        <w:tc>
          <w:tcPr>
            <w:tcW w:w="4876" w:type="dxa"/>
            <w:tcBorders>
              <w:top w:val="nil"/>
              <w:left w:val="nil"/>
              <w:bottom w:val="nil"/>
              <w:right w:val="nil"/>
            </w:tcBorders>
          </w:tcPr>
          <w:p w14:paraId="15996DC8"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A154715" w14:textId="77777777" w:rsidR="005A79DB" w:rsidRPr="00354796" w:rsidRDefault="006E31A1">
            <w:pPr>
              <w:pStyle w:val="AmColumnHeading"/>
            </w:pPr>
            <w:r w:rsidRPr="00354796">
              <w:t>Poprawka</w:t>
            </w:r>
          </w:p>
        </w:tc>
      </w:tr>
      <w:tr w:rsidR="005A79DB" w:rsidRPr="00354796" w14:paraId="2C184D0D" w14:textId="77777777">
        <w:trPr>
          <w:jc w:val="center"/>
        </w:trPr>
        <w:tc>
          <w:tcPr>
            <w:tcW w:w="4876" w:type="dxa"/>
            <w:tcBorders>
              <w:top w:val="nil"/>
              <w:left w:val="nil"/>
              <w:bottom w:val="nil"/>
              <w:right w:val="nil"/>
            </w:tcBorders>
          </w:tcPr>
          <w:p w14:paraId="1616AFBB" w14:textId="77777777" w:rsidR="005A79DB" w:rsidRPr="00354796" w:rsidRDefault="006E31A1">
            <w:pPr>
              <w:pStyle w:val="Normal6a"/>
            </w:pPr>
            <w:r w:rsidRPr="00354796">
              <w:t>21.</w:t>
            </w:r>
            <w:r w:rsidRPr="00354796">
              <w:tab/>
              <w:t xml:space="preserve">podkreśla, że legalne przedsiębiorstwa nie </w:t>
            </w:r>
            <w:r w:rsidRPr="00354796">
              <w:t>powinny stać się ubocznymi ofiarami polityki zapobiegania oszustwom związanym z VAT oraz że środki zwalczania oszustw muszą pozostać proporcjonalne, przewidywalne i wykonalne;</w:t>
            </w:r>
          </w:p>
        </w:tc>
        <w:tc>
          <w:tcPr>
            <w:tcW w:w="4876" w:type="dxa"/>
            <w:tcBorders>
              <w:top w:val="nil"/>
              <w:left w:val="nil"/>
              <w:bottom w:val="nil"/>
              <w:right w:val="nil"/>
            </w:tcBorders>
          </w:tcPr>
          <w:p w14:paraId="7F604A88" w14:textId="77777777" w:rsidR="005A79DB" w:rsidRPr="00354796" w:rsidRDefault="006E31A1">
            <w:pPr>
              <w:pStyle w:val="Normal6a"/>
            </w:pPr>
            <w:r w:rsidRPr="00354796">
              <w:t>21.</w:t>
            </w:r>
            <w:r w:rsidRPr="00354796">
              <w:tab/>
              <w:t xml:space="preserve">podkreśla, że legalne przedsiębiorstwa nie powinny stać się ubocznymi ofiarami polityki zapobiegania oszustwom związanym z VAT oraz że środki zwalczania oszustw muszą pozostać proporcjonalne, przewidywalne i wykonalne; </w:t>
            </w:r>
            <w:r w:rsidRPr="00354796">
              <w:rPr>
                <w:b/>
                <w:i/>
              </w:rPr>
              <w:t>zwraca ponadto uwagę, że mechanizm odwrotnego obciążenia, o ile jest prawidłowo stosowany, stanowi istotny mechanizm ochrony uczciwych przedsiębiorstw przed poważnymi zakłóceniami rynku spowodowanymi przez nieuczciwych konkurentów;</w:t>
            </w:r>
          </w:p>
        </w:tc>
      </w:tr>
    </w:tbl>
    <w:p w14:paraId="3B50B920"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2DACC74" w14:textId="77777777" w:rsidR="005A79DB" w:rsidRPr="00354796" w:rsidRDefault="006E31A1">
      <w:r w:rsidRPr="00354796">
        <w:rPr>
          <w:rStyle w:val="HideTWBExt"/>
        </w:rPr>
        <w:t>&lt;/Amend&gt;</w:t>
      </w:r>
    </w:p>
    <w:p w14:paraId="3EE25116"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91</w:t>
      </w:r>
      <w:r w:rsidRPr="00354796">
        <w:rPr>
          <w:rStyle w:val="HideTWBExt"/>
        </w:rPr>
        <w:t>&lt;/NumAm&gt;</w:t>
      </w:r>
    </w:p>
    <w:p w14:paraId="0B4D95C2"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3A76E202" w14:textId="77777777" w:rsidR="005A79DB" w:rsidRPr="00354796" w:rsidRDefault="006E31A1">
      <w:pPr>
        <w:pStyle w:val="NormalBold"/>
      </w:pPr>
      <w:r w:rsidRPr="00354796">
        <w:rPr>
          <w:rStyle w:val="HideTWBExt"/>
          <w:b w:val="0"/>
        </w:rPr>
        <w:t>&lt;/RepeatBlock-By&gt;</w:t>
      </w:r>
    </w:p>
    <w:p w14:paraId="7DC938D8"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B96B9AB" w14:textId="77777777" w:rsidR="005A79DB" w:rsidRPr="00354796" w:rsidRDefault="006E31A1">
      <w:pPr>
        <w:pStyle w:val="NormalBold"/>
      </w:pPr>
      <w:r w:rsidRPr="00354796">
        <w:rPr>
          <w:rStyle w:val="HideTWBExt"/>
        </w:rPr>
        <w:t>&lt;Article&gt;</w:t>
      </w:r>
      <w:r w:rsidRPr="00354796">
        <w:t>Ustęp 21</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55E616B" w14:textId="77777777">
        <w:trPr>
          <w:trHeight w:hRule="exact" w:val="240"/>
          <w:jc w:val="center"/>
        </w:trPr>
        <w:tc>
          <w:tcPr>
            <w:tcW w:w="9752" w:type="dxa"/>
            <w:gridSpan w:val="2"/>
            <w:tcBorders>
              <w:top w:val="nil"/>
              <w:left w:val="nil"/>
              <w:bottom w:val="nil"/>
              <w:right w:val="nil"/>
            </w:tcBorders>
          </w:tcPr>
          <w:p w14:paraId="505DB10F" w14:textId="77777777" w:rsidR="005A79DB" w:rsidRPr="00354796" w:rsidRDefault="005A79DB"/>
        </w:tc>
      </w:tr>
      <w:tr w:rsidR="005A79DB" w:rsidRPr="00354796" w14:paraId="118CADDF" w14:textId="77777777">
        <w:trPr>
          <w:trHeight w:val="240"/>
          <w:jc w:val="center"/>
        </w:trPr>
        <w:tc>
          <w:tcPr>
            <w:tcW w:w="4876" w:type="dxa"/>
            <w:tcBorders>
              <w:top w:val="nil"/>
              <w:left w:val="nil"/>
              <w:bottom w:val="nil"/>
              <w:right w:val="nil"/>
            </w:tcBorders>
          </w:tcPr>
          <w:p w14:paraId="00CC1EF7"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1CC9C15" w14:textId="77777777" w:rsidR="005A79DB" w:rsidRPr="00354796" w:rsidRDefault="006E31A1">
            <w:pPr>
              <w:pStyle w:val="AmColumnHeading"/>
            </w:pPr>
            <w:r w:rsidRPr="00354796">
              <w:t>Poprawka</w:t>
            </w:r>
          </w:p>
        </w:tc>
      </w:tr>
      <w:tr w:rsidR="005A79DB" w:rsidRPr="00354796" w14:paraId="108CD9B1" w14:textId="77777777">
        <w:trPr>
          <w:jc w:val="center"/>
        </w:trPr>
        <w:tc>
          <w:tcPr>
            <w:tcW w:w="4876" w:type="dxa"/>
            <w:tcBorders>
              <w:top w:val="nil"/>
              <w:left w:val="nil"/>
              <w:bottom w:val="nil"/>
              <w:right w:val="nil"/>
            </w:tcBorders>
          </w:tcPr>
          <w:p w14:paraId="5CF6F3A1" w14:textId="77777777" w:rsidR="005A79DB" w:rsidRPr="00354796" w:rsidRDefault="006E31A1">
            <w:pPr>
              <w:pStyle w:val="Normal6a"/>
            </w:pPr>
            <w:r w:rsidRPr="00354796">
              <w:t>21.</w:t>
            </w:r>
            <w:r w:rsidRPr="00354796">
              <w:tab/>
              <w:t xml:space="preserve">podkreśla, że </w:t>
            </w:r>
            <w:r w:rsidRPr="00354796">
              <w:rPr>
                <w:b/>
                <w:bCs/>
                <w:i/>
                <w:iCs/>
              </w:rPr>
              <w:t xml:space="preserve">legalne przedsiębiorstwa nie powinny stać się ubocznymi ofiarami polityki </w:t>
            </w:r>
            <w:r w:rsidRPr="00354796">
              <w:rPr>
                <w:b/>
                <w:bCs/>
                <w:i/>
                <w:iCs/>
              </w:rPr>
              <w:t>zapobiegania oszustwom związanym z VAT oraz że</w:t>
            </w:r>
            <w:r w:rsidRPr="00354796">
              <w:t xml:space="preserve"> środki zwalczania oszustw muszą pozostać proporcjonalne, przewidywalne i wykonalne;</w:t>
            </w:r>
          </w:p>
        </w:tc>
        <w:tc>
          <w:tcPr>
            <w:tcW w:w="4876" w:type="dxa"/>
            <w:tcBorders>
              <w:top w:val="nil"/>
              <w:left w:val="nil"/>
              <w:bottom w:val="nil"/>
              <w:right w:val="nil"/>
            </w:tcBorders>
          </w:tcPr>
          <w:p w14:paraId="08ED3EBF" w14:textId="77777777" w:rsidR="005A79DB" w:rsidRPr="00354796" w:rsidRDefault="006E31A1">
            <w:pPr>
              <w:pStyle w:val="Normal6a"/>
            </w:pPr>
            <w:r w:rsidRPr="00354796">
              <w:t>21.</w:t>
            </w:r>
            <w:r w:rsidRPr="00354796">
              <w:tab/>
              <w:t xml:space="preserve">podkreśla, że </w:t>
            </w:r>
            <w:proofErr w:type="spellStart"/>
            <w:r w:rsidRPr="00354796">
              <w:t>że</w:t>
            </w:r>
            <w:proofErr w:type="spellEnd"/>
            <w:r w:rsidRPr="00354796">
              <w:t xml:space="preserve"> środki zwalczania oszustw muszą pozostać proporcjonalne, przewidywalne i wykonalne; </w:t>
            </w:r>
            <w:r w:rsidRPr="00354796">
              <w:rPr>
                <w:b/>
                <w:i/>
              </w:rPr>
              <w:t xml:space="preserve">zwraca uwagę, że </w:t>
            </w:r>
            <w:r w:rsidRPr="00354796">
              <w:rPr>
                <w:b/>
                <w:i/>
              </w:rPr>
              <w:t>nieskuteczne lub niewystarczające egzekwowanie przepisów dotyczących zwalczania oszustw podatkowych, uchylania się od opodatkowania i unikania opodatkowania narusza równe warunki działania, ze szkodą dla przedsiębiorstw, które spełniają wymogi prawne;</w:t>
            </w:r>
          </w:p>
        </w:tc>
      </w:tr>
    </w:tbl>
    <w:p w14:paraId="0688068A"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B6F8831" w14:textId="77777777" w:rsidR="005A79DB" w:rsidRPr="00354796" w:rsidRDefault="006E31A1">
      <w:r w:rsidRPr="00354796">
        <w:rPr>
          <w:rStyle w:val="HideTWBExt"/>
        </w:rPr>
        <w:t>&lt;/Amend&gt;</w:t>
      </w:r>
    </w:p>
    <w:p w14:paraId="70C89225" w14:textId="77777777" w:rsidR="005A79DB" w:rsidRPr="00354796" w:rsidRDefault="006E31A1">
      <w:pPr>
        <w:pStyle w:val="AmNumberTabs"/>
      </w:pPr>
      <w:r w:rsidRPr="00354796">
        <w:rPr>
          <w:rStyle w:val="HideTWBExt"/>
        </w:rPr>
        <w:lastRenderedPageBreak/>
        <w:t>&lt;Amend&gt;</w:t>
      </w:r>
      <w:r w:rsidRPr="00354796">
        <w:t>Poprawka</w:t>
      </w:r>
      <w:r w:rsidRPr="00354796">
        <w:tab/>
      </w:r>
      <w:r w:rsidRPr="00354796">
        <w:tab/>
      </w:r>
      <w:r w:rsidRPr="00354796">
        <w:rPr>
          <w:rStyle w:val="HideTWBExt"/>
        </w:rPr>
        <w:t>&lt;NumAm&gt;</w:t>
      </w:r>
      <w:r w:rsidRPr="00354796">
        <w:t>92</w:t>
      </w:r>
      <w:r w:rsidRPr="00354796">
        <w:rPr>
          <w:rStyle w:val="HideTWBExt"/>
        </w:rPr>
        <w:t>&lt;/NumAm&gt;</w:t>
      </w:r>
    </w:p>
    <w:p w14:paraId="599B872E"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3E9DE5B9" w14:textId="77777777" w:rsidR="005A79DB" w:rsidRPr="00354796" w:rsidRDefault="006E31A1">
      <w:pPr>
        <w:pStyle w:val="NormalBold"/>
      </w:pPr>
      <w:r w:rsidRPr="00354796">
        <w:rPr>
          <w:rStyle w:val="HideTWBExt"/>
          <w:b w:val="0"/>
        </w:rPr>
        <w:t>&lt;/RepeatBlock-By&gt;</w:t>
      </w:r>
    </w:p>
    <w:p w14:paraId="4A82C745"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16236C79" w14:textId="77777777" w:rsidR="005A79DB" w:rsidRPr="00354796" w:rsidRDefault="006E31A1">
      <w:pPr>
        <w:pStyle w:val="NormalBold"/>
      </w:pPr>
      <w:r w:rsidRPr="00354796">
        <w:rPr>
          <w:rStyle w:val="HideTWBExt"/>
        </w:rPr>
        <w:t>&lt;Article&gt;</w:t>
      </w:r>
      <w:r w:rsidRPr="00354796">
        <w:t>Ustęp 21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799E88E" w14:textId="77777777">
        <w:trPr>
          <w:trHeight w:hRule="exact" w:val="240"/>
          <w:jc w:val="center"/>
        </w:trPr>
        <w:tc>
          <w:tcPr>
            <w:tcW w:w="9752" w:type="dxa"/>
            <w:gridSpan w:val="2"/>
            <w:tcBorders>
              <w:top w:val="nil"/>
              <w:left w:val="nil"/>
              <w:bottom w:val="nil"/>
              <w:right w:val="nil"/>
            </w:tcBorders>
          </w:tcPr>
          <w:p w14:paraId="68051F98" w14:textId="77777777" w:rsidR="005A79DB" w:rsidRPr="00354796" w:rsidRDefault="005A79DB"/>
        </w:tc>
      </w:tr>
      <w:tr w:rsidR="005A79DB" w:rsidRPr="00354796" w14:paraId="489A340F" w14:textId="77777777">
        <w:trPr>
          <w:trHeight w:val="240"/>
          <w:jc w:val="center"/>
        </w:trPr>
        <w:tc>
          <w:tcPr>
            <w:tcW w:w="4876" w:type="dxa"/>
            <w:tcBorders>
              <w:top w:val="nil"/>
              <w:left w:val="nil"/>
              <w:bottom w:val="nil"/>
              <w:right w:val="nil"/>
            </w:tcBorders>
          </w:tcPr>
          <w:p w14:paraId="567B5D5C"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55B98117" w14:textId="77777777" w:rsidR="005A79DB" w:rsidRPr="00354796" w:rsidRDefault="006E31A1">
            <w:pPr>
              <w:pStyle w:val="AmColumnHeading"/>
            </w:pPr>
            <w:r w:rsidRPr="00354796">
              <w:t>Poprawka</w:t>
            </w:r>
          </w:p>
        </w:tc>
      </w:tr>
      <w:tr w:rsidR="005A79DB" w:rsidRPr="00354796" w14:paraId="5BCE86FA" w14:textId="77777777">
        <w:trPr>
          <w:jc w:val="center"/>
        </w:trPr>
        <w:tc>
          <w:tcPr>
            <w:tcW w:w="4876" w:type="dxa"/>
            <w:tcBorders>
              <w:top w:val="nil"/>
              <w:left w:val="nil"/>
              <w:bottom w:val="nil"/>
              <w:right w:val="nil"/>
            </w:tcBorders>
          </w:tcPr>
          <w:p w14:paraId="5ECC0215" w14:textId="77777777" w:rsidR="005A79DB" w:rsidRPr="00354796" w:rsidRDefault="005A79DB">
            <w:pPr>
              <w:pStyle w:val="Normal6a"/>
            </w:pPr>
          </w:p>
        </w:tc>
        <w:tc>
          <w:tcPr>
            <w:tcW w:w="4876" w:type="dxa"/>
            <w:tcBorders>
              <w:top w:val="nil"/>
              <w:left w:val="nil"/>
              <w:bottom w:val="nil"/>
              <w:right w:val="nil"/>
            </w:tcBorders>
          </w:tcPr>
          <w:p w14:paraId="5378C947" w14:textId="77777777" w:rsidR="005A79DB" w:rsidRPr="00354796" w:rsidRDefault="006E31A1">
            <w:pPr>
              <w:pStyle w:val="Normal6a"/>
            </w:pPr>
            <w:r w:rsidRPr="00354796">
              <w:rPr>
                <w:b/>
                <w:i/>
              </w:rPr>
              <w:t>21a.</w:t>
            </w:r>
            <w:r w:rsidRPr="00354796">
              <w:tab/>
            </w:r>
            <w:r w:rsidRPr="00354796">
              <w:rPr>
                <w:b/>
                <w:i/>
              </w:rPr>
              <w:t>wzywa Komisję i państwa członkowskie do dopilnowania, aby oczekiwania dotyczące zgodności w zakresie stosowania mechanizmu odwrotnego obciążenia uwzględniały wyraźne rozróżnienie między umyślnym udziałem w systemach oszustw związanych z VAT a niezamierzonymi błędami administracyjnymi popełnionymi przez MŚP, zapewniając, aby te ostatnie nie podlegały nieproporcjonalnym sankcjom;</w:t>
            </w:r>
          </w:p>
        </w:tc>
      </w:tr>
    </w:tbl>
    <w:p w14:paraId="1D1D0B06"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7E3CB5B9" w14:textId="77777777" w:rsidR="005A79DB" w:rsidRPr="00354796" w:rsidRDefault="006E31A1">
      <w:r w:rsidRPr="00354796">
        <w:rPr>
          <w:rStyle w:val="HideTWBExt"/>
        </w:rPr>
        <w:t>&lt;/Amend&gt;</w:t>
      </w:r>
    </w:p>
    <w:p w14:paraId="7A14848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93</w:t>
      </w:r>
      <w:r w:rsidRPr="00354796">
        <w:rPr>
          <w:rStyle w:val="HideTWBExt"/>
        </w:rPr>
        <w:t>&lt;/NumAm&gt;</w:t>
      </w:r>
    </w:p>
    <w:p w14:paraId="002CEE83"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56C6C55F" w14:textId="77777777" w:rsidR="005A79DB" w:rsidRPr="00354796" w:rsidRDefault="006E31A1">
      <w:pPr>
        <w:pStyle w:val="NormalBold"/>
      </w:pPr>
      <w:r w:rsidRPr="00354796">
        <w:rPr>
          <w:rStyle w:val="HideTWBExt"/>
          <w:b w:val="0"/>
        </w:rPr>
        <w:t>&lt;/RepeatBlock-By&gt;</w:t>
      </w:r>
    </w:p>
    <w:p w14:paraId="228EA6A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59D28EB" w14:textId="77777777" w:rsidR="005A79DB" w:rsidRPr="00354796" w:rsidRDefault="006E31A1">
      <w:pPr>
        <w:pStyle w:val="NormalBold"/>
      </w:pPr>
      <w:r w:rsidRPr="00354796">
        <w:rPr>
          <w:rStyle w:val="HideTWBExt"/>
        </w:rPr>
        <w:t>&lt;Article&gt;</w:t>
      </w:r>
      <w:r w:rsidRPr="00354796">
        <w:t>Ustęp 22</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3403698B" w14:textId="77777777">
        <w:trPr>
          <w:trHeight w:hRule="exact" w:val="240"/>
          <w:jc w:val="center"/>
        </w:trPr>
        <w:tc>
          <w:tcPr>
            <w:tcW w:w="9752" w:type="dxa"/>
            <w:gridSpan w:val="2"/>
            <w:tcBorders>
              <w:top w:val="nil"/>
              <w:left w:val="nil"/>
              <w:bottom w:val="nil"/>
              <w:right w:val="nil"/>
            </w:tcBorders>
          </w:tcPr>
          <w:p w14:paraId="093792B2" w14:textId="77777777" w:rsidR="005A79DB" w:rsidRPr="00354796" w:rsidRDefault="005A79DB"/>
        </w:tc>
      </w:tr>
      <w:tr w:rsidR="005A79DB" w:rsidRPr="00354796" w14:paraId="1673ECB0" w14:textId="77777777">
        <w:trPr>
          <w:trHeight w:val="240"/>
          <w:jc w:val="center"/>
        </w:trPr>
        <w:tc>
          <w:tcPr>
            <w:tcW w:w="4876" w:type="dxa"/>
            <w:tcBorders>
              <w:top w:val="nil"/>
              <w:left w:val="nil"/>
              <w:bottom w:val="nil"/>
              <w:right w:val="nil"/>
            </w:tcBorders>
          </w:tcPr>
          <w:p w14:paraId="01F4B9CA"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4882804" w14:textId="77777777" w:rsidR="005A79DB" w:rsidRPr="00354796" w:rsidRDefault="006E31A1">
            <w:pPr>
              <w:pStyle w:val="AmColumnHeading"/>
            </w:pPr>
            <w:r w:rsidRPr="00354796">
              <w:t>Poprawka</w:t>
            </w:r>
          </w:p>
        </w:tc>
      </w:tr>
      <w:tr w:rsidR="005A79DB" w:rsidRPr="00354796" w14:paraId="40E4A109" w14:textId="77777777">
        <w:trPr>
          <w:jc w:val="center"/>
        </w:trPr>
        <w:tc>
          <w:tcPr>
            <w:tcW w:w="4876" w:type="dxa"/>
            <w:tcBorders>
              <w:top w:val="nil"/>
              <w:left w:val="nil"/>
              <w:bottom w:val="nil"/>
              <w:right w:val="nil"/>
            </w:tcBorders>
          </w:tcPr>
          <w:p w14:paraId="784BCE23" w14:textId="77777777" w:rsidR="005A79DB" w:rsidRPr="00354796" w:rsidRDefault="006E31A1">
            <w:pPr>
              <w:pStyle w:val="Normal6a"/>
            </w:pPr>
            <w:r w:rsidRPr="00354796">
              <w:t>22.</w:t>
            </w:r>
            <w:r w:rsidRPr="00354796">
              <w:tab/>
              <w:t xml:space="preserve">wzywa administracje podatkowe do skupienia się na szybkiej identyfikacji i </w:t>
            </w:r>
            <w:r w:rsidRPr="00354796">
              <w:t>wydawaniu zwrotów VAT legalnym przedsiębiorstwom typu start-</w:t>
            </w:r>
            <w:proofErr w:type="spellStart"/>
            <w:r w:rsidRPr="00354796">
              <w:t>up</w:t>
            </w:r>
            <w:proofErr w:type="spellEnd"/>
            <w:r w:rsidRPr="00354796">
              <w:t xml:space="preserve"> i małym przedsiębiorstwom w branżach objętych odwrotnym obciążeniem;</w:t>
            </w:r>
          </w:p>
        </w:tc>
        <w:tc>
          <w:tcPr>
            <w:tcW w:w="4876" w:type="dxa"/>
            <w:tcBorders>
              <w:top w:val="nil"/>
              <w:left w:val="nil"/>
              <w:bottom w:val="nil"/>
              <w:right w:val="nil"/>
            </w:tcBorders>
          </w:tcPr>
          <w:p w14:paraId="0F300962" w14:textId="77777777" w:rsidR="005A79DB" w:rsidRPr="00354796" w:rsidRDefault="006E31A1">
            <w:pPr>
              <w:pStyle w:val="Normal6a"/>
            </w:pPr>
            <w:r w:rsidRPr="00354796">
              <w:t>22.</w:t>
            </w:r>
            <w:r w:rsidRPr="00354796">
              <w:tab/>
              <w:t>wzywa administracje podatkowe do skupienia się na szybkiej identyfikacji i wydawaniu zwrotów VAT legalnym przedsiębiorstwom typu start-</w:t>
            </w:r>
            <w:proofErr w:type="spellStart"/>
            <w:r w:rsidRPr="00354796">
              <w:t>up</w:t>
            </w:r>
            <w:proofErr w:type="spellEnd"/>
            <w:r w:rsidRPr="00354796">
              <w:t xml:space="preserve"> i małym przedsiębiorstwom w branżach objętych odwrotnym obciążeniem; </w:t>
            </w:r>
            <w:r w:rsidRPr="00354796">
              <w:rPr>
                <w:b/>
                <w:i/>
              </w:rPr>
              <w:t>podkreśla potrzebę dalszego wzmacniania zdolności krajowych administracji podatkowych, a także wykorzystania rozwiązań cyfrowych, które poprawiają skuteczność i efektywność; zwraca uwagę, że należy zacieśniać transgraniczną współpracę administracyjną w sprawach podatkowych, aby usprawnić wczesne wykrywa</w:t>
            </w:r>
            <w:r w:rsidRPr="00354796">
              <w:rPr>
                <w:b/>
                <w:i/>
              </w:rPr>
              <w:t xml:space="preserve">nie ryzyka oszustw, zapobiegać oszustwom, uchylaniu się od </w:t>
            </w:r>
            <w:r w:rsidRPr="00354796">
              <w:rPr>
                <w:b/>
                <w:i/>
              </w:rPr>
              <w:lastRenderedPageBreak/>
              <w:t>opodatkowania i unikaniu opodatkowania, a także, w stosownych przypadkach, szybko dokonywać zwrotu podatków;</w:t>
            </w:r>
          </w:p>
        </w:tc>
      </w:tr>
    </w:tbl>
    <w:p w14:paraId="1E02A519"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68466DA" w14:textId="77777777" w:rsidR="005A79DB" w:rsidRPr="00354796" w:rsidRDefault="006E31A1">
      <w:r w:rsidRPr="00354796">
        <w:rPr>
          <w:rStyle w:val="HideTWBExt"/>
        </w:rPr>
        <w:t>&lt;/Amend&gt;</w:t>
      </w:r>
    </w:p>
    <w:p w14:paraId="006AB0EF"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94</w:t>
      </w:r>
      <w:r w:rsidRPr="00354796">
        <w:rPr>
          <w:rStyle w:val="HideTWBExt"/>
        </w:rPr>
        <w:t>&lt;/NumAm&gt;</w:t>
      </w:r>
    </w:p>
    <w:p w14:paraId="18127E58" w14:textId="77777777" w:rsidR="005A79DB" w:rsidRPr="00354796" w:rsidRDefault="006E31A1">
      <w:pPr>
        <w:pStyle w:val="NormalBold"/>
      </w:pPr>
      <w:r w:rsidRPr="00354796">
        <w:rPr>
          <w:rStyle w:val="HideTWBExt"/>
          <w:b w:val="0"/>
        </w:rPr>
        <w:t>&lt;RepeatBlock-By&gt;&lt;Members&gt;</w:t>
      </w:r>
      <w:r w:rsidRPr="00354796">
        <w:t>Markus Ferber</w:t>
      </w:r>
      <w:r w:rsidRPr="00354796">
        <w:rPr>
          <w:rStyle w:val="HideTWBExt"/>
          <w:b w:val="0"/>
        </w:rPr>
        <w:t>&lt;/Members&gt;</w:t>
      </w:r>
    </w:p>
    <w:p w14:paraId="1885AE52" w14:textId="77777777" w:rsidR="005A79DB" w:rsidRPr="00354796" w:rsidRDefault="006E31A1">
      <w:pPr>
        <w:pStyle w:val="NormalBold"/>
      </w:pPr>
      <w:r w:rsidRPr="00354796">
        <w:rPr>
          <w:rStyle w:val="HideTWBExt"/>
          <w:b w:val="0"/>
        </w:rPr>
        <w:t>&lt;/RepeatBlock-By&gt;</w:t>
      </w:r>
    </w:p>
    <w:p w14:paraId="5B7D2F2E"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6C87E06C" w14:textId="77777777" w:rsidR="005A79DB" w:rsidRPr="00354796" w:rsidRDefault="006E31A1">
      <w:pPr>
        <w:pStyle w:val="NormalBold"/>
      </w:pPr>
      <w:r w:rsidRPr="00354796">
        <w:rPr>
          <w:rStyle w:val="HideTWBExt"/>
        </w:rPr>
        <w:t>&lt;Article&gt;</w:t>
      </w:r>
      <w:r w:rsidRPr="00354796">
        <w:t xml:space="preserve">Ustęp 22 a </w:t>
      </w:r>
      <w:r w:rsidRPr="00354796">
        <w:t>(nowy)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CF7D917" w14:textId="77777777">
        <w:trPr>
          <w:trHeight w:hRule="exact" w:val="240"/>
          <w:jc w:val="center"/>
        </w:trPr>
        <w:tc>
          <w:tcPr>
            <w:tcW w:w="9752" w:type="dxa"/>
            <w:gridSpan w:val="2"/>
            <w:tcBorders>
              <w:top w:val="nil"/>
              <w:left w:val="nil"/>
              <w:bottom w:val="nil"/>
              <w:right w:val="nil"/>
            </w:tcBorders>
          </w:tcPr>
          <w:p w14:paraId="33B97630" w14:textId="77777777" w:rsidR="005A79DB" w:rsidRPr="00354796" w:rsidRDefault="005A79DB"/>
        </w:tc>
      </w:tr>
      <w:tr w:rsidR="005A79DB" w:rsidRPr="00354796" w14:paraId="766B5601" w14:textId="77777777">
        <w:trPr>
          <w:trHeight w:val="240"/>
          <w:jc w:val="center"/>
        </w:trPr>
        <w:tc>
          <w:tcPr>
            <w:tcW w:w="4876" w:type="dxa"/>
            <w:tcBorders>
              <w:top w:val="nil"/>
              <w:left w:val="nil"/>
              <w:bottom w:val="nil"/>
              <w:right w:val="nil"/>
            </w:tcBorders>
          </w:tcPr>
          <w:p w14:paraId="7B503665"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F43C863" w14:textId="77777777" w:rsidR="005A79DB" w:rsidRPr="00354796" w:rsidRDefault="006E31A1">
            <w:pPr>
              <w:pStyle w:val="AmColumnHeading"/>
            </w:pPr>
            <w:r w:rsidRPr="00354796">
              <w:t>Poprawka</w:t>
            </w:r>
          </w:p>
        </w:tc>
      </w:tr>
      <w:tr w:rsidR="005A79DB" w:rsidRPr="00354796" w14:paraId="3A871D80" w14:textId="77777777">
        <w:trPr>
          <w:jc w:val="center"/>
        </w:trPr>
        <w:tc>
          <w:tcPr>
            <w:tcW w:w="4876" w:type="dxa"/>
            <w:tcBorders>
              <w:top w:val="nil"/>
              <w:left w:val="nil"/>
              <w:bottom w:val="nil"/>
              <w:right w:val="nil"/>
            </w:tcBorders>
          </w:tcPr>
          <w:p w14:paraId="0ECF4E9D" w14:textId="77777777" w:rsidR="005A79DB" w:rsidRPr="00354796" w:rsidRDefault="005A79DB">
            <w:pPr>
              <w:pStyle w:val="Normal6a"/>
            </w:pPr>
          </w:p>
        </w:tc>
        <w:tc>
          <w:tcPr>
            <w:tcW w:w="4876" w:type="dxa"/>
            <w:tcBorders>
              <w:top w:val="nil"/>
              <w:left w:val="nil"/>
              <w:bottom w:val="nil"/>
              <w:right w:val="nil"/>
            </w:tcBorders>
          </w:tcPr>
          <w:p w14:paraId="4207A664" w14:textId="77777777" w:rsidR="005A79DB" w:rsidRPr="00354796" w:rsidRDefault="006E31A1">
            <w:pPr>
              <w:pStyle w:val="Normal6a"/>
            </w:pPr>
            <w:r w:rsidRPr="00354796">
              <w:rPr>
                <w:b/>
                <w:i/>
              </w:rPr>
              <w:t>22a.</w:t>
            </w:r>
            <w:r w:rsidRPr="00354796">
              <w:tab/>
            </w:r>
            <w:r w:rsidRPr="00354796">
              <w:rPr>
                <w:b/>
                <w:i/>
              </w:rPr>
              <w:t xml:space="preserve">wzywa Komisję do dokonania oceny średniego czasu rozpatrywania wniosków o zwrot VAT składanych przez małe i średnie przedsiębiorstwa w sektorach objętych mechanizmem odwrotnego obciążenia </w:t>
            </w:r>
            <w:r w:rsidRPr="00354796">
              <w:rPr>
                <w:b/>
                <w:i/>
              </w:rPr>
              <w:t>w poszczególnych państwach członkowskich; apeluje, aby w przypadku wykazania w ocenie nieproporcjonalnych opóźnień Komisja zaproponowała ukierunkowane środki mające na celu zapewnienie, aby wnioski o zwrot złożone przez takie przedsiębiorstwa rozpatrywano w terminie nieprzekraczającym 30 dni od dnia złożenia kompletnego wniosku, zgodnie z celem zmniejszenia obciążeń administracyjnych dla mniejszych podmiotów gospodarczych;</w:t>
            </w:r>
          </w:p>
        </w:tc>
      </w:tr>
    </w:tbl>
    <w:p w14:paraId="6C8382CD"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0C3DE15F" w14:textId="77777777" w:rsidR="005A79DB" w:rsidRPr="00354796" w:rsidRDefault="006E31A1">
      <w:r w:rsidRPr="00354796">
        <w:rPr>
          <w:rStyle w:val="HideTWBExt"/>
        </w:rPr>
        <w:t>&lt;/Amend&gt;</w:t>
      </w:r>
    </w:p>
    <w:p w14:paraId="3CFBA66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95</w:t>
      </w:r>
      <w:r w:rsidRPr="00354796">
        <w:rPr>
          <w:rStyle w:val="HideTWBExt"/>
        </w:rPr>
        <w:t>&lt;/NumAm&gt;</w:t>
      </w:r>
    </w:p>
    <w:p w14:paraId="1D2B42F7" w14:textId="77777777" w:rsidR="005A79DB" w:rsidRPr="00354796" w:rsidRDefault="006E31A1">
      <w:pPr>
        <w:pStyle w:val="NormalBold"/>
      </w:pPr>
      <w:r w:rsidRPr="00354796">
        <w:rPr>
          <w:rStyle w:val="HideTWBExt"/>
          <w:b w:val="0"/>
        </w:rPr>
        <w:t>&lt;RepeatBlock-By&gt;&lt;Members&gt;</w:t>
      </w:r>
      <w:proofErr w:type="spellStart"/>
      <w:r w:rsidRPr="00354796">
        <w:t>Roberts</w:t>
      </w:r>
      <w:proofErr w:type="spellEnd"/>
      <w:r w:rsidRPr="00354796">
        <w:t xml:space="preserve"> </w:t>
      </w:r>
      <w:proofErr w:type="spellStart"/>
      <w:r w:rsidRPr="00354796">
        <w:t>Zīle</w:t>
      </w:r>
      <w:proofErr w:type="spellEnd"/>
      <w:r w:rsidRPr="00354796">
        <w:rPr>
          <w:rStyle w:val="HideTWBExt"/>
          <w:b w:val="0"/>
        </w:rPr>
        <w:t>&lt;/Members&gt;</w:t>
      </w:r>
    </w:p>
    <w:p w14:paraId="1FB4C224" w14:textId="77777777" w:rsidR="005A79DB" w:rsidRPr="00354796" w:rsidRDefault="006E31A1">
      <w:pPr>
        <w:pStyle w:val="NormalBold"/>
      </w:pPr>
      <w:r w:rsidRPr="00354796">
        <w:rPr>
          <w:rStyle w:val="HideTWBExt"/>
          <w:b w:val="0"/>
        </w:rPr>
        <w:t>&lt;/RepeatBlock-By&gt;</w:t>
      </w:r>
    </w:p>
    <w:p w14:paraId="7488B2B2"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3B3C4BC7" w14:textId="77777777" w:rsidR="005A79DB" w:rsidRPr="00354796" w:rsidRDefault="006E31A1">
      <w:pPr>
        <w:pStyle w:val="NormalBold"/>
      </w:pPr>
      <w:r w:rsidRPr="00354796">
        <w:rPr>
          <w:rStyle w:val="HideTWBExt"/>
        </w:rPr>
        <w:t>&lt;Article&gt;</w:t>
      </w:r>
      <w:r w:rsidRPr="00354796">
        <w:t>Ustęp 22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49464F3B" w14:textId="77777777">
        <w:trPr>
          <w:trHeight w:hRule="exact" w:val="240"/>
          <w:jc w:val="center"/>
        </w:trPr>
        <w:tc>
          <w:tcPr>
            <w:tcW w:w="9752" w:type="dxa"/>
            <w:gridSpan w:val="2"/>
            <w:tcBorders>
              <w:top w:val="nil"/>
              <w:left w:val="nil"/>
              <w:bottom w:val="nil"/>
              <w:right w:val="nil"/>
            </w:tcBorders>
          </w:tcPr>
          <w:p w14:paraId="1333E78A" w14:textId="77777777" w:rsidR="005A79DB" w:rsidRPr="00354796" w:rsidRDefault="005A79DB"/>
        </w:tc>
      </w:tr>
      <w:tr w:rsidR="005A79DB" w:rsidRPr="00354796" w14:paraId="186991BF" w14:textId="77777777">
        <w:trPr>
          <w:trHeight w:val="240"/>
          <w:jc w:val="center"/>
        </w:trPr>
        <w:tc>
          <w:tcPr>
            <w:tcW w:w="4876" w:type="dxa"/>
            <w:tcBorders>
              <w:top w:val="nil"/>
              <w:left w:val="nil"/>
              <w:bottom w:val="nil"/>
              <w:right w:val="nil"/>
            </w:tcBorders>
          </w:tcPr>
          <w:p w14:paraId="295A69D2"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0C9A5989" w14:textId="77777777" w:rsidR="005A79DB" w:rsidRPr="00354796" w:rsidRDefault="006E31A1">
            <w:pPr>
              <w:pStyle w:val="AmColumnHeading"/>
            </w:pPr>
            <w:r w:rsidRPr="00354796">
              <w:t>Poprawka</w:t>
            </w:r>
          </w:p>
        </w:tc>
      </w:tr>
      <w:tr w:rsidR="005A79DB" w:rsidRPr="00354796" w14:paraId="62D188E2" w14:textId="77777777">
        <w:trPr>
          <w:jc w:val="center"/>
        </w:trPr>
        <w:tc>
          <w:tcPr>
            <w:tcW w:w="4876" w:type="dxa"/>
            <w:tcBorders>
              <w:top w:val="nil"/>
              <w:left w:val="nil"/>
              <w:bottom w:val="nil"/>
              <w:right w:val="nil"/>
            </w:tcBorders>
          </w:tcPr>
          <w:p w14:paraId="25090FF9" w14:textId="77777777" w:rsidR="005A79DB" w:rsidRPr="00354796" w:rsidRDefault="005A79DB">
            <w:pPr>
              <w:pStyle w:val="Normal6a"/>
            </w:pPr>
          </w:p>
        </w:tc>
        <w:tc>
          <w:tcPr>
            <w:tcW w:w="4876" w:type="dxa"/>
            <w:tcBorders>
              <w:top w:val="nil"/>
              <w:left w:val="nil"/>
              <w:bottom w:val="nil"/>
              <w:right w:val="nil"/>
            </w:tcBorders>
          </w:tcPr>
          <w:p w14:paraId="67B69726" w14:textId="77777777" w:rsidR="005A79DB" w:rsidRPr="00354796" w:rsidRDefault="006E31A1">
            <w:pPr>
              <w:pStyle w:val="Normal6a"/>
            </w:pPr>
            <w:r w:rsidRPr="00354796">
              <w:rPr>
                <w:b/>
                <w:i/>
              </w:rPr>
              <w:t>22a.</w:t>
            </w:r>
            <w:r w:rsidRPr="00354796">
              <w:tab/>
            </w:r>
            <w:r w:rsidRPr="00354796">
              <w:rPr>
                <w:b/>
                <w:i/>
              </w:rPr>
              <w:t xml:space="preserve">podkreśla, że przejście na ramy </w:t>
            </w:r>
            <w:r w:rsidRPr="00354796">
              <w:rPr>
                <w:b/>
                <w:i/>
              </w:rPr>
              <w:lastRenderedPageBreak/>
              <w:t xml:space="preserve">VAT w epoce cyfrowej musi przebiegać bez </w:t>
            </w:r>
            <w:r w:rsidRPr="00354796">
              <w:rPr>
                <w:b/>
                <w:i/>
              </w:rPr>
              <w:t>zakłóceń i nie może prowadzić do sytuacji, w których przedsiębiorstwa byłyby zmuszone do jednoczesnego przestrzegania nakładających się na siebie wymogów w zakresie sprawozdawczości cyfrowej i tradycyjnej dokumentacji w ramach mechanizmu odwrotnego obciążenia w odniesieniu do tych samych transakcji, co pozwoli uniknąć nieuzasadnionego podwójnego obciążenia administracyjnego;</w:t>
            </w:r>
          </w:p>
        </w:tc>
      </w:tr>
    </w:tbl>
    <w:p w14:paraId="1B7D3E84"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2ED3FD76" w14:textId="77777777" w:rsidR="005A79DB" w:rsidRPr="00354796" w:rsidRDefault="006E31A1">
      <w:r w:rsidRPr="00354796">
        <w:rPr>
          <w:rStyle w:val="HideTWBExt"/>
        </w:rPr>
        <w:t>&lt;/Amend&gt;</w:t>
      </w:r>
    </w:p>
    <w:p w14:paraId="15AF517D"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96</w:t>
      </w:r>
      <w:r w:rsidRPr="00354796">
        <w:rPr>
          <w:rStyle w:val="HideTWBExt"/>
        </w:rPr>
        <w:t>&lt;/NumAm&gt;</w:t>
      </w:r>
    </w:p>
    <w:p w14:paraId="01D5F60A"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084C9801" w14:textId="77777777" w:rsidR="005A79DB" w:rsidRPr="00354796" w:rsidRDefault="006E31A1">
      <w:pPr>
        <w:pStyle w:val="NormalBold"/>
      </w:pPr>
      <w:r w:rsidRPr="00354796">
        <w:rPr>
          <w:rStyle w:val="HideTWBExt"/>
          <w:b w:val="0"/>
        </w:rPr>
        <w:t>&lt;/RepeatBlock-By&gt;</w:t>
      </w:r>
    </w:p>
    <w:p w14:paraId="7D7024F2"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2464CCB" w14:textId="77777777" w:rsidR="005A79DB" w:rsidRPr="00354796" w:rsidRDefault="006E31A1">
      <w:pPr>
        <w:pStyle w:val="NormalBold"/>
      </w:pPr>
      <w:r w:rsidRPr="00354796">
        <w:rPr>
          <w:rStyle w:val="HideTWBExt"/>
        </w:rPr>
        <w:t>&lt;Article&gt;</w:t>
      </w:r>
      <w:r w:rsidRPr="00354796">
        <w:t>Ustęp 23</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9334B7F" w14:textId="77777777">
        <w:trPr>
          <w:trHeight w:hRule="exact" w:val="240"/>
          <w:jc w:val="center"/>
        </w:trPr>
        <w:tc>
          <w:tcPr>
            <w:tcW w:w="9752" w:type="dxa"/>
            <w:gridSpan w:val="2"/>
            <w:tcBorders>
              <w:top w:val="nil"/>
              <w:left w:val="nil"/>
              <w:bottom w:val="nil"/>
              <w:right w:val="nil"/>
            </w:tcBorders>
          </w:tcPr>
          <w:p w14:paraId="6DFCE03C" w14:textId="77777777" w:rsidR="005A79DB" w:rsidRPr="00354796" w:rsidRDefault="005A79DB"/>
        </w:tc>
      </w:tr>
      <w:tr w:rsidR="005A79DB" w:rsidRPr="00354796" w14:paraId="40FCAF84" w14:textId="77777777">
        <w:trPr>
          <w:trHeight w:val="240"/>
          <w:jc w:val="center"/>
        </w:trPr>
        <w:tc>
          <w:tcPr>
            <w:tcW w:w="4876" w:type="dxa"/>
            <w:tcBorders>
              <w:top w:val="nil"/>
              <w:left w:val="nil"/>
              <w:bottom w:val="nil"/>
              <w:right w:val="nil"/>
            </w:tcBorders>
          </w:tcPr>
          <w:p w14:paraId="5FE3F79D"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479F2FE1" w14:textId="77777777" w:rsidR="005A79DB" w:rsidRPr="00354796" w:rsidRDefault="006E31A1">
            <w:pPr>
              <w:pStyle w:val="AmColumnHeading"/>
            </w:pPr>
            <w:r w:rsidRPr="00354796">
              <w:t>Poprawka</w:t>
            </w:r>
          </w:p>
        </w:tc>
      </w:tr>
      <w:tr w:rsidR="005A79DB" w:rsidRPr="00354796" w14:paraId="7331D018" w14:textId="77777777">
        <w:trPr>
          <w:jc w:val="center"/>
        </w:trPr>
        <w:tc>
          <w:tcPr>
            <w:tcW w:w="4876" w:type="dxa"/>
            <w:tcBorders>
              <w:top w:val="nil"/>
              <w:left w:val="nil"/>
              <w:bottom w:val="nil"/>
              <w:right w:val="nil"/>
            </w:tcBorders>
          </w:tcPr>
          <w:p w14:paraId="38E6408F" w14:textId="77777777" w:rsidR="005A79DB" w:rsidRPr="00354796" w:rsidRDefault="006E31A1">
            <w:pPr>
              <w:pStyle w:val="Normal6a"/>
            </w:pPr>
            <w:r w:rsidRPr="00354796">
              <w:t>23.</w:t>
            </w:r>
            <w:r w:rsidRPr="00354796">
              <w:tab/>
              <w:t xml:space="preserve">wzywa Komisję do składania Parlamentowi i Radzie co dwa lata sprawozdania z </w:t>
            </w:r>
            <w:r w:rsidRPr="00354796">
              <w:t xml:space="preserve">wdrożenia art. 199a i 199b; </w:t>
            </w:r>
            <w:r w:rsidRPr="00354796">
              <w:rPr>
                <w:b/>
                <w:bCs/>
                <w:i/>
                <w:iCs/>
              </w:rPr>
              <w:t>w tym kontekście</w:t>
            </w:r>
            <w:r w:rsidRPr="00354796">
              <w:t xml:space="preserve"> zwraca się do Komisji o przedstawienie sprawozdania na temat wpływu tych artykułów na ograniczenie liczby oszustw, koszty zapewnienia zgodności z przepisami i przenoszenie oszustw; zwraca się </w:t>
            </w:r>
            <w:r w:rsidRPr="00354796">
              <w:rPr>
                <w:b/>
                <w:bCs/>
                <w:i/>
                <w:iCs/>
              </w:rPr>
              <w:t>ponadto</w:t>
            </w:r>
            <w:r w:rsidRPr="00354796">
              <w:t xml:space="preserve"> do Komisji o </w:t>
            </w:r>
            <w:r w:rsidRPr="00354796">
              <w:rPr>
                <w:b/>
                <w:bCs/>
                <w:i/>
                <w:iCs/>
              </w:rPr>
              <w:t>przedstawienie sprawozdania na temat</w:t>
            </w:r>
            <w:r w:rsidRPr="00354796">
              <w:t xml:space="preserve"> wpływu wprowadzenia pakietu dotyczącego VAT w epoce cyfrowej na wdrożenie tych artykułów, w tym na temat tego, czy mechanizm odwrotnego obciążenia będzie nadal konieczny po wdrożeniu wymogów sprawozdawczości cyfrowej </w:t>
            </w:r>
            <w:r w:rsidRPr="00354796">
              <w:t>przewidzianych w tym pakiecie;</w:t>
            </w:r>
          </w:p>
        </w:tc>
        <w:tc>
          <w:tcPr>
            <w:tcW w:w="4876" w:type="dxa"/>
            <w:tcBorders>
              <w:top w:val="nil"/>
              <w:left w:val="nil"/>
              <w:bottom w:val="nil"/>
              <w:right w:val="nil"/>
            </w:tcBorders>
          </w:tcPr>
          <w:p w14:paraId="74476D1C" w14:textId="77777777" w:rsidR="005A79DB" w:rsidRPr="00354796" w:rsidRDefault="006E31A1">
            <w:pPr>
              <w:pStyle w:val="Normal6a"/>
            </w:pPr>
            <w:r w:rsidRPr="00354796">
              <w:t>23.</w:t>
            </w:r>
            <w:r w:rsidRPr="00354796">
              <w:tab/>
              <w:t xml:space="preserve">wzywa Komisję do składania Parlamentowi i Radzie co dwa lata sprawozdania z wdrożenia art. 199a i 199b; </w:t>
            </w:r>
            <w:r w:rsidRPr="00354796">
              <w:rPr>
                <w:b/>
                <w:bCs/>
                <w:i/>
                <w:iCs/>
              </w:rPr>
              <w:t>apeluje, aby Komisja – w przypadku stwierdzenia w takim sprawozdaniu nieproporcjonalnych obciążeń, niewystarczających dowodów na istnienie ryzyka oszustw lub dostępności równie skutecznych środków – zaproponowała środki mające na celu ograniczenie lub dostosowanie stosowanie mechanizmu odwrotnego obciążenia przez państwa członkowskie;</w:t>
            </w:r>
            <w:r w:rsidRPr="00354796">
              <w:t xml:space="preserve"> zwraca się do Komisji o przedstawienie sprawozdania na temat wpływu ty</w:t>
            </w:r>
            <w:r w:rsidRPr="00354796">
              <w:t xml:space="preserve">ch artykułów na ograniczenie liczby oszustw, koszty zapewnienia zgodności z przepisami i przenoszenie oszustw; zwraca się ponadto do Komisji o </w:t>
            </w:r>
            <w:r w:rsidRPr="00354796">
              <w:rPr>
                <w:b/>
                <w:bCs/>
                <w:i/>
                <w:iCs/>
              </w:rPr>
              <w:t>sporządzenie, najpóźniej do 31 grudnia 2030 r., kompleksowej analizy</w:t>
            </w:r>
            <w:r w:rsidRPr="00354796">
              <w:t xml:space="preserve"> wpływu wprowadzenia pakietu dotyczącego VAT w epoce cyfrowej na wdrożenie tych artykułów, w tym na temat tego, czy mechanizm odwrotnego obciążenia będzie </w:t>
            </w:r>
            <w:r w:rsidRPr="00354796">
              <w:lastRenderedPageBreak/>
              <w:t xml:space="preserve">nadal konieczny po wdrożeniu wymogów sprawozdawczości cyfrowej przewidzianych w tym pakiecie; </w:t>
            </w:r>
            <w:r w:rsidRPr="00354796">
              <w:rPr>
                <w:b/>
                <w:i/>
              </w:rPr>
              <w:t>uważa, że wnioski wynikające z tego sprawozdania pow</w:t>
            </w:r>
            <w:r w:rsidRPr="00354796">
              <w:rPr>
                <w:b/>
                <w:i/>
              </w:rPr>
              <w:t>inny stanowić podstawę wszelkich decyzji podejmowanych po 31 grudnia 2030 r.;</w:t>
            </w:r>
          </w:p>
        </w:tc>
      </w:tr>
    </w:tbl>
    <w:p w14:paraId="59090B8C"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4B0CEA2D" w14:textId="77777777" w:rsidR="005A79DB" w:rsidRPr="00354796" w:rsidRDefault="006E31A1">
      <w:r w:rsidRPr="00354796">
        <w:rPr>
          <w:rStyle w:val="HideTWBExt"/>
        </w:rPr>
        <w:t>&lt;/Amend&gt;</w:t>
      </w:r>
    </w:p>
    <w:p w14:paraId="4980A4E7"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97</w:t>
      </w:r>
      <w:r w:rsidRPr="00354796">
        <w:rPr>
          <w:rStyle w:val="HideTWBExt"/>
        </w:rPr>
        <w:t>&lt;/NumAm&gt;</w:t>
      </w:r>
    </w:p>
    <w:p w14:paraId="6743029D" w14:textId="77777777" w:rsidR="005A79DB" w:rsidRPr="00354796" w:rsidRDefault="006E31A1">
      <w:pPr>
        <w:pStyle w:val="NormalBold"/>
      </w:pPr>
      <w:r w:rsidRPr="00354796">
        <w:rPr>
          <w:rStyle w:val="HideTWBExt"/>
          <w:b w:val="0"/>
        </w:rPr>
        <w:t>&lt;RepeatBlock-By&gt;&lt;Members&gt;</w:t>
      </w:r>
      <w:r w:rsidRPr="00354796">
        <w:t xml:space="preserve">Fernando </w:t>
      </w:r>
      <w:proofErr w:type="spellStart"/>
      <w:r w:rsidRPr="00354796">
        <w:t>Navarrete</w:t>
      </w:r>
      <w:proofErr w:type="spellEnd"/>
      <w:r w:rsidRPr="00354796">
        <w:t xml:space="preserve"> </w:t>
      </w:r>
      <w:proofErr w:type="spellStart"/>
      <w:r w:rsidRPr="00354796">
        <w:t>Rojas</w:t>
      </w:r>
      <w:proofErr w:type="spellEnd"/>
      <w:r w:rsidRPr="00354796">
        <w:t xml:space="preserve">, Herbert </w:t>
      </w:r>
      <w:proofErr w:type="spellStart"/>
      <w:r w:rsidRPr="00354796">
        <w:t>Dorfmann</w:t>
      </w:r>
      <w:proofErr w:type="spellEnd"/>
      <w:r w:rsidRPr="00354796">
        <w:rPr>
          <w:rStyle w:val="HideTWBExt"/>
          <w:b w:val="0"/>
        </w:rPr>
        <w:t>&lt;/Members&gt;</w:t>
      </w:r>
    </w:p>
    <w:p w14:paraId="10C832EE" w14:textId="77777777" w:rsidR="005A79DB" w:rsidRPr="00354796" w:rsidRDefault="006E31A1">
      <w:pPr>
        <w:pStyle w:val="NormalBold"/>
      </w:pPr>
      <w:r w:rsidRPr="00354796">
        <w:rPr>
          <w:rStyle w:val="HideTWBExt"/>
          <w:b w:val="0"/>
        </w:rPr>
        <w:t>&lt;/RepeatBlock-By&gt;</w:t>
      </w:r>
    </w:p>
    <w:p w14:paraId="6B568B88"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7233CDA6" w14:textId="77777777" w:rsidR="005A79DB" w:rsidRPr="00354796" w:rsidRDefault="006E31A1">
      <w:pPr>
        <w:pStyle w:val="NormalBold"/>
      </w:pPr>
      <w:r w:rsidRPr="00354796">
        <w:rPr>
          <w:rStyle w:val="HideTWBExt"/>
        </w:rPr>
        <w:t>&lt;Article&gt;</w:t>
      </w:r>
      <w:r w:rsidRPr="00354796">
        <w:t>Ustęp 23</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72362CD5" w14:textId="77777777">
        <w:trPr>
          <w:trHeight w:hRule="exact" w:val="240"/>
          <w:jc w:val="center"/>
        </w:trPr>
        <w:tc>
          <w:tcPr>
            <w:tcW w:w="9752" w:type="dxa"/>
            <w:gridSpan w:val="2"/>
            <w:tcBorders>
              <w:top w:val="nil"/>
              <w:left w:val="nil"/>
              <w:bottom w:val="nil"/>
              <w:right w:val="nil"/>
            </w:tcBorders>
          </w:tcPr>
          <w:p w14:paraId="48655336" w14:textId="77777777" w:rsidR="005A79DB" w:rsidRPr="00354796" w:rsidRDefault="005A79DB"/>
        </w:tc>
      </w:tr>
      <w:tr w:rsidR="005A79DB" w:rsidRPr="00354796" w14:paraId="79E114C7" w14:textId="77777777">
        <w:trPr>
          <w:trHeight w:val="240"/>
          <w:jc w:val="center"/>
        </w:trPr>
        <w:tc>
          <w:tcPr>
            <w:tcW w:w="4876" w:type="dxa"/>
            <w:tcBorders>
              <w:top w:val="nil"/>
              <w:left w:val="nil"/>
              <w:bottom w:val="nil"/>
              <w:right w:val="nil"/>
            </w:tcBorders>
          </w:tcPr>
          <w:p w14:paraId="2362EF00"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577A426" w14:textId="77777777" w:rsidR="005A79DB" w:rsidRPr="00354796" w:rsidRDefault="006E31A1">
            <w:pPr>
              <w:pStyle w:val="AmColumnHeading"/>
            </w:pPr>
            <w:r w:rsidRPr="00354796">
              <w:t>Poprawka</w:t>
            </w:r>
          </w:p>
        </w:tc>
      </w:tr>
      <w:tr w:rsidR="005A79DB" w:rsidRPr="00354796" w14:paraId="0B14344C" w14:textId="77777777">
        <w:trPr>
          <w:jc w:val="center"/>
        </w:trPr>
        <w:tc>
          <w:tcPr>
            <w:tcW w:w="4876" w:type="dxa"/>
            <w:tcBorders>
              <w:top w:val="nil"/>
              <w:left w:val="nil"/>
              <w:bottom w:val="nil"/>
              <w:right w:val="nil"/>
            </w:tcBorders>
          </w:tcPr>
          <w:p w14:paraId="4AE7015D" w14:textId="77777777" w:rsidR="005A79DB" w:rsidRPr="00354796" w:rsidRDefault="006E31A1">
            <w:pPr>
              <w:pStyle w:val="Normal6a"/>
            </w:pPr>
            <w:r w:rsidRPr="00354796">
              <w:t>23.</w:t>
            </w:r>
            <w:r w:rsidRPr="00354796">
              <w:tab/>
              <w:t xml:space="preserve">wzywa Komisję do składania Parlamentowi i Radzie co dwa lata sprawozdania z wdrożenia art. 199a i 199b; w tym </w:t>
            </w:r>
            <w:r w:rsidRPr="00354796">
              <w:t>kontekście zwraca się do Komisji o przedstawienie sprawozdania na temat wpływu tych artykułów na ograniczenie liczby oszustw, koszty zapewnienia zgodności z przepisami i przenoszenie oszustw; zwraca się ponadto do Komisji o przedstawienie sprawozdania na temat wpływu wprowadzenia pakietu dotyczącego VAT w epoce cyfrowej na wdrożenie tych artykułów, w tym na temat tego, czy mechanizm odwrotnego obciążenia będzie nadal konieczny po wdrożeniu wymogów sprawozdawczości cyfrowej przewidzianych w tym pakiecie;</w:t>
            </w:r>
          </w:p>
        </w:tc>
        <w:tc>
          <w:tcPr>
            <w:tcW w:w="4876" w:type="dxa"/>
            <w:tcBorders>
              <w:top w:val="nil"/>
              <w:left w:val="nil"/>
              <w:bottom w:val="nil"/>
              <w:right w:val="nil"/>
            </w:tcBorders>
          </w:tcPr>
          <w:p w14:paraId="1B2C3C5B" w14:textId="77777777" w:rsidR="005A79DB" w:rsidRPr="00354796" w:rsidRDefault="006E31A1">
            <w:pPr>
              <w:pStyle w:val="Normal6a"/>
            </w:pPr>
            <w:r w:rsidRPr="00354796">
              <w:t>23.</w:t>
            </w:r>
            <w:r w:rsidRPr="00354796">
              <w:tab/>
              <w:t>wzywa Komisję do składania Parlamentowi i Radzie co dwa lata sprawozdania z wdrożenia art. 199a i 199b; w tym kontekście zwraca się do Komisji o przedstawienie sprawozdania na temat wpływu tych artykułów na ograniczenie liczby oszustw, koszty zapewnienia zgodności z przepisami i przenoszenie oszustw</w:t>
            </w:r>
            <w:r w:rsidRPr="00354796">
              <w:rPr>
                <w:b/>
                <w:bCs/>
                <w:i/>
                <w:iCs/>
              </w:rPr>
              <w:t xml:space="preserve">, w szczególności poprzez porównanie szacowanej wartości oszustw związanych z VAT, którym udało się zapobiec, z kosztami przestrzegania przepisów, ze szczególnym uwzględnieniem małych i średnich przedsiębiorstw </w:t>
            </w:r>
            <w:r w:rsidRPr="00354796">
              <w:rPr>
                <w:b/>
                <w:bCs/>
                <w:i/>
                <w:iCs/>
              </w:rPr>
              <w:t>(MŚP)</w:t>
            </w:r>
            <w:r w:rsidRPr="00354796">
              <w:t>; zwraca się ponadto do Komisji o przedstawienie sprawozdania na temat wpływu wprowadzenia pakietu dotyczącego VAT w epoce cyfrowej na wdrożenie tych artykułów, w tym na temat tego, czy mechanizm odwrotnego obciążenia będzie nadal konieczny po wdrożeniu wymogów sprawozdawczości cyfrowej przewidzianych w tym pakiecie;</w:t>
            </w:r>
          </w:p>
        </w:tc>
      </w:tr>
    </w:tbl>
    <w:p w14:paraId="2126F4CB"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6E89D786" w14:textId="77777777" w:rsidR="005A79DB" w:rsidRPr="00354796" w:rsidRDefault="006E31A1">
      <w:r w:rsidRPr="00354796">
        <w:rPr>
          <w:rStyle w:val="HideTWBExt"/>
        </w:rPr>
        <w:t>&lt;/Amend&gt;</w:t>
      </w:r>
    </w:p>
    <w:p w14:paraId="391E3055" w14:textId="77777777" w:rsidR="005A79DB" w:rsidRPr="00354796" w:rsidRDefault="006E31A1">
      <w:pPr>
        <w:pStyle w:val="AmNumberTabs"/>
      </w:pPr>
      <w:r w:rsidRPr="00354796">
        <w:rPr>
          <w:rStyle w:val="HideTWBExt"/>
        </w:rPr>
        <w:lastRenderedPageBreak/>
        <w:t>&lt;Amend&gt;</w:t>
      </w:r>
      <w:r w:rsidRPr="00354796">
        <w:t>Poprawka</w:t>
      </w:r>
      <w:r w:rsidRPr="00354796">
        <w:tab/>
      </w:r>
      <w:r w:rsidRPr="00354796">
        <w:tab/>
      </w:r>
      <w:r w:rsidRPr="00354796">
        <w:rPr>
          <w:rStyle w:val="HideTWBExt"/>
        </w:rPr>
        <w:t>&lt;NumAm&gt;</w:t>
      </w:r>
      <w:r w:rsidRPr="00354796">
        <w:t>98</w:t>
      </w:r>
      <w:r w:rsidRPr="00354796">
        <w:rPr>
          <w:rStyle w:val="HideTWBExt"/>
        </w:rPr>
        <w:t>&lt;/NumAm&gt;</w:t>
      </w:r>
    </w:p>
    <w:p w14:paraId="56310212" w14:textId="77777777" w:rsidR="005A79DB" w:rsidRPr="00354796" w:rsidRDefault="006E31A1">
      <w:pPr>
        <w:pStyle w:val="NormalBold"/>
      </w:pPr>
      <w:r w:rsidRPr="00354796">
        <w:rPr>
          <w:rStyle w:val="HideTWBExt"/>
          <w:b w:val="0"/>
        </w:rPr>
        <w:t>&lt;RepeatBlock-By&gt;&lt;Members&gt;</w:t>
      </w:r>
      <w:proofErr w:type="spellStart"/>
      <w:r w:rsidRPr="00354796">
        <w:t>Tomáš</w:t>
      </w:r>
      <w:proofErr w:type="spellEnd"/>
      <w:r w:rsidRPr="00354796">
        <w:t xml:space="preserve"> </w:t>
      </w:r>
      <w:proofErr w:type="spellStart"/>
      <w:r w:rsidRPr="00354796">
        <w:t>Kubín</w:t>
      </w:r>
      <w:proofErr w:type="spellEnd"/>
      <w:r w:rsidRPr="00354796">
        <w:rPr>
          <w:rStyle w:val="HideTWBExt"/>
          <w:b w:val="0"/>
        </w:rPr>
        <w:t>&lt;/Members&gt;</w:t>
      </w:r>
    </w:p>
    <w:p w14:paraId="31295A89" w14:textId="77777777" w:rsidR="005A79DB" w:rsidRPr="00354796" w:rsidRDefault="006E31A1">
      <w:pPr>
        <w:pStyle w:val="NormalBold"/>
      </w:pPr>
      <w:r w:rsidRPr="00354796">
        <w:rPr>
          <w:rStyle w:val="HideTWBExt"/>
          <w:b w:val="0"/>
        </w:rPr>
        <w:t>&lt;/RepeatBlock-By&gt;</w:t>
      </w:r>
    </w:p>
    <w:p w14:paraId="1A830620"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2F8EB0A0" w14:textId="77777777" w:rsidR="005A79DB" w:rsidRPr="00354796" w:rsidRDefault="006E31A1">
      <w:pPr>
        <w:pStyle w:val="NormalBold"/>
      </w:pPr>
      <w:r w:rsidRPr="00354796">
        <w:rPr>
          <w:rStyle w:val="HideTWBExt"/>
        </w:rPr>
        <w:t>&lt;Article&gt;</w:t>
      </w:r>
      <w:r w:rsidRPr="00354796">
        <w:t>Ustęp 23</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9FA1926" w14:textId="77777777">
        <w:trPr>
          <w:trHeight w:hRule="exact" w:val="240"/>
          <w:jc w:val="center"/>
        </w:trPr>
        <w:tc>
          <w:tcPr>
            <w:tcW w:w="9752" w:type="dxa"/>
            <w:gridSpan w:val="2"/>
            <w:tcBorders>
              <w:top w:val="nil"/>
              <w:left w:val="nil"/>
              <w:bottom w:val="nil"/>
              <w:right w:val="nil"/>
            </w:tcBorders>
          </w:tcPr>
          <w:p w14:paraId="101AAA0B" w14:textId="77777777" w:rsidR="005A79DB" w:rsidRPr="00354796" w:rsidRDefault="005A79DB"/>
        </w:tc>
      </w:tr>
      <w:tr w:rsidR="005A79DB" w:rsidRPr="00354796" w14:paraId="380396AE" w14:textId="77777777">
        <w:trPr>
          <w:trHeight w:val="240"/>
          <w:jc w:val="center"/>
        </w:trPr>
        <w:tc>
          <w:tcPr>
            <w:tcW w:w="4876" w:type="dxa"/>
            <w:tcBorders>
              <w:top w:val="nil"/>
              <w:left w:val="nil"/>
              <w:bottom w:val="nil"/>
              <w:right w:val="nil"/>
            </w:tcBorders>
          </w:tcPr>
          <w:p w14:paraId="3AA3A6A3"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333CA145" w14:textId="77777777" w:rsidR="005A79DB" w:rsidRPr="00354796" w:rsidRDefault="006E31A1">
            <w:pPr>
              <w:pStyle w:val="AmColumnHeading"/>
            </w:pPr>
            <w:r w:rsidRPr="00354796">
              <w:t>Poprawka</w:t>
            </w:r>
          </w:p>
        </w:tc>
      </w:tr>
      <w:tr w:rsidR="005A79DB" w:rsidRPr="00354796" w14:paraId="05EBC25A" w14:textId="77777777">
        <w:trPr>
          <w:jc w:val="center"/>
        </w:trPr>
        <w:tc>
          <w:tcPr>
            <w:tcW w:w="4876" w:type="dxa"/>
            <w:tcBorders>
              <w:top w:val="nil"/>
              <w:left w:val="nil"/>
              <w:bottom w:val="nil"/>
              <w:right w:val="nil"/>
            </w:tcBorders>
          </w:tcPr>
          <w:p w14:paraId="7CB8570A" w14:textId="77777777" w:rsidR="005A79DB" w:rsidRPr="00354796" w:rsidRDefault="006E31A1">
            <w:pPr>
              <w:pStyle w:val="Normal6a"/>
            </w:pPr>
            <w:r w:rsidRPr="00354796">
              <w:t>23.</w:t>
            </w:r>
            <w:r w:rsidRPr="00354796">
              <w:tab/>
              <w:t xml:space="preserve">wzywa Komisję do składania Parlamentowi i Radzie co dwa lata sprawozdania z wdrożenia art. 199a i 199b; w tym kontekście zwraca się do Komisji o przedstawienie sprawozdania na temat wpływu tych </w:t>
            </w:r>
            <w:r w:rsidRPr="00354796">
              <w:t>artykułów na ograniczenie liczby oszustw, koszty zapewnienia zgodności z przepisami i przenoszenie oszustw; zwraca się ponadto do Komisji o przedstawienie sprawozdania na temat wpływu wprowadzenia pakietu dotyczącego VAT w epoce cyfrowej na wdrożenie tych artykułów</w:t>
            </w:r>
            <w:r w:rsidRPr="00354796">
              <w:rPr>
                <w:b/>
                <w:bCs/>
                <w:i/>
                <w:iCs/>
              </w:rPr>
              <w:t>, w tym na temat tego, czy mechanizm odwrotnego obciążenia będzie nadal konieczny po wdrożeniu wymogów sprawozdawczości cyfrowej przewidzianych w tym pakiecie</w:t>
            </w:r>
            <w:r w:rsidRPr="00354796">
              <w:t>;</w:t>
            </w:r>
          </w:p>
        </w:tc>
        <w:tc>
          <w:tcPr>
            <w:tcW w:w="4876" w:type="dxa"/>
            <w:tcBorders>
              <w:top w:val="nil"/>
              <w:left w:val="nil"/>
              <w:bottom w:val="nil"/>
              <w:right w:val="nil"/>
            </w:tcBorders>
          </w:tcPr>
          <w:p w14:paraId="46F025ED" w14:textId="77777777" w:rsidR="005A79DB" w:rsidRPr="00354796" w:rsidRDefault="006E31A1">
            <w:pPr>
              <w:pStyle w:val="Normal6a"/>
            </w:pPr>
            <w:r w:rsidRPr="00354796">
              <w:t>23.</w:t>
            </w:r>
            <w:r w:rsidRPr="00354796">
              <w:tab/>
              <w:t>wzywa Komisję do składania Parlamentowi i Radzie co dwa lata sprawozdania z wdrożenia art. 199a i 199b; w tym kontekście zwraca się do Komisji o przedstawienie sprawozdania na temat wpływu tych artykułów na ograniczenie liczby oszustw, koszty zapewnienia zgodności z przepisami i przenoszenie oszustw; zwraca się ponadto do Komisji o przedstawienie sprawozdania na temat wpływu wprowadzenia pakietu dotyczącego VAT w epoce cyfrowej na wdrożenie tych artykułów;</w:t>
            </w:r>
          </w:p>
        </w:tc>
      </w:tr>
    </w:tbl>
    <w:p w14:paraId="408BB496"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4A9BB9AE" w14:textId="77777777" w:rsidR="005A79DB" w:rsidRPr="00354796" w:rsidRDefault="006E31A1">
      <w:r w:rsidRPr="00354796">
        <w:rPr>
          <w:rStyle w:val="HideTWBExt"/>
        </w:rPr>
        <w:t>&lt;/Amend&gt;</w:t>
      </w:r>
    </w:p>
    <w:p w14:paraId="532F2439"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99</w:t>
      </w:r>
      <w:r w:rsidRPr="00354796">
        <w:rPr>
          <w:rStyle w:val="HideTWBExt"/>
        </w:rPr>
        <w:t>&lt;/NumAm&gt;</w:t>
      </w:r>
    </w:p>
    <w:p w14:paraId="528D7AA5" w14:textId="77777777" w:rsidR="005A79DB" w:rsidRPr="00354796" w:rsidRDefault="006E31A1">
      <w:pPr>
        <w:pStyle w:val="NormalBold"/>
      </w:pPr>
      <w:r w:rsidRPr="00354796">
        <w:rPr>
          <w:rStyle w:val="HideTWBExt"/>
          <w:b w:val="0"/>
        </w:rPr>
        <w:t>&lt;RepeatBlock-By&gt;&lt;Members&gt;</w:t>
      </w:r>
      <w:r w:rsidRPr="00354796">
        <w:t>Markus Ferber</w:t>
      </w:r>
      <w:r w:rsidRPr="00354796">
        <w:rPr>
          <w:rStyle w:val="HideTWBExt"/>
          <w:b w:val="0"/>
        </w:rPr>
        <w:t>&lt;/Members&gt;</w:t>
      </w:r>
    </w:p>
    <w:p w14:paraId="18A6E0EA" w14:textId="77777777" w:rsidR="005A79DB" w:rsidRPr="00354796" w:rsidRDefault="006E31A1">
      <w:pPr>
        <w:pStyle w:val="NormalBold"/>
      </w:pPr>
      <w:r w:rsidRPr="00354796">
        <w:rPr>
          <w:rStyle w:val="HideTWBExt"/>
          <w:b w:val="0"/>
        </w:rPr>
        <w:t>&lt;/RepeatBlock-By&gt;</w:t>
      </w:r>
    </w:p>
    <w:p w14:paraId="550F23BC"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40DABC03" w14:textId="77777777" w:rsidR="005A79DB" w:rsidRPr="00354796" w:rsidRDefault="006E31A1">
      <w:pPr>
        <w:pStyle w:val="NormalBold"/>
      </w:pPr>
      <w:r w:rsidRPr="00354796">
        <w:rPr>
          <w:rStyle w:val="HideTWBExt"/>
        </w:rPr>
        <w:t>&lt;Article&gt;</w:t>
      </w:r>
      <w:r w:rsidRPr="00354796">
        <w:t>Ustęp 23</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1532AFFF" w14:textId="77777777">
        <w:trPr>
          <w:trHeight w:hRule="exact" w:val="240"/>
          <w:jc w:val="center"/>
        </w:trPr>
        <w:tc>
          <w:tcPr>
            <w:tcW w:w="9752" w:type="dxa"/>
            <w:gridSpan w:val="2"/>
            <w:tcBorders>
              <w:top w:val="nil"/>
              <w:left w:val="nil"/>
              <w:bottom w:val="nil"/>
              <w:right w:val="nil"/>
            </w:tcBorders>
          </w:tcPr>
          <w:p w14:paraId="226B9B54" w14:textId="77777777" w:rsidR="005A79DB" w:rsidRPr="00354796" w:rsidRDefault="005A79DB"/>
        </w:tc>
      </w:tr>
      <w:tr w:rsidR="005A79DB" w:rsidRPr="00354796" w14:paraId="3D8ED6D0" w14:textId="77777777">
        <w:trPr>
          <w:trHeight w:val="240"/>
          <w:jc w:val="center"/>
        </w:trPr>
        <w:tc>
          <w:tcPr>
            <w:tcW w:w="4876" w:type="dxa"/>
            <w:tcBorders>
              <w:top w:val="nil"/>
              <w:left w:val="nil"/>
              <w:bottom w:val="nil"/>
              <w:right w:val="nil"/>
            </w:tcBorders>
          </w:tcPr>
          <w:p w14:paraId="5496923E"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2F752EBD" w14:textId="77777777" w:rsidR="005A79DB" w:rsidRPr="00354796" w:rsidRDefault="006E31A1">
            <w:pPr>
              <w:pStyle w:val="AmColumnHeading"/>
            </w:pPr>
            <w:r w:rsidRPr="00354796">
              <w:t>Poprawka</w:t>
            </w:r>
          </w:p>
        </w:tc>
      </w:tr>
      <w:tr w:rsidR="005A79DB" w:rsidRPr="00354796" w14:paraId="57EAC878" w14:textId="77777777">
        <w:trPr>
          <w:jc w:val="center"/>
        </w:trPr>
        <w:tc>
          <w:tcPr>
            <w:tcW w:w="4876" w:type="dxa"/>
            <w:tcBorders>
              <w:top w:val="nil"/>
              <w:left w:val="nil"/>
              <w:bottom w:val="nil"/>
              <w:right w:val="nil"/>
            </w:tcBorders>
          </w:tcPr>
          <w:p w14:paraId="2BD3AE59" w14:textId="77777777" w:rsidR="005A79DB" w:rsidRPr="00354796" w:rsidRDefault="006E31A1">
            <w:pPr>
              <w:pStyle w:val="Normal6a"/>
            </w:pPr>
            <w:r w:rsidRPr="00354796">
              <w:t>23.</w:t>
            </w:r>
            <w:r w:rsidRPr="00354796">
              <w:tab/>
              <w:t xml:space="preserve">wzywa Komisję do składania Parlamentowi i Radzie co dwa lata sprawozdania z wdrożenia art. 199a i 199b; w tym </w:t>
            </w:r>
            <w:r w:rsidRPr="00354796">
              <w:t xml:space="preserve">kontekście zwraca się do Komisji o przedstawienie sprawozdania na temat wpływu tych artykułów na ograniczenie liczby oszustw, koszty zapewnienia zgodności z przepisami i przenoszenie oszustw; zwraca się ponadto do Komisji o przedstawienie sprawozdania na temat wpływu wprowadzenia pakietu </w:t>
            </w:r>
            <w:r w:rsidRPr="00354796">
              <w:lastRenderedPageBreak/>
              <w:t>dotyczącego VAT w epoce cyfrowej na wdrożenie tych artykułów, w tym na temat tego, czy mechanizm odwrotnego obciążenia będzie nadal konieczny po wdrożeniu wymogów sprawozdawczości cyfrowej przewidzianych w tym pakiecie;</w:t>
            </w:r>
          </w:p>
        </w:tc>
        <w:tc>
          <w:tcPr>
            <w:tcW w:w="4876" w:type="dxa"/>
            <w:tcBorders>
              <w:top w:val="nil"/>
              <w:left w:val="nil"/>
              <w:bottom w:val="nil"/>
              <w:right w:val="nil"/>
            </w:tcBorders>
          </w:tcPr>
          <w:p w14:paraId="72D45C6D" w14:textId="77777777" w:rsidR="005A79DB" w:rsidRPr="00354796" w:rsidRDefault="006E31A1">
            <w:pPr>
              <w:pStyle w:val="Normal6a"/>
            </w:pPr>
            <w:r w:rsidRPr="00354796">
              <w:lastRenderedPageBreak/>
              <w:t>23.</w:t>
            </w:r>
            <w:r w:rsidRPr="00354796">
              <w:tab/>
              <w:t>wzywa Komisję do składania Parlamentowi i Radzie co dwa lata sprawozdania z wdrożenia art. 199a i 199b</w:t>
            </w:r>
            <w:r w:rsidRPr="00354796">
              <w:rPr>
                <w:b/>
                <w:bCs/>
                <w:i/>
                <w:iCs/>
              </w:rPr>
              <w:t>, aby przeprowadzane oceny były porównywalne między państwami członkowskimi oraz w ujęciu czasowym</w:t>
            </w:r>
            <w:r w:rsidRPr="00354796">
              <w:t xml:space="preserve">; w tym kontekście zwraca się do Komisji o przedstawienie sprawozdania na temat wpływu tych artykułów na ograniczenie liczby oszustw, koszty zapewnienia zgodności z przepisami i przenoszenie </w:t>
            </w:r>
            <w:r w:rsidRPr="00354796">
              <w:lastRenderedPageBreak/>
              <w:t>oszustw; zwraca się ponadto do Komisji o przedstawienie sprawozdania na temat wpływu wprowadzenia pakietu dotyczącego VA</w:t>
            </w:r>
            <w:r w:rsidRPr="00354796">
              <w:t>T w epoce cyfrowej na wdrożenie tych artykułów, w tym na temat tego, czy mechanizm odwrotnego obciążenia będzie nadal konieczny po wdrożeniu wymogów sprawozdawczości cyfrowej przewidzianych w tym pakiecie;</w:t>
            </w:r>
          </w:p>
        </w:tc>
      </w:tr>
    </w:tbl>
    <w:p w14:paraId="65197BA2"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1DA8E01A" w14:textId="77777777" w:rsidR="005A79DB" w:rsidRPr="00354796" w:rsidRDefault="006E31A1">
      <w:r w:rsidRPr="00354796">
        <w:rPr>
          <w:rStyle w:val="HideTWBExt"/>
        </w:rPr>
        <w:t>&lt;/Amend&gt;</w:t>
      </w:r>
    </w:p>
    <w:p w14:paraId="72AA0EA6"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100</w:t>
      </w:r>
      <w:r w:rsidRPr="00354796">
        <w:rPr>
          <w:rStyle w:val="HideTWBExt"/>
        </w:rPr>
        <w:t>&lt;/NumAm&gt;</w:t>
      </w:r>
    </w:p>
    <w:p w14:paraId="0100E1E8" w14:textId="77777777" w:rsidR="005A79DB" w:rsidRPr="00354796" w:rsidRDefault="006E31A1">
      <w:pPr>
        <w:pStyle w:val="NormalBold"/>
      </w:pPr>
      <w:r w:rsidRPr="00354796">
        <w:rPr>
          <w:rStyle w:val="HideTWBExt"/>
          <w:b w:val="0"/>
        </w:rPr>
        <w:t>&lt;RepeatBlock-By&gt;&lt;Members&gt;</w:t>
      </w:r>
      <w:proofErr w:type="spellStart"/>
      <w:r w:rsidRPr="00354796">
        <w:t>Ľudovít</w:t>
      </w:r>
      <w:proofErr w:type="spellEnd"/>
      <w:r w:rsidRPr="00354796">
        <w:t xml:space="preserve"> </w:t>
      </w:r>
      <w:proofErr w:type="spellStart"/>
      <w:r w:rsidRPr="00354796">
        <w:t>Ódor</w:t>
      </w:r>
      <w:proofErr w:type="spellEnd"/>
      <w:r w:rsidRPr="00354796">
        <w:rPr>
          <w:rStyle w:val="HideTWBExt"/>
          <w:b w:val="0"/>
        </w:rPr>
        <w:t>&lt;/Members&gt;</w:t>
      </w:r>
    </w:p>
    <w:p w14:paraId="19E72E77" w14:textId="77777777" w:rsidR="005A79DB" w:rsidRPr="00354796" w:rsidRDefault="006E31A1">
      <w:pPr>
        <w:pStyle w:val="NormalBold"/>
      </w:pPr>
      <w:r w:rsidRPr="00354796">
        <w:rPr>
          <w:rStyle w:val="HideTWBExt"/>
          <w:b w:val="0"/>
        </w:rPr>
        <w:t>&lt;/RepeatBlock-By&gt;</w:t>
      </w:r>
    </w:p>
    <w:p w14:paraId="54EE5303"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55F37FE1" w14:textId="77777777" w:rsidR="005A79DB" w:rsidRPr="00354796" w:rsidRDefault="006E31A1">
      <w:pPr>
        <w:pStyle w:val="NormalBold"/>
      </w:pPr>
      <w:r w:rsidRPr="00354796">
        <w:rPr>
          <w:rStyle w:val="HideTWBExt"/>
        </w:rPr>
        <w:t>&lt;Article&gt;</w:t>
      </w:r>
      <w:r w:rsidRPr="00354796">
        <w:t>Ustęp 23 a (nowy)</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6803B23C" w14:textId="77777777">
        <w:trPr>
          <w:trHeight w:hRule="exact" w:val="240"/>
          <w:jc w:val="center"/>
        </w:trPr>
        <w:tc>
          <w:tcPr>
            <w:tcW w:w="9752" w:type="dxa"/>
            <w:gridSpan w:val="2"/>
            <w:tcBorders>
              <w:top w:val="nil"/>
              <w:left w:val="nil"/>
              <w:bottom w:val="nil"/>
              <w:right w:val="nil"/>
            </w:tcBorders>
          </w:tcPr>
          <w:p w14:paraId="797DBE8A" w14:textId="77777777" w:rsidR="005A79DB" w:rsidRPr="00354796" w:rsidRDefault="005A79DB"/>
        </w:tc>
      </w:tr>
      <w:tr w:rsidR="005A79DB" w:rsidRPr="00354796" w14:paraId="7FF295A4" w14:textId="77777777">
        <w:trPr>
          <w:trHeight w:val="240"/>
          <w:jc w:val="center"/>
        </w:trPr>
        <w:tc>
          <w:tcPr>
            <w:tcW w:w="4876" w:type="dxa"/>
            <w:tcBorders>
              <w:top w:val="nil"/>
              <w:left w:val="nil"/>
              <w:bottom w:val="nil"/>
              <w:right w:val="nil"/>
            </w:tcBorders>
          </w:tcPr>
          <w:p w14:paraId="70D99C9C"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759ED54" w14:textId="77777777" w:rsidR="005A79DB" w:rsidRPr="00354796" w:rsidRDefault="006E31A1">
            <w:pPr>
              <w:pStyle w:val="AmColumnHeading"/>
            </w:pPr>
            <w:r w:rsidRPr="00354796">
              <w:t>Poprawka</w:t>
            </w:r>
          </w:p>
        </w:tc>
      </w:tr>
      <w:tr w:rsidR="005A79DB" w:rsidRPr="00354796" w14:paraId="6823235F" w14:textId="77777777">
        <w:trPr>
          <w:jc w:val="center"/>
        </w:trPr>
        <w:tc>
          <w:tcPr>
            <w:tcW w:w="4876" w:type="dxa"/>
            <w:tcBorders>
              <w:top w:val="nil"/>
              <w:left w:val="nil"/>
              <w:bottom w:val="nil"/>
              <w:right w:val="nil"/>
            </w:tcBorders>
          </w:tcPr>
          <w:p w14:paraId="1863A486" w14:textId="77777777" w:rsidR="005A79DB" w:rsidRPr="00354796" w:rsidRDefault="005A79DB">
            <w:pPr>
              <w:pStyle w:val="Normal6a"/>
            </w:pPr>
          </w:p>
        </w:tc>
        <w:tc>
          <w:tcPr>
            <w:tcW w:w="4876" w:type="dxa"/>
            <w:tcBorders>
              <w:top w:val="nil"/>
              <w:left w:val="nil"/>
              <w:bottom w:val="nil"/>
              <w:right w:val="nil"/>
            </w:tcBorders>
          </w:tcPr>
          <w:p w14:paraId="41AB6A8B" w14:textId="77777777" w:rsidR="005A79DB" w:rsidRPr="00354796" w:rsidRDefault="006E31A1">
            <w:pPr>
              <w:pStyle w:val="Normal6a"/>
            </w:pPr>
            <w:r w:rsidRPr="00354796">
              <w:rPr>
                <w:b/>
                <w:i/>
              </w:rPr>
              <w:t>23a.</w:t>
            </w:r>
            <w:r w:rsidRPr="00354796">
              <w:tab/>
            </w:r>
            <w:r w:rsidRPr="00354796">
              <w:rPr>
                <w:b/>
                <w:i/>
              </w:rPr>
              <w:t xml:space="preserve">wzywa Komisję do wymiany </w:t>
            </w:r>
            <w:r w:rsidRPr="00354796">
              <w:rPr>
                <w:b/>
                <w:i/>
              </w:rPr>
              <w:t>najlepszych praktyk w celu przeciwdziałania utrzymującym się oszustwom w sektorze małych przedsiębiorstw handlowych, które w znacznym stopniu przyczyniają się do ogólnej skali oszustw związanych z VAT;</w:t>
            </w:r>
          </w:p>
        </w:tc>
      </w:tr>
    </w:tbl>
    <w:p w14:paraId="2710DB4A" w14:textId="77777777" w:rsidR="005A79DB" w:rsidRPr="00354796" w:rsidRDefault="006E31A1">
      <w:pPr>
        <w:pStyle w:val="AmOrLang"/>
      </w:pPr>
      <w:r w:rsidRPr="00354796">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4CB96F50" w14:textId="77777777" w:rsidR="005A79DB" w:rsidRPr="00354796" w:rsidRDefault="006E31A1">
      <w:r w:rsidRPr="00354796">
        <w:rPr>
          <w:rStyle w:val="HideTWBExt"/>
        </w:rPr>
        <w:t>&lt;/Amend&gt;</w:t>
      </w:r>
    </w:p>
    <w:p w14:paraId="00F02A35" w14:textId="77777777" w:rsidR="005A79DB" w:rsidRPr="00354796" w:rsidRDefault="006E31A1">
      <w:pPr>
        <w:pStyle w:val="AmNumberTabs"/>
      </w:pPr>
      <w:r w:rsidRPr="00354796">
        <w:rPr>
          <w:rStyle w:val="HideTWBExt"/>
        </w:rPr>
        <w:t>&lt;Amend&gt;</w:t>
      </w:r>
      <w:r w:rsidRPr="00354796">
        <w:t>Poprawka</w:t>
      </w:r>
      <w:r w:rsidRPr="00354796">
        <w:tab/>
      </w:r>
      <w:r w:rsidRPr="00354796">
        <w:tab/>
      </w:r>
      <w:r w:rsidRPr="00354796">
        <w:rPr>
          <w:rStyle w:val="HideTWBExt"/>
        </w:rPr>
        <w:t>&lt;NumAm&gt;</w:t>
      </w:r>
      <w:r w:rsidRPr="00354796">
        <w:t>101</w:t>
      </w:r>
      <w:r w:rsidRPr="00354796">
        <w:rPr>
          <w:rStyle w:val="HideTWBExt"/>
        </w:rPr>
        <w:t>&lt;/NumAm&gt;</w:t>
      </w:r>
    </w:p>
    <w:p w14:paraId="188FD413" w14:textId="77777777" w:rsidR="005A79DB" w:rsidRPr="00354796" w:rsidRDefault="006E31A1">
      <w:pPr>
        <w:pStyle w:val="NormalBold"/>
      </w:pPr>
      <w:r w:rsidRPr="00354796">
        <w:rPr>
          <w:rStyle w:val="HideTWBExt"/>
          <w:b w:val="0"/>
        </w:rPr>
        <w:t>&lt;RepeatBlock-By&gt;&lt;Members&gt;</w:t>
      </w:r>
      <w:r w:rsidRPr="00354796">
        <w:t xml:space="preserve">Bruno </w:t>
      </w:r>
      <w:proofErr w:type="spellStart"/>
      <w:r w:rsidRPr="00354796">
        <w:t>Gonçalves</w:t>
      </w:r>
      <w:proofErr w:type="spellEnd"/>
      <w:r w:rsidRPr="00354796">
        <w:t xml:space="preserve">, </w:t>
      </w:r>
      <w:proofErr w:type="spellStart"/>
      <w:r w:rsidRPr="00354796">
        <w:t>Jonás</w:t>
      </w:r>
      <w:proofErr w:type="spellEnd"/>
      <w:r w:rsidRPr="00354796">
        <w:t xml:space="preserve"> </w:t>
      </w:r>
      <w:proofErr w:type="spellStart"/>
      <w:r w:rsidRPr="00354796">
        <w:t>Fernández</w:t>
      </w:r>
      <w:proofErr w:type="spellEnd"/>
      <w:r w:rsidRPr="00354796">
        <w:t xml:space="preserve">, </w:t>
      </w:r>
      <w:proofErr w:type="spellStart"/>
      <w:r w:rsidRPr="00354796">
        <w:t>Evelyn</w:t>
      </w:r>
      <w:proofErr w:type="spellEnd"/>
      <w:r w:rsidRPr="00354796">
        <w:t xml:space="preserve"> </w:t>
      </w:r>
      <w:proofErr w:type="spellStart"/>
      <w:r w:rsidRPr="00354796">
        <w:t>Regner</w:t>
      </w:r>
      <w:proofErr w:type="spellEnd"/>
      <w:r w:rsidRPr="00354796">
        <w:t xml:space="preserve">, Niels </w:t>
      </w:r>
      <w:proofErr w:type="spellStart"/>
      <w:r w:rsidRPr="00354796">
        <w:t>Fuglsang</w:t>
      </w:r>
      <w:proofErr w:type="spellEnd"/>
      <w:r w:rsidRPr="00354796">
        <w:rPr>
          <w:rStyle w:val="HideTWBExt"/>
          <w:b w:val="0"/>
        </w:rPr>
        <w:t>&lt;/Members&gt;</w:t>
      </w:r>
    </w:p>
    <w:p w14:paraId="60C7A5CF" w14:textId="77777777" w:rsidR="005A79DB" w:rsidRPr="00354796" w:rsidRDefault="006E31A1">
      <w:pPr>
        <w:pStyle w:val="NormalBold"/>
      </w:pPr>
      <w:r w:rsidRPr="00354796">
        <w:rPr>
          <w:rStyle w:val="HideTWBExt"/>
          <w:b w:val="0"/>
        </w:rPr>
        <w:t>&lt;/RepeatBlock-By&gt;</w:t>
      </w:r>
    </w:p>
    <w:p w14:paraId="6630D16C" w14:textId="77777777" w:rsidR="005A79DB" w:rsidRPr="00354796" w:rsidRDefault="006E31A1">
      <w:pPr>
        <w:pStyle w:val="NormalBold"/>
      </w:pPr>
      <w:r w:rsidRPr="00354796">
        <w:rPr>
          <w:rStyle w:val="HideTWBExt"/>
        </w:rPr>
        <w:t>&lt;DocAmend&gt;</w:t>
      </w:r>
      <w:r w:rsidRPr="00354796">
        <w:t>Projekt rezolucji</w:t>
      </w:r>
      <w:r w:rsidRPr="00354796">
        <w:rPr>
          <w:rStyle w:val="HideTWBExt"/>
        </w:rPr>
        <w:t>&lt;/DocAmend&gt;</w:t>
      </w:r>
    </w:p>
    <w:p w14:paraId="79DF0EDF" w14:textId="77777777" w:rsidR="005A79DB" w:rsidRPr="00354796" w:rsidRDefault="006E31A1">
      <w:pPr>
        <w:pStyle w:val="NormalBold"/>
      </w:pPr>
      <w:r w:rsidRPr="00354796">
        <w:rPr>
          <w:rStyle w:val="HideTWBExt"/>
        </w:rPr>
        <w:t>&lt;Article&gt;</w:t>
      </w:r>
      <w:r w:rsidRPr="00354796">
        <w:t>Ustęp 24</w:t>
      </w:r>
      <w:r w:rsidRPr="00354796">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79DB" w:rsidRPr="00354796" w14:paraId="2DC7B2AD" w14:textId="77777777">
        <w:trPr>
          <w:trHeight w:hRule="exact" w:val="240"/>
          <w:jc w:val="center"/>
        </w:trPr>
        <w:tc>
          <w:tcPr>
            <w:tcW w:w="9752" w:type="dxa"/>
            <w:gridSpan w:val="2"/>
            <w:tcBorders>
              <w:top w:val="nil"/>
              <w:left w:val="nil"/>
              <w:bottom w:val="nil"/>
              <w:right w:val="nil"/>
            </w:tcBorders>
          </w:tcPr>
          <w:p w14:paraId="7D4A7DC4" w14:textId="77777777" w:rsidR="005A79DB" w:rsidRPr="00354796" w:rsidRDefault="005A79DB"/>
        </w:tc>
      </w:tr>
      <w:tr w:rsidR="005A79DB" w:rsidRPr="00354796" w14:paraId="0F30F4B9" w14:textId="77777777">
        <w:trPr>
          <w:trHeight w:val="240"/>
          <w:jc w:val="center"/>
        </w:trPr>
        <w:tc>
          <w:tcPr>
            <w:tcW w:w="4876" w:type="dxa"/>
            <w:tcBorders>
              <w:top w:val="nil"/>
              <w:left w:val="nil"/>
              <w:bottom w:val="nil"/>
              <w:right w:val="nil"/>
            </w:tcBorders>
          </w:tcPr>
          <w:p w14:paraId="611E7508" w14:textId="77777777" w:rsidR="005A79DB" w:rsidRPr="00354796" w:rsidRDefault="006E31A1">
            <w:pPr>
              <w:pStyle w:val="AmColumnHeading"/>
            </w:pPr>
            <w:r w:rsidRPr="00354796">
              <w:t>Projekt rezolucji</w:t>
            </w:r>
          </w:p>
        </w:tc>
        <w:tc>
          <w:tcPr>
            <w:tcW w:w="4876" w:type="dxa"/>
            <w:tcBorders>
              <w:top w:val="nil"/>
              <w:left w:val="nil"/>
              <w:bottom w:val="nil"/>
              <w:right w:val="nil"/>
            </w:tcBorders>
          </w:tcPr>
          <w:p w14:paraId="687C9A1B" w14:textId="77777777" w:rsidR="005A79DB" w:rsidRPr="00354796" w:rsidRDefault="006E31A1">
            <w:pPr>
              <w:pStyle w:val="AmColumnHeading"/>
            </w:pPr>
            <w:r w:rsidRPr="00354796">
              <w:t>Poprawka</w:t>
            </w:r>
          </w:p>
        </w:tc>
      </w:tr>
      <w:tr w:rsidR="005A79DB" w:rsidRPr="00354796" w14:paraId="5016B084" w14:textId="77777777">
        <w:trPr>
          <w:jc w:val="center"/>
        </w:trPr>
        <w:tc>
          <w:tcPr>
            <w:tcW w:w="4876" w:type="dxa"/>
            <w:tcBorders>
              <w:top w:val="nil"/>
              <w:left w:val="nil"/>
              <w:bottom w:val="nil"/>
              <w:right w:val="nil"/>
            </w:tcBorders>
          </w:tcPr>
          <w:p w14:paraId="64291ACC" w14:textId="77777777" w:rsidR="005A79DB" w:rsidRPr="00354796" w:rsidRDefault="006E31A1">
            <w:pPr>
              <w:pStyle w:val="Normal6a"/>
            </w:pPr>
            <w:r w:rsidRPr="00354796">
              <w:t>24.</w:t>
            </w:r>
            <w:r w:rsidRPr="00354796">
              <w:tab/>
            </w:r>
            <w:r w:rsidRPr="00354796">
              <w:t xml:space="preserve">wzywa do </w:t>
            </w:r>
            <w:r w:rsidRPr="00354796">
              <w:rPr>
                <w:b/>
                <w:bCs/>
                <w:i/>
                <w:iCs/>
              </w:rPr>
              <w:t>ściślejszej</w:t>
            </w:r>
            <w:r w:rsidRPr="00354796">
              <w:t xml:space="preserve"> wymiany informacji między państwami członkowskimi, </w:t>
            </w:r>
            <w:proofErr w:type="spellStart"/>
            <w:r w:rsidRPr="00354796">
              <w:t>Eurofisc</w:t>
            </w:r>
            <w:proofErr w:type="spellEnd"/>
            <w:r w:rsidRPr="00354796">
              <w:rPr>
                <w:b/>
                <w:bCs/>
                <w:i/>
                <w:iCs/>
              </w:rPr>
              <w:t xml:space="preserve"> i</w:t>
            </w:r>
            <w:r w:rsidRPr="00354796">
              <w:t xml:space="preserve"> Komisją </w:t>
            </w:r>
            <w:proofErr w:type="gramStart"/>
            <w:r w:rsidRPr="00354796">
              <w:t>oraz</w:t>
            </w:r>
            <w:r w:rsidRPr="00354796">
              <w:rPr>
                <w:b/>
                <w:bCs/>
                <w:i/>
                <w:iCs/>
              </w:rPr>
              <w:t>,</w:t>
            </w:r>
            <w:proofErr w:type="gramEnd"/>
            <w:r w:rsidRPr="00354796">
              <w:rPr>
                <w:b/>
                <w:bCs/>
                <w:i/>
                <w:iCs/>
              </w:rPr>
              <w:t xml:space="preserve"> w stosownych przypadkach, z</w:t>
            </w:r>
            <w:r w:rsidRPr="00354796">
              <w:t xml:space="preserve"> EPPO i Europejskim Urzędem ds. Zwalczania Nadużyć Finansowych, aby zidentyfikować nowe mechanizmy </w:t>
            </w:r>
            <w:r w:rsidRPr="00354796">
              <w:lastRenderedPageBreak/>
              <w:t>nadużyć i przypadki przenoszenia oszustw w wyniku podjętych działań;</w:t>
            </w:r>
          </w:p>
        </w:tc>
        <w:tc>
          <w:tcPr>
            <w:tcW w:w="4876" w:type="dxa"/>
            <w:tcBorders>
              <w:top w:val="nil"/>
              <w:left w:val="nil"/>
              <w:bottom w:val="nil"/>
              <w:right w:val="nil"/>
            </w:tcBorders>
          </w:tcPr>
          <w:p w14:paraId="17F5E9CA" w14:textId="77777777" w:rsidR="005A79DB" w:rsidRPr="00354796" w:rsidRDefault="006E31A1">
            <w:pPr>
              <w:pStyle w:val="Normal6a"/>
            </w:pPr>
            <w:r w:rsidRPr="00354796">
              <w:lastRenderedPageBreak/>
              <w:t>24.</w:t>
            </w:r>
            <w:r w:rsidRPr="00354796">
              <w:tab/>
              <w:t xml:space="preserve">wzywa do </w:t>
            </w:r>
            <w:r w:rsidRPr="00354796">
              <w:rPr>
                <w:b/>
                <w:bCs/>
                <w:i/>
                <w:iCs/>
              </w:rPr>
              <w:t>kompleksowej i systematycznej</w:t>
            </w:r>
            <w:r w:rsidRPr="00354796">
              <w:t xml:space="preserve"> wymiany informacji między państwami członkowskimi, </w:t>
            </w:r>
            <w:proofErr w:type="spellStart"/>
            <w:r w:rsidRPr="00354796">
              <w:t>Eurofisc</w:t>
            </w:r>
            <w:proofErr w:type="spellEnd"/>
            <w:r w:rsidRPr="00354796">
              <w:rPr>
                <w:b/>
                <w:bCs/>
                <w:i/>
                <w:iCs/>
              </w:rPr>
              <w:t xml:space="preserve">, </w:t>
            </w:r>
            <w:r w:rsidRPr="00354796">
              <w:t xml:space="preserve">Komisją oraz EPPO i Europejskim Urzędem ds. Zwalczania Nadużyć Finansowych, aby zidentyfikować nowe mechanizmy </w:t>
            </w:r>
            <w:r w:rsidRPr="00354796">
              <w:lastRenderedPageBreak/>
              <w:t>nadużyć i przypadki przenoszenia oszustw w wyniku podjętych działań;</w:t>
            </w:r>
          </w:p>
        </w:tc>
      </w:tr>
    </w:tbl>
    <w:p w14:paraId="117E9265" w14:textId="77777777" w:rsidR="005A79DB" w:rsidRPr="00354796" w:rsidRDefault="006E31A1">
      <w:pPr>
        <w:pStyle w:val="AmOrLang"/>
      </w:pPr>
      <w:r w:rsidRPr="00354796">
        <w:lastRenderedPageBreak/>
        <w:t xml:space="preserve">Or. </w:t>
      </w:r>
      <w:r w:rsidRPr="00354796">
        <w:rPr>
          <w:rStyle w:val="HideTWBExt"/>
        </w:rPr>
        <w:t>&lt;Original&gt;</w:t>
      </w:r>
      <w:r w:rsidRPr="00354796">
        <w:rPr>
          <w:rStyle w:val="HideTWBInt"/>
        </w:rPr>
        <w:t>{EN}</w:t>
      </w:r>
      <w:r w:rsidRPr="00354796">
        <w:t>en</w:t>
      </w:r>
      <w:r w:rsidRPr="00354796">
        <w:rPr>
          <w:rStyle w:val="HideTWBExt"/>
        </w:rPr>
        <w:t>&lt;/Original&gt;</w:t>
      </w:r>
    </w:p>
    <w:p w14:paraId="3FC2E962" w14:textId="77777777" w:rsidR="005A79DB" w:rsidRPr="00354796" w:rsidRDefault="006E31A1">
      <w:r w:rsidRPr="00354796">
        <w:rPr>
          <w:rStyle w:val="HideTWBExt"/>
        </w:rPr>
        <w:t>&lt;/Amend&gt;</w:t>
      </w:r>
    </w:p>
    <w:p w14:paraId="33803363" w14:textId="77777777" w:rsidR="005A79DB" w:rsidRPr="00354796" w:rsidRDefault="006E31A1">
      <w:r w:rsidRPr="00354796">
        <w:rPr>
          <w:rStyle w:val="HideTWBExt"/>
        </w:rPr>
        <w:t>&lt;/RepeatBlock-Amend&gt;</w:t>
      </w:r>
    </w:p>
    <w:sectPr w:rsidR="005A79DB" w:rsidRPr="00354796" w:rsidSect="0035479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3709A" w14:textId="77777777" w:rsidR="006E31A1" w:rsidRPr="00354796" w:rsidRDefault="006E31A1">
      <w:r w:rsidRPr="00354796">
        <w:separator/>
      </w:r>
    </w:p>
  </w:endnote>
  <w:endnote w:type="continuationSeparator" w:id="0">
    <w:p w14:paraId="2A8DD13B" w14:textId="77777777" w:rsidR="006E31A1" w:rsidRPr="00354796" w:rsidRDefault="006E31A1">
      <w:r w:rsidRPr="003547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AF2E3" w14:textId="77777777" w:rsidR="00354796" w:rsidRPr="00354796" w:rsidRDefault="00354796" w:rsidP="00354796">
    <w:pPr>
      <w:pStyle w:val="EPFooter"/>
    </w:pPr>
    <w:r w:rsidRPr="00354796">
      <w:t>PE</w:t>
    </w:r>
    <w:r w:rsidRPr="00354796">
      <w:rPr>
        <w:rStyle w:val="HideTWBExt"/>
      </w:rPr>
      <w:t>&lt;NoPE&gt;</w:t>
    </w:r>
    <w:r w:rsidRPr="00354796">
      <w:t>790.253</w:t>
    </w:r>
    <w:r w:rsidRPr="00354796">
      <w:rPr>
        <w:rStyle w:val="HideTWBExt"/>
      </w:rPr>
      <w:t>&lt;/NoPE&gt;&lt;Version&gt;</w:t>
    </w:r>
    <w:r w:rsidRPr="00354796">
      <w:t>v01-00</w:t>
    </w:r>
    <w:r w:rsidRPr="00354796">
      <w:rPr>
        <w:rStyle w:val="HideTWBExt"/>
      </w:rPr>
      <w:t>&lt;/Version&gt;</w:t>
    </w:r>
    <w:r w:rsidRPr="00354796">
      <w:tab/>
    </w:r>
    <w:r w:rsidRPr="00354796">
      <w:fldChar w:fldCharType="begin"/>
    </w:r>
    <w:r w:rsidRPr="00354796">
      <w:instrText xml:space="preserve"> PAGE  \* MERGEFORMAT </w:instrText>
    </w:r>
    <w:r w:rsidRPr="00354796">
      <w:fldChar w:fldCharType="separate"/>
    </w:r>
    <w:r w:rsidRPr="00354796">
      <w:rPr>
        <w:noProof/>
      </w:rPr>
      <w:t>2</w:t>
    </w:r>
    <w:r w:rsidRPr="00354796">
      <w:fldChar w:fldCharType="end"/>
    </w:r>
    <w:r w:rsidRPr="00354796">
      <w:t>/</w:t>
    </w:r>
    <w:fldSimple w:instr=" NUMPAGES  \* MERGEFORMAT ">
      <w:r w:rsidRPr="00354796">
        <w:rPr>
          <w:noProof/>
        </w:rPr>
        <w:t>55</w:t>
      </w:r>
    </w:fldSimple>
    <w:r w:rsidRPr="00354796">
      <w:tab/>
    </w:r>
    <w:r w:rsidRPr="00354796">
      <w:rPr>
        <w:rStyle w:val="HideTWBExt"/>
      </w:rPr>
      <w:t>&lt;PathFdR&gt;</w:t>
    </w:r>
    <w:r w:rsidRPr="00354796">
      <w:t>AM\1346951PL.docx</w:t>
    </w:r>
    <w:r w:rsidRPr="00354796">
      <w:rPr>
        <w:rStyle w:val="HideTWBExt"/>
      </w:rPr>
      <w:t>&lt;/PathFdR&gt;</w:t>
    </w:r>
  </w:p>
  <w:p w14:paraId="1C5838A2" w14:textId="751FEADB" w:rsidR="005A79DB" w:rsidRPr="00354796" w:rsidRDefault="00354796" w:rsidP="00354796">
    <w:pPr>
      <w:pStyle w:val="EPFooter2"/>
    </w:pPr>
    <w:r w:rsidRPr="00354796">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960" w14:textId="77777777" w:rsidR="00354796" w:rsidRPr="00354796" w:rsidRDefault="00354796" w:rsidP="00354796">
    <w:pPr>
      <w:pStyle w:val="EPFooter"/>
    </w:pPr>
    <w:r w:rsidRPr="00354796">
      <w:rPr>
        <w:rStyle w:val="HideTWBExt"/>
      </w:rPr>
      <w:t>&lt;PathFdR&gt;</w:t>
    </w:r>
    <w:r w:rsidRPr="00354796">
      <w:t>AM\1346951PL.docx</w:t>
    </w:r>
    <w:r w:rsidRPr="00354796">
      <w:rPr>
        <w:rStyle w:val="HideTWBExt"/>
      </w:rPr>
      <w:t>&lt;/PathFdR&gt;</w:t>
    </w:r>
    <w:r w:rsidRPr="00354796">
      <w:tab/>
    </w:r>
    <w:r w:rsidRPr="00354796">
      <w:fldChar w:fldCharType="begin"/>
    </w:r>
    <w:r w:rsidRPr="00354796">
      <w:instrText xml:space="preserve"> PAGE  \* MERGEFORMAT </w:instrText>
    </w:r>
    <w:r w:rsidRPr="00354796">
      <w:fldChar w:fldCharType="separate"/>
    </w:r>
    <w:r w:rsidRPr="00354796">
      <w:rPr>
        <w:noProof/>
      </w:rPr>
      <w:t>55</w:t>
    </w:r>
    <w:r w:rsidRPr="00354796">
      <w:fldChar w:fldCharType="end"/>
    </w:r>
    <w:r w:rsidRPr="00354796">
      <w:t>/</w:t>
    </w:r>
    <w:fldSimple w:instr=" NUMPAGES  \* MERGEFORMAT ">
      <w:r w:rsidRPr="00354796">
        <w:rPr>
          <w:noProof/>
        </w:rPr>
        <w:t>55</w:t>
      </w:r>
    </w:fldSimple>
    <w:r w:rsidRPr="00354796">
      <w:tab/>
      <w:t>PE</w:t>
    </w:r>
    <w:r w:rsidRPr="00354796">
      <w:rPr>
        <w:rStyle w:val="HideTWBExt"/>
      </w:rPr>
      <w:t>&lt;NoPE&gt;</w:t>
    </w:r>
    <w:r w:rsidRPr="00354796">
      <w:t>790.253</w:t>
    </w:r>
    <w:r w:rsidRPr="00354796">
      <w:rPr>
        <w:rStyle w:val="HideTWBExt"/>
      </w:rPr>
      <w:t>&lt;/NoPE&gt;&lt;Version&gt;</w:t>
    </w:r>
    <w:r w:rsidRPr="00354796">
      <w:t>v01-00</w:t>
    </w:r>
    <w:r w:rsidRPr="00354796">
      <w:rPr>
        <w:rStyle w:val="HideTWBExt"/>
      </w:rPr>
      <w:t>&lt;/Version&gt;</w:t>
    </w:r>
  </w:p>
  <w:p w14:paraId="0C66ACBD" w14:textId="7E7E0CDF" w:rsidR="005A79DB" w:rsidRPr="00354796" w:rsidRDefault="00354796" w:rsidP="00354796">
    <w:pPr>
      <w:pStyle w:val="EPFooter2"/>
    </w:pPr>
    <w:r w:rsidRPr="00354796">
      <w:tab/>
    </w:r>
    <w:r w:rsidRPr="00354796">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F087" w14:textId="77777777" w:rsidR="00354796" w:rsidRPr="00354796" w:rsidRDefault="00354796" w:rsidP="00354796">
    <w:pPr>
      <w:pStyle w:val="EPFooter"/>
    </w:pPr>
    <w:r w:rsidRPr="00354796">
      <w:rPr>
        <w:rStyle w:val="HideTWBExt"/>
      </w:rPr>
      <w:t>&lt;PathFdR&gt;</w:t>
    </w:r>
    <w:r w:rsidRPr="00354796">
      <w:t>AM\1346951PL.docx</w:t>
    </w:r>
    <w:r w:rsidRPr="00354796">
      <w:rPr>
        <w:rStyle w:val="HideTWBExt"/>
      </w:rPr>
      <w:t>&lt;/PathFdR&gt;</w:t>
    </w:r>
    <w:r w:rsidRPr="00354796">
      <w:tab/>
    </w:r>
    <w:r w:rsidRPr="00354796">
      <w:tab/>
      <w:t>PE</w:t>
    </w:r>
    <w:r w:rsidRPr="00354796">
      <w:rPr>
        <w:rStyle w:val="HideTWBExt"/>
      </w:rPr>
      <w:t>&lt;NoPE&gt;</w:t>
    </w:r>
    <w:r w:rsidRPr="00354796">
      <w:t>790.253</w:t>
    </w:r>
    <w:r w:rsidRPr="00354796">
      <w:rPr>
        <w:rStyle w:val="HideTWBExt"/>
      </w:rPr>
      <w:t>&lt;/NoPE&gt;&lt;Version&gt;</w:t>
    </w:r>
    <w:r w:rsidRPr="00354796">
      <w:t>v01-00</w:t>
    </w:r>
    <w:r w:rsidRPr="00354796">
      <w:rPr>
        <w:rStyle w:val="HideTWBExt"/>
      </w:rPr>
      <w:t>&lt;/Version&gt;</w:t>
    </w:r>
  </w:p>
  <w:p w14:paraId="630BEF20" w14:textId="10F3C881" w:rsidR="005A79DB" w:rsidRPr="00354796" w:rsidRDefault="00354796" w:rsidP="00354796">
    <w:pPr>
      <w:pStyle w:val="EPFooter2"/>
    </w:pPr>
    <w:r w:rsidRPr="00354796">
      <w:t>PL</w:t>
    </w:r>
    <w:r w:rsidRPr="00354796">
      <w:tab/>
    </w:r>
    <w:r w:rsidRPr="00354796">
      <w:rPr>
        <w:b w:val="0"/>
        <w:i/>
        <w:color w:val="C0C0C0"/>
        <w:sz w:val="22"/>
      </w:rPr>
      <w:t>Zjednoczona w różnorodności</w:t>
    </w:r>
    <w:r w:rsidRPr="00354796">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61930" w14:textId="77777777" w:rsidR="006E31A1" w:rsidRPr="00354796" w:rsidRDefault="006E31A1">
      <w:r w:rsidRPr="00354796">
        <w:separator/>
      </w:r>
    </w:p>
  </w:footnote>
  <w:footnote w:type="continuationSeparator" w:id="0">
    <w:p w14:paraId="194D2F72" w14:textId="77777777" w:rsidR="006E31A1" w:rsidRPr="00354796" w:rsidRDefault="006E31A1">
      <w:r w:rsidRPr="003547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48195" w14:textId="77777777" w:rsidR="00057313" w:rsidRDefault="00057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0353" w14:textId="77777777" w:rsidR="00057313" w:rsidRDefault="000573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C81C" w14:textId="77777777" w:rsidR="00057313" w:rsidRDefault="000573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90.253"/>
    <w:docVar w:name="TXTPEorAP" w:val="PE"/>
    <w:docVar w:name="TXTVERSION" w:val="01-00"/>
  </w:docVars>
  <w:rsids>
    <w:rsidRoot w:val="00A77B3E"/>
    <w:rsid w:val="00057313"/>
    <w:rsid w:val="00177D09"/>
    <w:rsid w:val="00354796"/>
    <w:rsid w:val="005A79DB"/>
    <w:rsid w:val="006E31A1"/>
    <w:rsid w:val="00A77B3E"/>
    <w:rsid w:val="00CA2A55"/>
    <w:rsid w:val="00CB0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E8523D8"/>
  <w15:docId w15:val="{F01ED8E4-F8B0-438B-BFAD-8B5ECF72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54796"/>
    <w:pPr>
      <w:tabs>
        <w:tab w:val="center" w:pos="4513"/>
        <w:tab w:val="right" w:pos="9026"/>
      </w:tabs>
    </w:pPr>
  </w:style>
  <w:style w:type="character" w:customStyle="1" w:styleId="HeaderChar">
    <w:name w:val="Header Char"/>
    <w:basedOn w:val="DefaultParagraphFont"/>
    <w:link w:val="Header"/>
    <w:rsid w:val="00354796"/>
    <w:rPr>
      <w:sz w:val="24"/>
      <w:szCs w:val="24"/>
    </w:rPr>
  </w:style>
  <w:style w:type="paragraph" w:styleId="Footer">
    <w:name w:val="footer"/>
    <w:basedOn w:val="Normal"/>
    <w:link w:val="FooterChar"/>
    <w:rsid w:val="00057313"/>
    <w:pPr>
      <w:tabs>
        <w:tab w:val="center" w:pos="4513"/>
        <w:tab w:val="right" w:pos="9026"/>
      </w:tabs>
    </w:pPr>
  </w:style>
  <w:style w:type="character" w:customStyle="1" w:styleId="FooterChar">
    <w:name w:val="Footer Char"/>
    <w:basedOn w:val="DefaultParagraphFont"/>
    <w:link w:val="Footer"/>
    <w:rsid w:val="0005731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55</Pages>
  <Words>9099</Words>
  <Characters>60931</Characters>
  <Application>Microsoft Office Word</Application>
  <DocSecurity>0</DocSecurity>
  <Lines>2784</Lines>
  <Paragraphs>904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WOJCIECHOWSKA Joanna</cp:lastModifiedBy>
  <cp:revision>2</cp:revision>
  <dcterms:created xsi:type="dcterms:W3CDTF">2026-07-23T09:02:00Z</dcterms:created>
  <dcterms:modified xsi:type="dcterms:W3CDTF">2026-07-23T09:02:00Z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1346951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570587</vt:lpwstr>
  </property>
  <property fmtid="{D5CDD505-2E9C-101B-9397-08002B2CF9AE}" pid="7" name="dmxml.render.traceId">
    <vt:lpwstr>6a4fb9826c09353dd7a8409f1d819f3c</vt:lpwstr>
  </property>
  <property fmtid="{D5CDD505-2E9C-101B-9397-08002B2CF9AE}" pid="8" name="FooterPath">
    <vt:lpwstr>AM\1346951PL.docx</vt:lpwstr>
  </property>
  <property fmtid="{D5CDD505-2E9C-101B-9397-08002B2CF9AE}" pid="9" name="PE Number">
    <vt:lpwstr>790.253</vt:lpwstr>
  </property>
  <property fmtid="{D5CDD505-2E9C-101B-9397-08002B2CF9AE}" pid="10" name="SDLStudio">
    <vt:lpwstr/>
  </property>
  <property fmtid="{D5CDD505-2E9C-101B-9397-08002B2CF9AE}" pid="11" name="UID">
    <vt:lpwstr>eu.europa.europarl-DIN1-2026-0000213957_02.00-en-01.00_text-xml</vt:lpwstr>
  </property>
  <property fmtid="{D5CDD505-2E9C-101B-9397-08002B2CF9AE}" pid="12" name="RegistreCheck">
    <vt:lpwstr>OK</vt:lpwstr>
  </property>
  <property fmtid="{D5CDD505-2E9C-101B-9397-08002B2CF9AE}" pid="13" name="Bookout">
    <vt:lpwstr>OK - 2026/07/23 11:02</vt:lpwstr>
  </property>
</Properties>
</file>