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Comisia pentru afaceri economice și monetare</w:t>
      </w:r>
      <w:r>
        <w:rPr>
          <w:rStyle w:val="HideTWBExt"/>
        </w:rPr>
        <w:t>&lt;/Commission&gt;</w:t>
      </w:r>
    </w:p>
    <w:p>
      <w:pPr>
        <w:pStyle w:val="LineBottom"/>
      </w:pPr>
      <w:r>
        <w:t xml:space="preserve"> </w:t>
      </w:r>
    </w:p>
    <w:p>
      <w:pPr>
        <w:pStyle w:val="CoverReference"/>
      </w:pPr>
      <w:r>
        <w:rPr>
          <w:rStyle w:val="HideTWBExt"/>
        </w:rPr>
        <w:t>&lt;RefProc&gt;</w:t>
      </w:r>
      <w:r>
        <w:t>2025/2261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{09/07/2026}</w:t>
      </w:r>
      <w:r>
        <w:t>9.7.2026</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w:t>
      </w:r>
      <w:r>
        <w:t xml:space="preserve"> - </w:t>
      </w:r>
      <w:r>
        <w:t>101</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Pierre Pimpie</w:t>
      </w:r>
      <w:r>
        <w:rPr>
          <w:rStyle w:val="HideTWBExt"/>
        </w:rPr>
        <w:t>&lt;/Rapporteur&gt;</w:t>
      </w:r>
    </w:p>
    <w:p>
      <w:pPr>
        <w:pStyle w:val="CoverNormal24a"/>
      </w:pPr>
      <w:r>
        <w:rPr>
          <w:rStyle w:val="HideTWBExt"/>
        </w:rPr>
        <w:t>&lt;DocRefPE&gt;</w:t>
      </w:r>
      <w:r>
        <w:t>(PE788.867v01-00)</w:t>
      </w:r>
      <w:r>
        <w:rPr>
          <w:rStyle w:val="HideTWBExt"/>
        </w:rPr>
        <w:t>&lt;/DocRefPE&gt;</w:t>
      </w:r>
    </w:p>
    <w:p>
      <w:pPr>
        <w:pStyle w:val="CoverNormal"/>
      </w:pPr>
      <w:r>
        <w:rPr>
          <w:rStyle w:val="HideTWBExt"/>
        </w:rPr>
        <w:t>&lt;Titre&gt;</w:t>
      </w:r>
      <w:r>
        <w:t>Mecanismul de taxare inversă a TVA</w:t>
      </w:r>
      <w:r>
        <w:rPr>
          <w:rStyle w:val="HideTWBExt"/>
        </w:rPr>
        <w:t>&lt;/Titre&gt;</w:t>
      </w:r>
    </w:p>
    <w:p>
      <w:pPr>
        <w:pStyle w:val="CoverNormal24a"/>
      </w:pPr>
      <w:r>
        <w:rPr>
          <w:rStyle w:val="HideTWBExt"/>
        </w:rPr>
        <w:t>&lt;DocRef&gt;</w:t>
      </w:r>
      <w:r>
        <w:t>(2025/2261(INI))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8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studiul intitulat „The implementation and impact of the VAT reverse charge mechanism in the EU” (Punerea în aplicare și impactul mecanismului de taxare inversă a TVA în UE)</w:t>
            </w:r>
            <w:r>
              <w:rPr>
                <w:b/>
                <w:i/>
                <w:vertAlign w:val="superscript"/>
              </w:rPr>
              <w:t>7a</w:t>
            </w:r>
            <w:r>
              <w:rPr>
                <w:b/>
                <w:i/>
              </w:rPr>
              <w:t>, publicat de Serviciul de Cercetare al Parlamentului European în iunie 2026,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Studiu - „The implementation and impact of the VAT reverse charge mechanism in the EU” - https://www.europarl.europa.eu/RegData/etudes/STUD/2026/774719/EPRS_STU (2026) 774719_EN.pdf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Herbert Dorfmann, Markus Ferber, Fernando Navarrete Rojas,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15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legislativă a Parlamentului European din 17 iunie 2026 referitoare la propunerea de regulament al Consiliului de modificare a Regulamentului (UE) nr. 904/2010 în ceea ce privește accesul Parchetului European (EPPO) și al Oficiului European de Luptă Antifraudă (OLAF) la informații privind taxa pe valoarea adăugată la nivelul Uniunii (COM(2025)0685 – C10-0298/2025 – 2025/0348(CNS)),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15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propunerea de regulament al Consiliului de modificare a Regulamentului (UE) nr. 904/2010 în ceea ce privește accesul Parchetului European (EPPO) și al Oficiului European de Luptă Antifraudă (OLAF) la informații privind taxa pe valoarea adăugată la nivelul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având în vedere studiul intitulat „The implementation and impact of the VAT reverse charge mechanism in the EU” (Punerea în aplicare și impactul mecanismului de taxare inversă a TVA în UE), publicat de Direcția Generală Servicii de Cercetare Parlamentară (EPRS) la </w:t>
            </w:r>
            <w:r>
              <w:rPr>
                <w:b/>
                <w:i/>
              </w:rPr>
              <w:t>XX</w:t>
            </w:r>
            <w:r>
              <w:t xml:space="preserve"> iunie 2026</w:t>
            </w:r>
            <w:r>
              <w:rPr>
                <w:vertAlign w:val="superscript"/>
              </w:rPr>
              <w:t>14</w:t>
            </w:r>
            <w:r>
              <w:t>,</w:t>
            </w:r>
          </w:p>
        </w:tc>
        <w:tc>
          <w:tcPr>
            <w:tcW w:w="4876" w:type="dxa"/>
            <w:tcBorders>
              <w:top w:val="nil"/>
              <w:left w:val="nil"/>
              <w:bottom w:val="nil"/>
              <w:right w:val="nil"/>
            </w:tcBorders>
          </w:tcPr>
          <w:p>
            <w:pPr>
              <w:pStyle w:val="Normal6a"/>
            </w:pPr>
            <w:r>
              <w:rPr>
                <w:b/>
                <w:i/>
              </w:rPr>
              <w:t>–</w:t>
            </w:r>
            <w:r>
              <w:tab/>
            </w:r>
            <w:r>
              <w:t xml:space="preserve">având în vedere studiul intitulat „The implementation and impact of the VAT reverse charge mechanism in the EU” (Punerea în aplicare și impactul mecanismului de taxare inversă a TVA în UE), publicat de Direcția Generală Servicii de Cercetare Parlamentară (EPRS) la </w:t>
            </w:r>
            <w:r>
              <w:rPr>
                <w:b/>
                <w:i/>
              </w:rPr>
              <w:t>22</w:t>
            </w:r>
            <w:r>
              <w:t xml:space="preserve"> iunie 2026</w:t>
            </w:r>
            <w:r>
              <w:rPr>
                <w:vertAlign w:val="superscript"/>
              </w:rPr>
              <w:t>14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Studiu – „The implementation and impact of the VAT reverse charge mechanism in the EU”, Parlamentul European, EPRS, XX iunie 2026.</w:t>
            </w:r>
          </w:p>
        </w:tc>
        <w:tc>
          <w:tcPr>
            <w:tcW w:w="4876" w:type="dxa"/>
            <w:tcBorders>
              <w:top w:val="nil"/>
              <w:left w:val="nil"/>
              <w:bottom w:val="nil"/>
              <w:right w:val="nil"/>
            </w:tcBorders>
          </w:tcPr>
          <w:p>
            <w:pPr>
              <w:pStyle w:val="Normal6a"/>
            </w:pPr>
            <w:r>
              <w:rPr>
                <w:vertAlign w:val="superscript"/>
              </w:rPr>
              <w:t>14</w:t>
            </w:r>
            <w:r>
              <w:t xml:space="preserve"> </w:t>
            </w:r>
            <w:r>
              <w:t>Studiu – „The implementation and impact of the VAT reverse charge mechanism in the EU”, Parlamentul European, EPRS, XX iunie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16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concluziile reuniunii Consiliului European din 19 martie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16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Eurobarometrul Flash 559 din perioada februarie-aprilie 2025 pe tema „Întreprinderi nou-înființate, întreprinderi în curs de extindere și antreprenoriat”</w:t>
            </w:r>
            <w:r>
              <w:rPr>
                <w:b/>
                <w:i/>
                <w:vertAlign w:val="superscript"/>
              </w:rPr>
              <w:t>14a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Eurobarometru - „Întreprinderi nou-înființate, întreprinderi în curs de extindere și antreprenoriat" - https://europa.eu/eurobarometer/surveys/detail/3359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16 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Eurobarometrul Flash 562 din aprilie 2025 pe tema „Atitudinea cetățenilor față de impozitare”</w:t>
            </w:r>
            <w:r>
              <w:rPr>
                <w:b/>
                <w:i/>
                <w:vertAlign w:val="superscript"/>
              </w:rPr>
              <w:t>14b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14b</w:t>
            </w:r>
            <w:r>
              <w:t xml:space="preserve"> </w:t>
            </w:r>
            <w:r>
              <w:rPr>
                <w:b/>
                <w:i/>
              </w:rPr>
              <w:t>Eurobarometru - „Atitudinea cetățenilor față de impozitare” - https://europa.eu/eurobarometer/surveys/detail/3375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întrucât sistemul de TVA al UE continuă să fie vulnerabil la frauda intracomunitară cu firme „fantomă” și la frauda carusel;</w:t>
            </w:r>
          </w:p>
        </w:tc>
        <w:tc>
          <w:tcPr>
            <w:tcW w:w="4876" w:type="dxa"/>
            <w:tcBorders>
              <w:top w:val="nil"/>
              <w:left w:val="nil"/>
              <w:bottom w:val="nil"/>
              <w:right w:val="nil"/>
            </w:tcBorders>
          </w:tcPr>
          <w:p>
            <w:pPr>
              <w:pStyle w:val="Normal6a"/>
            </w:pPr>
            <w:r>
              <w:t>B.</w:t>
            </w:r>
            <w:r>
              <w:tab/>
            </w:r>
            <w:r>
              <w:t>întrucât sistemul de TVA al UE continuă să fie vulnerabil la frauda intracomunitară cu firme „fantomă” și la frauda carusel</w:t>
            </w:r>
            <w:r>
              <w:rPr>
                <w:b/>
                <w:i/>
              </w:rPr>
              <w:t>, pierderile cauzate de frauda intracomunitară cu firme „fantomă” variind între 12,5 și 32,8 miliarde EUR pe an în perioada 2010-2023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Curtea de Conturi Europeană a semnalat în repetate rânduri că deficiențele în ceea ce privește accesibilitatea și interoperabilitatea sistemelor de informații în domeniul TVA între statele membre și organismele Uniunii sunt un obstacol considerabil în calea unor anchete transfrontaliere eficace privind frauda în domeniul 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întrucât aceste fraude </w:t>
            </w:r>
            <w:r>
              <w:rPr>
                <w:b/>
                <w:i/>
              </w:rPr>
              <w:t>pot cauza</w:t>
            </w:r>
            <w:r>
              <w:t xml:space="preserve"> pierderi semnificative la bugetele naționale, denaturează concurența și expun întreprinderile legitime la riscuri juridice și financiare;</w:t>
            </w:r>
          </w:p>
        </w:tc>
        <w:tc>
          <w:tcPr>
            <w:tcW w:w="4876" w:type="dxa"/>
            <w:tcBorders>
              <w:top w:val="nil"/>
              <w:left w:val="nil"/>
              <w:bottom w:val="nil"/>
              <w:right w:val="nil"/>
            </w:tcBorders>
          </w:tcPr>
          <w:p>
            <w:pPr>
              <w:pStyle w:val="Normal6a"/>
            </w:pPr>
            <w:r>
              <w:t>C.</w:t>
            </w:r>
            <w:r>
              <w:tab/>
            </w:r>
            <w:r>
              <w:t xml:space="preserve">întrucât aceste fraude </w:t>
            </w:r>
            <w:r>
              <w:rPr>
                <w:b/>
                <w:i/>
              </w:rPr>
              <w:t>cauzează</w:t>
            </w:r>
            <w:r>
              <w:t xml:space="preserve"> pierderi semnificative la bugetele naționale, denaturează concurența și expun întreprinderile legitime la riscuri juridice și financiare;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mecanismul de taxare inversă s-a dovedit a fi un instrument extrem de eficace nu numai în asigurarea veniturilor fiscale, ci și în combaterea economiei subterane și prevenirea dumpingului inechitabil al prețurilor practicat de către actori frauduloși, protejând astfel în mod direct competitivitatea întreprinderilor oneste;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capacitatea de a îmbunătăți rezultatele combaterii fraudei fiscale, a evaziunii fiscale și a evitării obligațiilor fiscale rămâne limitată de votul în unanimitate în Consiliul UE, aplicabil în acest domeniu de politică;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frauda în domeniul TVA se concentrează în principal în sectoarele de activitate în care nu se aplică mecanismul de taxare inversă</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BUETTNER, Thiess;</w:t>
            </w:r>
            <w:r>
              <w:t xml:space="preserve"> </w:t>
            </w:r>
            <w:r>
              <w:rPr>
                <w:b/>
                <w:i/>
              </w:rPr>
              <w:t>TASSI, Annalisa.</w:t>
            </w:r>
            <w:r>
              <w:t xml:space="preserve"> </w:t>
            </w:r>
            <w:r>
              <w:rPr>
                <w:b/>
                <w:i/>
              </w:rPr>
              <w:t>„VAT fraud and reverse charge:</w:t>
            </w:r>
            <w:r>
              <w:t xml:space="preserve"> </w:t>
            </w:r>
            <w:r>
              <w:rPr>
                <w:b/>
                <w:i/>
              </w:rPr>
              <w:t>empirical evidence from VAT return data” (Frauda în domeniul TVA și taxarea inversă: dovezi empirice bazate pe datele din declarațiile de TVA).</w:t>
            </w:r>
            <w:r>
              <w:t xml:space="preserve"> </w:t>
            </w:r>
            <w:r>
              <w:rPr>
                <w:b/>
                <w:i/>
              </w:rPr>
              <w:t>International Tax and Public Finance (2023) 30:849–878.</w:t>
            </w:r>
            <w:r>
              <w:t xml:space="preserve"> </w:t>
            </w:r>
            <w:r>
              <w:rPr>
                <w:b/>
                <w:i/>
              </w:rPr>
              <w:t>Articol disponibil la:</w:t>
            </w:r>
            <w:r>
              <w:t xml:space="preserve"> </w:t>
            </w:r>
            <w:r>
              <w:rPr>
                <w:b/>
                <w:i/>
              </w:rPr>
              <w:t>https://doi.org/10.1007/s10797-023-09776-y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întrucât mecanismul de taxare inversă (MTI) transferă obligația de a declara TVA de la furnizor la client, </w:t>
            </w:r>
            <w:r>
              <w:rPr>
                <w:b/>
                <w:i/>
              </w:rPr>
              <w:t>reducând</w:t>
            </w:r>
            <w:r>
              <w:t xml:space="preserve"> astfel riscul ca un furnizor să încaseze TVA și să dispară fără a-l plăti;</w:t>
            </w:r>
          </w:p>
        </w:tc>
        <w:tc>
          <w:tcPr>
            <w:tcW w:w="4876" w:type="dxa"/>
            <w:tcBorders>
              <w:top w:val="nil"/>
              <w:left w:val="nil"/>
              <w:bottom w:val="nil"/>
              <w:right w:val="nil"/>
            </w:tcBorders>
          </w:tcPr>
          <w:p>
            <w:pPr>
              <w:pStyle w:val="Normal6a"/>
            </w:pPr>
            <w:r>
              <w:t>D.</w:t>
            </w:r>
            <w:r>
              <w:tab/>
            </w:r>
            <w:r>
              <w:t xml:space="preserve">întrucât mecanismul de taxare inversă (MTI) transferă obligația de a declara TVA de la furnizor la client, </w:t>
            </w:r>
            <w:r>
              <w:rPr>
                <w:b/>
                <w:i/>
              </w:rPr>
              <w:t>eliminând</w:t>
            </w:r>
            <w:r>
              <w:t xml:space="preserve"> astfel riscul ca un furnizor să încaseze TVA și să dispară fără a-l plăti;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întrucât aplicarea MTI diferă de la un stat membru la altul, inclusiv în ceea ce privește pragurile voluntare și definițiile sectoarelor vizate, ceea ce ar putea crea insecuritate juridică, costuri de asigurare a conformității și oportunități de relocare a cazurilor de fraudă;</w:t>
            </w:r>
          </w:p>
        </w:tc>
        <w:tc>
          <w:tcPr>
            <w:tcW w:w="4876" w:type="dxa"/>
            <w:tcBorders>
              <w:top w:val="nil"/>
              <w:left w:val="nil"/>
              <w:bottom w:val="nil"/>
              <w:right w:val="nil"/>
            </w:tcBorders>
          </w:tcPr>
          <w:p>
            <w:pPr>
              <w:pStyle w:val="Normal6a"/>
            </w:pPr>
            <w:r>
              <w:t>G.</w:t>
            </w:r>
            <w:r>
              <w:tab/>
            </w:r>
            <w:r>
              <w:t xml:space="preserve">întrucât aplicarea MTI diferă de la un stat membru la altul, inclusiv în ceea ce privește pragurile voluntare și definițiile sectoarelor vizate, ceea ce ar putea crea insecuritate juridică, costuri de asigurare a conformității și oportunități de relocare a cazurilor de fraudă </w:t>
            </w:r>
            <w:r>
              <w:rPr>
                <w:b/>
                <w:i/>
              </w:rPr>
              <w:t>și submina obiectivele MTI de reducere a fraudei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întrucât, potrivit celei mai recente estimări a Comisiei, deficitul de conformitate în materie de TVA a ajuns la 128 de miliarde EUR în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întrucât există divergențe extreme în ceea ce privește deficitul național de conformitate în materie de TVA, care înregistrează valori de la 1 % la 30 % în raport cu veniturile colectate de statul membru respectiv;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întrucât întreprinderile, în special întreprinderile mici și mijlocii (IMM-urile), au nevoie de norme clare și practicabile în materie de TVA pentru a se conforma fără sarcini administrative disproporționate;</w:t>
            </w:r>
          </w:p>
        </w:tc>
        <w:tc>
          <w:tcPr>
            <w:tcW w:w="4876" w:type="dxa"/>
            <w:tcBorders>
              <w:top w:val="nil"/>
              <w:left w:val="nil"/>
              <w:bottom w:val="nil"/>
              <w:right w:val="nil"/>
            </w:tcBorders>
          </w:tcPr>
          <w:p>
            <w:pPr>
              <w:pStyle w:val="Normal6a"/>
            </w:pPr>
            <w:r>
              <w:t>H.</w:t>
            </w:r>
            <w:r>
              <w:tab/>
            </w:r>
            <w:r>
              <w:t xml:space="preserve">întrucât întreprinderile, în special întreprinderile mici și mijlocii (IMM-urile) </w:t>
            </w:r>
            <w:r>
              <w:rPr>
                <w:b/>
                <w:i/>
              </w:rPr>
              <w:t>care își desfășoară activitatea în mai multe state membre</w:t>
            </w:r>
            <w:r>
              <w:t>, au nevoie de norme clare</w:t>
            </w:r>
            <w:r>
              <w:rPr>
                <w:b/>
                <w:i/>
              </w:rPr>
              <w:t>, coerente</w:t>
            </w:r>
            <w:r>
              <w:t xml:space="preserve"> și practicabile în materie de TVA pentru a se conforma fără sarcini administrative disproporționate; </w:t>
            </w:r>
            <w:r>
              <w:rPr>
                <w:b/>
                <w:i/>
              </w:rPr>
              <w:t>întrucât condițiile naționale divergente de aplicare a MTI adaugă un nivel suplimentar de complexitate pentru astfel de întreprinderi;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întrucât un sondaj recent, la care au participat peste 12 000 de IMM-uri, indică „impozitarea și taxa pe valoarea adăugată (TVA)” drept principalul obstacol care împiedică întreprinderile să se extindă în alte țări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întrucât un sondaj recent, la care au participat peste 25 000 de cetățeni, subliniază că majoritatea (54 %) au votat ca UE să aibă „combaterea evitării obligațiilor fiscale și a evaziunii fiscale” ca prioritate principală în ceea ce privește politica fiscală;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Herbert Dorfmann, Markus Ferber, Fernando Navarrete Rojas,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întrucât doar pachetul ViDA nu va elimina frauda în materie de TVA, acesta trebuind să fie completat de măsuri preventive suplimentare;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întrucât MRR nu a fost aplicat niciodată în practică, ceea ce ridică semne de întrebare cu privire la eficacitatea sa operațională;</w:t>
            </w:r>
          </w:p>
        </w:tc>
        <w:tc>
          <w:tcPr>
            <w:tcW w:w="4876" w:type="dxa"/>
            <w:tcBorders>
              <w:top w:val="nil"/>
              <w:left w:val="nil"/>
              <w:bottom w:val="nil"/>
              <w:right w:val="nil"/>
            </w:tcBorders>
          </w:tcPr>
          <w:p>
            <w:pPr>
              <w:pStyle w:val="Normal6a"/>
            </w:pPr>
            <w:r>
              <w:t>J.</w:t>
            </w:r>
            <w:r>
              <w:tab/>
            </w:r>
            <w:r>
              <w:t xml:space="preserve">întrucât MRR nu a fost aplicat niciodată în practică, ceea ce ridică semne de întrebare cu privire la eficacitatea sa operațională </w:t>
            </w:r>
            <w:r>
              <w:rPr>
                <w:b/>
                <w:i/>
              </w:rPr>
              <w:t>și la posibilitatea de utilizare practică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întrucât orice cadru viitor ar trebui să echilibreze protecția veniturilor fiscale, securitatea juridică pentru întreprinderi, volumul de muncă pentru administrația fiscală, principiul proporționalității și respectarea competențelor statelor membre în domeniul fiscal,</w:t>
            </w:r>
          </w:p>
        </w:tc>
        <w:tc>
          <w:tcPr>
            <w:tcW w:w="4876" w:type="dxa"/>
            <w:tcBorders>
              <w:top w:val="nil"/>
              <w:left w:val="nil"/>
              <w:bottom w:val="nil"/>
              <w:right w:val="nil"/>
            </w:tcBorders>
          </w:tcPr>
          <w:p>
            <w:pPr>
              <w:pStyle w:val="Normal6a"/>
            </w:pPr>
            <w:r>
              <w:t>K.</w:t>
            </w:r>
            <w:r>
              <w:tab/>
            </w:r>
            <w:r>
              <w:t>întrucât orice cadru viitor ar trebui să echilibreze protecția veniturilor fiscale, securitatea juridică pentru întreprinderi, volumul de muncă pentru administrația fiscală, principiul proporționalității și respectarea competențelor statelor membre în domeniul fiscal</w:t>
            </w:r>
            <w:r>
              <w:rPr>
                <w:b/>
                <w:i/>
              </w:rPr>
              <w:t>;</w:t>
            </w:r>
            <w:r>
              <w:t xml:space="preserve"> </w:t>
            </w:r>
            <w:r>
              <w:rPr>
                <w:b/>
                <w:i/>
              </w:rPr>
              <w:t>întrucât o mai mare coerență a condițiilor de aplicare a MTI</w:t>
            </w:r>
            <w:r>
              <w:t xml:space="preserve">, </w:t>
            </w:r>
            <w:r>
              <w:rPr>
                <w:b/>
                <w:i/>
              </w:rPr>
              <w:t>în cazul în care statele membre aleg să îl utilizeze, poate contribui la securitatea juridică fără a necesita armonizarea sistemelor naționale de TVA ca atare;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Ka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întrucât mecanismul de taxare inversă a TVA-ului a fost introdus, printre altele, pentru a combate frauda în materie de TVA în cadrul sistemului UE de comercializare a certificatelor de emisii (EU ETS);</w:t>
            </w:r>
            <w:r>
              <w:t xml:space="preserve"> </w:t>
            </w:r>
            <w:r>
              <w:rPr>
                <w:b/>
                <w:i/>
              </w:rPr>
              <w:t>întrucât s-a estimat că, în unele state membre, până la 90 % din volumul pieței a fost legat de activități frauduloase în perioada 2008-2009, cauzând pierderi de până la 5 miliarde EUR și subminând încrederea în sistem</w:t>
            </w:r>
            <w:r>
              <w:rPr>
                <w:b/>
                <w:i/>
                <w:vertAlign w:val="superscript"/>
              </w:rPr>
              <w:t>1a</w:t>
            </w:r>
            <w:r>
              <w:rPr>
                <w:b/>
                <w:i/>
              </w:rPr>
              <w:t>;</w:t>
            </w:r>
            <w:r>
              <w:t xml:space="preserve"> </w:t>
            </w:r>
            <w:r>
              <w:rPr>
                <w:b/>
                <w:i/>
              </w:rPr>
              <w:t>întrucât comercializarea certificatelor de emisii de gaze cu efect de seră rămâne unul dintre sectoarele cele mai expuse fraudei în domeniul TVA;</w:t>
            </w:r>
            <w:r>
              <w:t xml:space="preserve"> </w:t>
            </w:r>
            <w:r>
              <w:rPr>
                <w:b/>
                <w:i/>
              </w:rPr>
              <w:t>întrucât certificatele de emisii de gaze cu efect de seră continuă să fie una dintre categoriile cel mai frecvent utilizate în temeiul articolului 199a din Directiva 2006/112/CE;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Potrivit documentului de lucru al serviciilor Comisiei SWD(2017)0428 [Evaluarea impactului care însoțește propunerea de modificare a Regulamentului (UE) nr. 904/2010], Europol a estimat că, în unele state membre, până la 90 % din piața de comercializare a certificatelor de emisii de dioxid de carbon a fost legată de frauda în materie de TVA în perioada 2008-2009, ceea ce a dus la pierderi estimate la aproximativ 5 miliarde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Herbert Dorfmann, Markus Ferber, Fernando Navarrete Rojas,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Ka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întrucât, în poziția sa din 3 mai 2022, Parlamentul a solicitat realizarea unei evaluări a efectelor mecanismului de taxare inversă înainte de orice nouă prelungire;</w:t>
            </w:r>
            <w:r>
              <w:t xml:space="preserve"> </w:t>
            </w:r>
            <w:r>
              <w:rPr>
                <w:b/>
                <w:i/>
              </w:rPr>
              <w:t>întrucât cea mai recentă evaluare substanțială efectuată de Comisie cu privire la articolele 199a și 199b datează din 2018 (COM(2018)0118), iar evaluarea actualizată solicitată nu a fost prezentată;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Ľudovít Ódor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reamintește că MTI este o derogare specifică de la sistemul de TVA și nu ar trebui să devină un înlocuitor general al acestuia;</w:t>
            </w:r>
          </w:p>
        </w:tc>
        <w:tc>
          <w:tcPr>
            <w:tcW w:w="4876" w:type="dxa"/>
            <w:tcBorders>
              <w:top w:val="nil"/>
              <w:left w:val="nil"/>
              <w:bottom w:val="nil"/>
              <w:right w:val="nil"/>
            </w:tcBorders>
          </w:tcPr>
          <w:p>
            <w:pPr>
              <w:pStyle w:val="Normal6a"/>
            </w:pPr>
            <w:r>
              <w:t>1.</w:t>
            </w:r>
            <w:r>
              <w:tab/>
            </w:r>
            <w:r>
              <w:t xml:space="preserve">reamintește că MTI este o derogare specifică de la sistemul de TVA și nu ar trebui să devină un înlocuitor general al acestuia </w:t>
            </w:r>
            <w:r>
              <w:rPr>
                <w:b/>
                <w:i/>
              </w:rPr>
              <w:t>și că utilizarea sa pe scară largă poate slăbi coerența cadrului fiscal al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reamintește că MTI este o derogare specifică de la sistemul de TVA </w:t>
            </w:r>
            <w:r>
              <w:rPr>
                <w:b/>
                <w:i/>
              </w:rPr>
              <w:t>și nu ar trebui să devină un înlocuitor general al acestuia</w:t>
            </w:r>
            <w:r>
              <w:t>;</w:t>
            </w:r>
          </w:p>
        </w:tc>
        <w:tc>
          <w:tcPr>
            <w:tcW w:w="4876" w:type="dxa"/>
            <w:tcBorders>
              <w:top w:val="nil"/>
              <w:left w:val="nil"/>
              <w:bottom w:val="nil"/>
              <w:right w:val="nil"/>
            </w:tcBorders>
          </w:tcPr>
          <w:p>
            <w:pPr>
              <w:pStyle w:val="Normal6a"/>
            </w:pPr>
            <w:r>
              <w:t>1.</w:t>
            </w:r>
            <w:r>
              <w:tab/>
            </w:r>
            <w:r>
              <w:t>reamintește că MTI este o derogare specifică de la sistemul de 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subliniază că protejarea veniturilor din TVA este esențială pentru </w:t>
            </w:r>
            <w:r>
              <w:rPr>
                <w:b/>
                <w:i/>
              </w:rPr>
              <w:t>bugetul</w:t>
            </w:r>
            <w:r>
              <w:t xml:space="preserve"> statelor membre și bugetul Uniunii, pentru concurența loială și pentru buna funcționare a pieței interne;</w:t>
            </w:r>
          </w:p>
        </w:tc>
        <w:tc>
          <w:tcPr>
            <w:tcW w:w="4876" w:type="dxa"/>
            <w:tcBorders>
              <w:top w:val="nil"/>
              <w:left w:val="nil"/>
              <w:bottom w:val="nil"/>
              <w:right w:val="nil"/>
            </w:tcBorders>
          </w:tcPr>
          <w:p>
            <w:pPr>
              <w:pStyle w:val="Normal6a"/>
            </w:pPr>
            <w:r>
              <w:t>2.</w:t>
            </w:r>
            <w:r>
              <w:tab/>
            </w:r>
            <w:r>
              <w:t xml:space="preserve">subliniază că protejarea veniturilor din TVA este esențială pentru </w:t>
            </w:r>
            <w:r>
              <w:rPr>
                <w:b/>
                <w:i/>
              </w:rPr>
              <w:t>bugetele</w:t>
            </w:r>
            <w:r>
              <w:t xml:space="preserve"> statelor membre și bugetul Uniunii, pentru concurența loială și pentru buna funcționare a pieței interne;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Ľudovít Ódor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accentuează legătura directă dintre TVA și impozitul pe profit, deoarece frauda în materie de TVA conduce la venituri neînregistrate, ceea ce, la rândul său, înseamnă că baza de impozitare a profitului nu reflectă activitatea economică reală, erodând veniturile fiscale ale statelor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își exprimă profunda îngrijorare cu privire la deficitul de conformitate în materie de TVA, care a ajuns la 128 de miliarde EUR în ultimul an al evidențelor disponibile;</w:t>
            </w:r>
            <w:r>
              <w:t xml:space="preserve"> </w:t>
            </w:r>
            <w:r>
              <w:rPr>
                <w:b/>
                <w:i/>
              </w:rPr>
              <w:t>regretă creșterea cu 1,6 puncte procentuale a deficitului de conformitate în materie de TVA în perioada 2022-2023;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regretă că Consiliul European nu a făcut referire la o mai mare armonizare a politicilor fiscale în cadrul agendei „O Europă, o piață”, în special având în vedere că IMM-urile au ales fragmentarea fiscală și în materie de TVA ca fiind principalul obstacol de pe piața unică;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consideră că trecerea la utilizarea majorității calificate pentru anumite aspecte ale politicii fiscale – cum ar fi punerea în aplicare a acordurilor internaționale semnate de toate statele membre, cooperarea administrativă sau definițiile juridice – împiedică efectul limitativ al unanimității în realizarea armonizării în materie de reglementare pentru a combate frauda fiscală, evaziunea fiscală și evitarea obligațiilor fiscale;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constată că absența unui sistem definitiv de TVA la nivelul UE continuă să creeze oportunități pentru frauda intracomunitară cu firme „fantomă” și frauda carusel;</w:t>
            </w:r>
            <w:r>
              <w:t xml:space="preserve"> </w:t>
            </w:r>
            <w:r>
              <w:rPr>
                <w:b/>
                <w:i/>
              </w:rPr>
              <w:t>regretă întârzierea în instituirea unui astfel de sistem și recunoaște că acest lucru a necesitat utilizarea provizorie a mecanismului de taxare inversă ca parte a unui set mai larg de măsuri antifraudă;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2e.</w:t>
            </w:r>
            <w:r>
              <w:tab/>
            </w:r>
            <w:r>
              <w:rPr>
                <w:b/>
                <w:i/>
              </w:rPr>
              <w:t>constată cu regret că propunerea Comisiei privind un sistem definitiv de TVA a fost retrasă oficial în 2025 din cauza lipsei unui acord politic previzibil în cadrul Consiliului;</w:t>
            </w:r>
            <w:r>
              <w:t xml:space="preserve"> </w:t>
            </w:r>
            <w:r>
              <w:rPr>
                <w:b/>
                <w:i/>
              </w:rPr>
              <w:t>subliniază totuși că obiectivul fundamental de a elimina lacunele structurale exploatate de frauda carusel și frauda cu firme „fantomă” rămâne o prioritate și invită Comisia să continue analiza și, pe această bază, să prezinte fără întârziere o propunere revizuită;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recunoaște că MTI s-a dovedit eficace împotriva fraudei intracomunitare cu firme „fantomă” și a fraudei carusel în sectoarele cu risc ridicat, </w:t>
            </w:r>
            <w:r>
              <w:rPr>
                <w:b/>
                <w:i/>
              </w:rPr>
              <w:t>observând, în același timp</w:t>
            </w:r>
            <w:r>
              <w:t>, că modelele de fraudă continuă să evolueze;</w:t>
            </w:r>
          </w:p>
        </w:tc>
        <w:tc>
          <w:tcPr>
            <w:tcW w:w="4876" w:type="dxa"/>
            <w:tcBorders>
              <w:top w:val="nil"/>
              <w:left w:val="nil"/>
              <w:bottom w:val="nil"/>
              <w:right w:val="nil"/>
            </w:tcBorders>
          </w:tcPr>
          <w:p>
            <w:pPr>
              <w:pStyle w:val="Normal6a"/>
            </w:pPr>
            <w:r>
              <w:t>3.</w:t>
            </w:r>
            <w:r>
              <w:tab/>
            </w:r>
            <w:r>
              <w:t xml:space="preserve">recunoaște că MTI s-a dovedit </w:t>
            </w:r>
            <w:r>
              <w:rPr>
                <w:b/>
                <w:i/>
              </w:rPr>
              <w:t>extrem de</w:t>
            </w:r>
            <w:r>
              <w:t xml:space="preserve"> eficace împotriva fraudei intracomunitare cu firme „fantomă” și a fraudei carusel în sectoarele cu risc ridicat, </w:t>
            </w:r>
            <w:r>
              <w:rPr>
                <w:b/>
                <w:i/>
              </w:rPr>
              <w:t>majoritatea statelor membre raportând reduceri substanțiale sau chiar dispariția practică a unor astfel de fraude în sectoarele vizate de MTI;</w:t>
            </w:r>
            <w:r>
              <w:t xml:space="preserve"> </w:t>
            </w:r>
            <w:r>
              <w:rPr>
                <w:b/>
                <w:i/>
              </w:rPr>
              <w:t>observă, de asemenea</w:t>
            </w:r>
            <w:r>
              <w:t>, că modelele de fraudă continuă să evolueze;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Ľudovít Ódor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recunoaște că MTI s-a dovedit eficace împotriva fraudei intracomunitare cu firme „fantomă” și a fraudei carusel în sectoarele cu risc ridicat, observând, în același timp, că modelele de fraudă continuă să evolueze;</w:t>
            </w:r>
          </w:p>
        </w:tc>
        <w:tc>
          <w:tcPr>
            <w:tcW w:w="4876" w:type="dxa"/>
            <w:tcBorders>
              <w:top w:val="nil"/>
              <w:left w:val="nil"/>
              <w:bottom w:val="nil"/>
              <w:right w:val="nil"/>
            </w:tcBorders>
          </w:tcPr>
          <w:p>
            <w:pPr>
              <w:pStyle w:val="Normal6a"/>
            </w:pPr>
            <w:r>
              <w:t>3.</w:t>
            </w:r>
            <w:r>
              <w:tab/>
            </w:r>
            <w:r>
              <w:t xml:space="preserve">recunoaște că MTI s-a dovedit eficace împotriva fraudei intracomunitare cu firme „fantomă” și a fraudei carusel în sectoarele cu risc ridicat </w:t>
            </w:r>
            <w:r>
              <w:rPr>
                <w:b/>
                <w:i/>
              </w:rPr>
              <w:t>cu produse omogene cu valoare ridicată</w:t>
            </w:r>
            <w:r>
              <w:t>, observând, în același timp, că modelele de fraudă continuă să evolueze</w:t>
            </w:r>
            <w:r>
              <w:rPr>
                <w:b/>
                <w:i/>
              </w:rPr>
              <w:t>, iar utilizarea extinsă a MTI poate cauza deplasarea fraudei în sectoarele adiacente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Herbert Dorfmann, Markus Ferber, Fernando Navarrete Rojas,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recunoaște că MTI s-a dovedit eficace împotriva fraudei intracomunitare cu firme „fantomă” și a fraudei carusel în sectoarele cu risc ridicat, observând, în același timp, că modelele de fraudă continuă să evolueze;</w:t>
            </w:r>
          </w:p>
        </w:tc>
        <w:tc>
          <w:tcPr>
            <w:tcW w:w="4876" w:type="dxa"/>
            <w:tcBorders>
              <w:top w:val="nil"/>
              <w:left w:val="nil"/>
              <w:bottom w:val="nil"/>
              <w:right w:val="nil"/>
            </w:tcBorders>
          </w:tcPr>
          <w:p>
            <w:pPr>
              <w:pStyle w:val="Normal6a"/>
            </w:pPr>
            <w:r>
              <w:t>3.</w:t>
            </w:r>
            <w:r>
              <w:tab/>
            </w:r>
            <w:r>
              <w:t xml:space="preserve">recunoaște că MTI s-a dovedit </w:t>
            </w:r>
            <w:r>
              <w:rPr>
                <w:b/>
                <w:i/>
              </w:rPr>
              <w:t>în general</w:t>
            </w:r>
            <w:r>
              <w:t xml:space="preserve"> eficace împotriva fraudei intracomunitare cu firme „fantomă” și a fraudei carusel în sectoarele cu risc ridicat, observând, în același timp, că modelele de fraudă continuă să evolueze;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subliniază că eficacitatea MTI depinde de mediul de control mai larg – inclusiv raportarea la nivel de tranzacție, instrumentele avansate de audit, verificarea înregistrării comercianților, auditurile bazate pe riscuri, controalele rambursărilor – precum și de aplicarea acestor instrumente antifraudă în mod consecvent de către statele membre;</w:t>
            </w:r>
            <w:r>
              <w:t xml:space="preserve"> </w:t>
            </w:r>
            <w:r>
              <w:rPr>
                <w:b/>
                <w:i/>
              </w:rPr>
              <w:t>constată, prin urmare, că MTI nu elimină sarcina administrativă a administrațiilor fiscale, ci o transferă, necesitând capacități de control diferite și, în unele cazuri, mai importante decât în cadrul sistemului standard de 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ia act de faptul că expirarea articolelor 199a și 199b din Directiva 2006/112/CE ar elimina </w:t>
            </w:r>
            <w:r>
              <w:rPr>
                <w:b/>
                <w:i/>
              </w:rPr>
              <w:t>anumite</w:t>
            </w:r>
            <w:r>
              <w:t xml:space="preserve"> instrumente antifraudă</w:t>
            </w:r>
            <w:r>
              <w:rPr>
                <w:b/>
                <w:i/>
              </w:rPr>
              <w:t>, iar acest lucru urmează să se întâmple înainte ca pachetul ViDA să fie pe deplin aplicabil</w:t>
            </w:r>
            <w:r>
              <w:t>;</w:t>
            </w:r>
          </w:p>
        </w:tc>
        <w:tc>
          <w:tcPr>
            <w:tcW w:w="4876" w:type="dxa"/>
            <w:tcBorders>
              <w:top w:val="nil"/>
              <w:left w:val="nil"/>
              <w:bottom w:val="nil"/>
              <w:right w:val="nil"/>
            </w:tcBorders>
          </w:tcPr>
          <w:p>
            <w:pPr>
              <w:pStyle w:val="Normal6a"/>
            </w:pPr>
            <w:r>
              <w:t>4.</w:t>
            </w:r>
            <w:r>
              <w:tab/>
            </w:r>
            <w:r>
              <w:t xml:space="preserve">ia act de faptul că expirarea articolelor 199a și 199b din Directiva 2006/112/CE ar elimina </w:t>
            </w:r>
            <w:r>
              <w:rPr>
                <w:b/>
                <w:i/>
              </w:rPr>
              <w:t>aceste</w:t>
            </w:r>
            <w:r>
              <w:t xml:space="preserve"> instrumente antifraudă </w:t>
            </w:r>
            <w:r>
              <w:rPr>
                <w:b/>
                <w:i/>
              </w:rPr>
              <w:t>specifice, eficace și utilizate pe scară largă, creând un vid juridic care ar putea declanșa reapariția fraudei în domeniul TVA și ar putea cauza prejudicii veniturilor fiscale și întreprinderilor legitime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constată că marea majoritate a statelor membre care aplică MTI au declarat că au redus cazurile de fraudă, în special în tranzacțiile care implică produse standardizate și cu valoare ridicată;</w:t>
            </w:r>
          </w:p>
        </w:tc>
        <w:tc>
          <w:tcPr>
            <w:tcW w:w="4876" w:type="dxa"/>
            <w:tcBorders>
              <w:top w:val="nil"/>
              <w:left w:val="nil"/>
              <w:bottom w:val="nil"/>
              <w:right w:val="nil"/>
            </w:tcBorders>
          </w:tcPr>
          <w:p>
            <w:pPr>
              <w:pStyle w:val="Normal6a"/>
            </w:pPr>
            <w:r>
              <w:t>5.</w:t>
            </w:r>
            <w:r>
              <w:tab/>
            </w:r>
            <w:r>
              <w:t xml:space="preserve">constată că marea majoritate a statelor membre care aplică MTI au declarat că au redus cazurile de fraudă, în special în tranzacțiile care implică produse standardizate și cu valoare ridicată; </w:t>
            </w:r>
            <w:r>
              <w:rPr>
                <w:b/>
                <w:i/>
              </w:rPr>
              <w:t>subliniază că, spre deosebire de sistemul standard de TVA, MTI transferă colectarea TVA într-o etapă ulterioară a lanțului de aprovizionare, concentrând riscurile potențiale în mai puține tranzacții;</w:t>
            </w:r>
            <w:r>
              <w:t xml:space="preserve"> </w:t>
            </w:r>
            <w:r>
              <w:rPr>
                <w:b/>
                <w:i/>
              </w:rPr>
              <w:t>consideră că, atunci când este aplicat, MTI ar trebui să rămână temporar și să aibă o sferă strict limitată, pentru a evita efectele negative structurale pe termen lung asupra sistemului de 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constată că marea majoritate a statelor membre care aplică MTI au declarat că au redus cazurile de fraudă, în special în tranzacțiile care implică produse standardizate și cu valoare ridicată;</w:t>
            </w:r>
          </w:p>
        </w:tc>
        <w:tc>
          <w:tcPr>
            <w:tcW w:w="4876" w:type="dxa"/>
            <w:tcBorders>
              <w:top w:val="nil"/>
              <w:left w:val="nil"/>
              <w:bottom w:val="nil"/>
              <w:right w:val="nil"/>
            </w:tcBorders>
          </w:tcPr>
          <w:p>
            <w:pPr>
              <w:pStyle w:val="Normal6a"/>
            </w:pPr>
            <w:r>
              <w:t>5.</w:t>
            </w:r>
            <w:r>
              <w:tab/>
            </w:r>
            <w:r>
              <w:t xml:space="preserve">constată că marea majoritate a statelor membre care aplică MTI au declarat că au redus </w:t>
            </w:r>
            <w:r>
              <w:rPr>
                <w:b/>
                <w:i/>
              </w:rPr>
              <w:t>semnificativ sau chiar au eliminat complet</w:t>
            </w:r>
            <w:r>
              <w:t xml:space="preserve"> cazurile de fraudă, în special în tranzacțiile care implică produse standardizate și cu valoare ridicată;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evidențiază că mai multe state membre au integrat cu succes MTI cu sisteme naționale electronice avansate de declarare și cu instrumente automatizate de analiză a riscurilor;</w:t>
            </w:r>
            <w:r>
              <w:t xml:space="preserve"> </w:t>
            </w:r>
            <w:r>
              <w:rPr>
                <w:b/>
                <w:i/>
              </w:rPr>
              <w:t>subliniază că orice viitor cadru al UE trebuie să respecte și să permită utilizarea în continuare a acestor sisteme naționale funcționale, fără a impune niveluri administrative redundante;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Ľudovít Ódor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solicită prelungirea valabilității articolului 199a după 31 decembrie 2026 pentru o perioadă suficient de lungă, pentru a menține securitatea juridică, a preveni expunerea reînnoită la frauda carusel și a asigura continuitatea cât timp pachetul ViDA este pus în aplicare treptat;</w:t>
            </w:r>
          </w:p>
        </w:tc>
        <w:tc>
          <w:tcPr>
            <w:tcW w:w="4876" w:type="dxa"/>
            <w:tcBorders>
              <w:top w:val="nil"/>
              <w:left w:val="nil"/>
              <w:bottom w:val="nil"/>
              <w:right w:val="nil"/>
            </w:tcBorders>
          </w:tcPr>
          <w:p>
            <w:pPr>
              <w:pStyle w:val="Normal6a"/>
            </w:pPr>
            <w:r>
              <w:t>6.</w:t>
            </w:r>
            <w:r>
              <w:tab/>
            </w:r>
            <w:r>
              <w:t xml:space="preserve">solicită prelungirea valabilității articolului 199a după 31 decembrie 2026 pentru o perioadă suficient de lungă, pentru a menține securitatea juridică, a preveni expunerea reînnoită la frauda carusel și a asigura continuitatea cât timp pachetul ViDA este pus în aplicare treptat; </w:t>
            </w:r>
            <w:r>
              <w:rPr>
                <w:b/>
                <w:i/>
              </w:rPr>
              <w:t>regretă termenele prelungite de punere în aplicare convenite în cadrul pachetului ViDA, unde cerințele de raportare digitală sunt esențiale pentru a oferi autorităților competente instrumente de investigare eficientă a fraudei în domeniul TVA, înlocuind necesitatea MTI;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solicită prelungirea valabilității articolului 199a după 31 decembrie 2026 pentru o perioadă suficient de lungă, pentru a menține securitatea juridică, a preveni expunerea reînnoită la frauda carusel și a asigura continuitatea cât timp pachetul ViDA este pus în aplicare treptat;</w:t>
            </w:r>
          </w:p>
        </w:tc>
        <w:tc>
          <w:tcPr>
            <w:tcW w:w="4876" w:type="dxa"/>
            <w:tcBorders>
              <w:top w:val="nil"/>
              <w:left w:val="nil"/>
              <w:bottom w:val="nil"/>
              <w:right w:val="nil"/>
            </w:tcBorders>
          </w:tcPr>
          <w:p>
            <w:pPr>
              <w:pStyle w:val="Normal6a"/>
            </w:pPr>
            <w:r>
              <w:t>6.</w:t>
            </w:r>
            <w:r>
              <w:tab/>
            </w:r>
            <w:r>
              <w:t xml:space="preserve">solicită prelungirea valabilității articolului 199a după 31 decembrie 2026 pentru o perioadă suficient de lungă, pentru a menține securitatea juridică, a preveni expunerea reînnoită la frauda carusel și a asigura continuitatea cât timp pachetul ViDA este pus în aplicare treptat; </w:t>
            </w:r>
            <w:r>
              <w:rPr>
                <w:b/>
                <w:i/>
              </w:rPr>
              <w:t>consideră că această extindere ar trebui să fie însoțită de o armonizare a condițiilor în care statele membre aplică mecanismul, în special în ceea ce privește pragurile și sfera sectoarelor vizate;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solicită prelungirea valabilității articolului 199a după 31 decembrie 2026 pentru o perioadă suficient de lungă, pentru a menține securitatea juridică, a preveni expunerea reînnoită la frauda carusel și a asigura continuitatea cât timp pachetul ViDA este pus în aplicare treptat;</w:t>
            </w:r>
          </w:p>
        </w:tc>
        <w:tc>
          <w:tcPr>
            <w:tcW w:w="4876" w:type="dxa"/>
            <w:tcBorders>
              <w:top w:val="nil"/>
              <w:left w:val="nil"/>
              <w:bottom w:val="nil"/>
              <w:right w:val="nil"/>
            </w:tcBorders>
          </w:tcPr>
          <w:p>
            <w:pPr>
              <w:pStyle w:val="Normal6a"/>
            </w:pPr>
            <w:r>
              <w:t>6.</w:t>
            </w:r>
            <w:r>
              <w:tab/>
            </w:r>
            <w:r>
              <w:t>solicită prelungirea valabilității articolului 199a după 31 decembrie 2026 pentru o perioadă suficient de lungă, pentru a menține securitatea juridică, a preveni expunerea reînnoită la frauda carusel</w:t>
            </w:r>
            <w:r>
              <w:rPr>
                <w:b/>
                <w:i/>
              </w:rPr>
              <w:t>, a combate economia subterană</w:t>
            </w:r>
            <w:r>
              <w:t xml:space="preserve"> și a asigura continuitatea </w:t>
            </w:r>
            <w:r>
              <w:rPr>
                <w:b/>
                <w:i/>
              </w:rPr>
              <w:t>operațională pentru administrațiile fiscale naționale și întreprinderi</w:t>
            </w:r>
            <w:r>
              <w:t> cât timp pachetul ViDA este pus în aplicare treptat;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solicită prelungirea</w:t>
            </w:r>
            <w:r>
              <w:t xml:space="preserve"> valabilității articolului 199a </w:t>
            </w:r>
            <w:r>
              <w:rPr>
                <w:b/>
                <w:i/>
              </w:rPr>
              <w:t>după 31 decembrie 2026 pentru o perioadă suficient de lungă</w:t>
            </w:r>
            <w:r>
              <w:t xml:space="preserve">, pentru a menține securitatea juridică, a preveni expunerea reînnoită la frauda carusel </w:t>
            </w:r>
            <w:r>
              <w:rPr>
                <w:b/>
                <w:i/>
              </w:rPr>
              <w:t>și a asigura continuitatea cât timp pachetul ViDA este pus în aplicare treptat</w:t>
            </w:r>
            <w:r>
              <w:t>;</w:t>
            </w:r>
          </w:p>
        </w:tc>
        <w:tc>
          <w:tcPr>
            <w:tcW w:w="4876" w:type="dxa"/>
            <w:tcBorders>
              <w:top w:val="nil"/>
              <w:left w:val="nil"/>
              <w:bottom w:val="nil"/>
              <w:right w:val="nil"/>
            </w:tcBorders>
          </w:tcPr>
          <w:p>
            <w:pPr>
              <w:pStyle w:val="Normal6a"/>
            </w:pPr>
            <w:r>
              <w:t>6.</w:t>
            </w:r>
            <w:r>
              <w:tab/>
            </w:r>
            <w:r>
              <w:rPr>
                <w:b/>
                <w:i/>
              </w:rPr>
              <w:t>ia în considerare posibilitatea unei prelungiri a</w:t>
            </w:r>
            <w:r>
              <w:t xml:space="preserve"> valabilității articolului 199a </w:t>
            </w:r>
            <w:r>
              <w:rPr>
                <w:b/>
                <w:i/>
              </w:rPr>
              <w:t>ca măsură de tranziție în timpul punerii în aplicare a ViDA</w:t>
            </w:r>
            <w:r>
              <w:t>, pentru a menține securitatea juridică, a preveni expunerea reînnoită la frauda carusel</w:t>
            </w:r>
            <w:r>
              <w:rPr>
                <w:b/>
                <w:i/>
              </w:rPr>
              <w:t>, remarcând, totodată, că utilizarea în continuare ar trebui să facă obiectul unei revizuiri periodice, al unor riscuri de fraudă demonstrate și al unor evaluări ale proporționalității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solicită prelungirea valabilității articolului 199a după 31 decembrie 2026 pentru o perioadă </w:t>
            </w:r>
            <w:r>
              <w:rPr>
                <w:b/>
                <w:i/>
              </w:rPr>
              <w:t>suficient de lungă,</w:t>
            </w:r>
            <w:r>
              <w:t xml:space="preserve"> pentru a menține securitatea juridică, a preveni expunerea reînnoită la frauda carusel și a asigura continuitatea cât timp pachetul ViDA este pus în aplicare treptat;</w:t>
            </w:r>
          </w:p>
        </w:tc>
        <w:tc>
          <w:tcPr>
            <w:tcW w:w="4876" w:type="dxa"/>
            <w:tcBorders>
              <w:top w:val="nil"/>
              <w:left w:val="nil"/>
              <w:bottom w:val="nil"/>
              <w:right w:val="nil"/>
            </w:tcBorders>
          </w:tcPr>
          <w:p>
            <w:pPr>
              <w:pStyle w:val="Normal6a"/>
            </w:pPr>
            <w:r>
              <w:t>6.</w:t>
            </w:r>
            <w:r>
              <w:tab/>
            </w:r>
            <w:r>
              <w:t>solicită prelungirea valabilității articolului 199a după 31 decembrie 2026 </w:t>
            </w:r>
            <w:r>
              <w:rPr>
                <w:b/>
                <w:i/>
              </w:rPr>
              <w:t>ca măsură antifraudă temporară și specifică,</w:t>
            </w:r>
            <w:r>
              <w:t xml:space="preserve"> pentru o perioadă </w:t>
            </w:r>
            <w:r>
              <w:rPr>
                <w:b/>
                <w:i/>
              </w:rPr>
              <w:t>limitată strict necesară</w:t>
            </w:r>
            <w:r>
              <w:t xml:space="preserve"> pentru a menține securitatea juridică, a preveni expunerea reînnoită la frauda carusel și a asigura continuitatea cât timp pachetul ViDA este pus în aplicare treptat;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solicită prelungirea valabilității articolului 199a după 31 decembrie 2026 pentru o perioadă suficient de lungă, pentru a menține securitatea juridică, a preveni expunerea reînnoită la frauda carusel și a asigura continuitatea cât timp pachetul ViDA este pus în aplicare treptat;</w:t>
            </w:r>
          </w:p>
        </w:tc>
        <w:tc>
          <w:tcPr>
            <w:tcW w:w="4876" w:type="dxa"/>
            <w:tcBorders>
              <w:top w:val="nil"/>
              <w:left w:val="nil"/>
              <w:bottom w:val="nil"/>
              <w:right w:val="nil"/>
            </w:tcBorders>
          </w:tcPr>
          <w:p>
            <w:pPr>
              <w:pStyle w:val="Normal6a"/>
            </w:pPr>
            <w:r>
              <w:t>6.</w:t>
            </w:r>
            <w:r>
              <w:tab/>
            </w:r>
            <w:r>
              <w:t xml:space="preserve">solicită prelungirea valabilității articolului 199a după 31 decembrie 2026 pentru o perioadă suficient de lungă </w:t>
            </w:r>
            <w:r>
              <w:rPr>
                <w:b/>
                <w:i/>
              </w:rPr>
              <w:t>sau chiar permanent</w:t>
            </w:r>
            <w:r>
              <w:t>, pentru a menține securitatea juridică, a preveni expunerea reînnoită la frauda carusel și a asigura continuitatea cât timp pachetul ViDA este pus în aplicare treptat;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consideră că o prelungire mai importantă, cu cel puțin patru ani, ar asigura continuitatea pentru întreprinderi și administrațiile fiscale până când ViDA, raportarea digitală și sistemele naționale de facturare electronică își vor produce pe deplin efectele;</w:t>
            </w:r>
          </w:p>
        </w:tc>
        <w:tc>
          <w:tcPr>
            <w:tcW w:w="4876" w:type="dxa"/>
            <w:tcBorders>
              <w:top w:val="nil"/>
              <w:left w:val="nil"/>
              <w:bottom w:val="nil"/>
              <w:right w:val="nil"/>
            </w:tcBorders>
          </w:tcPr>
          <w:p>
            <w:pPr>
              <w:pStyle w:val="Normal6a"/>
            </w:pPr>
            <w:r>
              <w:t>7.</w:t>
            </w:r>
            <w:r>
              <w:tab/>
            </w:r>
            <w:r>
              <w:t xml:space="preserve">consideră că o prelungire mai importantă, cu cel puțin patru ani, ar asigura continuitatea pentru întreprinderi și administrațiile fiscale până când ViDA, raportarea digitală și sistemele naționale de facturare electronică își vor produce pe deplin efectele; </w:t>
            </w:r>
            <w:r>
              <w:rPr>
                <w:b/>
                <w:i/>
              </w:rPr>
              <w:t>reamintește că o astfel de prelungire ar trebui să aibă în continuare un caracter tranzitoriu și să servească drept măsură temporară până la introducerea unui sistem de TVA armonizat și digitalizat al UE, susținut de cerințe solide de facturare electronică și de raportare digitală, și poate reduce frauda din punct de vedere structural, poate simplifica conformitatea pentru întreprinderile legitime și poate asigura venituri stabile pentru serviciile publice;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consideră că o prelungire mai importantă, </w:t>
            </w:r>
            <w:r>
              <w:rPr>
                <w:b/>
                <w:i/>
              </w:rPr>
              <w:t>cu cel puțin patru ani</w:t>
            </w:r>
            <w:r>
              <w:t>, ar asigura continuitatea pentru întreprinderi și administrațiile fiscale până când ViDA, raportarea digitală și sistemele naționale de facturare electronică își vor produce pe deplin efectele;</w:t>
            </w:r>
          </w:p>
        </w:tc>
        <w:tc>
          <w:tcPr>
            <w:tcW w:w="4876" w:type="dxa"/>
            <w:tcBorders>
              <w:top w:val="nil"/>
              <w:left w:val="nil"/>
              <w:bottom w:val="nil"/>
              <w:right w:val="nil"/>
            </w:tcBorders>
          </w:tcPr>
          <w:p>
            <w:pPr>
              <w:pStyle w:val="Normal6a"/>
            </w:pPr>
            <w:r>
              <w:t>7.</w:t>
            </w:r>
            <w:r>
              <w:tab/>
            </w:r>
            <w:r>
              <w:t xml:space="preserve">consideră că o prelungire mai importantă, </w:t>
            </w:r>
            <w:r>
              <w:rPr>
                <w:b/>
                <w:i/>
              </w:rPr>
              <w:t>pentru o perioadă suficientă pentru a permite punerea în aplicare deplină și eficacitatea demonstrată a pachetului privind TVA în era digitală</w:t>
            </w:r>
            <w:r>
              <w:t xml:space="preserve">, ar asigura continuitatea </w:t>
            </w:r>
            <w:r>
              <w:rPr>
                <w:b/>
                <w:i/>
              </w:rPr>
              <w:t>și previzibilitatea</w:t>
            </w:r>
            <w:r>
              <w:t xml:space="preserve"> pentru întreprinderi și administrațiile fiscale până când ViDA, raportarea digitală și sistemele naționale de facturare electronică își vor produce pe deplin efectele;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consideră că o prelungire mai importantă</w:t>
            </w:r>
            <w:r>
              <w:rPr>
                <w:b/>
                <w:i/>
              </w:rPr>
              <w:t>, cu cel puțin patru ani,</w:t>
            </w:r>
            <w:r>
              <w:t xml:space="preserve"> ar asigura continuitatea pentru întreprinderi și administrațiile fiscale până când ViDA, raportarea digitală și sistemele naționale de facturare electronică își vor produce pe deplin efectele;</w:t>
            </w:r>
          </w:p>
        </w:tc>
        <w:tc>
          <w:tcPr>
            <w:tcW w:w="4876" w:type="dxa"/>
            <w:tcBorders>
              <w:top w:val="nil"/>
              <w:left w:val="nil"/>
              <w:bottom w:val="nil"/>
              <w:right w:val="nil"/>
            </w:tcBorders>
          </w:tcPr>
          <w:p>
            <w:pPr>
              <w:pStyle w:val="Normal6a"/>
            </w:pPr>
            <w:r>
              <w:t>7.</w:t>
            </w:r>
            <w:r>
              <w:tab/>
            </w:r>
            <w:r>
              <w:t xml:space="preserve">consideră că o prelungire mai importantă ar </w:t>
            </w:r>
            <w:r>
              <w:rPr>
                <w:b/>
                <w:i/>
              </w:rPr>
              <w:t>trebui să facă obiectul unei clauze de caducitate și al unei revizuiri periodice și să fie însoțită de o evaluare a Comisiei, pentru a asigura că măsura rămâne relevantă și pentru a</w:t>
            </w:r>
            <w:r>
              <w:t xml:space="preserve"> asigura continuitatea pentru întreprinderi și administrațiile fiscale până când ViDA, raportarea digitală și sistemele naționale de facturare electronică își vor produce pe deplin efectele;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Herbert Dorfmann, Markus Ferber, Fernando Navarrete Rojas,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consideră că o prelungire mai importantă</w:t>
            </w:r>
            <w:r>
              <w:rPr>
                <w:b/>
                <w:i/>
              </w:rPr>
              <w:t>, cu cel puțin patru ani,</w:t>
            </w:r>
            <w:r>
              <w:t xml:space="preserve"> ar asigura continuitatea pentru întreprinderi și administrațiile fiscale până când ViDA, raportarea digitală și sistemele naționale de facturare electronică își vor produce pe deplin efectele;</w:t>
            </w:r>
          </w:p>
        </w:tc>
        <w:tc>
          <w:tcPr>
            <w:tcW w:w="4876" w:type="dxa"/>
            <w:tcBorders>
              <w:top w:val="nil"/>
              <w:left w:val="nil"/>
              <w:bottom w:val="nil"/>
              <w:right w:val="nil"/>
            </w:tcBorders>
          </w:tcPr>
          <w:p>
            <w:pPr>
              <w:pStyle w:val="Normal6a"/>
            </w:pPr>
            <w:r>
              <w:t>7.</w:t>
            </w:r>
            <w:r>
              <w:tab/>
            </w:r>
            <w:r>
              <w:t xml:space="preserve">consideră că o prelungire mai importantă </w:t>
            </w:r>
            <w:r>
              <w:rPr>
                <w:b/>
                <w:i/>
              </w:rPr>
              <w:t>decât cele acordate până în prezent</w:t>
            </w:r>
            <w:r>
              <w:t xml:space="preserve"> ar asigura continuitatea pentru întreprinderi și administrațiile fiscale până când ViDA, raportarea digitală și sistemele naționale de facturare electronică își vor produce pe deplin efectele;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consideră că o</w:t>
            </w:r>
            <w:r>
              <w:t xml:space="preserve"> prelungire </w:t>
            </w:r>
            <w:r>
              <w:rPr>
                <w:b/>
                <w:i/>
              </w:rPr>
              <w:t>mai importantă, cu cel puțin patru ani,</w:t>
            </w:r>
            <w:r>
              <w:t xml:space="preserve"> ar asigura continuitatea pentru întreprinderi și administrațiile fiscale până când ViDA, raportarea digitală și sistemele naționale de facturare electronică își vor produce pe deplin efectele;</w:t>
            </w:r>
          </w:p>
        </w:tc>
        <w:tc>
          <w:tcPr>
            <w:tcW w:w="4876" w:type="dxa"/>
            <w:tcBorders>
              <w:top w:val="nil"/>
              <w:left w:val="nil"/>
              <w:bottom w:val="nil"/>
              <w:right w:val="nil"/>
            </w:tcBorders>
          </w:tcPr>
          <w:p>
            <w:pPr>
              <w:pStyle w:val="Normal6a"/>
            </w:pPr>
            <w:r>
              <w:t>7.</w:t>
            </w:r>
            <w:r>
              <w:tab/>
            </w:r>
            <w:r>
              <w:rPr>
                <w:b/>
                <w:i/>
              </w:rPr>
              <w:t>evidențiază că o astfel de</w:t>
            </w:r>
            <w:r>
              <w:t xml:space="preserve"> prelungire ar asigura continuitatea pentru întreprinderi și administrațiile fiscale până când ViDA, raportarea digitală și sistemele naționale de facturare electronică își vor produce pe deplin efectele;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consideră că o prelungire </w:t>
            </w:r>
            <w:r>
              <w:rPr>
                <w:b/>
                <w:i/>
              </w:rPr>
              <w:t>mai</w:t>
            </w:r>
            <w:r>
              <w:t xml:space="preserve"> importantă</w:t>
            </w:r>
            <w:r>
              <w:rPr>
                <w:b/>
                <w:i/>
              </w:rPr>
              <w:t>, cu cel puțin patru ani,</w:t>
            </w:r>
            <w:r>
              <w:t xml:space="preserve"> ar asigura continuitatea pentru întreprinderi și administrațiile fiscale până când ViDA, raportarea digitală și sistemele naționale de facturare electronică își vor produce pe deplin efectele;</w:t>
            </w:r>
          </w:p>
        </w:tc>
        <w:tc>
          <w:tcPr>
            <w:tcW w:w="4876" w:type="dxa"/>
            <w:tcBorders>
              <w:top w:val="nil"/>
              <w:left w:val="nil"/>
              <w:bottom w:val="nil"/>
              <w:right w:val="nil"/>
            </w:tcBorders>
          </w:tcPr>
          <w:p>
            <w:pPr>
              <w:pStyle w:val="Normal6a"/>
            </w:pPr>
            <w:r>
              <w:t>7.</w:t>
            </w:r>
            <w:r>
              <w:tab/>
            </w:r>
            <w:r>
              <w:t xml:space="preserve">consideră că </w:t>
            </w:r>
            <w:r>
              <w:rPr>
                <w:b/>
                <w:i/>
              </w:rPr>
              <w:t>numai</w:t>
            </w:r>
            <w:r>
              <w:t xml:space="preserve"> o prelungire importantă ar asigura continuitatea pentru întreprinderi și administrațiile fiscale până când ViDA, raportarea digitală și sistemele naționale de facturare electronică își vor produce pe deplin efectele;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observă că unele industrii</w:t>
            </w:r>
            <w:r>
              <w:rPr>
                <w:b/>
                <w:i/>
                <w:vertAlign w:val="superscript"/>
              </w:rPr>
              <w:t>2a</w:t>
            </w:r>
            <w:r>
              <w:t xml:space="preserve"> </w:t>
            </w:r>
            <w:r>
              <w:rPr>
                <w:b/>
                <w:i/>
              </w:rPr>
              <w:t>și unii cercetători au pledat pentru un MTI permanent care ar duce la o scădere susținută a fraudei în domeniul TVA, la securitate juridică pentru toți participanții pe piață și la cadre de conformitate stabile și eficiente;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„Joint Industry Call to Sustain Protections Against VAT Fraud in Energy, Emissions and Energy Certificates Trading” (Apel comun al industriei de a consolida protecția împotriva fraudei în materie de TVA în domeniul energiei, al emisiilor și al comercializării certificatelor de energie).</w:t>
            </w:r>
            <w:r>
              <w:t xml:space="preserve"> </w:t>
            </w:r>
            <w:r>
              <w:rPr>
                <w:b/>
                <w:i/>
              </w:rPr>
              <w:t>Bruxelles, 3 martie 2026.</w:t>
            </w:r>
            <w:r>
              <w:t xml:space="preserve"> </w:t>
            </w:r>
            <w:r>
              <w:rPr>
                <w:b/>
                <w:i/>
              </w:rPr>
              <w:t>Disponibil la:</w:t>
            </w:r>
            <w:r>
              <w:t xml:space="preserve"> </w:t>
            </w:r>
            <w:r>
              <w:rPr>
                <w:b/>
                <w:i/>
              </w:rPr>
              <w:t>https://www.eurogas.org/wp-content/uploads/2026/03/20260303_Joint-Energy-Industry-Call-to-Sustain-VAT-Fraud-Protections.pdf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subliniază că orice prelungire a valabilității articolului 199a ar trebui să rămână punctuală, bazată pe dovezi și justificată de riscuri clare de fraudă, de particularitățile sectorului și de lipsa unor alternative mai puțin împovărătoare;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subliniază că mecanismul de taxare inversă trebuie să rămână o derogare excepțională și să nu înlocuiască necesitatea unei reforme mai ample a TVA;</w:t>
            </w:r>
            <w:r>
              <w:t xml:space="preserve"> </w:t>
            </w:r>
            <w:r>
              <w:rPr>
                <w:b/>
                <w:i/>
              </w:rPr>
              <w:t>invită Comisia să prezinte o foaie de parcurs pentru un cadru cuprinzător și coerent în materie de TVA, menit să elimine lacunele care permit frauda la scară largă în domeniul TVA și bazat pe raportarea digitală și facturarea electronică la nivelul UE, pe o cooperare administrativă mai strânsă și pe o aplicare eficace a legii împotriva fraudei transfrontaliere în domeniul 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regretă că, potrivit estimărilor recente ale Comisiei, deficitul de conformitate în materie de TVA în UE s-a ridicat la 128 de miliarde EUR în 2023;</w:t>
            </w:r>
            <w:r>
              <w:t xml:space="preserve"> </w:t>
            </w:r>
            <w:r>
              <w:rPr>
                <w:b/>
                <w:i/>
              </w:rPr>
              <w:t>constată cu îngrijorare că frauda carusel în domeniul TVA a reprezentat aproximativ un sfert din pierderile anuale de venituri din TVA, în timp ce frauda intracomunitară cu firme „fantomă” (MTIC) în domeniul TVA este estimată să cauzeze pierderi anuale cuprinse între 12,5 miliarde EUR și 32,8 miliarde EUR;</w:t>
            </w:r>
            <w:r>
              <w:t xml:space="preserve"> </w:t>
            </w:r>
            <w:r>
              <w:rPr>
                <w:b/>
                <w:i/>
              </w:rPr>
              <w:t>subliniază că aceste venituri pierdute privează bugetele publice de resurse pentru investiții publice, slăbesc resursele proprii ale Uniunii și subminează concurența loială pentru întreprinderile legitime pe piața unică.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invită Comisia ca, împreună cu statele membre, să evalueze costurile și beneficiile aplicării MTI, sector cu sector, inclusiv impactul său asupra fraudei, întreprinderilor, administrațiilor fiscale și a posibilei reorientări a fraudei, și să adapteze lista sectoarelor în consecință;</w:t>
            </w:r>
          </w:p>
        </w:tc>
        <w:tc>
          <w:tcPr>
            <w:tcW w:w="4876" w:type="dxa"/>
            <w:tcBorders>
              <w:top w:val="nil"/>
              <w:left w:val="nil"/>
              <w:bottom w:val="nil"/>
              <w:right w:val="nil"/>
            </w:tcBorders>
          </w:tcPr>
          <w:p>
            <w:pPr>
              <w:pStyle w:val="Normal6a"/>
            </w:pPr>
            <w:r>
              <w:t>9.</w:t>
            </w:r>
            <w:r>
              <w:tab/>
            </w:r>
            <w:r>
              <w:t xml:space="preserve">invită Comisia ca, împreună cu statele membre, să evalueze costurile și beneficiile aplicării MTI, sector cu sector, inclusiv impactul său asupra fraudei, întreprinderilor, administrațiilor fiscale și a posibilei reorientări a fraudei, și să adapteze lista sectoarelor în consecință; </w:t>
            </w:r>
            <w:r>
              <w:rPr>
                <w:b/>
                <w:i/>
              </w:rPr>
              <w:t>solicită, pe baza acestei evaluări, stabilirea unor condiții minime comune pentru aplicarea MTI în toate statele membre, pentru a reduce insecuritatea juridică și a limita oportunitățile de deplasare a fraudei între statele membre cu norme divergente;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Fernando Navarrete Rojas,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invită Comisia ca, împreună cu statele membre, să evalueze costurile și beneficiile aplicării MTI, sector cu sector, inclusiv impactul său asupra fraudei, întreprinderilor, administrațiilor fiscale și a posibilei reorientări a fraudei, și să adapteze lista sectoarelor în consecință;</w:t>
            </w:r>
          </w:p>
        </w:tc>
        <w:tc>
          <w:tcPr>
            <w:tcW w:w="4876" w:type="dxa"/>
            <w:tcBorders>
              <w:top w:val="nil"/>
              <w:left w:val="nil"/>
              <w:bottom w:val="nil"/>
              <w:right w:val="nil"/>
            </w:tcBorders>
          </w:tcPr>
          <w:p>
            <w:pPr>
              <w:pStyle w:val="Normal6a"/>
            </w:pPr>
            <w:r>
              <w:t>9.</w:t>
            </w:r>
            <w:r>
              <w:tab/>
            </w:r>
            <w:r>
              <w:t xml:space="preserve">invită Comisia ca, împreună cu statele membre, să evalueze costurile și beneficiile aplicării MTI, sector cu sector, inclusiv impactul său asupra fraudei, întreprinderilor, administrațiilor fiscale și a posibilei reorientări a fraudei, </w:t>
            </w:r>
            <w:r>
              <w:rPr>
                <w:b/>
                <w:i/>
              </w:rPr>
              <w:t>în special prin compararea fraudei estimate în domeniul TVA prevenite cu costurile de asigurare a conformității suportate de întreprinderi, cu accent deosebit pe întreprinderile mici și mijlocii (IMM-uri),</w:t>
            </w:r>
            <w:r>
              <w:t xml:space="preserve"> și să adapteze lista sectoarelor în consecință;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invită Comisia ca, împreună cu statele membre, să evalueze costurile și beneficiile aplicării MTI, sector cu sector, inclusiv impactul său asupra fraudei, întreprinderilor, administrațiilor fiscale și a posibilei reorientări a fraudei, și să adapteze lista sectoarelor în consecință;</w:t>
            </w:r>
          </w:p>
        </w:tc>
        <w:tc>
          <w:tcPr>
            <w:tcW w:w="4876" w:type="dxa"/>
            <w:tcBorders>
              <w:top w:val="nil"/>
              <w:left w:val="nil"/>
              <w:bottom w:val="nil"/>
              <w:right w:val="nil"/>
            </w:tcBorders>
          </w:tcPr>
          <w:p>
            <w:pPr>
              <w:pStyle w:val="Normal6a"/>
            </w:pPr>
            <w:r>
              <w:t>9.</w:t>
            </w:r>
            <w:r>
              <w:tab/>
            </w:r>
            <w:r>
              <w:t xml:space="preserve">invită Comisia ca, împreună cu statele membre, să evalueze costurile și beneficiile aplicării MTI, sector cu sector, inclusiv impactul său asupra fraudei, întreprinderilor, administrațiilor fiscale și a posibilei reorientări a fraudei, și să adapteze lista sectoarelor în consecință; </w:t>
            </w:r>
            <w:r>
              <w:rPr>
                <w:b/>
                <w:i/>
              </w:rPr>
              <w:t>invită, de asemenea, Comisia să analizeze și să emită recomandări pentru statele membre cu privire la frauda „pe ultimul kilometru” în tranzacțiile B2C pentru sectoarele în care MTI este aplicabil;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invită Comisia ca, împreună cu statele membre, să evalueze costurile și beneficiile aplicării MTI, sector cu sector, inclusiv impactul său asupra fraudei, întreprinderilor, administrațiilor fiscale și a posibilei reorientări a fraudei, și să </w:t>
            </w:r>
            <w:r>
              <w:rPr>
                <w:b/>
                <w:i/>
              </w:rPr>
              <w:t>adapteze</w:t>
            </w:r>
            <w:r>
              <w:t xml:space="preserve"> lista sectoarelor în consecință;</w:t>
            </w:r>
          </w:p>
        </w:tc>
        <w:tc>
          <w:tcPr>
            <w:tcW w:w="4876" w:type="dxa"/>
            <w:tcBorders>
              <w:top w:val="nil"/>
              <w:left w:val="nil"/>
              <w:bottom w:val="nil"/>
              <w:right w:val="nil"/>
            </w:tcBorders>
          </w:tcPr>
          <w:p>
            <w:pPr>
              <w:pStyle w:val="Normal6a"/>
            </w:pPr>
            <w:r>
              <w:t>9.</w:t>
            </w:r>
            <w:r>
              <w:tab/>
            </w:r>
            <w:r>
              <w:t xml:space="preserve">invită Comisia ca, împreună cu statele membre, să evalueze costurile și beneficiile aplicării MTI, sector cu sector, inclusiv impactul său asupra fraudei, întreprinderilor, administrațiilor fiscale și a posibilei reorientări a fraudei, și să </w:t>
            </w:r>
            <w:r>
              <w:rPr>
                <w:b/>
                <w:i/>
              </w:rPr>
              <w:t>extindă</w:t>
            </w:r>
            <w:r>
              <w:t xml:space="preserve"> lista sectoarelor în consecință;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Herbert Dorfmann, Markus Ferber, Fernando Navarrete Rojas,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observă că Comisia nu a prezentat evaluarea actualizată a efectelor articolelor 199a și 199b solicitată de Parlament înainte de orice altă prelungire;</w:t>
            </w:r>
            <w:r>
              <w:t xml:space="preserve"> </w:t>
            </w:r>
            <w:r>
              <w:rPr>
                <w:b/>
                <w:i/>
              </w:rPr>
              <w:t>invită Comisia să prezinte o astfel de evaluare și, pe această bază, o propunere în timp util, cu mult înainte de expirarea la 31 decembrie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observă că retragerea MTI din sectoarele economice în care a eradicat cu succes frauda carusel, fără o alternativă la fel de solidă și dovedită, pe deplin operațională, ar duce probabil la reapariția imediată a rețelelor infracționale și la pierderi grave de venituri fiscale;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subliniază că </w:t>
            </w:r>
            <w:r>
              <w:rPr>
                <w:b/>
                <w:i/>
              </w:rPr>
              <w:t>o mai mare coerență în aplicarea</w:t>
            </w:r>
            <w:r>
              <w:t xml:space="preserve"> articolului 199a </w:t>
            </w:r>
            <w:r>
              <w:rPr>
                <w:b/>
                <w:i/>
              </w:rPr>
              <w:t>nu ar trebui să ducă la obligativitatea MTI sau la armonizarea forțată a sistemelor naționale de TVA, ci ar trebui să asigure</w:t>
            </w:r>
            <w:r>
              <w:t xml:space="preserve"> un tratament mai clar și mai previzibil al tranzacțiilor comparabile cu risc ridicat;</w:t>
            </w:r>
          </w:p>
        </w:tc>
        <w:tc>
          <w:tcPr>
            <w:tcW w:w="4876" w:type="dxa"/>
            <w:tcBorders>
              <w:top w:val="nil"/>
              <w:left w:val="nil"/>
              <w:bottom w:val="nil"/>
              <w:right w:val="nil"/>
            </w:tcBorders>
          </w:tcPr>
          <w:p>
            <w:pPr>
              <w:pStyle w:val="Normal6a"/>
            </w:pPr>
            <w:r>
              <w:t>10.</w:t>
            </w:r>
            <w:r>
              <w:tab/>
            </w:r>
            <w:r>
              <w:t xml:space="preserve">subliniază că </w:t>
            </w:r>
            <w:r>
              <w:rPr>
                <w:b/>
                <w:i/>
              </w:rPr>
              <w:t>MTI ar trebui să rămână opțional pentru statele membre; consideră, cu toate acestea, că, în cazul în care un stat membru aplică MTI în temeiul</w:t>
            </w:r>
            <w:r>
              <w:t xml:space="preserve"> articolului 199a</w:t>
            </w:r>
            <w:r>
              <w:rPr>
                <w:b/>
                <w:i/>
              </w:rPr>
              <w:t>, condițiile care reglementează aplicarea sa, inclusiv pragurile peste care se aplică mecanismul și definițiile sectoarelor și bunurilor sau serviciilor vizate, trebuie aliniate la nivelul Uniunii, pentru a asigura</w:t>
            </w:r>
            <w:r>
              <w:t xml:space="preserve"> un tratament mai clar și mai previzibil al tranzacțiilor comparabile cu risc ridicat </w:t>
            </w:r>
            <w:r>
              <w:rPr>
                <w:b/>
                <w:i/>
              </w:rPr>
              <w:t>pe piața internă și pentru a limita oportunitățile de deplasare a fraudei care decurg din normele naționale divergente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subliniază că o mai mare coerență în aplicarea articolului 199a nu ar trebui să ducă </w:t>
            </w:r>
            <w:r>
              <w:rPr>
                <w:b/>
                <w:i/>
              </w:rPr>
              <w:t>la obligativitatea MTI sau</w:t>
            </w:r>
            <w:r>
              <w:t xml:space="preserve"> la armonizarea forțată a sistemelor naționale de TVA, ci ar trebui să asigure un tratament mai clar și mai previzibil al tranzacțiilor comparabile cu risc ridicat;</w:t>
            </w:r>
          </w:p>
        </w:tc>
        <w:tc>
          <w:tcPr>
            <w:tcW w:w="4876" w:type="dxa"/>
            <w:tcBorders>
              <w:top w:val="nil"/>
              <w:left w:val="nil"/>
              <w:bottom w:val="nil"/>
              <w:right w:val="nil"/>
            </w:tcBorders>
          </w:tcPr>
          <w:p>
            <w:pPr>
              <w:pStyle w:val="Normal6a"/>
            </w:pPr>
            <w:r>
              <w:t>10.</w:t>
            </w:r>
            <w:r>
              <w:tab/>
            </w:r>
            <w:r>
              <w:t xml:space="preserve">subliniază că </w:t>
            </w:r>
            <w:r>
              <w:rPr>
                <w:b/>
                <w:i/>
              </w:rPr>
              <w:t>este necesară</w:t>
            </w:r>
            <w:r>
              <w:t xml:space="preserve"> o mai mare coerență în aplicarea articolului 199a</w:t>
            </w:r>
            <w:r>
              <w:rPr>
                <w:b/>
                <w:i/>
              </w:rPr>
              <w:t>, însă acest lucru</w:t>
            </w:r>
            <w:r>
              <w:t xml:space="preserve"> nu ar trebui să ducă la armonizarea forțată a sistemelor naționale de TVA, ci ar trebui să asigure un tratament mai clar și mai previzibil al tranzacțiilor comparabile cu risc ridicat</w:t>
            </w:r>
            <w:r>
              <w:rPr>
                <w:b/>
                <w:i/>
              </w:rPr>
              <w:t>, cu obiectivul de a simplifica activitățile transfrontaliere pentru IMM-uri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Herbert Dorfmann, Markus Ferber, Fernando Navarrete Rojas,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subliniază că o mai mare coerență în aplicarea articolului 199a nu ar trebui să ducă la obligativitatea MTI </w:t>
            </w:r>
            <w:r>
              <w:rPr>
                <w:b/>
                <w:i/>
              </w:rPr>
              <w:t>sau la armonizarea forțată a sistemelor naționale de TVA</w:t>
            </w:r>
            <w:r>
              <w:t>, ci ar trebui să asigure un tratament mai clar și mai previzibil al tranzacțiilor comparabile cu risc ridicat;</w:t>
            </w:r>
          </w:p>
        </w:tc>
        <w:tc>
          <w:tcPr>
            <w:tcW w:w="4876" w:type="dxa"/>
            <w:tcBorders>
              <w:top w:val="nil"/>
              <w:left w:val="nil"/>
              <w:bottom w:val="nil"/>
              <w:right w:val="nil"/>
            </w:tcBorders>
          </w:tcPr>
          <w:p>
            <w:pPr>
              <w:pStyle w:val="Normal6a"/>
            </w:pPr>
            <w:r>
              <w:t>10.</w:t>
            </w:r>
            <w:r>
              <w:tab/>
            </w:r>
            <w:r>
              <w:t>subliniază că o mai mare coerență în aplicarea articolului 199a nu ar trebui să ducă la obligativitatea MTI, ci ar trebui să asigure un tratament mai clar și mai previzibil al tranzacțiilor comparabile cu risc ridicat</w:t>
            </w:r>
            <w:r>
              <w:rPr>
                <w:b/>
                <w:i/>
              </w:rPr>
              <w:t>, fără a exclude, pentru un număr limitat de sectoare expuse celui mai ridicat risc de fraudă, o aplicare mai armonizată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subliniază că o mai mare coerență în aplicarea articolului 199a nu ar trebui să ducă la obligativitatea MTI </w:t>
            </w:r>
            <w:r>
              <w:rPr>
                <w:b/>
                <w:i/>
              </w:rPr>
              <w:t>sau la armonizarea forțată a sistemelor naționale de TVA, ci ar trebui</w:t>
            </w:r>
            <w:r>
              <w:t xml:space="preserve"> să asigure un tratament mai clar și mai previzibil al tranzacțiilor comparabile cu risc ridicat;</w:t>
            </w:r>
          </w:p>
        </w:tc>
        <w:tc>
          <w:tcPr>
            <w:tcW w:w="4876" w:type="dxa"/>
            <w:tcBorders>
              <w:top w:val="nil"/>
              <w:left w:val="nil"/>
              <w:bottom w:val="nil"/>
              <w:right w:val="nil"/>
            </w:tcBorders>
          </w:tcPr>
          <w:p>
            <w:pPr>
              <w:pStyle w:val="Normal6a"/>
            </w:pPr>
            <w:r>
              <w:t>10.</w:t>
            </w:r>
            <w:r>
              <w:tab/>
            </w:r>
            <w:r>
              <w:t>subliniază că o mai mare coerență în aplicarea articolului 199a nu ar trebui să ducă la obligativitatea MTI</w:t>
            </w:r>
            <w:r>
              <w:rPr>
                <w:b/>
                <w:i/>
              </w:rPr>
              <w:t>, ci</w:t>
            </w:r>
            <w:r>
              <w:t xml:space="preserve"> să asigure un tratament mai clar și mai previzibil al tranzacțiilor comparabile cu risc ridicat;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evidențiază că eforturile de a obține o mai mare coerență la nivelul UE trebuie să respecte cu strictețe principiul subsidiarității, permițând statelor membre flexibilitatea necesară pentru a adapta rapid MTI la amenințările de fraudă specifice, localizate și la riscurile economiei subterane, fără a aștepta modificări legislative la nivelul UE care iau mult timp;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invită Comisia ca, </w:t>
            </w:r>
            <w:r>
              <w:rPr>
                <w:b/>
                <w:i/>
              </w:rPr>
              <w:t>împreună</w:t>
            </w:r>
            <w:r>
              <w:t xml:space="preserve"> cu statele membre, să </w:t>
            </w:r>
            <w:r>
              <w:rPr>
                <w:b/>
                <w:i/>
              </w:rPr>
              <w:t>clarifice domeniul</w:t>
            </w:r>
            <w:r>
              <w:t xml:space="preserve"> de aplicare și </w:t>
            </w:r>
            <w:r>
              <w:rPr>
                <w:b/>
                <w:i/>
              </w:rPr>
              <w:t>definițiile</w:t>
            </w:r>
            <w:r>
              <w:t xml:space="preserve"> sectoarelor care intră sub incidența articolului 199a </w:t>
            </w:r>
            <w:r>
              <w:rPr>
                <w:b/>
                <w:i/>
              </w:rPr>
              <w:t>în cazul în care</w:t>
            </w:r>
            <w:r>
              <w:t xml:space="preserve"> interpretările divergente au creat insecuritate juridică, sarcini de asigurare a conformității sau oportunități de fraudă;</w:t>
            </w:r>
          </w:p>
        </w:tc>
        <w:tc>
          <w:tcPr>
            <w:tcW w:w="4876" w:type="dxa"/>
            <w:tcBorders>
              <w:top w:val="nil"/>
              <w:left w:val="nil"/>
              <w:bottom w:val="nil"/>
              <w:right w:val="nil"/>
            </w:tcBorders>
          </w:tcPr>
          <w:p>
            <w:pPr>
              <w:pStyle w:val="Normal6a"/>
            </w:pPr>
            <w:r>
              <w:t>11.</w:t>
            </w:r>
            <w:r>
              <w:tab/>
            </w:r>
            <w:r>
              <w:t xml:space="preserve">invită Comisia ca, </w:t>
            </w:r>
            <w:r>
              <w:rPr>
                <w:b/>
                <w:i/>
              </w:rPr>
              <w:t>în consultare</w:t>
            </w:r>
            <w:r>
              <w:t xml:space="preserve"> cu statele membre, să </w:t>
            </w:r>
            <w:r>
              <w:rPr>
                <w:b/>
                <w:i/>
              </w:rPr>
              <w:t>propună o clarificare juridică a domeniului</w:t>
            </w:r>
            <w:r>
              <w:t xml:space="preserve"> de aplicare și </w:t>
            </w:r>
            <w:r>
              <w:rPr>
                <w:b/>
                <w:i/>
              </w:rPr>
              <w:t>a definițiilor</w:t>
            </w:r>
            <w:r>
              <w:t xml:space="preserve"> sectoarelor care intră sub incidența articolului 199a</w:t>
            </w:r>
            <w:r>
              <w:rPr>
                <w:b/>
                <w:i/>
              </w:rPr>
              <w:t>, deoarece</w:t>
            </w:r>
            <w:r>
              <w:t xml:space="preserve"> interpretările divergente au creat insecuritate juridică, sarcini de asigurare a conformității sau oportunități de fraudă;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Herbert Dorfmann, Markus Ferber, Fernando Navarrete Rojas,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invită Comisia ca, împreună cu statele membre, să clarifice domeniul de aplicare și definițiile sectoarelor care intră sub incidența articolului 199a în cazul în care interpretările divergente au creat insecuritate juridică, sarcini de asigurare a conformității sau oportunități de fraudă;</w:t>
            </w:r>
          </w:p>
        </w:tc>
        <w:tc>
          <w:tcPr>
            <w:tcW w:w="4876" w:type="dxa"/>
            <w:tcBorders>
              <w:top w:val="nil"/>
              <w:left w:val="nil"/>
              <w:bottom w:val="nil"/>
              <w:right w:val="nil"/>
            </w:tcBorders>
          </w:tcPr>
          <w:p>
            <w:pPr>
              <w:pStyle w:val="Normal6a"/>
            </w:pPr>
            <w:r>
              <w:t>11.</w:t>
            </w:r>
            <w:r>
              <w:tab/>
            </w:r>
            <w:r>
              <w:t xml:space="preserve">invită Comisia ca, împreună cu statele membre, să clarifice </w:t>
            </w:r>
            <w:r>
              <w:rPr>
                <w:b/>
                <w:i/>
              </w:rPr>
              <w:t>și să actualizeze periodic</w:t>
            </w:r>
            <w:r>
              <w:t xml:space="preserve"> domeniul de aplicare și definițiile sectoarelor care intră sub incidența articolului 199a în cazul în care interpretările divergente au creat insecuritate juridică, sarcini de asigurare a conformității sau oportunități de fraudă;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subliniază că armonizarea minimă a pragurilor și a definițiilor sectoriale aplicabile în temeiul articolului 199a poate asigura faptul că tranzacțiile comparabile cu risc ridicat sunt tratate într-un mod echivalent din punct de vedere material în toate statele membre;</w:t>
            </w:r>
            <w:r>
              <w:t xml:space="preserve"> </w:t>
            </w:r>
            <w:r>
              <w:rPr>
                <w:b/>
                <w:i/>
              </w:rPr>
              <w:t>invită Comisia să propună, în cazul în care există dovezi în acest sens, un cadru de standarde minime comune pentru aplicarea MTI în sectoarele enumerate la articolul 199a alineatul (1), menținând în același timp capacitatea statelor membre de a aplica măsuri mai specifice;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Herbert Dorfmann, Markus Ferber, Fernando Navarrete Rojas,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consideră că ar trebui să se acorde o atenție deosebită tranzacțiilor cu valoare ridicată, cu evoluție rapidă și digitalizate, inclusiv aprovizionării cu energie, certificatelor de emisii, certificatelor energetice, produselor electronice și metalelor;</w:t>
            </w:r>
          </w:p>
        </w:tc>
        <w:tc>
          <w:tcPr>
            <w:tcW w:w="4876" w:type="dxa"/>
            <w:tcBorders>
              <w:top w:val="nil"/>
              <w:left w:val="nil"/>
              <w:bottom w:val="nil"/>
              <w:right w:val="nil"/>
            </w:tcBorders>
          </w:tcPr>
          <w:p>
            <w:pPr>
              <w:pStyle w:val="Normal6a"/>
            </w:pPr>
            <w:r>
              <w:t>12.</w:t>
            </w:r>
            <w:r>
              <w:tab/>
            </w:r>
            <w:r>
              <w:t xml:space="preserve">consideră că ar trebui să se acorde </w:t>
            </w:r>
            <w:r>
              <w:rPr>
                <w:b/>
                <w:i/>
              </w:rPr>
              <w:t>în continuare</w:t>
            </w:r>
            <w:r>
              <w:t xml:space="preserve"> o atenție deosebită tranzacțiilor cu valoare ridicată, cu evoluție rapidă și digitalizate, inclusiv aprovizionării cu energie, certificatelor de emisii, certificatelor energetice, produselor electronice și metalelor; </w:t>
            </w:r>
            <w:r>
              <w:rPr>
                <w:b/>
                <w:i/>
              </w:rPr>
              <w:t>invită Comisia să clarifice tratamentul în materie de TVA al certificatelor energetice, inclusiv al garanțiilor de origine, care rămân în prezent într-o zonă juridică gri, expunând operatorii la insecuritate juridică și la riscuri de răspundere;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consideră că ar trebui să se acorde o atenție deosebită tranzacțiilor cu valoare ridicată, cu evoluție rapidă și digitalizate, inclusiv aprovizionării cu energie, certificatelor de emisii, certificatelor energetice, produselor electronice </w:t>
            </w:r>
            <w:r>
              <w:rPr>
                <w:b/>
                <w:i/>
              </w:rPr>
              <w:t>și</w:t>
            </w:r>
            <w:r>
              <w:t xml:space="preserve"> metalelor;</w:t>
            </w:r>
          </w:p>
        </w:tc>
        <w:tc>
          <w:tcPr>
            <w:tcW w:w="4876" w:type="dxa"/>
            <w:tcBorders>
              <w:top w:val="nil"/>
              <w:left w:val="nil"/>
              <w:bottom w:val="nil"/>
              <w:right w:val="nil"/>
            </w:tcBorders>
          </w:tcPr>
          <w:p>
            <w:pPr>
              <w:pStyle w:val="Normal6a"/>
            </w:pPr>
            <w:r>
              <w:t>12.</w:t>
            </w:r>
            <w:r>
              <w:tab/>
            </w:r>
            <w:r>
              <w:t>consideră că ar trebui să se acorde o atenție deosebită tranzacțiilor cu valoare ridicată, cu evoluție rapidă și digitalizate, inclusiv aprovizionării cu energie, certificatelor de emisii, certificatelor energetice, produselor electronice</w:t>
            </w:r>
            <w:r>
              <w:rPr>
                <w:b/>
                <w:i/>
              </w:rPr>
              <w:t>,</w:t>
            </w:r>
            <w:r>
              <w:t xml:space="preserve"> metalelor </w:t>
            </w:r>
            <w:r>
              <w:rPr>
                <w:b/>
                <w:i/>
              </w:rPr>
              <w:t>brute și semifinite, metalelor prețioase și produselor agricole de bază, cum ar fi cerealele și culturile industriale, care rămân foarte susceptibile la frauda cu firme „fantomă”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consideră că ar trebui să se acorde o atenție deosebită tranzacțiilor cu valoare ridicată, cu evoluție rapidă și digitalizate, inclusiv aprovizionării cu energie, certificatelor de emisii, certificatelor energetice, produselor electronice și metalelor;</w:t>
            </w:r>
          </w:p>
        </w:tc>
        <w:tc>
          <w:tcPr>
            <w:tcW w:w="4876" w:type="dxa"/>
            <w:tcBorders>
              <w:top w:val="nil"/>
              <w:left w:val="nil"/>
              <w:bottom w:val="nil"/>
              <w:right w:val="nil"/>
            </w:tcBorders>
          </w:tcPr>
          <w:p>
            <w:pPr>
              <w:pStyle w:val="Normal6a"/>
            </w:pPr>
            <w:r>
              <w:t>12.</w:t>
            </w:r>
            <w:r>
              <w:tab/>
            </w:r>
            <w:r>
              <w:t xml:space="preserve">consideră că ar trebui să se acorde o atenție deosebită tranzacțiilor cu valoare ridicată, cu evoluție rapidă și digitalizate, inclusiv aprovizionării cu energie, certificatelor de emisii </w:t>
            </w:r>
            <w:r>
              <w:rPr>
                <w:b/>
                <w:i/>
              </w:rPr>
              <w:t>(în special în cadrul schemei UE de comercializare a certificatelor de emisii faza 2)</w:t>
            </w:r>
            <w:r>
              <w:t>, certificatelor energetice, produselor electronice și metalelor;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reamintește că schema UE de comercializare a certificatelor de emisii a fost vehiculul uneia dintre cele mai mari scheme de fraudă carusel din istoria UE, care a dus la pierderi estimate la aproximativ 5 miliarde EUR între 2008 și 2009, și că schemele respective au fost eliminate numai după ce daunele s-au produs deja;</w:t>
            </w:r>
            <w:r>
              <w:t xml:space="preserve"> </w:t>
            </w:r>
            <w:r>
              <w:rPr>
                <w:b/>
                <w:i/>
              </w:rPr>
              <w:t>invită Comisia să efectueze o evaluare preventivă a vulnerabilității la riscul de fraudă carusel în domeniul TVA și de infracțiuni financiare care afectează tranzacțiile cu credite și certificate de carbon în cadrul schemei UE de comercializare a certificatelor de emisii faza 2 (ETS2) și să amâne lansarea operațională a ETS2 dacă există un risc ridicat de astfel de infracțiuni;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avertizează că divergențele legate de praguri, definițiile sectoarelor și practicile de punere în aplicare pot crește costurile pentru întreprinderile transfrontaliere și pot crea oportunități pentru autorii de fraude de a exploata lacunele;</w:t>
            </w:r>
          </w:p>
        </w:tc>
        <w:tc>
          <w:tcPr>
            <w:tcW w:w="4876" w:type="dxa"/>
            <w:tcBorders>
              <w:top w:val="nil"/>
              <w:left w:val="nil"/>
              <w:bottom w:val="nil"/>
              <w:right w:val="nil"/>
            </w:tcBorders>
          </w:tcPr>
          <w:p>
            <w:pPr>
              <w:pStyle w:val="Normal6a"/>
            </w:pPr>
            <w:r>
              <w:t>13.</w:t>
            </w:r>
            <w:r>
              <w:tab/>
            </w:r>
            <w:r>
              <w:t xml:space="preserve">avertizează că divergențele legate de praguri, definițiile sectoarelor și practicile de punere în aplicare pot crește costurile pentru întreprinderile transfrontaliere și pot crea oportunități pentru autorii de fraude de a exploata lacunele; </w:t>
            </w:r>
            <w:r>
              <w:rPr>
                <w:b/>
                <w:i/>
              </w:rPr>
              <w:t>subliniază importanța armonizării reglementărilor, a intensificării schimburilor de informații și a cooperării mai strânse între autoritățile competente și agențiile de fraudă ale UE în abordarea riscurilor de fraudă fiscală, evaziune fiscală și evitare a obligațiilor fiscale la nivel transfrontalier, precum și în simplificarea activității economice transfrontaliere;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avertizează că divergențele legate de praguri, definițiile sectoarelor și practicile de punere în aplicare pot crește costurile pentru întreprinderile transfrontaliere și pot crea oportunități pentru autorii de fraude de a exploata lacunele;</w:t>
            </w:r>
          </w:p>
        </w:tc>
        <w:tc>
          <w:tcPr>
            <w:tcW w:w="4876" w:type="dxa"/>
            <w:tcBorders>
              <w:top w:val="nil"/>
              <w:left w:val="nil"/>
              <w:bottom w:val="nil"/>
              <w:right w:val="nil"/>
            </w:tcBorders>
          </w:tcPr>
          <w:p>
            <w:pPr>
              <w:pStyle w:val="Normal6a"/>
            </w:pPr>
            <w:r>
              <w:t>13.</w:t>
            </w:r>
            <w:r>
              <w:tab/>
            </w:r>
            <w:r>
              <w:t xml:space="preserve">avertizează că divergențele legate de praguri, definițiile sectoarelor și practicile de punere în aplicare pot crește costurile pentru întreprinderile transfrontaliere și pot crea oportunități pentru autorii de fraude de a exploata lacunele; </w:t>
            </w:r>
            <w:r>
              <w:rPr>
                <w:b/>
                <w:i/>
              </w:rPr>
              <w:t>invită Comisia să propună, după caz prin măsuri de punere în aplicare sau orientări, un set comun de praguri și definiții sectoriale care să fie aplicate de statele membre în temeiul articolului 199a;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invită Comisia să însoțească orice propunere legislativă de extindere a articolului 199a cu măsuri de simplificare specifice, cu scopul de a reduce insecuritatea juridică și costurile de asigurare a conformității pentru întreprinderile care își desfășoară activitatea în statele membre;</w:t>
            </w:r>
            <w:r>
              <w:t xml:space="preserve"> </w:t>
            </w:r>
            <w:r>
              <w:rPr>
                <w:b/>
                <w:i/>
              </w:rPr>
              <w:t>subliniază că astfel de măsuri ar trebui să respecte competențele statelor membre în materie de impozitare și nu ar trebui să facă mecanismul obligatoriu sau să introducă o armonizare care să depășească ceea ce este necesar pentru a reduce arbitrajul de reglementare și duplicarea eforturilor de conformare;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subliniază necesitatea unor orientări suplimentare privind aspectele legate de punerea în aplicare prin intermediul Comitetului TVA și, după caz, al unor note explicative ale Comisiei, evitând</w:t>
            </w:r>
            <w:r>
              <w:rPr>
                <w:b/>
                <w:i/>
              </w:rPr>
              <w:t>,</w:t>
            </w:r>
            <w:r>
              <w:t xml:space="preserve"> în același timp</w:t>
            </w:r>
            <w:r>
              <w:rPr>
                <w:b/>
                <w:i/>
              </w:rPr>
              <w:t>,</w:t>
            </w:r>
            <w:r>
              <w:t xml:space="preserve"> complexitatea inutilă și respectând competențele statelor membre în materie de impozitare;</w:t>
            </w:r>
          </w:p>
        </w:tc>
        <w:tc>
          <w:tcPr>
            <w:tcW w:w="4876" w:type="dxa"/>
            <w:tcBorders>
              <w:top w:val="nil"/>
              <w:left w:val="nil"/>
              <w:bottom w:val="nil"/>
              <w:right w:val="nil"/>
            </w:tcBorders>
          </w:tcPr>
          <w:p>
            <w:pPr>
              <w:pStyle w:val="Normal6a"/>
            </w:pPr>
            <w:r>
              <w:t>14.</w:t>
            </w:r>
            <w:r>
              <w:tab/>
            </w:r>
            <w:r>
              <w:t xml:space="preserve">subliniază necesitatea unor orientări suplimentare privind aspectele legate de punerea în aplicare prin intermediul Comitetului TVA și, după caz, al unor note explicative ale Comisiei </w:t>
            </w:r>
            <w:r>
              <w:rPr>
                <w:b/>
                <w:i/>
              </w:rPr>
              <w:t>și al altor măsuri, pentru a realiza o aplicare consecventă și uniformă a condițiilor pentru MTI în toate statele membre</w:t>
            </w:r>
            <w:r>
              <w:t>, evitând în același timp complexitatea inutilă și respectând competențele statelor membre în materie de impozitare;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subliniază necesitatea unor orientări suplimentare privind aspectele legate de punerea în aplicare prin intermediul Comitetului TVA și, după caz, al unor note explicative ale Comisiei</w:t>
            </w:r>
            <w:r>
              <w:rPr>
                <w:b/>
                <w:i/>
              </w:rPr>
              <w:t>, evitând, în același timp, complexitatea inutilă și respectând competențele statelor membre în materie de impozitare</w:t>
            </w:r>
            <w:r>
              <w:t>;</w:t>
            </w:r>
          </w:p>
        </w:tc>
        <w:tc>
          <w:tcPr>
            <w:tcW w:w="4876" w:type="dxa"/>
            <w:tcBorders>
              <w:top w:val="nil"/>
              <w:left w:val="nil"/>
              <w:bottom w:val="nil"/>
              <w:right w:val="nil"/>
            </w:tcBorders>
          </w:tcPr>
          <w:p>
            <w:pPr>
              <w:pStyle w:val="Normal6a"/>
            </w:pPr>
            <w:r>
              <w:t>14.</w:t>
            </w:r>
            <w:r>
              <w:tab/>
            </w:r>
            <w:r>
              <w:t>subliniază necesitatea unor orientări suplimentare privind aspectele legate de punerea în aplicare prin intermediul Comitetului TVA și, după caz, al unor note explicative ale Comisiei;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sugerează că MRR ar trebui extins numai dacă operabilitatea sa este îmbunătățită;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invită Comisia să evalueze și să propună modalități de simplificare și accelerare a MRR, menținând, în același timp, garanțiile;</w:t>
            </w:r>
          </w:p>
        </w:tc>
        <w:tc>
          <w:tcPr>
            <w:tcW w:w="4876" w:type="dxa"/>
            <w:tcBorders>
              <w:top w:val="nil"/>
              <w:left w:val="nil"/>
              <w:bottom w:val="nil"/>
              <w:right w:val="nil"/>
            </w:tcBorders>
          </w:tcPr>
          <w:p>
            <w:pPr>
              <w:pStyle w:val="Normal6a"/>
            </w:pPr>
            <w:r>
              <w:t>16.</w:t>
            </w:r>
            <w:r>
              <w:tab/>
            </w:r>
            <w:r>
              <w:t xml:space="preserve">invită Comisia să evalueze și să propună modalități de simplificare și accelerare a MRR </w:t>
            </w:r>
            <w:r>
              <w:rPr>
                <w:b/>
                <w:i/>
              </w:rPr>
              <w:t>pentru a-l transforma într-un instrument de urgență mai credibil din punct de vedere operațional</w:t>
            </w:r>
            <w:r>
              <w:t>, menținând, în același timp, garanțiile;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invită Comisia să evalueze și să propună modalități </w:t>
            </w:r>
            <w:r>
              <w:rPr>
                <w:b/>
                <w:i/>
              </w:rPr>
              <w:t>de simplificare și accelerare a MRR</w:t>
            </w:r>
            <w:r>
              <w:t>, menținând, în același timp, garanțiile;</w:t>
            </w:r>
          </w:p>
        </w:tc>
        <w:tc>
          <w:tcPr>
            <w:tcW w:w="4876" w:type="dxa"/>
            <w:tcBorders>
              <w:top w:val="nil"/>
              <w:left w:val="nil"/>
              <w:bottom w:val="nil"/>
              <w:right w:val="nil"/>
            </w:tcBorders>
          </w:tcPr>
          <w:p>
            <w:pPr>
              <w:pStyle w:val="Normal6a"/>
            </w:pPr>
            <w:r>
              <w:t>16.</w:t>
            </w:r>
            <w:r>
              <w:tab/>
            </w:r>
            <w:r>
              <w:t xml:space="preserve">invită Comisia să evalueze și să propună modalități </w:t>
            </w:r>
            <w:r>
              <w:rPr>
                <w:b/>
                <w:i/>
              </w:rPr>
              <w:t>prin care MRR ar putea fi mai accesibil din punct de vedere operațional</w:t>
            </w:r>
            <w:r>
              <w:t>, menținând, în același timp, garanțiile;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consideră că o astfel de reformă ar putea include </w:t>
            </w:r>
            <w:r>
              <w:rPr>
                <w:b/>
                <w:i/>
              </w:rPr>
              <w:t>o procedură de activare simplificată,</w:t>
            </w:r>
            <w:r>
              <w:t xml:space="preserve"> un model standard de notificare, cerințe probatorii mai clare și o mai bună corelare cu procedura de derogare prevăzută la articolul 395 din Directiva 2006/112/CE;</w:t>
            </w:r>
          </w:p>
        </w:tc>
        <w:tc>
          <w:tcPr>
            <w:tcW w:w="4876" w:type="dxa"/>
            <w:tcBorders>
              <w:top w:val="nil"/>
              <w:left w:val="nil"/>
              <w:bottom w:val="nil"/>
              <w:right w:val="nil"/>
            </w:tcBorders>
          </w:tcPr>
          <w:p>
            <w:pPr>
              <w:pStyle w:val="Normal6a"/>
            </w:pPr>
            <w:r>
              <w:t>17.</w:t>
            </w:r>
            <w:r>
              <w:tab/>
            </w:r>
            <w:r>
              <w:t>consideră că o astfel de reformă ar putea include un model standard de notificare, cerințe probatorii mai clare și o mai bună corelare cu procedura de derogare prevăzută la articolul 395 din Directiva 2006/112/CE;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accentuează că mecanismul de reacție rapidă (MRR) poate acționa ca factor disuasiv credibil numai dacă statele membre sunt împuternicite să îl activeze urgent pe baza propriilor informații naționale solide și a creării automatizate de profiluri de risc, înainte de a fi cauzate prejudicii financiare irecuperabile bugetului național;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subliniază că</w:t>
            </w:r>
            <w:r>
              <w:rPr>
                <w:b/>
                <w:i/>
              </w:rPr>
              <w:t>, deși</w:t>
            </w:r>
            <w:r>
              <w:t xml:space="preserve"> MRR ar trebui să rămână o măsură excepțională, temporară, limitată la abordarea riscurilor grave și bruște de fraudă</w:t>
            </w:r>
            <w:r>
              <w:rPr>
                <w:b/>
                <w:i/>
              </w:rPr>
              <w:t>, ar putea fi luată în considerare prelungirea perioadei sale de aplicare dincolo de cele nouă luni prevăzute în prezent</w:t>
            </w:r>
            <w:r>
              <w:t>;</w:t>
            </w:r>
          </w:p>
        </w:tc>
        <w:tc>
          <w:tcPr>
            <w:tcW w:w="4876" w:type="dxa"/>
            <w:tcBorders>
              <w:top w:val="nil"/>
              <w:left w:val="nil"/>
              <w:bottom w:val="nil"/>
              <w:right w:val="nil"/>
            </w:tcBorders>
          </w:tcPr>
          <w:p>
            <w:pPr>
              <w:pStyle w:val="Normal6a"/>
            </w:pPr>
            <w:r>
              <w:t>19.</w:t>
            </w:r>
            <w:r>
              <w:tab/>
            </w:r>
            <w:r>
              <w:t>subliniază că MRR ar trebui să rămână o măsură excepțională, temporară, limitată la abordarea riscurilor grave și bruște de fraudă;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subliniază că orice extindere sau ajustare trebuie să țină seama de costurile de asigurare a conformității pentru întreprinderi, în special pentru IMM-uri, inclusiv de costurile de adaptare și de costurile care rezultă din clasificarea tranzacțiilor, din obligațiile de raportare și din insecuritatea juridică;</w:t>
            </w:r>
          </w:p>
        </w:tc>
        <w:tc>
          <w:tcPr>
            <w:tcW w:w="4876" w:type="dxa"/>
            <w:tcBorders>
              <w:top w:val="nil"/>
              <w:left w:val="nil"/>
              <w:bottom w:val="nil"/>
              <w:right w:val="nil"/>
            </w:tcBorders>
          </w:tcPr>
          <w:p>
            <w:pPr>
              <w:pStyle w:val="Normal6a"/>
            </w:pPr>
            <w:r>
              <w:t>20.</w:t>
            </w:r>
            <w:r>
              <w:tab/>
            </w:r>
            <w:r>
              <w:t xml:space="preserve">subliniază că orice extindere sau ajustare trebuie să țină seama de costurile de asigurare a conformității pentru întreprinderi, în special pentru IMM-uri, inclusiv de costurile de adaptare și de costurile care rezultă din clasificarea tranzacțiilor, din obligațiile de raportare și din insecuritatea juridică; </w:t>
            </w:r>
            <w:r>
              <w:rPr>
                <w:b/>
                <w:i/>
              </w:rPr>
              <w:t>subliniază, în special, că mecanismul de taxare inversă, atunci când este aplicat, transferă integral obligațiile contabile în materie de TVA destinatarului, care poate fi o întreprindere mică sau o microîntreprindere cu o capacitate administrativă limitată;</w:t>
            </w:r>
            <w:r>
              <w:t xml:space="preserve"> </w:t>
            </w:r>
            <w:r>
              <w:rPr>
                <w:b/>
                <w:i/>
              </w:rPr>
              <w:t>consideră că această asimetrie structurală trebuie să se reflecte în conceperea oricărui mecanism extins sau reformat prin modele de raportare simplificate, orientări clare privind clasificarea și o protecție eficace împotriva sancțiunilor care decurg din incertitudinea reală cu privire la domeniul de aplicare sectorial;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Herbert Dorfmann, Markus Ferber, Fernando Navarrete Rojas,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subliniază că orice extindere sau ajustare trebuie să țină seama de costurile de asigurare a conformității pentru întreprinderi, în special pentru IMM-uri, inclusiv de costurile de adaptare și de costurile care rezultă din clasificarea tranzacțiilor, din obligațiile de raportare și din insecuritatea juridică;</w:t>
            </w:r>
          </w:p>
        </w:tc>
        <w:tc>
          <w:tcPr>
            <w:tcW w:w="4876" w:type="dxa"/>
            <w:tcBorders>
              <w:top w:val="nil"/>
              <w:left w:val="nil"/>
              <w:bottom w:val="nil"/>
              <w:right w:val="nil"/>
            </w:tcBorders>
          </w:tcPr>
          <w:p>
            <w:pPr>
              <w:pStyle w:val="Normal6a"/>
            </w:pPr>
            <w:r>
              <w:t>20.</w:t>
            </w:r>
            <w:r>
              <w:tab/>
            </w:r>
            <w:r>
              <w:t xml:space="preserve">subliniază că orice extindere sau ajustare trebuie să țină seama de costurile de asigurare a conformității pentru întreprinderi, în special pentru IMM-uri, inclusiv de costurile de adaptare și de costurile care rezultă din clasificarea tranzacțiilor, din obligațiile de raportare și din insecuritatea juridică; </w:t>
            </w:r>
            <w:r>
              <w:rPr>
                <w:b/>
                <w:i/>
              </w:rPr>
              <w:t>solicită ca aceste costuri să fie documentate pe bază dezagregată, făcând distincție între sarcina suportată de IMM-uri și cea suportată de marii operatori, și să fie puse în balanță cu reducerea fraudei realizată, astfel încât proporționalitatea mecanismului să poată fi evaluată în mod riguros;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subliniază că întreprinderile legitime nu ar trebui să devină victime colaterale ale politicilor de prevenire a fraudei în domeniul TVA și că măsurile antifraudă trebuie să rămână proporționale, previzibile și practicabile;</w:t>
            </w:r>
          </w:p>
        </w:tc>
        <w:tc>
          <w:tcPr>
            <w:tcW w:w="4876" w:type="dxa"/>
            <w:tcBorders>
              <w:top w:val="nil"/>
              <w:left w:val="nil"/>
              <w:bottom w:val="nil"/>
              <w:right w:val="nil"/>
            </w:tcBorders>
          </w:tcPr>
          <w:p>
            <w:pPr>
              <w:pStyle w:val="Normal6a"/>
            </w:pPr>
            <w:r>
              <w:t>21.</w:t>
            </w:r>
            <w:r>
              <w:tab/>
            </w:r>
            <w:r>
              <w:t xml:space="preserve">subliniază că întreprinderile legitime nu ar trebui să devină victime colaterale ale politicilor de prevenire a fraudei în domeniul TVA și că măsurile antifraudă trebuie să rămână proporționale, previzibile și practicabile; </w:t>
            </w:r>
            <w:r>
              <w:rPr>
                <w:b/>
                <w:i/>
              </w:rPr>
              <w:t>evidențiază, de asemenea, că, atunci când este aplicat corect, MTI acționează ca un mecanism vital de protecție pentru întreprinderile oneste împotriva denaturărilor grave ale pieței cauzate de concurenții frauduloși;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subliniază </w:t>
            </w:r>
            <w:r>
              <w:rPr>
                <w:b/>
                <w:i/>
              </w:rPr>
              <w:t>că întreprinderile legitime nu ar trebui să devină victime colaterale ale politicilor de prevenire a fraudei în domeniul TVA și</w:t>
            </w:r>
            <w:r>
              <w:t xml:space="preserve"> că măsurile antifraudă trebuie să rămână proporționale, previzibile și practicabile;</w:t>
            </w:r>
          </w:p>
        </w:tc>
        <w:tc>
          <w:tcPr>
            <w:tcW w:w="4876" w:type="dxa"/>
            <w:tcBorders>
              <w:top w:val="nil"/>
              <w:left w:val="nil"/>
              <w:bottom w:val="nil"/>
              <w:right w:val="nil"/>
            </w:tcBorders>
          </w:tcPr>
          <w:p>
            <w:pPr>
              <w:pStyle w:val="Normal6a"/>
            </w:pPr>
            <w:r>
              <w:t>21.</w:t>
            </w:r>
            <w:r>
              <w:tab/>
            </w:r>
            <w:r>
              <w:t xml:space="preserve">subliniază că măsurile antifraudă trebuie să rămână proporționale, previzibile și practicabile; </w:t>
            </w:r>
            <w:r>
              <w:rPr>
                <w:b/>
                <w:i/>
              </w:rPr>
              <w:t>accentuează că o combatere inadecvată a fraudei fiscale, a evaziunii fiscale și a evitării obligațiilor fiscale afectează condițiile de concurență echitabile, în detrimentul întreprinderilor care respectă cerințele legale;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invită Comisia și statele membre să se asigure că așteptările legate de conformitate în ceea ce privește MTI fac o distincție clară între participarea deliberată la schemele de fraudă în materie de TVA și erorile administrative neintenționate comise de IMM-uri, asigurându-se că acestea din urmă nu fac obiectul unor măsuri punitive disproporționate;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invită administrațiile fiscale să se concentreze asupra identificării și emiterii rapide a rambursărilor de TVA pentru întreprinderile nou-înființate și întreprinderile mici legitime din industriile în care se aplică taxarea inversă;</w:t>
            </w:r>
          </w:p>
        </w:tc>
        <w:tc>
          <w:tcPr>
            <w:tcW w:w="4876" w:type="dxa"/>
            <w:tcBorders>
              <w:top w:val="nil"/>
              <w:left w:val="nil"/>
              <w:bottom w:val="nil"/>
              <w:right w:val="nil"/>
            </w:tcBorders>
          </w:tcPr>
          <w:p>
            <w:pPr>
              <w:pStyle w:val="Normal6a"/>
            </w:pPr>
            <w:r>
              <w:t>22.</w:t>
            </w:r>
            <w:r>
              <w:tab/>
            </w:r>
            <w:r>
              <w:t xml:space="preserve">invită administrațiile fiscale să se concentreze asupra identificării și emiterii rapide a rambursărilor de TVA pentru întreprinderile nou-înființate și întreprinderile mici legitime din industriile în care se aplică taxarea inversă; </w:t>
            </w:r>
            <w:r>
              <w:rPr>
                <w:b/>
                <w:i/>
              </w:rPr>
              <w:t>subliniază necesitatea de a consolida dezvoltarea capacităților administrațiilor fiscale naționale, precum și adoptarea unor soluții digitale care să îmbunătățească eficacitatea și eficiența;</w:t>
            </w:r>
            <w:r>
              <w:t xml:space="preserve"> </w:t>
            </w:r>
            <w:r>
              <w:rPr>
                <w:b/>
                <w:i/>
              </w:rPr>
              <w:t>evidențiază importanța aprofundării cooperării administrative transfrontaliere în materie fiscală pentru a ameliora detectarea timpurie a riscului de fraudă, a preveni frauda, evaziunea și evitarea obligațiilor fiscale, precum și pentru a oferi rapid rambursări, după caz;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invită Comisia să evalueze timpul mediu de prelucrare a cererilor de rambursare a TVA depuse de întreprinderile mici și mijlocii în sectoarele care fac obiectul mecanismului de taxare inversă în toate statele membre;</w:t>
            </w:r>
            <w:r>
              <w:t xml:space="preserve"> </w:t>
            </w:r>
            <w:r>
              <w:rPr>
                <w:b/>
                <w:i/>
              </w:rPr>
              <w:t>invită Comisia să propună, dacă evaluarea evidențiază întârzieri disproporționate, măsuri specifice pentru a se asigura că cererile de rambursare ale acestor întreprinderi sunt prelucrate într-un termen care nu depășește 30 de zile de la depunerea unei cereri complete, în conformitate cu obiectivul de reducere a sarcinii administrative pentru operatorii mai mici;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subliniază că tranziția către cadrul TVA în era digitală (ViDA) trebuie să fie fără sincope și trebuie să evite orice scenariu în care întreprinderile sunt obligate să respecte simultan cerințe de raportare digitală și documentația tradițională privind MTI pentru aceleași tranzacții, prevenind astfel o dublă sarcină administrativă nejustificată;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solicită Comisiei să prezinte Parlamentului și Consiliului, din doi în doi ani, un raport privind punerea în aplicare a articolelor 199a și 199b; </w:t>
            </w:r>
            <w:r>
              <w:rPr>
                <w:b/>
                <w:i/>
              </w:rPr>
              <w:t>în acest context</w:t>
            </w:r>
            <w:r>
              <w:t xml:space="preserve">, solicită Comisiei să raporteze care este impactul acestor articole asupra reducerii fraudei, a costurilor de asigurare a conformității și a reorientării fraudei; solicită Comisiei să </w:t>
            </w:r>
            <w:r>
              <w:rPr>
                <w:b/>
                <w:i/>
              </w:rPr>
              <w:t>raporteze, de asemenea, care este</w:t>
            </w:r>
            <w:r>
              <w:t xml:space="preserve"> impactul introducerii ViDA asupra punerii în aplicare a acestor articole, inclusiv dacă mecanismul de taxare inversă va rămâne necesar după punerea în aplicare a cerințelor de raportare digitală prevăzute în ViDA;</w:t>
            </w:r>
          </w:p>
        </w:tc>
        <w:tc>
          <w:tcPr>
            <w:tcW w:w="4876" w:type="dxa"/>
            <w:tcBorders>
              <w:top w:val="nil"/>
              <w:left w:val="nil"/>
              <w:bottom w:val="nil"/>
              <w:right w:val="nil"/>
            </w:tcBorders>
          </w:tcPr>
          <w:p>
            <w:pPr>
              <w:pStyle w:val="Normal6a"/>
            </w:pPr>
            <w:r>
              <w:t>23.</w:t>
            </w:r>
            <w:r>
              <w:tab/>
            </w:r>
            <w:r>
              <w:t xml:space="preserve">solicită Comisiei să prezinte Parlamentului și Consiliului, din doi în doi ani, un raport privind punerea în aplicare a articolelor 199a și 199b; </w:t>
            </w:r>
            <w:r>
              <w:rPr>
                <w:b/>
                <w:i/>
              </w:rPr>
              <w:t>invită Comisia, dacă un astfel de raport identifică sarcini disproporționate</w:t>
            </w:r>
            <w:r>
              <w:t xml:space="preserve">, </w:t>
            </w:r>
            <w:r>
              <w:rPr>
                <w:b/>
                <w:i/>
              </w:rPr>
              <w:t>dovezi insuficiente ale riscului de fraudă sau disponibilitatea unor măsuri la fel de eficace, să propună măsuri care să limiteze sau să adapteze aplicarea MTI de către statele membre;</w:t>
            </w:r>
            <w:r>
              <w:t xml:space="preserve"> solicită Comisiei să raporteze care este impactul acestor articole asupra reducerii fraudei, a costurilor de asigurare a conformității și a reorientării fraudei; solicită Comisiei să </w:t>
            </w:r>
            <w:r>
              <w:rPr>
                <w:b/>
                <w:i/>
              </w:rPr>
              <w:t>realizeze o analiză cuprinzătoare, până cel târziu la 31 decembrie 2030, cu privire la</w:t>
            </w:r>
            <w:r>
              <w:t xml:space="preserve"> impactul introducerii ViDA asupra punerii în aplicare a acestor articole, inclusiv dacă mecanismul de taxare inversă va rămâne necesar după punerea în aplicare a cerințelor de raportare digitală prevăzute în ViDA; </w:t>
            </w:r>
            <w:r>
              <w:rPr>
                <w:b/>
                <w:i/>
              </w:rPr>
              <w:t>consideră că concluziile acestui raport ar trebui să constituie baza determinantă pentru orice decizie ulterioară datei de 31 decembrie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Fernando Navarrete Rojas,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solicită Comisiei să prezinte Parlamentului și Consiliului, din doi în doi ani, un raport privind punerea în aplicare a articolelor 199a și 199b; în acest context, solicită Comisiei să raporteze care este impactul acestor articole asupra reducerii fraudei, a costurilor de asigurare a conformității și a reorientării fraudei; solicită Comisiei să raporteze, de asemenea, care este impactul introducerii ViDA asupra punerii în aplicare a acestor articole, inclusiv dacă mecanismul de taxare inversă va rămâne necesar după punerea în aplicare a cerințelor de raportare digitală prevăzute în ViDA;</w:t>
            </w:r>
          </w:p>
        </w:tc>
        <w:tc>
          <w:tcPr>
            <w:tcW w:w="4876" w:type="dxa"/>
            <w:tcBorders>
              <w:top w:val="nil"/>
              <w:left w:val="nil"/>
              <w:bottom w:val="nil"/>
              <w:right w:val="nil"/>
            </w:tcBorders>
          </w:tcPr>
          <w:p>
            <w:pPr>
              <w:pStyle w:val="Normal6a"/>
            </w:pPr>
            <w:r>
              <w:t>23.</w:t>
            </w:r>
            <w:r>
              <w:tab/>
            </w:r>
            <w:r>
              <w:t>solicită Comisiei să prezinte Parlamentului și Consiliului, din doi în doi ani, un raport privind punerea în aplicare a articolelor 199a și 199b; în acest context, solicită Comisiei să raporteze care este impactul acestor articole asupra reducerii fraudei, a costurilor de asigurare a conformității și a reorientării fraudei</w:t>
            </w:r>
            <w:r>
              <w:rPr>
                <w:b/>
                <w:i/>
              </w:rPr>
              <w:t>, în special prin compararea fraudei estimate în domeniul TVA prevenite cu costurile de asigurare a conformității, cu accent deosebit pe întreprinderile mici și mijlocii (IMM-uri)</w:t>
            </w:r>
            <w:r>
              <w:t>; solicită Comisiei să raporteze, de asemenea, care este impactul introducerii ViDA asupra punerii în aplicare a acestor articole, inclusiv dacă mecanismul de taxare inversă va rămâne necesar după punerea în aplicare a cerințelor de raportare digitală prevăzute în ViDA;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solicită Comisiei să prezinte Parlamentului și Consiliului, din doi în doi ani, un raport privind punerea în aplicare a articolelor 199a și 199b; în acest context, solicită Comisiei să raporteze care este impactul acestor articole asupra reducerii fraudei, a costurilor de asigurare a conformității și a reorientării fraudei; solicită Comisiei să raporteze, de asemenea, care este impactul introducerii ViDA asupra punerii în aplicare a acestor articole</w:t>
            </w:r>
            <w:r>
              <w:rPr>
                <w:b/>
                <w:i/>
              </w:rPr>
              <w:t>, inclusiv dacă mecanismul de taxare inversă va rămâne necesar după punerea în aplicare a cerințelor de raportare digitală prevăzute în ViDA</w:t>
            </w:r>
            <w:r>
              <w:t>;</w:t>
            </w:r>
          </w:p>
        </w:tc>
        <w:tc>
          <w:tcPr>
            <w:tcW w:w="4876" w:type="dxa"/>
            <w:tcBorders>
              <w:top w:val="nil"/>
              <w:left w:val="nil"/>
              <w:bottom w:val="nil"/>
              <w:right w:val="nil"/>
            </w:tcBorders>
          </w:tcPr>
          <w:p>
            <w:pPr>
              <w:pStyle w:val="Normal6a"/>
            </w:pPr>
            <w:r>
              <w:t>23.</w:t>
            </w:r>
            <w:r>
              <w:tab/>
            </w:r>
            <w:r>
              <w:t>solicită Comisiei să prezinte Parlamentului și Consiliului, din doi în doi ani, un raport privind punerea în aplicare a articolelor 199a și 199b; în acest context, solicită Comisiei să raporteze care este impactul acestor articole asupra reducerii fraudei, a costurilor de asigurare a conformității și a reorientării fraudei; solicită Comisiei să raporteze, de asemenea, care este impactul introducerii ViDA asupra punerii în aplicare a acestor articole;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solicită Comisiei să prezinte Parlamentului și Consiliului, din doi în doi ani, un raport privind punerea în aplicare a articolelor 199a și 199b; în acest context, solicită Comisiei să raporteze care este impactul acestor articole asupra reducerii fraudei, a costurilor de asigurare a conformității și a reorientării fraudei; solicită Comisiei să raporteze, de asemenea, care este impactul introducerii ViDA asupra punerii în aplicare a acestor articole, inclusiv dacă mecanismul de taxare inversă va rămâne necesar după punerea în aplicare a cerințelor de raportare digitală prevăzute în ViDA;</w:t>
            </w:r>
          </w:p>
        </w:tc>
        <w:tc>
          <w:tcPr>
            <w:tcW w:w="4876" w:type="dxa"/>
            <w:tcBorders>
              <w:top w:val="nil"/>
              <w:left w:val="nil"/>
              <w:bottom w:val="nil"/>
              <w:right w:val="nil"/>
            </w:tcBorders>
          </w:tcPr>
          <w:p>
            <w:pPr>
              <w:pStyle w:val="Normal6a"/>
            </w:pPr>
            <w:r>
              <w:t>23.</w:t>
            </w:r>
            <w:r>
              <w:tab/>
            </w:r>
            <w:r>
              <w:t>solicită Comisiei să prezinte Parlamentului și Consiliului, din doi în doi ani, un raport privind punerea în aplicare a articolelor 199a și 199b</w:t>
            </w:r>
            <w:r>
              <w:rPr>
                <w:b/>
                <w:i/>
              </w:rPr>
              <w:t>, asigurându-se că evaluările sunt comparabile între statele membre și în timp</w:t>
            </w:r>
            <w:r>
              <w:t>; în acest context, solicită Comisiei să raporteze care este impactul acestor articole asupra reducerii fraudei, a costurilor de asigurare a conformității și a reorientării fraudei; solicită Comisiei să raporteze, de asemenea, care este impactul introducerii ViDA asupra punerii în aplicare a acestor articole, inclusiv dacă mecanismul de taxare inversă va rămâne necesar după punerea în aplicare a cerințelor de raportare digitală prevăzute în ViDA;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Ľudovít Ódor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invită Comisia să facă schimb de bune practici pentru a combate frauda persistentă în sectorul micilor comercianți, care contribuie în mod considerabil la frauda globală în materie de 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solicită </w:t>
            </w:r>
            <w:r>
              <w:rPr>
                <w:b/>
                <w:i/>
              </w:rPr>
              <w:t>intensificarea schimbului</w:t>
            </w:r>
            <w:r>
              <w:t xml:space="preserve"> de informații între statele membre, Eurofisc </w:t>
            </w:r>
            <w:r>
              <w:rPr>
                <w:b/>
                <w:i/>
              </w:rPr>
              <w:t>și</w:t>
            </w:r>
            <w:r>
              <w:t xml:space="preserve"> Comisie </w:t>
            </w:r>
            <w:r>
              <w:rPr>
                <w:b/>
                <w:i/>
              </w:rPr>
              <w:t>și</w:t>
            </w:r>
            <w:r>
              <w:t xml:space="preserve">, </w:t>
            </w:r>
            <w:r>
              <w:rPr>
                <w:b/>
                <w:i/>
              </w:rPr>
              <w:t>atunci când este cazul din punct de vedere juridic, cu</w:t>
            </w:r>
            <w:r>
              <w:t xml:space="preserve"> EPPO și Oficiul European de Luptă Antifraudă, pentru a identifica modelele de fraudă emergente și efectele de reorientare;</w:t>
            </w:r>
          </w:p>
        </w:tc>
        <w:tc>
          <w:tcPr>
            <w:tcW w:w="4876" w:type="dxa"/>
            <w:tcBorders>
              <w:top w:val="nil"/>
              <w:left w:val="nil"/>
              <w:bottom w:val="nil"/>
              <w:right w:val="nil"/>
            </w:tcBorders>
          </w:tcPr>
          <w:p>
            <w:pPr>
              <w:pStyle w:val="Normal6a"/>
            </w:pPr>
            <w:r>
              <w:t>24.</w:t>
            </w:r>
            <w:r>
              <w:tab/>
            </w:r>
            <w:r>
              <w:t xml:space="preserve">solicită </w:t>
            </w:r>
            <w:r>
              <w:rPr>
                <w:b/>
                <w:i/>
              </w:rPr>
              <w:t>un schimb</w:t>
            </w:r>
            <w:r>
              <w:t xml:space="preserve"> de informații </w:t>
            </w:r>
            <w:r>
              <w:rPr>
                <w:b/>
                <w:i/>
              </w:rPr>
              <w:t>cuprinzător și sistematic</w:t>
            </w:r>
            <w:r>
              <w:t xml:space="preserve"> între statele membre, Eurofisc</w:t>
            </w:r>
            <w:r>
              <w:rPr>
                <w:b/>
                <w:i/>
              </w:rPr>
              <w:t>,</w:t>
            </w:r>
            <w:r>
              <w:t xml:space="preserve"> Comisie, EPPO și Oficiul European de Luptă Antifraudă, pentru a identifica modelele de fraudă emergente și efectele de reorientare;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790.253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50</w:t>
    </w:r>
    <w:r>
      <w:fldChar w:fldCharType="end"/>
    </w:r>
    <w:r>
      <w:t>/</w:t>
    </w:r>
    <w:r>
      <w:fldChar w:fldCharType="begin"/>
    </w:r>
    <w:r>
      <w:instrText xml:space="preserve"> NUMPAGES </w:instrText>
    </w:r>
    <w:r>
      <w:fldChar w:fldCharType="separate"/>
    </w:r>
    <w:r>
      <w:t>50</w:t>
    </w:r>
    <w:r>
      <w:fldChar w:fldCharType="end"/>
    </w:r>
    <w:r>
      <w:tab/>
    </w:r>
    <w:r>
      <w:rPr>
        <w:rStyle w:val="HideTWBExt"/>
      </w:rPr>
      <w:t>&lt;PathFdR&gt;</w:t>
    </w:r>
    <w:r>
      <w:t>AM\1346951RO.docx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AM\1346951RO.docx</w:t>
    </w:r>
    <w:r>
      <w:rPr>
        <w:rStyle w:val="HideTWBExt"/>
      </w:rPr>
      <w:t>&lt;/PathFdR&gt;</w:t>
    </w:r>
    <w:r>
      <w:tab/>
    </w:r>
    <w:r>
      <w:fldChar w:fldCharType="begin"/>
    </w:r>
    <w:r>
      <w:instrText xml:space="preserve"> PAGE </w:instrText>
    </w:r>
    <w:r>
      <w:fldChar w:fldCharType="separate"/>
    </w:r>
    <w:r>
      <w:t>49</w:t>
    </w:r>
    <w:r>
      <w:fldChar w:fldCharType="end"/>
    </w:r>
    <w:r>
      <w:t>/</w:t>
    </w:r>
    <w:r>
      <w:fldChar w:fldCharType="begin"/>
    </w:r>
    <w:r>
      <w:instrText xml:space="preserve"> NUMPAGES </w:instrText>
    </w:r>
    <w:r>
      <w:fldChar w:fldCharType="separate"/>
    </w:r>
    <w:r>
      <w:t>50</w:t>
    </w:r>
    <w:r>
      <w:fldChar w:fldCharType="end"/>
    </w:r>
    <w:r>
      <w:tab/>
    </w:r>
    <w:r>
      <w:t>PE</w:t>
    </w:r>
    <w:r>
      <w:rPr>
        <w:rStyle w:val="HideTWBExt"/>
      </w:rPr>
      <w:t>&lt;NoPE&gt;</w:t>
    </w:r>
    <w:r>
      <w:t>790.253</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AM\1346951RO.docx</w:t>
    </w:r>
    <w:r>
      <w:rPr>
        <w:rStyle w:val="HideTWBExt"/>
      </w:rPr>
      <w:t>&lt;/PathFdR&gt;</w:t>
    </w:r>
    <w:r>
      <w:tab/>
    </w:r>
    <w:r>
      <w:tab/>
    </w:r>
    <w:r>
      <w:t>PE</w:t>
    </w:r>
    <w:r>
      <w:rPr>
        <w:rStyle w:val="HideTWBExt"/>
      </w:rPr>
      <w:t>&lt;NoPE&gt;</w:t>
    </w:r>
    <w:r>
      <w:t>790.253</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50</Pages>
  <Words>9995</Words>
  <Characters>59850</Characters>
  <Application>Microsoft Office Word</Application>
  <DocSecurity>0</DocSecurity>
  <Lines>1</Lines>
  <Paragraphs>904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1346951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585071</vt:lpwstr>
  </property>
  <property fmtid="{D5CDD505-2E9C-101B-9397-08002B2CF9AE}" pid="7" name="dmxml.render.traceId">
    <vt:lpwstr>6a622a9586c05330c463c5c69e4f36de</vt:lpwstr>
  </property>
  <property fmtid="{D5CDD505-2E9C-101B-9397-08002B2CF9AE}" pid="8" name="FooterPath">
    <vt:lpwstr>AM\1346951RO.docx</vt:lpwstr>
  </property>
  <property fmtid="{D5CDD505-2E9C-101B-9397-08002B2CF9AE}" pid="9" name="PE Number">
    <vt:lpwstr>790.253</vt:lpwstr>
  </property>
  <property fmtid="{D5CDD505-2E9C-101B-9397-08002B2CF9AE}" pid="10" name="UID">
    <vt:lpwstr>eu.europa.europarl-DIN1-2026-0000213957_02.00-ro-01.00_text-xml</vt:lpwstr>
  </property>
</Properties>
</file>