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A6309AD"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B16DFD" w:rsidP="00C85D0F" w14:paraId="7AC36BDD" w14:textId="77777777">
            <w:pPr>
              <w:pStyle w:val="EPName"/>
            </w:pPr>
            <w:r w:rsidRPr="00B16DFD">
              <w:t>Europa-Parlamentet</w:t>
            </w:r>
          </w:p>
          <w:p w:rsidR="00BE5062" w:rsidRPr="00B16DFD" w:rsidP="00C85D0F" w14:paraId="360E026F" w14:textId="77777777">
            <w:pPr>
              <w:pStyle w:val="EPTerm"/>
            </w:pPr>
            <w:r w:rsidRPr="00B16DFD">
              <w:t>2024-2029</w:t>
            </w:r>
          </w:p>
        </w:tc>
        <w:tc>
          <w:tcPr>
            <w:tcW w:w="2268" w:type="dxa"/>
          </w:tcPr>
          <w:p w:rsidR="00BE5062" w:rsidRPr="00B16DFD" w:rsidP="00C85D0F" w14:paraId="52802D9F" w14:textId="77777777">
            <w:pPr>
              <w:pStyle w:val="EPLogo"/>
            </w:pPr>
            <w:r w:rsidRPr="00B16DF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1899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16DFD" w:rsidP="000E7234" w14:paraId="6476EE50" w14:textId="77777777">
      <w:pPr>
        <w:pStyle w:val="LineTop"/>
      </w:pPr>
    </w:p>
    <w:p w:rsidR="000E7234" w:rsidRPr="00B16DFD" w:rsidP="000E7234" w14:paraId="41A1634E" w14:textId="77777777">
      <w:pPr>
        <w:pStyle w:val="EPBody"/>
      </w:pPr>
      <w:r w:rsidRPr="00B16DFD">
        <w:rPr>
          <w:rStyle w:val="HideTWBExt"/>
          <w:color w:val="auto"/>
        </w:rPr>
        <w:t>&lt;</w:t>
      </w:r>
      <w:r w:rsidRPr="00B16DFD">
        <w:rPr>
          <w:rStyle w:val="HideTWBExt"/>
          <w:i w:val="0"/>
          <w:color w:val="auto"/>
        </w:rPr>
        <w:t>Commission</w:t>
      </w:r>
      <w:r w:rsidRPr="00B16DFD">
        <w:rPr>
          <w:rStyle w:val="HideTWBExt"/>
          <w:color w:val="auto"/>
        </w:rPr>
        <w:t>&gt;</w:t>
      </w:r>
      <w:r w:rsidRPr="00B16DFD">
        <w:rPr>
          <w:rStyle w:val="HideTWBInt"/>
          <w:color w:val="auto"/>
        </w:rPr>
        <w:t>{ECON}</w:t>
      </w:r>
      <w:r w:rsidRPr="00B16DFD">
        <w:t>Økonomi- og Valutaudvalget</w:t>
      </w:r>
      <w:r w:rsidRPr="00B16DFD">
        <w:rPr>
          <w:rStyle w:val="HideTWBExt"/>
          <w:color w:val="auto"/>
        </w:rPr>
        <w:t>&lt;/</w:t>
      </w:r>
      <w:r w:rsidRPr="00B16DFD">
        <w:rPr>
          <w:rStyle w:val="HideTWBExt"/>
          <w:i w:val="0"/>
          <w:color w:val="auto"/>
        </w:rPr>
        <w:t>Commission</w:t>
      </w:r>
      <w:r w:rsidRPr="00B16DFD">
        <w:rPr>
          <w:rStyle w:val="HideTWBExt"/>
          <w:color w:val="auto"/>
        </w:rPr>
        <w:t>&gt;</w:t>
      </w:r>
    </w:p>
    <w:p w:rsidR="000E7234" w:rsidRPr="00B16DFD" w:rsidP="000E7234" w14:paraId="676B84EB" w14:textId="77777777">
      <w:pPr>
        <w:pStyle w:val="LineBottom"/>
      </w:pPr>
    </w:p>
    <w:p w:rsidR="00B85286" w:rsidRPr="00B16DFD" w14:paraId="22D7268E" w14:textId="77777777">
      <w:pPr>
        <w:pStyle w:val="CoverReference"/>
      </w:pPr>
      <w:r w:rsidRPr="00B16DFD">
        <w:rPr>
          <w:rStyle w:val="HideTWBExt"/>
          <w:b w:val="0"/>
          <w:color w:val="auto"/>
        </w:rPr>
        <w:t>&lt;RefProc&gt;</w:t>
      </w:r>
      <w:r w:rsidRPr="00B16DFD">
        <w:t>2025/0383</w:t>
      </w:r>
      <w:r w:rsidRPr="00B16DFD">
        <w:rPr>
          <w:rStyle w:val="HideTWBExt"/>
          <w:b w:val="0"/>
          <w:color w:val="auto"/>
        </w:rPr>
        <w:t>&lt;/RefProc&gt;&lt;RefTypeProc&gt;</w:t>
      </w:r>
      <w:r w:rsidRPr="00B16DFD">
        <w:t>(COD)</w:t>
      </w:r>
      <w:r w:rsidRPr="00B16DFD">
        <w:rPr>
          <w:rStyle w:val="HideTWBExt"/>
          <w:b w:val="0"/>
          <w:color w:val="auto"/>
        </w:rPr>
        <w:t>&lt;/RefTypeProc&gt;</w:t>
      </w:r>
    </w:p>
    <w:p w:rsidR="00B85286" w:rsidRPr="00B16DFD" w14:paraId="32EEE0BD" w14:textId="77777777">
      <w:pPr>
        <w:pStyle w:val="CoverDate"/>
      </w:pPr>
      <w:r w:rsidRPr="00B16DFD">
        <w:rPr>
          <w:rStyle w:val="HideTWBExt"/>
          <w:color w:val="auto"/>
        </w:rPr>
        <w:t>&lt;Date&gt;</w:t>
      </w:r>
      <w:r w:rsidRPr="00B16DFD">
        <w:rPr>
          <w:rStyle w:val="HideTWBInt"/>
          <w:color w:val="auto"/>
        </w:rPr>
        <w:t>{31/07/2026}</w:t>
      </w:r>
      <w:r w:rsidRPr="00B16DFD">
        <w:t>31.7.2026</w:t>
      </w:r>
      <w:r w:rsidRPr="00B16DFD">
        <w:rPr>
          <w:rStyle w:val="HideTWBExt"/>
          <w:color w:val="auto"/>
        </w:rPr>
        <w:t>&lt;/Date&gt;</w:t>
      </w:r>
    </w:p>
    <w:p w:rsidR="009B0305" w:rsidRPr="00B16DFD" w:rsidP="009B0305" w14:paraId="1130939F" w14:textId="77777777">
      <w:pPr>
        <w:pStyle w:val="CoverDocType"/>
      </w:pPr>
      <w:r w:rsidRPr="00B16DFD">
        <w:rPr>
          <w:rStyle w:val="HideTWBExt"/>
          <w:b w:val="0"/>
          <w:color w:val="auto"/>
        </w:rPr>
        <w:t>&lt;TypeAM&gt;</w:t>
      </w:r>
      <w:r w:rsidRPr="00B16DFD">
        <w:t>ÆNDRINGSFORSLAG</w:t>
      </w:r>
      <w:r w:rsidRPr="00B16DFD">
        <w:rPr>
          <w:rStyle w:val="HideTWBExt"/>
          <w:b w:val="0"/>
          <w:color w:val="auto"/>
        </w:rPr>
        <w:t>&lt;/TypeAM&gt;</w:t>
      </w:r>
    </w:p>
    <w:p w:rsidR="00B85286" w:rsidRPr="00B16DFD" w:rsidP="001C2054" w14:paraId="0F9BEFE4" w14:textId="77777777">
      <w:pPr>
        <w:pStyle w:val="CoverDocType24a"/>
      </w:pPr>
      <w:r w:rsidRPr="00B16DFD">
        <w:rPr>
          <w:rStyle w:val="HideTWBExt"/>
          <w:b w:val="0"/>
          <w:color w:val="auto"/>
        </w:rPr>
        <w:t>&lt;RangeAM&gt;</w:t>
      </w:r>
      <w:r w:rsidRPr="00B16DFD">
        <w:t>201 - 410</w:t>
      </w:r>
      <w:r w:rsidRPr="00B16DFD">
        <w:rPr>
          <w:rStyle w:val="HideTWBExt"/>
          <w:b w:val="0"/>
          <w:color w:val="auto"/>
        </w:rPr>
        <w:t>&lt;/RangeAM&gt;</w:t>
      </w:r>
    </w:p>
    <w:p w:rsidR="001C2054" w:rsidRPr="00B16DFD" w:rsidP="00A93F8C" w14:paraId="6C4EA8FC" w14:textId="77777777">
      <w:pPr>
        <w:pStyle w:val="CoverBold"/>
      </w:pPr>
      <w:r w:rsidRPr="00B16DFD">
        <w:rPr>
          <w:rStyle w:val="HideTWBExt"/>
          <w:b w:val="0"/>
          <w:color w:val="auto"/>
        </w:rPr>
        <w:t>&lt;TitreType&gt;</w:t>
      </w:r>
      <w:r w:rsidRPr="00B16DFD">
        <w:t>Udkast til betænkning</w:t>
      </w:r>
      <w:r w:rsidRPr="00B16DFD">
        <w:rPr>
          <w:rStyle w:val="HideTWBExt"/>
          <w:b w:val="0"/>
          <w:color w:val="auto"/>
        </w:rPr>
        <w:t>&lt;/TitreType&gt;</w:t>
      </w:r>
    </w:p>
    <w:p w:rsidR="00B85286" w:rsidRPr="0055766D" w:rsidP="00A93F8C" w14:paraId="20B5BD5D" w14:textId="77777777">
      <w:pPr>
        <w:pStyle w:val="CoverBold"/>
      </w:pPr>
      <w:r w:rsidRPr="0055766D">
        <w:rPr>
          <w:rStyle w:val="HideTWBExt"/>
          <w:b w:val="0"/>
          <w:color w:val="auto"/>
        </w:rPr>
        <w:t>&lt;Rapporteur&gt;</w:t>
      </w:r>
      <w:r w:rsidRPr="0055766D">
        <w:t>Markus Ferber</w:t>
      </w:r>
      <w:r w:rsidRPr="0055766D">
        <w:rPr>
          <w:rStyle w:val="HideTWBExt"/>
          <w:b w:val="0"/>
          <w:color w:val="auto"/>
        </w:rPr>
        <w:t>&lt;/Rapporteur&gt;</w:t>
      </w:r>
    </w:p>
    <w:p w:rsidR="00B85286" w:rsidRPr="0055766D" w14:paraId="772E6F53" w14:textId="77777777">
      <w:pPr>
        <w:pStyle w:val="CoverNormal24a"/>
      </w:pPr>
      <w:r w:rsidRPr="0055766D">
        <w:rPr>
          <w:rStyle w:val="HideTWBExt"/>
          <w:color w:val="auto"/>
        </w:rPr>
        <w:t>&lt;DocRefPE&gt;</w:t>
      </w:r>
      <w:r w:rsidRPr="0055766D">
        <w:t>(PE789.866v01-00)</w:t>
      </w:r>
      <w:r w:rsidRPr="0055766D">
        <w:rPr>
          <w:rStyle w:val="HideTWBExt"/>
          <w:color w:val="auto"/>
        </w:rPr>
        <w:t>&lt;/DocRefPE&gt;</w:t>
      </w:r>
    </w:p>
    <w:p w:rsidR="00B85286" w:rsidRPr="00B16DFD" w14:paraId="4B71BB7D" w14:textId="77777777">
      <w:pPr>
        <w:pStyle w:val="CoverNormal24a"/>
      </w:pPr>
      <w:r w:rsidRPr="00B16DFD">
        <w:rPr>
          <w:rStyle w:val="HideTWBExt"/>
          <w:color w:val="auto"/>
        </w:rPr>
        <w:t>&lt;Titre&gt;</w:t>
      </w:r>
      <w:r w:rsidRPr="00B16DFD">
        <w:t>Forslag til Europa-Parlamentets og Rådets forordning om ændring af forordning (EU) nr. 1095/2010, (EU) nr. 648/2012, (EU) nr. 600/2014, (EU) nr. 909/2014, (EU) 2015/2365, (EU) 2019/1156, (EU) 2021/23, (EU) 2022/858, (EU) 2023/1114, (EF) nr. 1060/2009, (EU) 2016/1011, (EU) 2017/2402, (EU) 2023/2631 og (EU) 2024/3005 for så vidt angår den videre udvikling af kapitalmarkedsintegrationen og -tilsynet i Unionen</w:t>
      </w:r>
      <w:r w:rsidRPr="00B16DFD">
        <w:rPr>
          <w:rStyle w:val="HideTWBExt"/>
          <w:color w:val="auto"/>
        </w:rPr>
        <w:t>&lt;/Titre&gt;</w:t>
      </w:r>
    </w:p>
    <w:p w:rsidR="006337D4" w:rsidRPr="00B16DFD" w:rsidP="006337D4" w14:paraId="65327975" w14:textId="77777777">
      <w:pPr>
        <w:pStyle w:val="CoverNormal"/>
      </w:pPr>
      <w:r w:rsidRPr="00B16DFD">
        <w:rPr>
          <w:rStyle w:val="HideTWBExt"/>
          <w:color w:val="auto"/>
        </w:rPr>
        <w:t>&lt;DocAmend&gt;</w:t>
      </w:r>
      <w:r w:rsidRPr="00B16DFD">
        <w:t>Forslag til forordning</w:t>
      </w:r>
      <w:r w:rsidRPr="00B16DFD">
        <w:rPr>
          <w:rStyle w:val="HideTWBExt"/>
          <w:color w:val="auto"/>
        </w:rPr>
        <w:t>&lt;/DocAmend&gt;</w:t>
      </w:r>
    </w:p>
    <w:p w:rsidR="00B85286" w:rsidRPr="00734CAA" w14:paraId="5C6A6F8B" w14:textId="77777777">
      <w:pPr>
        <w:pStyle w:val="CoverNormal24a"/>
        <w:rPr>
          <w:lang w:val="pt-PT"/>
        </w:rPr>
      </w:pPr>
      <w:r w:rsidRPr="00734CAA">
        <w:rPr>
          <w:rStyle w:val="HideTWBExt"/>
          <w:color w:val="auto"/>
          <w:lang w:val="pt-PT"/>
        </w:rPr>
        <w:t>&lt;DocRef&gt;</w:t>
      </w:r>
      <w:r w:rsidRPr="00734CAA">
        <w:rPr>
          <w:lang w:val="pt-PT"/>
        </w:rPr>
        <w:t>(</w:t>
      </w:r>
      <w:r w:rsidRPr="00734CAA">
        <w:rPr>
          <w:lang w:val="pt-PT"/>
        </w:rPr>
        <w:t>COM(</w:t>
      </w:r>
      <w:r w:rsidRPr="00734CAA">
        <w:rPr>
          <w:lang w:val="pt-PT"/>
        </w:rPr>
        <w:t>2025)0943 – C10</w:t>
      </w:r>
      <w:r w:rsidRPr="00734CAA">
        <w:rPr>
          <w:lang w:val="pt-PT"/>
        </w:rPr>
        <w:noBreakHyphen/>
        <w:t>0328/2025 – 2025/0383(COD))</w:t>
      </w:r>
      <w:r w:rsidRPr="00734CAA">
        <w:rPr>
          <w:rStyle w:val="HideTWBExt"/>
          <w:color w:val="auto"/>
          <w:lang w:val="pt-PT"/>
        </w:rPr>
        <w:t>&lt;/DocRef&gt;</w:t>
      </w:r>
    </w:p>
    <w:p w:rsidR="00B85286" w:rsidRPr="00734CAA" w:rsidP="00E660E2" w14:paraId="7A4612DD" w14:textId="77777777">
      <w:pPr>
        <w:widowControl/>
        <w:tabs>
          <w:tab w:val="center" w:pos="4677"/>
        </w:tabs>
        <w:rPr>
          <w:lang w:val="en-GB"/>
        </w:rPr>
      </w:pPr>
      <w:r w:rsidRPr="005B5972">
        <w:rPr>
          <w:lang w:val="pt-PT"/>
        </w:rPr>
        <w:br w:type="page"/>
      </w:r>
      <w:r w:rsidRPr="00734CAA">
        <w:rPr>
          <w:lang w:val="en-GB"/>
        </w:rPr>
        <w:t>AM_Com_LegReport</w:t>
      </w:r>
    </w:p>
    <w:p w:rsidR="00365C9B" w:rsidRPr="00734CAA" w:rsidP="00365C9B" w14:paraId="30019585" w14:textId="58F1BCBF">
      <w:pPr>
        <w:pStyle w:val="AmNumberTabs"/>
        <w:rPr>
          <w:lang w:val="en-GB"/>
        </w:rPr>
      </w:pPr>
      <w:r w:rsidRPr="00734CAA">
        <w:rPr>
          <w:lang w:val="en-GB"/>
        </w:rPr>
        <w:br w:type="page"/>
      </w:r>
      <w:r w:rsidRPr="00734CAA">
        <w:rPr>
          <w:rStyle w:val="HideTWBExt"/>
          <w:b w:val="0"/>
          <w:color w:val="auto"/>
          <w:lang w:val="en-GB"/>
        </w:rPr>
        <w:t>&lt;RepeatBlock-Amend&gt;&lt;Amend&gt;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201</w:t>
      </w:r>
      <w:r w:rsidRPr="00734CAA">
        <w:rPr>
          <w:rStyle w:val="HideTWBExt"/>
          <w:color w:val="auto"/>
          <w:lang w:val="en-GB"/>
        </w:rPr>
        <w:t>&lt;/NumAm&gt;</w:t>
      </w:r>
    </w:p>
    <w:p w:rsidR="00365C9B" w:rsidRPr="00734CAA" w:rsidP="00365C9B" w14:paraId="47D1E5C9" w14:textId="77777777">
      <w:pPr>
        <w:pStyle w:val="NormalBold"/>
        <w:rPr>
          <w:lang w:val="en-GB"/>
        </w:rPr>
      </w:pPr>
      <w:r w:rsidRPr="00734CAA">
        <w:rPr>
          <w:rStyle w:val="HideTWBExt"/>
          <w:b w:val="0"/>
          <w:color w:val="auto"/>
          <w:lang w:val="en-GB"/>
        </w:rPr>
        <w:t>&lt;RepeatBlock-By&gt;&lt;Members&gt;</w:t>
      </w:r>
      <w:r w:rsidRPr="00734CAA">
        <w:rPr>
          <w:lang w:val="en-GB"/>
        </w:rPr>
        <w:t>Isabel Benjumea Benjumea, Fernando Navarrete Rojas</w:t>
      </w:r>
      <w:r w:rsidRPr="00734CAA">
        <w:rPr>
          <w:rStyle w:val="HideTWBExt"/>
          <w:b w:val="0"/>
          <w:color w:val="auto"/>
          <w:lang w:val="en-GB"/>
        </w:rPr>
        <w:t>&lt;/Members&gt;</w:t>
      </w:r>
    </w:p>
    <w:p w:rsidR="00365C9B" w:rsidRPr="00B16DFD" w:rsidP="00365C9B" w14:paraId="5A691B05" w14:textId="77777777">
      <w:pPr>
        <w:pStyle w:val="NormalBold"/>
      </w:pPr>
      <w:r w:rsidRPr="00B16DFD">
        <w:rPr>
          <w:rStyle w:val="HideTWBExt"/>
          <w:b w:val="0"/>
          <w:color w:val="auto"/>
        </w:rPr>
        <w:t>&lt;/RepeatBlock-By&gt;</w:t>
      </w:r>
    </w:p>
    <w:p w:rsidR="00365C9B" w:rsidRPr="00B16DFD" w:rsidP="00365C9B" w14:paraId="0D3E8834"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32FBF042" w14:textId="77777777">
      <w:pPr>
        <w:pStyle w:val="NormalBold"/>
      </w:pPr>
      <w:r w:rsidRPr="00B16DFD">
        <w:rPr>
          <w:rStyle w:val="HideTWBExt"/>
          <w:color w:val="auto"/>
        </w:rPr>
        <w:t>&lt;Article&gt;</w:t>
      </w:r>
      <w:r w:rsidRPr="00B16DFD">
        <w:t>Betragtning 1</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206C3E"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63CE4C1" w14:textId="77777777"/>
        </w:tc>
      </w:tr>
      <w:tr w14:paraId="545BC1A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BE58634"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F5A4026" w14:textId="77777777">
            <w:pPr>
              <w:pStyle w:val="AmColumnHeading"/>
            </w:pPr>
            <w:r w:rsidRPr="00B16DFD">
              <w:t>Ændringsforslag</w:t>
            </w:r>
          </w:p>
        </w:tc>
      </w:tr>
      <w:tr w14:paraId="116A72D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F21FBD0" w14:textId="77777777">
            <w:pPr>
              <w:pStyle w:val="Normal6a"/>
            </w:pPr>
            <w:r w:rsidRPr="00B16DFD">
              <w:t>(1)</w:t>
            </w:r>
            <w:r w:rsidRPr="00B16DFD">
              <w:tab/>
              <w:t>Strategien for opsparings- og investeringsunionen er en del af Kommissionens strategi om at fremlægge en vision for Unionen som et økonomisk kraftcenter. Med henblik herpå er det nødvendigt at etablere et indre marked for finansielle tjenesteydelser ved at afhjælpe markedsineffektivitet som følge af fragmentering og skabe reelt integrerede europæiske kapitalmarkeder, som er tilgængelige for alle borgere og virksomheder i hele Unionen. Det er også vigtigt, at Unionens finansielle markedspotentiale frigøres ved at give adgang til mere effektiv kapitalmarkedsbaseret finansiering og ved at lette grænseoverskridende kapitalstrømme, hvilket igen bør støtte Unionens økonomi, stimulere jobskabelse og øge konkurrenceevnen.</w:t>
            </w:r>
          </w:p>
        </w:tc>
        <w:tc>
          <w:tcPr>
            <w:tcW w:w="4876" w:type="dxa"/>
            <w:tcBorders>
              <w:top w:val="nil"/>
              <w:left w:val="nil"/>
              <w:bottom w:val="nil"/>
              <w:right w:val="nil"/>
            </w:tcBorders>
            <w:hideMark/>
          </w:tcPr>
          <w:p w:rsidR="00365C9B" w:rsidRPr="00B16DFD" w:rsidP="00F61C80" w14:paraId="35C63EF8" w14:textId="50EB852E">
            <w:pPr>
              <w:pStyle w:val="Normal6a"/>
            </w:pPr>
            <w:r w:rsidRPr="00B16DFD">
              <w:t>(1)</w:t>
            </w:r>
            <w:r w:rsidRPr="00B16DFD">
              <w:tab/>
              <w:t xml:space="preserve">Strategien for opsparings- og investeringsunionen er en del af Kommissionens strategi om at fremlægge en vision for Unionen som et økonomisk kraftcenter. Med henblik herpå er det nødvendigt at etablere et indre marked for finansielle tjenesteydelser ved at afhjælpe markedsineffektivitet som følge af fragmentering og skabe reelt integrerede europæiske kapitalmarkeder, som er tilgængelige for alle borgere og virksomheder i hele Unionen. Det er også vigtigt, at Unionens finansielle markedspotentiale frigøres ved at give adgang til mere effektiv kapitalmarkedsbaseret finansiering og ved at lette grænseoverskridende kapitalstrømme, hvilket igen bør støtte Unionens økonomi, stimulere jobskabelse og øge konkurrenceevnen. </w:t>
            </w:r>
            <w:r w:rsidRPr="00B16DFD">
              <w:rPr>
                <w:b/>
                <w:i/>
              </w:rPr>
              <w:t>En sådan integr</w:t>
            </w:r>
            <w:r w:rsidR="00AA1655">
              <w:rPr>
                <w:b/>
                <w:i/>
              </w:rPr>
              <w:t xml:space="preserve">ering </w:t>
            </w:r>
            <w:r w:rsidRPr="00B16DFD">
              <w:rPr>
                <w:b/>
                <w:i/>
              </w:rPr>
              <w:t xml:space="preserve">bør understøttes af åbne og konkurrenceprægede markeder, der mindsker </w:t>
            </w:r>
            <w:r w:rsidR="00AA1655">
              <w:rPr>
                <w:b/>
                <w:i/>
              </w:rPr>
              <w:t>unødig</w:t>
            </w:r>
            <w:r w:rsidRPr="00B16DFD">
              <w:rPr>
                <w:b/>
                <w:i/>
              </w:rPr>
              <w:t>e administrative byrder og gør det lettere for europæiske opsparinger at finansiere virksomheder, navnlig SMV'er, innovative virksomheder, infrastruktur- og vækstprojekter.</w:t>
            </w:r>
          </w:p>
        </w:tc>
      </w:tr>
    </w:tbl>
    <w:p w:rsidR="00365C9B" w:rsidRPr="00B16DFD" w:rsidP="00365C9B" w14:paraId="3BC50F54" w14:textId="77777777">
      <w:pPr>
        <w:pStyle w:val="AmOrLang"/>
      </w:pPr>
      <w:r w:rsidRPr="00B16DFD">
        <w:t xml:space="preserve">Or. </w:t>
      </w:r>
      <w:r w:rsidRPr="00B16DFD">
        <w:rPr>
          <w:rStyle w:val="HideTWBExt"/>
          <w:color w:val="auto"/>
        </w:rPr>
        <w:t>&lt;Original&gt;</w:t>
      </w:r>
      <w:r w:rsidRPr="00B16DFD">
        <w:rPr>
          <w:rStyle w:val="HideTWBInt"/>
          <w:color w:val="auto"/>
        </w:rPr>
        <w:t>{ES}</w:t>
      </w:r>
      <w:r w:rsidRPr="00B16DFD">
        <w:t>es</w:t>
      </w:r>
      <w:r w:rsidRPr="00B16DFD">
        <w:rPr>
          <w:rStyle w:val="HideTWBExt"/>
          <w:color w:val="auto"/>
        </w:rPr>
        <w:t>&lt;/Original&gt;</w:t>
      </w:r>
    </w:p>
    <w:p w:rsidR="00365C9B" w:rsidRPr="00B16DFD" w:rsidP="00365C9B" w14:paraId="11E9E634" w14:textId="77777777">
      <w:r w:rsidRPr="00B16DFD">
        <w:rPr>
          <w:rStyle w:val="HideTWBExt"/>
          <w:color w:val="auto"/>
        </w:rPr>
        <w:t>&lt;/Amend&gt;</w:t>
      </w:r>
    </w:p>
    <w:p w:rsidR="00365C9B" w:rsidRPr="00B16DFD" w:rsidP="00365C9B" w14:paraId="4656C5B1"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202</w:t>
      </w:r>
      <w:r w:rsidRPr="00B16DFD">
        <w:rPr>
          <w:rStyle w:val="HideTWBExt"/>
          <w:color w:val="auto"/>
        </w:rPr>
        <w:t>&lt;/NumAm&gt;</w:t>
      </w:r>
    </w:p>
    <w:p w:rsidR="00365C9B" w:rsidRPr="00734CAA" w:rsidP="00365C9B" w14:paraId="09EAE7A1"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13C4B42D"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7C40EE06" w14:textId="77777777">
      <w:pPr>
        <w:pStyle w:val="NormalBold"/>
        <w:rPr>
          <w:lang w:val="en-GB"/>
        </w:rPr>
      </w:pPr>
      <w:r w:rsidRPr="00734CAA">
        <w:rPr>
          <w:rStyle w:val="HideTWBExt"/>
          <w:b w:val="0"/>
          <w:color w:val="auto"/>
          <w:lang w:val="en-GB"/>
        </w:rPr>
        <w:t>&lt;/RepeatBlock-By&gt;</w:t>
      </w:r>
    </w:p>
    <w:p w:rsidR="00365C9B" w:rsidRPr="00734CAA" w:rsidP="00365C9B" w14:paraId="61F8478D"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0CDDD14E" w14:textId="77777777">
      <w:pPr>
        <w:pStyle w:val="NormalBold"/>
      </w:pPr>
      <w:r w:rsidRPr="00B16DFD">
        <w:rPr>
          <w:rStyle w:val="HideTWBExt"/>
          <w:color w:val="auto"/>
        </w:rPr>
        <w:t>&lt;Article&gt;</w:t>
      </w:r>
      <w:r w:rsidRPr="00B16DFD">
        <w:t>Betragtning 1</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60EB0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4B35216" w14:textId="77777777"/>
        </w:tc>
      </w:tr>
      <w:tr w14:paraId="3EEB45C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7259854"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851A31D" w14:textId="77777777">
            <w:pPr>
              <w:pStyle w:val="AmColumnHeading"/>
            </w:pPr>
            <w:r w:rsidRPr="00B16DFD">
              <w:t>Ændringsforslag</w:t>
            </w:r>
          </w:p>
        </w:tc>
      </w:tr>
      <w:tr w14:paraId="36A07A29"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2E0F6FA" w14:textId="77777777">
            <w:pPr>
              <w:pStyle w:val="Normal6a"/>
            </w:pPr>
            <w:r w:rsidRPr="00B16DFD">
              <w:t>(1)</w:t>
            </w:r>
            <w:r w:rsidRPr="00B16DFD">
              <w:tab/>
              <w:t xml:space="preserve">Strategien for opsparings- og investeringsunionen er en del af Kommissionens strategi om at fremlægge en vision for Unionen som et økonomisk kraftcenter. Med henblik herpå er det nødvendigt at etablere et indre marked for finansielle tjenesteydelser ved at afhjælpe markedsineffektivitet som følge af fragmentering og skabe reelt integrerede europæiske kapitalmarkeder, som er tilgængelige for alle borgere og virksomheder i hele Unionen. Det er også vigtigt, at Unionens finansielle markedspotentiale frigøres ved at give adgang til mere effektiv kapitalmarkedsbaseret finansiering og ved at lette grænseoverskridende kapitalstrømme, hvilket igen bør støtte Unionens økonomi, stimulere jobskabelse </w:t>
            </w:r>
            <w:r w:rsidRPr="00B16DFD">
              <w:rPr>
                <w:b/>
                <w:i/>
              </w:rPr>
              <w:t>og</w:t>
            </w:r>
            <w:r w:rsidRPr="00B16DFD">
              <w:t xml:space="preserve"> øge konkurrenceevnen.</w:t>
            </w:r>
          </w:p>
        </w:tc>
        <w:tc>
          <w:tcPr>
            <w:tcW w:w="4876" w:type="dxa"/>
            <w:tcBorders>
              <w:top w:val="nil"/>
              <w:left w:val="nil"/>
              <w:bottom w:val="nil"/>
              <w:right w:val="nil"/>
            </w:tcBorders>
            <w:hideMark/>
          </w:tcPr>
          <w:p w:rsidR="00365C9B" w:rsidRPr="00B16DFD" w:rsidP="00F61C80" w14:paraId="6B6FAF2E" w14:textId="77777777">
            <w:pPr>
              <w:pStyle w:val="Normal6a"/>
            </w:pPr>
            <w:r w:rsidRPr="00B16DFD">
              <w:t>(1)</w:t>
            </w:r>
            <w:r w:rsidRPr="00B16DFD">
              <w:tab/>
              <w:t>Strategien for opsparings- og investeringsunionen er en del af Kommissionens strategi om at fremlægge en vision for Unionen som et økonomisk kraftcenter. Med henblik herpå er det nødvendigt at etablere et indre marked for finansielle tjenesteydelser ved at afhjælpe markedsineffektivitet som følge af fragmentering og skabe reelt integrerede europæiske kapitalmarkeder, som er tilgængelige for alle borgere og virksomheder i hele Unionen. Det er også vigtigt, at Unionens finansielle markedspotentiale frigøres ved at give adgang til mere effektiv kapitalmarkedsbaseret finansiering og ved at lette grænseoverskridende kapitalstrømme, hvilket igen bør støtte Unionens økonomi, stimulere jobskabelse</w:t>
            </w:r>
            <w:r w:rsidRPr="00B16DFD">
              <w:rPr>
                <w:b/>
                <w:i/>
              </w:rPr>
              <w:t>,</w:t>
            </w:r>
            <w:r w:rsidRPr="00B16DFD">
              <w:t xml:space="preserve"> øge konkurrenceevnen </w:t>
            </w:r>
            <w:r w:rsidRPr="00B16DFD">
              <w:rPr>
                <w:b/>
                <w:i/>
              </w:rPr>
              <w:t>og bidrage til den grønne omstilling</w:t>
            </w:r>
            <w:r w:rsidRPr="00B16DFD">
              <w:t>.</w:t>
            </w:r>
          </w:p>
        </w:tc>
      </w:tr>
    </w:tbl>
    <w:p w:rsidR="00365C9B" w:rsidRPr="00734CAA" w:rsidP="00365C9B" w14:paraId="457B59E0"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833BE31" w14:textId="77777777">
      <w:pPr>
        <w:rPr>
          <w:lang w:val="en-GB"/>
        </w:rPr>
      </w:pPr>
      <w:r w:rsidRPr="00734CAA">
        <w:rPr>
          <w:rStyle w:val="HideTWBExt"/>
          <w:color w:val="auto"/>
          <w:lang w:val="en-GB"/>
        </w:rPr>
        <w:t>&lt;/Amend&gt;</w:t>
      </w:r>
    </w:p>
    <w:p w:rsidR="00365C9B" w:rsidRPr="00734CAA" w:rsidP="00365C9B" w14:paraId="6DE9D7ED"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203</w:t>
      </w:r>
      <w:r w:rsidRPr="00734CAA">
        <w:rPr>
          <w:rStyle w:val="HideTWBExt"/>
          <w:color w:val="auto"/>
          <w:lang w:val="en-GB"/>
        </w:rPr>
        <w:t>&lt;/NumAm&gt;</w:t>
      </w:r>
    </w:p>
    <w:p w:rsidR="00365C9B" w:rsidRPr="00734CAA" w:rsidP="00365C9B" w14:paraId="3F0D9C74" w14:textId="77777777">
      <w:pPr>
        <w:pStyle w:val="NormalBold"/>
        <w:rPr>
          <w:lang w:val="en-GB"/>
        </w:rPr>
      </w:pPr>
      <w:r w:rsidRPr="00734CAA">
        <w:rPr>
          <w:rStyle w:val="HideTWBExt"/>
          <w:b w:val="0"/>
          <w:color w:val="auto"/>
          <w:lang w:val="en-GB"/>
        </w:rPr>
        <w:t>&lt;RepeatBlock-By&gt;&lt;Members&gt;</w:t>
      </w:r>
      <w:r w:rsidRPr="00734CAA">
        <w:rPr>
          <w:lang w:val="en-GB"/>
        </w:rPr>
        <w:t>Isabel Benjumea Benjumea, Fernando Navarrete Rojas</w:t>
      </w:r>
      <w:r w:rsidRPr="00734CAA">
        <w:rPr>
          <w:rStyle w:val="HideTWBExt"/>
          <w:b w:val="0"/>
          <w:color w:val="auto"/>
          <w:lang w:val="en-GB"/>
        </w:rPr>
        <w:t>&lt;/Members&gt;</w:t>
      </w:r>
    </w:p>
    <w:p w:rsidR="00365C9B" w:rsidRPr="00734CAA" w:rsidP="00365C9B" w14:paraId="0837E3A3" w14:textId="77777777">
      <w:pPr>
        <w:pStyle w:val="NormalBold"/>
        <w:rPr>
          <w:lang w:val="en-GB"/>
        </w:rPr>
      </w:pPr>
      <w:r w:rsidRPr="00734CAA">
        <w:rPr>
          <w:rStyle w:val="HideTWBExt"/>
          <w:b w:val="0"/>
          <w:color w:val="auto"/>
          <w:lang w:val="en-GB"/>
        </w:rPr>
        <w:t>&lt;/RepeatBlock-By&gt;</w:t>
      </w:r>
    </w:p>
    <w:p w:rsidR="00365C9B" w:rsidRPr="00B16DFD" w:rsidP="00365C9B" w14:paraId="6324A15B"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F4F024B" w14:textId="77777777">
      <w:pPr>
        <w:pStyle w:val="NormalBold"/>
        <w:rPr>
          <w:lang w:val="en-GB"/>
        </w:rPr>
      </w:pPr>
      <w:r w:rsidRPr="00734CAA">
        <w:rPr>
          <w:rStyle w:val="HideTWBExt"/>
          <w:color w:val="auto"/>
          <w:lang w:val="en-GB"/>
        </w:rPr>
        <w:t>&lt;Article&gt;</w:t>
      </w:r>
      <w:r w:rsidRPr="00734CAA">
        <w:rPr>
          <w:lang w:val="en-GB"/>
        </w:rPr>
        <w:t>Betragtning 1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BDE436"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6517AFBD" w14:textId="77777777">
            <w:pPr>
              <w:rPr>
                <w:lang w:val="en-GB"/>
              </w:rPr>
            </w:pPr>
          </w:p>
        </w:tc>
      </w:tr>
      <w:tr w14:paraId="760F7C74"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7E8E3CE"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C7816CD" w14:textId="77777777">
            <w:pPr>
              <w:pStyle w:val="AmColumnHeading"/>
            </w:pPr>
            <w:r w:rsidRPr="00B16DFD">
              <w:t>Ændringsforslag</w:t>
            </w:r>
          </w:p>
        </w:tc>
      </w:tr>
      <w:tr w14:paraId="152D674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B266101" w14:textId="77777777">
            <w:pPr>
              <w:pStyle w:val="Normal6a"/>
            </w:pPr>
          </w:p>
        </w:tc>
        <w:tc>
          <w:tcPr>
            <w:tcW w:w="4876" w:type="dxa"/>
            <w:tcBorders>
              <w:top w:val="nil"/>
              <w:left w:val="nil"/>
              <w:bottom w:val="nil"/>
              <w:right w:val="nil"/>
            </w:tcBorders>
            <w:hideMark/>
          </w:tcPr>
          <w:p w:rsidR="00365C9B" w:rsidRPr="00B16DFD" w:rsidP="00F61C80" w14:paraId="1A644EBD" w14:textId="77777777">
            <w:pPr>
              <w:pStyle w:val="Normal6a"/>
            </w:pPr>
            <w:r w:rsidRPr="00B16DFD">
              <w:rPr>
                <w:b/>
                <w:i/>
              </w:rPr>
              <w:t>(1a)</w:t>
            </w:r>
            <w:r w:rsidRPr="00B16DFD">
              <w:tab/>
            </w:r>
            <w:r w:rsidRPr="00B16DFD">
              <w:rPr>
                <w:b/>
                <w:i/>
              </w:rPr>
              <w:t xml:space="preserve">Kapitalmarkedsintegration bør fortsat være en markedsdrevet proces, der fremmes af EU-regler, som fjerner uberettigede hindringer for grænseoverskridende aktiviteter, øger investeringerne, reducerer de administrative omkostninger og styrker retssikkerheden. De tilsyns- og konvergensforanstaltninger, der er fastsat i denne forordning, bør anvendes på en forholdsmæssig måde og bør ikke føre til nye lag af tilsyn, indberetningsforpligtelser, overlappende krav eller gebyrer, der ikke er nødvendige for markedets integritet eller den </w:t>
            </w:r>
            <w:r w:rsidRPr="00B16DFD">
              <w:rPr>
                <w:b/>
                <w:i/>
              </w:rPr>
              <w:t>finansielle stabilitet.</w:t>
            </w:r>
          </w:p>
        </w:tc>
      </w:tr>
    </w:tbl>
    <w:p w:rsidR="00365C9B" w:rsidRPr="00B16DFD" w:rsidP="00365C9B" w14:paraId="09E0C91F" w14:textId="77777777">
      <w:pPr>
        <w:pStyle w:val="AmOrLang"/>
      </w:pPr>
      <w:r w:rsidRPr="00B16DFD">
        <w:t xml:space="preserve">Or. </w:t>
      </w:r>
      <w:r w:rsidRPr="00B16DFD">
        <w:rPr>
          <w:rStyle w:val="HideTWBExt"/>
          <w:color w:val="auto"/>
        </w:rPr>
        <w:t>&lt;Original&gt;</w:t>
      </w:r>
      <w:r w:rsidRPr="00B16DFD">
        <w:rPr>
          <w:rStyle w:val="HideTWBInt"/>
          <w:color w:val="auto"/>
        </w:rPr>
        <w:t>{ES}</w:t>
      </w:r>
      <w:r w:rsidRPr="00B16DFD">
        <w:t>es</w:t>
      </w:r>
      <w:r w:rsidRPr="00B16DFD">
        <w:rPr>
          <w:rStyle w:val="HideTWBExt"/>
          <w:color w:val="auto"/>
        </w:rPr>
        <w:t>&lt;/Original&gt;</w:t>
      </w:r>
    </w:p>
    <w:p w:rsidR="00365C9B" w:rsidRPr="00B16DFD" w:rsidP="00365C9B" w14:paraId="0F905D11" w14:textId="77777777">
      <w:r w:rsidRPr="00B16DFD">
        <w:rPr>
          <w:rStyle w:val="HideTWBExt"/>
          <w:color w:val="auto"/>
        </w:rPr>
        <w:t>&lt;/Amend&gt;</w:t>
      </w:r>
    </w:p>
    <w:p w:rsidR="00365C9B" w:rsidRPr="00B16DFD" w:rsidP="00365C9B" w14:paraId="503637DD"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204</w:t>
      </w:r>
      <w:r w:rsidRPr="00B16DFD">
        <w:rPr>
          <w:rStyle w:val="HideTWBExt"/>
          <w:color w:val="auto"/>
        </w:rPr>
        <w:t>&lt;/NumAm&gt;</w:t>
      </w:r>
    </w:p>
    <w:p w:rsidR="00365C9B" w:rsidRPr="00734CAA" w:rsidP="00365C9B" w14:paraId="4B0A0BC6" w14:textId="77777777">
      <w:pPr>
        <w:pStyle w:val="NormalBold"/>
        <w:rPr>
          <w:lang w:val="en-GB"/>
        </w:rPr>
      </w:pPr>
      <w:r w:rsidRPr="00734CAA">
        <w:rPr>
          <w:rStyle w:val="HideTWBExt"/>
          <w:b w:val="0"/>
          <w:color w:val="auto"/>
          <w:lang w:val="en-GB"/>
        </w:rPr>
        <w:t>&lt;RepeatBlock-By&gt;&lt;Members&gt;</w:t>
      </w:r>
      <w:r w:rsidRPr="00734CAA">
        <w:rPr>
          <w:lang w:val="en-GB"/>
        </w:rPr>
        <w:t>Isabel Benjumea Benjumea, Fernando Navarrete Rojas</w:t>
      </w:r>
      <w:r w:rsidRPr="00734CAA">
        <w:rPr>
          <w:rStyle w:val="HideTWBExt"/>
          <w:b w:val="0"/>
          <w:color w:val="auto"/>
          <w:lang w:val="en-GB"/>
        </w:rPr>
        <w:t>&lt;/Members&gt;</w:t>
      </w:r>
    </w:p>
    <w:p w:rsidR="00365C9B" w:rsidRPr="00B16DFD" w:rsidP="00365C9B" w14:paraId="5B7299BF" w14:textId="77777777">
      <w:pPr>
        <w:pStyle w:val="NormalBold"/>
      </w:pPr>
      <w:r w:rsidRPr="00B16DFD">
        <w:rPr>
          <w:rStyle w:val="HideTWBExt"/>
          <w:b w:val="0"/>
          <w:color w:val="auto"/>
        </w:rPr>
        <w:t>&lt;/RepeatBlock-By&gt;</w:t>
      </w:r>
    </w:p>
    <w:p w:rsidR="00365C9B" w:rsidRPr="00B16DFD" w:rsidP="00365C9B" w14:paraId="56812707"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33C30DF0" w14:textId="77777777">
      <w:pPr>
        <w:pStyle w:val="NormalBold"/>
        <w:rPr>
          <w:lang w:val="en-GB"/>
        </w:rPr>
      </w:pPr>
      <w:r w:rsidRPr="00734CAA">
        <w:rPr>
          <w:rStyle w:val="HideTWBExt"/>
          <w:color w:val="auto"/>
          <w:lang w:val="en-GB"/>
        </w:rPr>
        <w:t>&lt;Article&gt;</w:t>
      </w:r>
      <w:r w:rsidRPr="00734CAA">
        <w:rPr>
          <w:lang w:val="en-GB"/>
        </w:rPr>
        <w:t>Betragtning 2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985DA"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5CFA7439" w14:textId="77777777">
            <w:pPr>
              <w:rPr>
                <w:lang w:val="en-GB"/>
              </w:rPr>
            </w:pPr>
          </w:p>
        </w:tc>
      </w:tr>
      <w:tr w14:paraId="39F2FF0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2A0B93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AED3ABC" w14:textId="77777777">
            <w:pPr>
              <w:pStyle w:val="AmColumnHeading"/>
            </w:pPr>
            <w:r w:rsidRPr="00B16DFD">
              <w:t>Ændringsforslag</w:t>
            </w:r>
          </w:p>
        </w:tc>
      </w:tr>
      <w:tr w14:paraId="1AC4185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A2ED3B6" w14:textId="77777777">
            <w:pPr>
              <w:pStyle w:val="Normal6a"/>
            </w:pPr>
          </w:p>
        </w:tc>
        <w:tc>
          <w:tcPr>
            <w:tcW w:w="4876" w:type="dxa"/>
            <w:tcBorders>
              <w:top w:val="nil"/>
              <w:left w:val="nil"/>
              <w:bottom w:val="nil"/>
              <w:right w:val="nil"/>
            </w:tcBorders>
            <w:hideMark/>
          </w:tcPr>
          <w:p w:rsidR="00365C9B" w:rsidRPr="00B16DFD" w:rsidP="00F61C80" w14:paraId="317CC5FC" w14:textId="77777777">
            <w:pPr>
              <w:pStyle w:val="Normal6a"/>
            </w:pPr>
            <w:r w:rsidRPr="00B16DFD">
              <w:rPr>
                <w:b/>
                <w:i/>
              </w:rPr>
              <w:t>(2a)</w:t>
            </w:r>
            <w:r w:rsidRPr="00B16DFD">
              <w:tab/>
            </w:r>
            <w:r w:rsidRPr="00B16DFD">
              <w:rPr>
                <w:b/>
                <w:i/>
              </w:rPr>
              <w:t>Opsparings- og investeringsunionen bør bidrage til at mobilisere europæiske opsparinger til investeringer, forbedre adgangen til markedsfinansiering for europæiske virksomheder, styrke Unionens konkurrenceevne og lette langsigtede investeringer i innovation, infrastruktur, forsvar, energi, digitalisering og virksomhedsvækst.</w:t>
            </w:r>
          </w:p>
        </w:tc>
      </w:tr>
    </w:tbl>
    <w:p w:rsidR="00365C9B" w:rsidRPr="00B16DFD" w:rsidP="00365C9B" w14:paraId="6FE743A8" w14:textId="77777777">
      <w:pPr>
        <w:pStyle w:val="AmOrLang"/>
      </w:pPr>
      <w:r w:rsidRPr="00B16DFD">
        <w:t xml:space="preserve">Or. </w:t>
      </w:r>
      <w:r w:rsidRPr="00B16DFD">
        <w:rPr>
          <w:rStyle w:val="HideTWBExt"/>
          <w:color w:val="auto"/>
        </w:rPr>
        <w:t>&lt;Original&gt;</w:t>
      </w:r>
      <w:r w:rsidRPr="00B16DFD">
        <w:rPr>
          <w:rStyle w:val="HideTWBInt"/>
          <w:color w:val="auto"/>
        </w:rPr>
        <w:t>{ES}</w:t>
      </w:r>
      <w:r w:rsidRPr="00B16DFD">
        <w:t>es</w:t>
      </w:r>
      <w:r w:rsidRPr="00B16DFD">
        <w:rPr>
          <w:rStyle w:val="HideTWBExt"/>
          <w:color w:val="auto"/>
        </w:rPr>
        <w:t>&lt;/Original&gt;</w:t>
      </w:r>
    </w:p>
    <w:p w:rsidR="00365C9B" w:rsidRPr="00B16DFD" w:rsidP="00365C9B" w14:paraId="161B73C1" w14:textId="77777777">
      <w:r w:rsidRPr="00B16DFD">
        <w:rPr>
          <w:rStyle w:val="HideTWBExt"/>
          <w:color w:val="auto"/>
        </w:rPr>
        <w:t>&lt;/Amend&gt;</w:t>
      </w:r>
    </w:p>
    <w:p w:rsidR="00365C9B" w:rsidRPr="00B16DFD" w:rsidP="00365C9B" w14:paraId="15210A48"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205</w:t>
      </w:r>
      <w:r w:rsidRPr="00B16DFD">
        <w:rPr>
          <w:rStyle w:val="HideTWBExt"/>
          <w:color w:val="auto"/>
        </w:rPr>
        <w:t>&lt;/NumAm&gt;</w:t>
      </w:r>
    </w:p>
    <w:p w:rsidR="00365C9B" w:rsidRPr="00734CAA" w:rsidP="00365C9B" w14:paraId="2F942986" w14:textId="77777777">
      <w:pPr>
        <w:pStyle w:val="NormalBold"/>
        <w:rPr>
          <w:lang w:val="en-GB"/>
        </w:rPr>
      </w:pPr>
      <w:r w:rsidRPr="00734CAA">
        <w:rPr>
          <w:rStyle w:val="HideTWBExt"/>
          <w:b w:val="0"/>
          <w:color w:val="auto"/>
          <w:lang w:val="en-GB"/>
        </w:rPr>
        <w:t>&lt;RepeatBlock-By&gt;&lt;Members&gt;</w:t>
      </w:r>
      <w:r w:rsidRPr="00734CAA">
        <w:rPr>
          <w:lang w:val="en-GB"/>
        </w:rPr>
        <w:t>Dirk Gotink</w:t>
      </w:r>
      <w:r w:rsidRPr="00734CAA">
        <w:rPr>
          <w:rStyle w:val="HideTWBExt"/>
          <w:b w:val="0"/>
          <w:color w:val="auto"/>
          <w:lang w:val="en-GB"/>
        </w:rPr>
        <w:t>&lt;/Members&gt;</w:t>
      </w:r>
    </w:p>
    <w:p w:rsidR="00365C9B" w:rsidRPr="00B16DFD" w:rsidP="00365C9B" w14:paraId="6209CA73" w14:textId="77777777">
      <w:pPr>
        <w:pStyle w:val="NormalBold"/>
      </w:pPr>
      <w:r w:rsidRPr="00B16DFD">
        <w:rPr>
          <w:rStyle w:val="HideTWBExt"/>
          <w:b w:val="0"/>
          <w:color w:val="auto"/>
        </w:rPr>
        <w:t>&lt;/RepeatBlock-By&gt;</w:t>
      </w:r>
    </w:p>
    <w:p w:rsidR="00365C9B" w:rsidRPr="00B16DFD" w:rsidP="00365C9B" w14:paraId="2CA896A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5AA7C487" w14:textId="77777777">
      <w:pPr>
        <w:pStyle w:val="NormalBold"/>
      </w:pPr>
      <w:r w:rsidRPr="00B16DFD">
        <w:rPr>
          <w:rStyle w:val="HideTWBExt"/>
          <w:color w:val="auto"/>
        </w:rPr>
        <w:t>&lt;Article&gt;</w:t>
      </w:r>
      <w:r w:rsidRPr="00B16DFD">
        <w:t>Betragtning 2 b (ny)</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8EB5A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12B5CA9" w14:textId="77777777"/>
        </w:tc>
      </w:tr>
      <w:tr w14:paraId="5EA8AA66"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8DAD39B"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DF4AD49" w14:textId="77777777">
            <w:pPr>
              <w:pStyle w:val="AmColumnHeading"/>
            </w:pPr>
            <w:r w:rsidRPr="00B16DFD">
              <w:t>Ændringsforslag</w:t>
            </w:r>
          </w:p>
        </w:tc>
      </w:tr>
      <w:tr w14:paraId="0838295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79E0604" w14:textId="77777777">
            <w:pPr>
              <w:pStyle w:val="Normal6a"/>
            </w:pPr>
          </w:p>
        </w:tc>
        <w:tc>
          <w:tcPr>
            <w:tcW w:w="4876" w:type="dxa"/>
            <w:tcBorders>
              <w:top w:val="nil"/>
              <w:left w:val="nil"/>
              <w:bottom w:val="nil"/>
              <w:right w:val="nil"/>
            </w:tcBorders>
            <w:hideMark/>
          </w:tcPr>
          <w:p w:rsidR="00365C9B" w:rsidRPr="00B16DFD" w:rsidP="00F61C80" w14:paraId="54597DB3" w14:textId="77777777">
            <w:pPr>
              <w:pStyle w:val="Normal6a"/>
            </w:pPr>
            <w:r w:rsidRPr="00B16DFD">
              <w:rPr>
                <w:b/>
                <w:i/>
              </w:rPr>
              <w:t>(2b)</w:t>
            </w:r>
            <w:r w:rsidRPr="00B16DFD">
              <w:tab/>
            </w:r>
            <w:r w:rsidRPr="00B16DFD">
              <w:rPr>
                <w:b/>
                <w:i/>
              </w:rPr>
              <w:t xml:space="preserve">Mens de skridt, der tages i denne forordning, bør fremme grænseoverskridende kapitalstrømme, herunder fjernelse af visse hindringer i sektorerne for handel, efterhandel og kapitalforvaltning, og mere centralt tilsyn, kan der i sidste ende gøres yderligere og reelle fremskridt ved at tackle forskelle og usikkerhed i national lovgivning, herunder i insolvenslovgivningen, værdipapirlovgivningen, selskabsretten og investorbeskyttelsen. Den nuværende </w:t>
            </w:r>
            <w:r w:rsidRPr="00B16DFD">
              <w:rPr>
                <w:b/>
                <w:i/>
              </w:rPr>
              <w:t>reguleringsmæssige fragmentering i Unionen og det indre marked fører til for mange omkostninger og kompleksitet for investorer og virksomheder. Ægte grænseoverskridende og globalt konkurrencedygtigt omfang vil kun være inden for rækkevidde, hvis disse bredere hindringer også tages op.</w:t>
            </w:r>
          </w:p>
        </w:tc>
      </w:tr>
    </w:tbl>
    <w:p w:rsidR="00365C9B" w:rsidRPr="00734CAA" w:rsidP="00365C9B" w14:paraId="6D9715B1"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82829C0" w14:textId="77777777">
      <w:pPr>
        <w:rPr>
          <w:lang w:val="en-GB"/>
        </w:rPr>
      </w:pPr>
      <w:r w:rsidRPr="00734CAA">
        <w:rPr>
          <w:rStyle w:val="HideTWBExt"/>
          <w:color w:val="auto"/>
          <w:lang w:val="en-GB"/>
        </w:rPr>
        <w:t>&lt;/Amend&gt;</w:t>
      </w:r>
    </w:p>
    <w:p w:rsidR="00365C9B" w:rsidRPr="00734CAA" w:rsidP="00365C9B" w14:paraId="19267FEF"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206</w:t>
      </w:r>
      <w:r w:rsidRPr="00734CAA">
        <w:rPr>
          <w:rStyle w:val="HideTWBExt"/>
          <w:color w:val="auto"/>
          <w:lang w:val="en-GB"/>
        </w:rPr>
        <w:t>&lt;/NumAm&gt;</w:t>
      </w:r>
    </w:p>
    <w:p w:rsidR="00365C9B" w:rsidRPr="00734CAA" w:rsidP="00365C9B" w14:paraId="7506AE44" w14:textId="77777777">
      <w:pPr>
        <w:pStyle w:val="NormalBold"/>
        <w:rPr>
          <w:lang w:val="en-GB"/>
        </w:rPr>
      </w:pPr>
      <w:r w:rsidRPr="00734CAA">
        <w:rPr>
          <w:rStyle w:val="HideTWBExt"/>
          <w:b w:val="0"/>
          <w:color w:val="auto"/>
          <w:lang w:val="en-GB"/>
        </w:rPr>
        <w:t>&lt;RepeatBlock-By&gt;&lt;Members&gt;</w:t>
      </w:r>
      <w:r w:rsidRPr="00734CAA">
        <w:rPr>
          <w:lang w:val="en-GB"/>
        </w:rPr>
        <w:t>Regina Doherty, Martine Kemp</w:t>
      </w:r>
      <w:r w:rsidRPr="00734CAA">
        <w:rPr>
          <w:rStyle w:val="HideTWBExt"/>
          <w:b w:val="0"/>
          <w:color w:val="auto"/>
          <w:lang w:val="en-GB"/>
        </w:rPr>
        <w:t>&lt;/Members&gt;</w:t>
      </w:r>
    </w:p>
    <w:p w:rsidR="00365C9B" w:rsidRPr="00B16DFD" w:rsidP="00365C9B" w14:paraId="1C58661F" w14:textId="77777777">
      <w:pPr>
        <w:pStyle w:val="NormalBold"/>
      </w:pPr>
      <w:r w:rsidRPr="00B16DFD">
        <w:rPr>
          <w:rStyle w:val="HideTWBExt"/>
          <w:b w:val="0"/>
          <w:color w:val="auto"/>
        </w:rPr>
        <w:t>&lt;/RepeatBlock-By&gt;</w:t>
      </w:r>
    </w:p>
    <w:p w:rsidR="00365C9B" w:rsidRPr="00B16DFD" w:rsidP="00365C9B" w14:paraId="0652756D"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246F98FC" w14:textId="77777777">
      <w:pPr>
        <w:pStyle w:val="NormalBold"/>
      </w:pPr>
      <w:r w:rsidRPr="00B16DFD">
        <w:rPr>
          <w:rStyle w:val="HideTWBExt"/>
          <w:color w:val="auto"/>
        </w:rPr>
        <w:t>&lt;Article&gt;</w:t>
      </w:r>
      <w:r w:rsidRPr="00B16DFD">
        <w:t>Betragtning 4</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414D0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84CD2D6" w14:textId="77777777"/>
        </w:tc>
      </w:tr>
      <w:tr w14:paraId="756CBF20"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2351E52"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AD917A3" w14:textId="77777777">
            <w:pPr>
              <w:pStyle w:val="AmColumnHeading"/>
            </w:pPr>
            <w:r w:rsidRPr="00B16DFD">
              <w:t>Ændringsforslag</w:t>
            </w:r>
          </w:p>
        </w:tc>
      </w:tr>
      <w:tr w14:paraId="27642E4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7ED12A7" w14:textId="77777777">
            <w:pPr>
              <w:pStyle w:val="Normal6a"/>
            </w:pPr>
            <w:r w:rsidRPr="00B16DFD">
              <w:t>(4)</w:t>
            </w:r>
            <w:r w:rsidRPr="00B16DFD">
              <w:tab/>
              <w:t xml:space="preserve">Udviklingen af et dybere og mere integreret EU-kapitalmarked, som forudsat i meddelelsen om opsparings- og investeringsunionen, kræver et konsekvent og effektivt tilsyn på tværs af medlemsstaterne. Divergerende nationale tilsynspraksisser skaber retsusikkerhed, øger omkostningerne ved grænseoverskridende aktiviteter og fragmenterer det indre marked for finansielle tjenesteydelser, hvorved markedsintegrationen og en effektiv kapitalallokering hindres. For at imødegå disse udfordringer er det nødvendigt at styrke den tilsynsmæssige konvergens og, hvor det er relevant, betro Den Europæiske Værdipapir- og Markedstilsynsmyndighed ("ESMA") yderligere opgaver og beføjelser for at </w:t>
            </w:r>
            <w:r w:rsidRPr="00B16DFD">
              <w:rPr>
                <w:b/>
                <w:i/>
              </w:rPr>
              <w:t>sikre</w:t>
            </w:r>
            <w:r w:rsidRPr="00B16DFD">
              <w:t xml:space="preserve"> en ensartet anvendelse af EU-retten og et effektivt tilsyn med enheder med betydelig grænseoverskridende relevans.</w:t>
            </w:r>
          </w:p>
        </w:tc>
        <w:tc>
          <w:tcPr>
            <w:tcW w:w="4876" w:type="dxa"/>
            <w:tcBorders>
              <w:top w:val="nil"/>
              <w:left w:val="nil"/>
              <w:bottom w:val="nil"/>
              <w:right w:val="nil"/>
            </w:tcBorders>
            <w:hideMark/>
          </w:tcPr>
          <w:p w:rsidR="00365C9B" w:rsidRPr="00B16DFD" w:rsidP="00F61C80" w14:paraId="0CF17D64" w14:textId="77777777">
            <w:pPr>
              <w:pStyle w:val="Normal6a"/>
            </w:pPr>
            <w:r w:rsidRPr="00B16DFD">
              <w:t>(4)</w:t>
            </w:r>
            <w:r w:rsidRPr="00B16DFD">
              <w:tab/>
              <w:t xml:space="preserve">Udviklingen af et dybere og mere integreret EU-kapitalmarked, som forudsat i meddelelsen om opsparings- og investeringsunionen, kræver et konsekvent og effektivt tilsyn på tværs af medlemsstaterne. Divergerende nationale tilsynspraksisser skaber retsusikkerhed, øger omkostningerne ved grænseoverskridende aktiviteter og fragmenterer det indre marked for finansielle tjenesteydelser, hvorved markedsintegrationen og en effektiv kapitalallokering hindres. For at imødegå disse udfordringer er det nødvendigt at styrke den tilsynsmæssige konvergens og, hvor det er relevant, betro Den Europæiske Værdipapir- og Markedstilsynsmyndighed ("ESMA") yderligere opgaver og beføjelser for at </w:t>
            </w:r>
            <w:r w:rsidRPr="00B16DFD">
              <w:rPr>
                <w:b/>
                <w:i/>
              </w:rPr>
              <w:t>koordinere</w:t>
            </w:r>
            <w:r w:rsidRPr="00B16DFD">
              <w:t xml:space="preserve"> en ensartet anvendelse af EU-retten og et effektivt tilsyn med enheder med betydelig grænseoverskridende relevans.</w:t>
            </w:r>
          </w:p>
        </w:tc>
      </w:tr>
    </w:tbl>
    <w:p w:rsidR="00365C9B" w:rsidRPr="00734CAA" w:rsidP="00365C9B" w14:paraId="4951636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25ED33C" w14:textId="77777777">
      <w:pPr>
        <w:rPr>
          <w:lang w:val="en-GB"/>
        </w:rPr>
      </w:pPr>
      <w:r w:rsidRPr="00734CAA">
        <w:rPr>
          <w:rStyle w:val="HideTWBExt"/>
          <w:color w:val="auto"/>
          <w:lang w:val="en-GB"/>
        </w:rPr>
        <w:t>&lt;/Amend&gt;</w:t>
      </w:r>
    </w:p>
    <w:p w:rsidR="00365C9B" w:rsidRPr="00734CAA" w:rsidP="00365C9B" w14:paraId="644D5BB3"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207</w:t>
      </w:r>
      <w:r w:rsidRPr="00734CAA">
        <w:rPr>
          <w:rStyle w:val="HideTWBExt"/>
          <w:color w:val="auto"/>
          <w:lang w:val="en-GB"/>
        </w:rPr>
        <w:t>&lt;/NumAm&gt;</w:t>
      </w:r>
    </w:p>
    <w:p w:rsidR="00365C9B" w:rsidRPr="00734CAA" w:rsidP="00365C9B" w14:paraId="06C3DB7D" w14:textId="77777777">
      <w:pPr>
        <w:pStyle w:val="NormalBold"/>
        <w:rPr>
          <w:lang w:val="en-GB"/>
        </w:rPr>
      </w:pPr>
      <w:r w:rsidRPr="00734CAA">
        <w:rPr>
          <w:rStyle w:val="HideTWBExt"/>
          <w:b w:val="0"/>
          <w:color w:val="auto"/>
          <w:lang w:val="en-GB"/>
        </w:rPr>
        <w:t>&lt;RepeatBlock-By&gt;&lt;Members&gt;</w:t>
      </w:r>
      <w:r w:rsidRPr="00734CAA">
        <w:rPr>
          <w:lang w:val="en-GB"/>
        </w:rPr>
        <w:t>Isabel Benjumea Benjumea, Fernando Navarrete Rojas</w:t>
      </w:r>
      <w:r w:rsidRPr="00734CAA">
        <w:rPr>
          <w:rStyle w:val="HideTWBExt"/>
          <w:b w:val="0"/>
          <w:color w:val="auto"/>
          <w:lang w:val="en-GB"/>
        </w:rPr>
        <w:t>&lt;/Members&gt;</w:t>
      </w:r>
    </w:p>
    <w:p w:rsidR="00365C9B" w:rsidRPr="00734CAA" w:rsidP="00365C9B" w14:paraId="22C80EBF" w14:textId="77777777">
      <w:pPr>
        <w:pStyle w:val="NormalBold"/>
        <w:rPr>
          <w:lang w:val="en-GB"/>
        </w:rPr>
      </w:pPr>
      <w:r w:rsidRPr="00734CAA">
        <w:rPr>
          <w:rStyle w:val="HideTWBExt"/>
          <w:b w:val="0"/>
          <w:color w:val="auto"/>
          <w:lang w:val="en-GB"/>
        </w:rPr>
        <w:t>&lt;/RepeatBlock-By&gt;</w:t>
      </w:r>
    </w:p>
    <w:p w:rsidR="00365C9B" w:rsidRPr="00B16DFD" w:rsidP="00365C9B" w14:paraId="6FEA8209"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128B8C82" w14:textId="77777777">
      <w:pPr>
        <w:pStyle w:val="NormalBold"/>
      </w:pPr>
      <w:r w:rsidRPr="00B16DFD">
        <w:rPr>
          <w:rStyle w:val="HideTWBExt"/>
          <w:color w:val="auto"/>
        </w:rPr>
        <w:t>&lt;Article&gt;</w:t>
      </w:r>
      <w:r w:rsidRPr="00B16DFD">
        <w:t>Betragtning 5</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03F3CA"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E9A06CF" w14:textId="77777777"/>
        </w:tc>
      </w:tr>
      <w:tr w14:paraId="3E39B877"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0AC55E4"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E67C693" w14:textId="77777777">
            <w:pPr>
              <w:pStyle w:val="AmColumnHeading"/>
            </w:pPr>
            <w:r w:rsidRPr="00B16DFD">
              <w:t>Ændringsforslag</w:t>
            </w:r>
          </w:p>
        </w:tc>
      </w:tr>
      <w:tr w14:paraId="04B17A2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7667683" w14:textId="77777777">
            <w:pPr>
              <w:pStyle w:val="Normal6a"/>
            </w:pPr>
            <w:r w:rsidRPr="00B16DFD">
              <w:t>(5)</w:t>
            </w:r>
            <w:r w:rsidRPr="00B16DFD">
              <w:tab/>
              <w:t>Med henblik herpå bør ESMA tildeles yderligere kompetencer, og dens forvaltnings- og finansieringsramme bør styrkes for at fremme gennemsigtig, ansvarlig og effektiv beslutningstagning på EU-plan og for at sikre, at ESMA har tilstrækkelige ressourcer til at opfylde sine udvidede ansvarsområder. Overførslen af direkte tilsynsbeføjelser til ESMA i forbindelse med signifikante enheder inden for markedsinfrastruktur og til udbydere af kryptoaktivtjenester bør sammen med styrkede tilsynsmæssige konvergensværktøjer bidrage til et mere integreret, konkurrencedygtigt og modstandsdygtigt kapitalmarked, der giver bedre resultater for investorer, virksomheder og økonomien som helhed.</w:t>
            </w:r>
          </w:p>
        </w:tc>
        <w:tc>
          <w:tcPr>
            <w:tcW w:w="4876" w:type="dxa"/>
            <w:tcBorders>
              <w:top w:val="nil"/>
              <w:left w:val="nil"/>
              <w:bottom w:val="nil"/>
              <w:right w:val="nil"/>
            </w:tcBorders>
            <w:hideMark/>
          </w:tcPr>
          <w:p w:rsidR="00365C9B" w:rsidRPr="00B16DFD" w:rsidP="00F61C80" w14:paraId="40DD4BCB" w14:textId="77777777">
            <w:pPr>
              <w:pStyle w:val="Normal6a"/>
            </w:pPr>
            <w:r w:rsidRPr="00B16DFD">
              <w:t>(5)</w:t>
            </w:r>
            <w:r w:rsidRPr="00B16DFD">
              <w:tab/>
              <w:t xml:space="preserve">Med henblik herpå bør ESMA tildeles yderligere kompetencer, og dens forvaltnings- og finansieringsramme bør styrkes for at fremme gennemsigtig, ansvarlig og effektiv beslutningstagning på EU-plan og for at sikre, at ESMA har tilstrækkelige ressourcer til at opfylde sine udvidede ansvarsområder. Overførslen af direkte tilsynsbeføjelser til ESMA i forbindelse med signifikante enheder inden for markedsinfrastruktur og til udbydere af kryptoaktivtjenester bør sammen med styrkede tilsynsmæssige konvergensværktøjer bidrage til et mere integreret, konkurrencedygtigt og modstandsdygtigt kapitalmarked, der giver bedre resultater for investorer, virksomheder og økonomien som helhed. </w:t>
            </w:r>
            <w:r w:rsidRPr="00B16DFD">
              <w:rPr>
                <w:b/>
                <w:i/>
              </w:rPr>
              <w:t>Overdragelsen af direkte tilsynsopgaver til ESMA bør forbeholdes tilfælde, hvor den pågældende enhed eller aktivitets grænseoverskridende dimension, systemiske betydning, udførte aktivitet eller operationelle indbyrdes afhængighed gør tilsynet på EU-plan mere effektivt. I andre tilfælde bør tilsynsmæssig konvergens, samarbejde mellem kompetente myndigheder og effektiv udveksling af oplysninger være de foretrukne instrumenter.</w:t>
            </w:r>
          </w:p>
        </w:tc>
      </w:tr>
    </w:tbl>
    <w:p w:rsidR="00365C9B" w:rsidRPr="00B16DFD" w:rsidP="00365C9B" w14:paraId="27A8B224" w14:textId="77777777">
      <w:pPr>
        <w:pStyle w:val="AmOrLang"/>
      </w:pPr>
      <w:r w:rsidRPr="00B16DFD">
        <w:t xml:space="preserve">Or. </w:t>
      </w:r>
      <w:r w:rsidRPr="00B16DFD">
        <w:rPr>
          <w:rStyle w:val="HideTWBExt"/>
          <w:color w:val="auto"/>
        </w:rPr>
        <w:t>&lt;Original&gt;</w:t>
      </w:r>
      <w:r w:rsidRPr="00B16DFD">
        <w:rPr>
          <w:rStyle w:val="HideTWBInt"/>
          <w:color w:val="auto"/>
        </w:rPr>
        <w:t>{ES}</w:t>
      </w:r>
      <w:r w:rsidRPr="00B16DFD">
        <w:t>es</w:t>
      </w:r>
      <w:r w:rsidRPr="00B16DFD">
        <w:rPr>
          <w:rStyle w:val="HideTWBExt"/>
          <w:color w:val="auto"/>
        </w:rPr>
        <w:t>&lt;/Original&gt;</w:t>
      </w:r>
    </w:p>
    <w:p w:rsidR="00365C9B" w:rsidRPr="00B16DFD" w:rsidP="00365C9B" w14:paraId="0DC6E5D9" w14:textId="77777777">
      <w:r w:rsidRPr="00B16DFD">
        <w:rPr>
          <w:rStyle w:val="HideTWBExt"/>
          <w:color w:val="auto"/>
        </w:rPr>
        <w:t>&lt;/Amend&gt;</w:t>
      </w:r>
    </w:p>
    <w:p w:rsidR="00365C9B" w:rsidRPr="00B16DFD" w:rsidP="00365C9B" w14:paraId="21F74FE6"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208</w:t>
      </w:r>
      <w:r w:rsidRPr="00B16DFD">
        <w:rPr>
          <w:rStyle w:val="HideTWBExt"/>
          <w:color w:val="auto"/>
        </w:rPr>
        <w:t>&lt;/NumAm&gt;</w:t>
      </w:r>
    </w:p>
    <w:p w:rsidR="00365C9B" w:rsidRPr="00734CAA" w:rsidP="00365C9B" w14:paraId="27C0E23A" w14:textId="77777777">
      <w:pPr>
        <w:pStyle w:val="NormalBold"/>
        <w:rPr>
          <w:lang w:val="en-GB"/>
        </w:rPr>
      </w:pPr>
      <w:r w:rsidRPr="00734CAA">
        <w:rPr>
          <w:rStyle w:val="HideTWBExt"/>
          <w:b w:val="0"/>
          <w:color w:val="auto"/>
          <w:lang w:val="en-GB"/>
        </w:rPr>
        <w:t>&lt;RepeatBlock-By&gt;&lt;Members&gt;</w:t>
      </w:r>
      <w:r w:rsidRPr="00734CAA">
        <w:rPr>
          <w:lang w:val="en-GB"/>
        </w:rPr>
        <w:t>Dirk Gotink</w:t>
      </w:r>
      <w:r w:rsidRPr="00734CAA">
        <w:rPr>
          <w:rStyle w:val="HideTWBExt"/>
          <w:b w:val="0"/>
          <w:color w:val="auto"/>
          <w:lang w:val="en-GB"/>
        </w:rPr>
        <w:t>&lt;/Members&gt;</w:t>
      </w:r>
    </w:p>
    <w:p w:rsidR="00365C9B" w:rsidRPr="00B16DFD" w:rsidP="00365C9B" w14:paraId="2DB3A356" w14:textId="77777777">
      <w:pPr>
        <w:pStyle w:val="NormalBold"/>
      </w:pPr>
      <w:r w:rsidRPr="00B16DFD">
        <w:rPr>
          <w:rStyle w:val="HideTWBExt"/>
          <w:b w:val="0"/>
          <w:color w:val="auto"/>
        </w:rPr>
        <w:t>&lt;/RepeatBlock-By&gt;</w:t>
      </w:r>
    </w:p>
    <w:p w:rsidR="00365C9B" w:rsidRPr="00B16DFD" w:rsidP="00365C9B" w14:paraId="5F8DF308"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63B15D1C" w14:textId="77777777">
      <w:pPr>
        <w:pStyle w:val="NormalBold"/>
      </w:pPr>
      <w:r w:rsidRPr="00B16DFD">
        <w:rPr>
          <w:rStyle w:val="HideTWBExt"/>
          <w:color w:val="auto"/>
        </w:rPr>
        <w:t>&lt;Article&gt;</w:t>
      </w:r>
      <w:r w:rsidRPr="00B16DFD">
        <w:t>Betragtning 5</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6052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64DE7E5" w14:textId="77777777"/>
        </w:tc>
      </w:tr>
      <w:tr w14:paraId="26C76C2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8C13FAD"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8B4AFC1" w14:textId="77777777">
            <w:pPr>
              <w:pStyle w:val="AmColumnHeading"/>
            </w:pPr>
            <w:r w:rsidRPr="00B16DFD">
              <w:t>Ændringsforslag</w:t>
            </w:r>
          </w:p>
        </w:tc>
      </w:tr>
      <w:tr w14:paraId="62FCCC4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B8C3934" w14:textId="77777777">
            <w:pPr>
              <w:pStyle w:val="Normal6a"/>
            </w:pPr>
            <w:r w:rsidRPr="00B16DFD">
              <w:t>(5)</w:t>
            </w:r>
            <w:r w:rsidRPr="00B16DFD">
              <w:tab/>
              <w:t>Med henblik herpå bør ESMA tildeles yderligere kompetencer, og dens forvaltnings- og finansieringsramme bør styrkes for at fremme gennemsigtig, ansvarlig og effektiv beslutningstagning på EU-plan og for at sikre, at ESMA har tilstrækkelige ressourcer til at opfylde sine udvidede ansvarsområder. Overførslen af direkte tilsynsbeføjelser til ESMA i forbindelse med signifikante enheder inden for markedsinfrastruktur og til udbydere af kryptoaktivtjenester bør sammen med styrkede tilsynsmæssige konvergensværktøjer bidrage til et mere integreret, konkurrencedygtigt og modstandsdygtigt kapitalmarked, der giver bedre resultater for investorer, virksomheder og økonomien som helhed.</w:t>
            </w:r>
          </w:p>
        </w:tc>
        <w:tc>
          <w:tcPr>
            <w:tcW w:w="4876" w:type="dxa"/>
            <w:tcBorders>
              <w:top w:val="nil"/>
              <w:left w:val="nil"/>
              <w:bottom w:val="nil"/>
              <w:right w:val="nil"/>
            </w:tcBorders>
            <w:hideMark/>
          </w:tcPr>
          <w:p w:rsidR="00365C9B" w:rsidRPr="00B16DFD" w:rsidP="00F61C80" w14:paraId="5D7B6C76" w14:textId="77777777">
            <w:pPr>
              <w:pStyle w:val="Normal6a"/>
            </w:pPr>
            <w:r w:rsidRPr="00B16DFD">
              <w:t>(5)</w:t>
            </w:r>
            <w:r w:rsidRPr="00B16DFD">
              <w:tab/>
              <w:t xml:space="preserve">Med henblik herpå bør ESMA tildeles yderligere kompetencer, og dens forvaltnings- og finansieringsramme bør styrkes for at fremme gennemsigtig, ansvarlig og effektiv beslutningstagning på EU-plan og for at sikre, at ESMA har tilstrækkelige ressourcer til at opfylde sine udvidede ansvarsområder. Overførslen af direkte tilsynsbeføjelser til ESMA i forbindelse med signifikante enheder inden for markedsinfrastruktur og til udbydere af kryptoaktivtjenester bør sammen med styrkede tilsynsmæssige konvergensværktøjer bidrage til et mere integreret, konkurrencedygtigt og modstandsdygtigt kapitalmarked, der giver bedre resultater for investorer, virksomheder og økonomien som helhed. </w:t>
            </w:r>
            <w:r w:rsidRPr="00B16DFD">
              <w:rPr>
                <w:b/>
                <w:i/>
              </w:rPr>
              <w:t>Ved udøvelsen af sine tilsynsmæssige og politiske beføjelser er indvirkningen på konkurrenceevnen en relevant overvejelse. ESMA bør dog altid holde finansiel stabilitet og sikkerhed som de primære mål. Konkurrenceevne kan overvejes, når der er flere muligheder for handling, der i tilstrækkelig grad opfylder målene om tilsyn og finansiel stabilitet.</w:t>
            </w:r>
          </w:p>
        </w:tc>
      </w:tr>
    </w:tbl>
    <w:p w:rsidR="00365C9B" w:rsidRPr="00734CAA" w:rsidP="00365C9B" w14:paraId="1735785E"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95766F1" w14:textId="77777777">
      <w:pPr>
        <w:rPr>
          <w:lang w:val="en-GB"/>
        </w:rPr>
      </w:pPr>
      <w:r w:rsidRPr="00734CAA">
        <w:rPr>
          <w:rStyle w:val="HideTWBExt"/>
          <w:color w:val="auto"/>
          <w:lang w:val="en-GB"/>
        </w:rPr>
        <w:t>&lt;/Amend&gt;</w:t>
      </w:r>
    </w:p>
    <w:p w:rsidR="00365C9B" w:rsidRPr="00734CAA" w:rsidP="00365C9B" w14:paraId="2B6B24AB"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209</w:t>
      </w:r>
      <w:r w:rsidRPr="00734CAA">
        <w:rPr>
          <w:rStyle w:val="HideTWBExt"/>
          <w:color w:val="auto"/>
          <w:lang w:val="en-GB"/>
        </w:rPr>
        <w:t>&lt;/NumAm&gt;</w:t>
      </w:r>
    </w:p>
    <w:p w:rsidR="00365C9B" w:rsidRPr="00734CAA" w:rsidP="00365C9B" w14:paraId="486A7469"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3700B424" w14:textId="77777777">
      <w:pPr>
        <w:pStyle w:val="NormalBold"/>
      </w:pPr>
      <w:r w:rsidRPr="00B16DFD">
        <w:rPr>
          <w:rStyle w:val="HideTWBExt"/>
          <w:b w:val="0"/>
          <w:color w:val="auto"/>
        </w:rPr>
        <w:t>&lt;/RepeatBlock-By&gt;</w:t>
      </w:r>
    </w:p>
    <w:p w:rsidR="00365C9B" w:rsidRPr="00B16DFD" w:rsidP="00365C9B" w14:paraId="310B944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24455C43" w14:textId="77777777">
      <w:pPr>
        <w:pStyle w:val="NormalBold"/>
      </w:pPr>
      <w:r w:rsidRPr="00B16DFD">
        <w:rPr>
          <w:rStyle w:val="HideTWBExt"/>
          <w:color w:val="auto"/>
        </w:rPr>
        <w:t>&lt;Article&gt;</w:t>
      </w:r>
      <w:r w:rsidRPr="00B16DFD">
        <w:t>Betragtning 5</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EEAA7"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3F14DB6" w14:textId="77777777"/>
        </w:tc>
      </w:tr>
      <w:tr w14:paraId="119D8314"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7BCD09A"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19B65CF" w14:textId="77777777">
            <w:pPr>
              <w:pStyle w:val="AmColumnHeading"/>
            </w:pPr>
            <w:r w:rsidRPr="00B16DFD">
              <w:t>Ændringsforslag</w:t>
            </w:r>
          </w:p>
        </w:tc>
      </w:tr>
      <w:tr w14:paraId="3C74A8B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2BA57AD" w14:textId="77777777">
            <w:pPr>
              <w:pStyle w:val="Normal6a"/>
            </w:pPr>
            <w:r w:rsidRPr="00B16DFD">
              <w:t>(5)</w:t>
            </w:r>
            <w:r w:rsidRPr="00B16DFD">
              <w:tab/>
              <w:t xml:space="preserve">Med henblik herpå bør ESMA tildeles yderligere kompetencer, og dens forvaltnings- og finansieringsramme bør styrkes for at fremme gennemsigtig, ansvarlig og effektiv beslutningstagning på EU-plan og for at sikre, at ESMA har tilstrækkelige ressourcer til at opfylde sine </w:t>
            </w:r>
            <w:r w:rsidRPr="00B16DFD">
              <w:t xml:space="preserve">udvidede ansvarsområder. Overførslen af direkte tilsynsbeføjelser til ESMA i forbindelse med signifikante enheder inden for markedsinfrastruktur </w:t>
            </w:r>
            <w:r w:rsidRPr="00B16DFD">
              <w:rPr>
                <w:b/>
                <w:i/>
              </w:rPr>
              <w:t>og til</w:t>
            </w:r>
            <w:r w:rsidRPr="00B16DFD">
              <w:t xml:space="preserve"> udbydere af kryptoaktivtjenester bør sammen med styrkede tilsynsmæssige konvergensværktøjer bidrage til et mere integreret, konkurrencedygtigt og modstandsdygtigt kapitalmarked, der giver bedre resultater for investorer, virksomheder og økonomien som helhed.</w:t>
            </w:r>
          </w:p>
        </w:tc>
        <w:tc>
          <w:tcPr>
            <w:tcW w:w="4876" w:type="dxa"/>
            <w:tcBorders>
              <w:top w:val="nil"/>
              <w:left w:val="nil"/>
              <w:bottom w:val="nil"/>
              <w:right w:val="nil"/>
            </w:tcBorders>
            <w:hideMark/>
          </w:tcPr>
          <w:p w:rsidR="00365C9B" w:rsidRPr="00B16DFD" w:rsidP="00F61C80" w14:paraId="21C277A5" w14:textId="77777777">
            <w:pPr>
              <w:pStyle w:val="Normal6a"/>
            </w:pPr>
            <w:r w:rsidRPr="00B16DFD">
              <w:t>(5)</w:t>
            </w:r>
            <w:r w:rsidRPr="00B16DFD">
              <w:tab/>
              <w:t xml:space="preserve">Med henblik herpå bør ESMA tildeles yderligere kompetencer, og dens forvaltnings- og finansieringsramme bør styrkes for at fremme gennemsigtig, ansvarlig og effektiv beslutningstagning på EU-plan og for at sikre, at ESMA har tilstrækkelige ressourcer til at opfylde sine </w:t>
            </w:r>
            <w:r w:rsidRPr="00B16DFD">
              <w:t>udvidede ansvarsområder. Overførslen af direkte tilsynsbeføjelser til ESMA i forbindelse med signifikante enheder inden for markedsinfrastruktur</w:t>
            </w:r>
            <w:r w:rsidRPr="00B16DFD">
              <w:rPr>
                <w:b/>
                <w:i/>
              </w:rPr>
              <w:t>, over signifikante</w:t>
            </w:r>
            <w:r w:rsidRPr="00B16DFD">
              <w:t xml:space="preserve"> udbydere af kryptoaktivtjenester </w:t>
            </w:r>
            <w:r w:rsidRPr="00B16DFD">
              <w:rPr>
                <w:b/>
                <w:i/>
              </w:rPr>
              <w:t xml:space="preserve">og over mindre signifikante enheder, der har udpeget ESMA som deres kompetente myndighed, </w:t>
            </w:r>
            <w:r w:rsidRPr="00B16DFD">
              <w:t>bør sammen med styrkede tilsynsmæssige konvergensværktøjer bidrage til et mere integreret, konkurrencedygtigt og modstandsdygtigt kapitalmarked, der giver bedre resultater for investorer, virksomheder og økonomien som helhed.</w:t>
            </w:r>
          </w:p>
        </w:tc>
      </w:tr>
    </w:tbl>
    <w:p w:rsidR="00365C9B" w:rsidRPr="00734CAA" w:rsidP="00365C9B" w14:paraId="62796206"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5B26F72" w14:textId="77777777">
      <w:pPr>
        <w:rPr>
          <w:lang w:val="en-GB"/>
        </w:rPr>
      </w:pPr>
      <w:r w:rsidRPr="00734CAA">
        <w:rPr>
          <w:rStyle w:val="HideTWBExt"/>
          <w:color w:val="auto"/>
          <w:lang w:val="en-GB"/>
        </w:rPr>
        <w:t>&lt;/Amend&gt;</w:t>
      </w:r>
    </w:p>
    <w:p w:rsidR="00365C9B" w:rsidRPr="00734CAA" w:rsidP="00365C9B" w14:paraId="6FFBB1A6"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210</w:t>
      </w:r>
      <w:r w:rsidRPr="00734CAA">
        <w:rPr>
          <w:rStyle w:val="HideTWBExt"/>
          <w:color w:val="auto"/>
          <w:lang w:val="en-GB"/>
        </w:rPr>
        <w:t>&lt;/NumAm&gt;</w:t>
      </w:r>
    </w:p>
    <w:p w:rsidR="00365C9B" w:rsidRPr="00734CAA" w:rsidP="00365C9B" w14:paraId="25DB21AC"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62A77A68" w14:textId="77777777">
      <w:pPr>
        <w:pStyle w:val="NormalBold"/>
      </w:pPr>
      <w:r w:rsidRPr="00B16DFD">
        <w:rPr>
          <w:rStyle w:val="HideTWBExt"/>
          <w:b w:val="0"/>
          <w:color w:val="auto"/>
        </w:rPr>
        <w:t>&lt;/RepeatBlock-By&gt;</w:t>
      </w:r>
    </w:p>
    <w:p w:rsidR="00365C9B" w:rsidRPr="00B16DFD" w:rsidP="00365C9B" w14:paraId="4E0FC717"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4E5598FE" w14:textId="77777777">
      <w:pPr>
        <w:pStyle w:val="NormalBold"/>
      </w:pPr>
      <w:r w:rsidRPr="00B16DFD">
        <w:rPr>
          <w:rStyle w:val="HideTWBExt"/>
          <w:color w:val="auto"/>
        </w:rPr>
        <w:t>&lt;Article&gt;</w:t>
      </w:r>
      <w:r w:rsidRPr="00B16DFD">
        <w:t>Betragtning 5</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901A8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4DB27BB" w14:textId="77777777"/>
        </w:tc>
      </w:tr>
      <w:tr w14:paraId="7D33EC0C"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155C472"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25E0D60" w14:textId="77777777">
            <w:pPr>
              <w:pStyle w:val="AmColumnHeading"/>
            </w:pPr>
            <w:r w:rsidRPr="00B16DFD">
              <w:t>Ændringsforslag</w:t>
            </w:r>
          </w:p>
        </w:tc>
      </w:tr>
      <w:tr w14:paraId="38A39F0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BF37B4D" w14:textId="77777777">
            <w:pPr>
              <w:pStyle w:val="Normal6a"/>
            </w:pPr>
            <w:r w:rsidRPr="00B16DFD">
              <w:t>(5)</w:t>
            </w:r>
            <w:r w:rsidRPr="00B16DFD">
              <w:tab/>
              <w:t>Med henblik herpå bør ESMA tildeles yderligere kompetencer, og dens forvaltnings- og finansieringsramme bør styrkes for at fremme gennemsigtig, ansvarlig og effektiv beslutningstagning på EU-plan og for at sikre, at ESMA har tilstrækkelige ressourcer til at opfylde sine udvidede ansvarsområder. Overførslen af direkte tilsynsbeføjelser til ESMA i forbindelse med signifikante enheder inden for markedsinfrastruktur og til udbydere af kryptoaktivtjenester bør sammen med styrkede tilsynsmæssige konvergensværktøjer bidrage til et mere integreret, konkurrencedygtigt og modstandsdygtigt kapitalmarked, der giver bedre resultater for investorer, virksomheder og økonomien som helhed.</w:t>
            </w:r>
          </w:p>
        </w:tc>
        <w:tc>
          <w:tcPr>
            <w:tcW w:w="4876" w:type="dxa"/>
            <w:tcBorders>
              <w:top w:val="nil"/>
              <w:left w:val="nil"/>
              <w:bottom w:val="nil"/>
              <w:right w:val="nil"/>
            </w:tcBorders>
            <w:hideMark/>
          </w:tcPr>
          <w:p w:rsidR="00365C9B" w:rsidRPr="00B16DFD" w:rsidP="00F61C80" w14:paraId="56CE0506" w14:textId="77777777">
            <w:pPr>
              <w:pStyle w:val="Normal6a"/>
            </w:pPr>
            <w:r w:rsidRPr="00B16DFD">
              <w:t>(5)</w:t>
            </w:r>
            <w:r w:rsidRPr="00B16DFD">
              <w:tab/>
              <w:t xml:space="preserve">Med henblik herpå bør ESMA tildeles yderligere kompetencer, og dens forvaltnings- og finansieringsramme bør styrkes for at fremme gennemsigtig, ansvarlig og effektiv beslutningstagning på EU-plan og for at sikre, at ESMA har tilstrækkelige ressourcer til at opfylde sine udvidede ansvarsområder. Overførslen af direkte tilsynsbeføjelser til ESMA i forbindelse med signifikante enheder inden for markedsinfrastruktur og til </w:t>
            </w:r>
            <w:r w:rsidRPr="00B16DFD">
              <w:rPr>
                <w:b/>
                <w:i/>
              </w:rPr>
              <w:t xml:space="preserve">signifikante </w:t>
            </w:r>
            <w:r w:rsidRPr="00B16DFD">
              <w:t>udbydere af kryptoaktivtjenester bør sammen med styrkede tilsynsmæssige konvergensværktøjer bidrage til et mere integreret, konkurrencedygtigt og modstandsdygtigt kapitalmarked, der giver bedre resultater for investorer, virksomheder og økonomien som helhed.</w:t>
            </w:r>
          </w:p>
        </w:tc>
      </w:tr>
    </w:tbl>
    <w:p w:rsidR="00365C9B" w:rsidRPr="00734CAA" w:rsidP="00365C9B" w14:paraId="7818C64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97C745A" w14:textId="77777777">
      <w:pPr>
        <w:rPr>
          <w:lang w:val="en-GB"/>
        </w:rPr>
      </w:pPr>
      <w:r w:rsidRPr="00734CAA">
        <w:rPr>
          <w:rStyle w:val="HideTWBExt"/>
          <w:color w:val="auto"/>
          <w:lang w:val="en-GB"/>
        </w:rPr>
        <w:t>&lt;/Amend&gt;</w:t>
      </w:r>
    </w:p>
    <w:p w:rsidR="00365C9B" w:rsidRPr="00734CAA" w:rsidP="00365C9B" w14:paraId="5A77DBF0"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211</w:t>
      </w:r>
      <w:r w:rsidRPr="00734CAA">
        <w:rPr>
          <w:rStyle w:val="HideTWBExt"/>
          <w:color w:val="auto"/>
          <w:lang w:val="en-GB"/>
        </w:rPr>
        <w:t>&lt;/NumAm&gt;</w:t>
      </w:r>
    </w:p>
    <w:p w:rsidR="00365C9B" w:rsidRPr="00734CAA" w:rsidP="00365C9B" w14:paraId="433D771B"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280F1662"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65DA83B1" w14:textId="77777777">
      <w:pPr>
        <w:pStyle w:val="NormalBold"/>
        <w:rPr>
          <w:lang w:val="en-GB"/>
        </w:rPr>
      </w:pPr>
      <w:r w:rsidRPr="00734CAA">
        <w:rPr>
          <w:rStyle w:val="HideTWBExt"/>
          <w:b w:val="0"/>
          <w:color w:val="auto"/>
          <w:lang w:val="en-GB"/>
        </w:rPr>
        <w:t>&lt;/RepeatBlock-By&gt;</w:t>
      </w:r>
    </w:p>
    <w:p w:rsidR="00365C9B" w:rsidRPr="00734CAA" w:rsidP="00365C9B" w14:paraId="0AFB1231"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5CF5A310" w14:textId="77777777">
      <w:pPr>
        <w:pStyle w:val="NormalBold"/>
      </w:pPr>
      <w:r w:rsidRPr="00B16DFD">
        <w:rPr>
          <w:rStyle w:val="HideTWBExt"/>
          <w:color w:val="auto"/>
        </w:rPr>
        <w:t>&lt;Article&gt;</w:t>
      </w:r>
      <w:r w:rsidRPr="00B16DFD">
        <w:t>Betragtning 5</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714881"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67D7EAB" w14:textId="77777777"/>
        </w:tc>
      </w:tr>
      <w:tr w14:paraId="4D196285"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FF7434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BDD8A90" w14:textId="77777777">
            <w:pPr>
              <w:pStyle w:val="AmColumnHeading"/>
            </w:pPr>
            <w:r w:rsidRPr="00B16DFD">
              <w:t>Ændringsforslag</w:t>
            </w:r>
          </w:p>
        </w:tc>
      </w:tr>
      <w:tr w14:paraId="1BE5B8E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1E56899" w14:textId="77777777">
            <w:pPr>
              <w:pStyle w:val="Normal6a"/>
            </w:pPr>
            <w:r w:rsidRPr="00B16DFD">
              <w:t>(5)</w:t>
            </w:r>
            <w:r w:rsidRPr="00B16DFD">
              <w:tab/>
              <w:t xml:space="preserve">Med henblik herpå bør ESMA tildeles yderligere kompetencer, og dens forvaltnings- og finansieringsramme bør styrkes for at fremme gennemsigtig, ansvarlig og effektiv beslutningstagning på EU-plan og for at sikre, at ESMA har tilstrækkelige ressourcer til at opfylde sine udvidede ansvarsområder. Overførslen af direkte tilsynsbeføjelser til ESMA i forbindelse med </w:t>
            </w:r>
            <w:r w:rsidRPr="00B16DFD">
              <w:rPr>
                <w:b/>
                <w:i/>
              </w:rPr>
              <w:t>signifikante</w:t>
            </w:r>
            <w:r w:rsidRPr="00B16DFD">
              <w:t xml:space="preserve"> enheder inden for markedsinfrastruktur og til udbydere af kryptoaktivtjenester bør sammen med styrkede tilsynsmæssige konvergensværktøjer bidrage til et mere integreret, konkurrencedygtigt og modstandsdygtigt kapitalmarked, der giver bedre resultater for investorer, virksomheder og økonomien som helhed.</w:t>
            </w:r>
          </w:p>
        </w:tc>
        <w:tc>
          <w:tcPr>
            <w:tcW w:w="4876" w:type="dxa"/>
            <w:tcBorders>
              <w:top w:val="nil"/>
              <w:left w:val="nil"/>
              <w:bottom w:val="nil"/>
              <w:right w:val="nil"/>
            </w:tcBorders>
            <w:hideMark/>
          </w:tcPr>
          <w:p w:rsidR="00365C9B" w:rsidRPr="00B16DFD" w:rsidP="00F61C80" w14:paraId="38EA9F15" w14:textId="77777777">
            <w:pPr>
              <w:pStyle w:val="Normal6a"/>
            </w:pPr>
            <w:r w:rsidRPr="00B16DFD">
              <w:t>(5)</w:t>
            </w:r>
            <w:r w:rsidRPr="00B16DFD">
              <w:tab/>
              <w:t>Med henblik herpå bør ESMA tildeles yderligere kompetencer, og dens forvaltnings- og finansieringsramme bør styrkes for at fremme gennemsigtig, ansvarlig og effektiv beslutningstagning på EU-plan og for at sikre, at ESMA har tilstrækkelige ressourcer til at opfylde sine udvidede ansvarsområder. Overførslen af direkte tilsynsbeføjelser til ESMA i forbindelse med enheder inden for markedsinfrastruktur og til udbydere af kryptoaktivtjenester bør sammen med styrkede tilsynsmæssige konvergensværktøjer bidrage til et mere integreret, konkurrencedygtigt og modstandsdygtigt kapitalmarked, der giver bedre resultater for investorer, virksomheder og økonomien som helhed.</w:t>
            </w:r>
          </w:p>
        </w:tc>
      </w:tr>
    </w:tbl>
    <w:p w:rsidR="00365C9B" w:rsidRPr="00734CAA" w:rsidP="00365C9B" w14:paraId="56F257D1"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A1FE317" w14:textId="77777777">
      <w:pPr>
        <w:rPr>
          <w:lang w:val="en-GB"/>
        </w:rPr>
      </w:pPr>
      <w:r w:rsidRPr="00734CAA">
        <w:rPr>
          <w:rStyle w:val="HideTWBExt"/>
          <w:color w:val="auto"/>
          <w:lang w:val="en-GB"/>
        </w:rPr>
        <w:t>&lt;/Amend&gt;</w:t>
      </w:r>
    </w:p>
    <w:p w:rsidR="00365C9B" w:rsidRPr="00734CAA" w:rsidP="00365C9B" w14:paraId="51D1AC23"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212</w:t>
      </w:r>
      <w:r w:rsidRPr="00734CAA">
        <w:rPr>
          <w:rStyle w:val="HideTWBExt"/>
          <w:color w:val="auto"/>
          <w:lang w:val="en-GB"/>
        </w:rPr>
        <w:t>&lt;/NumAm&gt;</w:t>
      </w:r>
    </w:p>
    <w:p w:rsidR="00365C9B" w:rsidRPr="00734CAA" w:rsidP="00365C9B" w14:paraId="73C598F9" w14:textId="77777777">
      <w:pPr>
        <w:pStyle w:val="NormalBold"/>
        <w:rPr>
          <w:lang w:val="en-GB"/>
        </w:rPr>
      </w:pPr>
      <w:r w:rsidRPr="00734CAA">
        <w:rPr>
          <w:rStyle w:val="HideTWBExt"/>
          <w:b w:val="0"/>
          <w:color w:val="auto"/>
          <w:lang w:val="en-GB"/>
        </w:rPr>
        <w:t>&lt;RepeatBlock-By&gt;&lt;Members&gt;</w:t>
      </w:r>
      <w:r w:rsidRPr="00734CAA">
        <w:rPr>
          <w:lang w:val="en-GB"/>
        </w:rPr>
        <w:t>Regina Doherty, Martine Kemp</w:t>
      </w:r>
      <w:r w:rsidRPr="00734CAA">
        <w:rPr>
          <w:rStyle w:val="HideTWBExt"/>
          <w:b w:val="0"/>
          <w:color w:val="auto"/>
          <w:lang w:val="en-GB"/>
        </w:rPr>
        <w:t>&lt;/Members&gt;</w:t>
      </w:r>
    </w:p>
    <w:p w:rsidR="00365C9B" w:rsidRPr="00B16DFD" w:rsidP="00365C9B" w14:paraId="7E8A75A0" w14:textId="77777777">
      <w:pPr>
        <w:pStyle w:val="NormalBold"/>
      </w:pPr>
      <w:r w:rsidRPr="00B16DFD">
        <w:rPr>
          <w:rStyle w:val="HideTWBExt"/>
          <w:b w:val="0"/>
          <w:color w:val="auto"/>
        </w:rPr>
        <w:t>&lt;/RepeatBlock-By&gt;</w:t>
      </w:r>
    </w:p>
    <w:p w:rsidR="00365C9B" w:rsidRPr="00B16DFD" w:rsidP="00365C9B" w14:paraId="20CF6DF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50BB6E48" w14:textId="77777777">
      <w:pPr>
        <w:pStyle w:val="NormalBold"/>
      </w:pPr>
      <w:r w:rsidRPr="00B16DFD">
        <w:rPr>
          <w:rStyle w:val="HideTWBExt"/>
          <w:color w:val="auto"/>
        </w:rPr>
        <w:t>&lt;Article&gt;</w:t>
      </w:r>
      <w:r w:rsidRPr="00B16DFD">
        <w:t>Betragtning 5</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06EA0A"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182A529" w14:textId="77777777"/>
        </w:tc>
      </w:tr>
      <w:tr w14:paraId="2AE6FAD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04D5AC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2A123CA" w14:textId="77777777">
            <w:pPr>
              <w:pStyle w:val="AmColumnHeading"/>
            </w:pPr>
            <w:r w:rsidRPr="00B16DFD">
              <w:t>Ændringsforslag</w:t>
            </w:r>
          </w:p>
        </w:tc>
      </w:tr>
      <w:tr w14:paraId="0DCC2605"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A32BB23" w14:textId="77777777">
            <w:pPr>
              <w:pStyle w:val="Normal6a"/>
            </w:pPr>
            <w:r w:rsidRPr="00B16DFD">
              <w:t>(5)</w:t>
            </w:r>
            <w:r w:rsidRPr="00B16DFD">
              <w:tab/>
              <w:t xml:space="preserve">Med henblik herpå bør ESMA tildeles yderligere kompetencer, og dens forvaltnings- og finansieringsramme bør styrkes for at fremme gennemsigtig, ansvarlig og effektiv </w:t>
            </w:r>
            <w:r w:rsidRPr="00B16DFD">
              <w:rPr>
                <w:b/>
                <w:i/>
              </w:rPr>
              <w:t>beslutningstagning</w:t>
            </w:r>
            <w:r w:rsidRPr="00B16DFD">
              <w:t xml:space="preserve"> på EU-plan og for at sikre, at ESMA har tilstrækkelige ressourcer til at opfylde sine udvidede ansvarsområder. </w:t>
            </w:r>
            <w:r w:rsidRPr="00B16DFD">
              <w:rPr>
                <w:b/>
                <w:i/>
              </w:rPr>
              <w:t xml:space="preserve">Overførslen af direkte tilsynsbeføjelser til ESMA i </w:t>
            </w:r>
            <w:r w:rsidRPr="00B16DFD">
              <w:rPr>
                <w:b/>
                <w:i/>
              </w:rPr>
              <w:t xml:space="preserve">forbindelse med signifikante enheder inden for markedsinfrastruktur og til udbydere af kryptoaktivtjenester bør sammen med </w:t>
            </w:r>
            <w:r w:rsidRPr="00B16DFD">
              <w:t>styrkede tilsynsmæssige konvergensværktøjer bidrage til et mere integreret, konkurrencedygtigt og modstandsdygtigt kapitalmarked, der giver bedre resultater for investorer, virksomheder og økonomien som helhed.</w:t>
            </w:r>
          </w:p>
        </w:tc>
        <w:tc>
          <w:tcPr>
            <w:tcW w:w="4876" w:type="dxa"/>
            <w:tcBorders>
              <w:top w:val="nil"/>
              <w:left w:val="nil"/>
              <w:bottom w:val="nil"/>
              <w:right w:val="nil"/>
            </w:tcBorders>
            <w:hideMark/>
          </w:tcPr>
          <w:p w:rsidR="00365C9B" w:rsidRPr="00B16DFD" w:rsidP="00F61C80" w14:paraId="0742192A" w14:textId="77777777">
            <w:pPr>
              <w:pStyle w:val="Normal6a"/>
            </w:pPr>
            <w:r w:rsidRPr="00B16DFD">
              <w:t>(5)</w:t>
            </w:r>
            <w:r w:rsidRPr="00B16DFD">
              <w:tab/>
              <w:t xml:space="preserve">Med henblik herpå bør ESMA tildeles yderligere kompetencer, og dens forvaltnings- og finansieringsramme bør styrkes for at fremme gennemsigtig, ansvarlig og effektiv </w:t>
            </w:r>
            <w:r w:rsidRPr="00B16DFD">
              <w:rPr>
                <w:b/>
                <w:i/>
              </w:rPr>
              <w:t>tilsynsmæssig konvergens og koordinering</w:t>
            </w:r>
            <w:r w:rsidRPr="00B16DFD">
              <w:t xml:space="preserve"> på EU-plan og for at sikre, at ESMA har tilstrækkelige ressourcer til at opfylde sine udvidede ansvarsområder. Styrkede tilsynsmæssige </w:t>
            </w:r>
            <w:r w:rsidRPr="00B16DFD">
              <w:t xml:space="preserve">konvergensværktøjer </w:t>
            </w:r>
            <w:r w:rsidRPr="00B16DFD">
              <w:rPr>
                <w:b/>
                <w:i/>
              </w:rPr>
              <w:t xml:space="preserve">bør </w:t>
            </w:r>
            <w:r w:rsidRPr="00B16DFD">
              <w:t xml:space="preserve">bidrage til et mere integreret, konkurrencedygtigt og modstandsdygtigt kapitalmarked, der giver bedre resultater for investorer, virksomheder og økonomien som helhed. </w:t>
            </w:r>
            <w:r w:rsidRPr="00B16DFD">
              <w:rPr>
                <w:b/>
                <w:i/>
              </w:rPr>
              <w:t>Ethvert direkte tilsyn på EU-plan bør være klart evidensbaseret, forholdsmæssigt, omkostningseffektivt og rettet mod reelle risici på EU-plan."</w:t>
            </w:r>
          </w:p>
        </w:tc>
      </w:tr>
    </w:tbl>
    <w:p w:rsidR="00365C9B" w:rsidRPr="00734CAA" w:rsidP="00365C9B" w14:paraId="6BDB4569"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602C4CE" w14:textId="77777777">
      <w:pPr>
        <w:rPr>
          <w:lang w:val="en-GB"/>
        </w:rPr>
      </w:pPr>
      <w:r w:rsidRPr="00734CAA">
        <w:rPr>
          <w:rStyle w:val="HideTWBExt"/>
          <w:color w:val="auto"/>
          <w:lang w:val="en-GB"/>
        </w:rPr>
        <w:t>&lt;/Amend&gt;</w:t>
      </w:r>
    </w:p>
    <w:p w:rsidR="00365C9B" w:rsidRPr="00734CAA" w:rsidP="00365C9B" w14:paraId="76EAB64C"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213</w:t>
      </w:r>
      <w:r w:rsidRPr="00734CAA">
        <w:rPr>
          <w:rStyle w:val="HideTWBExt"/>
          <w:color w:val="auto"/>
          <w:lang w:val="en-GB"/>
        </w:rPr>
        <w:t>&lt;/NumAm&gt;</w:t>
      </w:r>
    </w:p>
    <w:p w:rsidR="00365C9B" w:rsidRPr="00734CAA" w:rsidP="00365C9B" w14:paraId="25606CD5"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Claire Fita</w:t>
      </w:r>
      <w:r w:rsidRPr="00734CAA">
        <w:rPr>
          <w:rStyle w:val="HideTWBExt"/>
          <w:b w:val="0"/>
          <w:color w:val="auto"/>
          <w:lang w:val="en-GB"/>
        </w:rPr>
        <w:t>&lt;/Members&gt;</w:t>
      </w:r>
    </w:p>
    <w:p w:rsidR="00365C9B" w:rsidRPr="00B16DFD" w:rsidP="00365C9B" w14:paraId="7F3BFE84" w14:textId="77777777">
      <w:pPr>
        <w:pStyle w:val="NormalBold"/>
      </w:pPr>
      <w:r w:rsidRPr="00B16DFD">
        <w:rPr>
          <w:rStyle w:val="HideTWBExt"/>
          <w:b w:val="0"/>
          <w:color w:val="auto"/>
        </w:rPr>
        <w:t>&lt;/RepeatBlock-By&gt;</w:t>
      </w:r>
    </w:p>
    <w:p w:rsidR="00365C9B" w:rsidRPr="00B16DFD" w:rsidP="00365C9B" w14:paraId="3BA017AC"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7B8F5EF" w14:textId="77777777">
      <w:pPr>
        <w:pStyle w:val="NormalBold"/>
        <w:rPr>
          <w:lang w:val="en-GB"/>
        </w:rPr>
      </w:pPr>
      <w:r w:rsidRPr="00734CAA">
        <w:rPr>
          <w:rStyle w:val="HideTWBExt"/>
          <w:color w:val="auto"/>
          <w:lang w:val="en-GB"/>
        </w:rPr>
        <w:t>&lt;Article&gt;</w:t>
      </w:r>
      <w:r w:rsidRPr="00734CAA">
        <w:rPr>
          <w:lang w:val="en-GB"/>
        </w:rPr>
        <w:t>Betragtning 5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BD5FEB"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5DBF7A22" w14:textId="77777777">
            <w:pPr>
              <w:rPr>
                <w:lang w:val="en-GB"/>
              </w:rPr>
            </w:pPr>
          </w:p>
        </w:tc>
      </w:tr>
      <w:tr w14:paraId="64D4C394"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D156DA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A1B4FE4" w14:textId="77777777">
            <w:pPr>
              <w:pStyle w:val="AmColumnHeading"/>
            </w:pPr>
            <w:r w:rsidRPr="00B16DFD">
              <w:t>Ændringsforslag</w:t>
            </w:r>
          </w:p>
        </w:tc>
      </w:tr>
      <w:tr w14:paraId="70293A2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15FF83B" w14:textId="77777777">
            <w:pPr>
              <w:pStyle w:val="Normal6a"/>
            </w:pPr>
          </w:p>
        </w:tc>
        <w:tc>
          <w:tcPr>
            <w:tcW w:w="4876" w:type="dxa"/>
            <w:tcBorders>
              <w:top w:val="nil"/>
              <w:left w:val="nil"/>
              <w:bottom w:val="nil"/>
              <w:right w:val="nil"/>
            </w:tcBorders>
            <w:hideMark/>
          </w:tcPr>
          <w:p w:rsidR="00365C9B" w:rsidRPr="00B16DFD" w:rsidP="00F61C80" w14:paraId="69C2C5C0" w14:textId="14E70A4C">
            <w:pPr>
              <w:pStyle w:val="Normal6a"/>
            </w:pPr>
            <w:r w:rsidRPr="00B16DFD">
              <w:rPr>
                <w:b/>
                <w:i/>
              </w:rPr>
              <w:t>(5a)</w:t>
            </w:r>
            <w:r w:rsidRPr="00B16DFD">
              <w:tab/>
            </w:r>
            <w:r w:rsidRPr="00B16DFD">
              <w:rPr>
                <w:b/>
                <w:i/>
              </w:rPr>
              <w:t xml:space="preserve">Tredjelandes </w:t>
            </w:r>
            <w:r w:rsidRPr="00734CAA" w:rsidR="00734CAA">
              <w:rPr>
                <w:b/>
                <w:i/>
              </w:rPr>
              <w:t>stablecoin-ordninger med flere udstedere</w:t>
            </w:r>
            <w:r w:rsidR="00734CAA">
              <w:rPr>
                <w:b/>
                <w:i/>
              </w:rPr>
              <w:t xml:space="preserve">, </w:t>
            </w:r>
            <w:r w:rsidRPr="00B16DFD">
              <w:rPr>
                <w:b/>
                <w:i/>
              </w:rPr>
              <w:t>hvor</w:t>
            </w:r>
            <w:r w:rsidR="00734CAA">
              <w:rPr>
                <w:b/>
                <w:i/>
              </w:rPr>
              <w:t>ved</w:t>
            </w:r>
            <w:r w:rsidRPr="00B16DFD">
              <w:rPr>
                <w:b/>
                <w:i/>
              </w:rPr>
              <w:t xml:space="preserve"> en EU-autoriseret udsteder samarbejder med en </w:t>
            </w:r>
            <w:r w:rsidR="00AA1655">
              <w:rPr>
                <w:b/>
                <w:i/>
              </w:rPr>
              <w:t>tredjelands</w:t>
            </w:r>
            <w:r w:rsidRPr="00B16DFD">
              <w:rPr>
                <w:b/>
                <w:i/>
              </w:rPr>
              <w:t xml:space="preserve">enhed om at udstede fungible stablecoins, der er teknisk identiske og juridisk umulige at skelne fra hinanden, </w:t>
            </w:r>
            <w:r w:rsidR="00734CAA">
              <w:rPr>
                <w:b/>
                <w:i/>
              </w:rPr>
              <w:t>frembyder</w:t>
            </w:r>
            <w:r w:rsidRPr="00B16DFD">
              <w:rPr>
                <w:b/>
                <w:i/>
              </w:rPr>
              <w:t xml:space="preserve"> iboende sårbarheder og forstærker de systemiske risici for den finansielle stabilitet i Unionen. De strukturelle sårbarheder i sådanne ordninger svækker i </w:t>
            </w:r>
            <w:r w:rsidR="00734CAA">
              <w:rPr>
                <w:b/>
                <w:i/>
              </w:rPr>
              <w:t>alvorlig</w:t>
            </w:r>
            <w:r w:rsidRPr="00B16DFD">
              <w:rPr>
                <w:b/>
                <w:i/>
              </w:rPr>
              <w:t xml:space="preserve"> grad Unionens tilsynsmæssige rammer ved at øge sandsynligheden for stormløb på indløsninger, likviditetsmismatch og regelarbitrage. Manglen på tilsyn med tredjelandes udstedere og skrøbeligheden af grænseoverskridende mekanismer til balancering af reserver i tredjelandes ordninger med flere udstedelser kan forstærke disse risici, og sammenhængen mellem udstedere og banker kan potentielt føre til afsmitningsrisici. For at beskytte forbrugerne og sikkerheden i EU's finansielle system bør det være forbudt for en EU-udsteder og en </w:t>
            </w:r>
            <w:r w:rsidR="00AA1655">
              <w:rPr>
                <w:b/>
                <w:i/>
              </w:rPr>
              <w:t>tredjelands</w:t>
            </w:r>
            <w:r w:rsidRPr="00B16DFD">
              <w:rPr>
                <w:b/>
                <w:i/>
              </w:rPr>
              <w:t xml:space="preserve">enhed i fællesskab at udstede udskiftelige </w:t>
            </w:r>
            <w:r w:rsidRPr="00B16DFD">
              <w:rPr>
                <w:b/>
                <w:i/>
              </w:rPr>
              <w:t>kryptoaktiver.</w:t>
            </w:r>
          </w:p>
        </w:tc>
      </w:tr>
    </w:tbl>
    <w:p w:rsidR="00365C9B" w:rsidRPr="00734CAA" w:rsidP="00365C9B" w14:paraId="78A9D1F8"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5E92097" w14:textId="77777777">
      <w:pPr>
        <w:rPr>
          <w:lang w:val="en-GB"/>
        </w:rPr>
      </w:pPr>
      <w:r w:rsidRPr="00734CAA">
        <w:rPr>
          <w:rStyle w:val="HideTWBExt"/>
          <w:color w:val="auto"/>
          <w:lang w:val="en-GB"/>
        </w:rPr>
        <w:t>&lt;/Amend&gt;</w:t>
      </w:r>
    </w:p>
    <w:p w:rsidR="00365C9B" w:rsidRPr="00734CAA" w:rsidP="00365C9B" w14:paraId="177741A2"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214</w:t>
      </w:r>
      <w:r w:rsidRPr="00734CAA">
        <w:rPr>
          <w:rStyle w:val="HideTWBExt"/>
          <w:color w:val="auto"/>
          <w:lang w:val="en-GB"/>
        </w:rPr>
        <w:t>&lt;/NumAm&gt;</w:t>
      </w:r>
    </w:p>
    <w:p w:rsidR="00365C9B" w:rsidRPr="00734CAA" w:rsidP="00365C9B" w14:paraId="551DA929" w14:textId="77777777">
      <w:pPr>
        <w:pStyle w:val="NormalBold"/>
        <w:rPr>
          <w:lang w:val="en-GB"/>
        </w:rPr>
      </w:pPr>
      <w:r w:rsidRPr="00734CAA">
        <w:rPr>
          <w:rStyle w:val="HideTWBExt"/>
          <w:b w:val="0"/>
          <w:color w:val="auto"/>
          <w:lang w:val="en-GB"/>
        </w:rPr>
        <w:t>&lt;RepeatBlock-By&gt;&lt;Members&gt;</w:t>
      </w:r>
      <w:r w:rsidRPr="00734CAA">
        <w:rPr>
          <w:lang w:val="en-GB"/>
        </w:rPr>
        <w:t>Gaetano Pedulla', Pasquale Tridico</w:t>
      </w:r>
      <w:r w:rsidRPr="00734CAA">
        <w:rPr>
          <w:rStyle w:val="HideTWBExt"/>
          <w:b w:val="0"/>
          <w:color w:val="auto"/>
          <w:lang w:val="en-GB"/>
        </w:rPr>
        <w:t>&lt;/Members&gt;</w:t>
      </w:r>
    </w:p>
    <w:p w:rsidR="00365C9B" w:rsidRPr="00B16DFD" w:rsidP="00365C9B" w14:paraId="6DEF6468" w14:textId="77777777">
      <w:pPr>
        <w:pStyle w:val="NormalBold"/>
      </w:pPr>
      <w:r w:rsidRPr="00B16DFD">
        <w:rPr>
          <w:rStyle w:val="HideTWBExt"/>
          <w:b w:val="0"/>
          <w:color w:val="auto"/>
        </w:rPr>
        <w:t>&lt;/RepeatBlock-By&gt;</w:t>
      </w:r>
    </w:p>
    <w:p w:rsidR="00365C9B" w:rsidRPr="00B16DFD" w:rsidP="00365C9B" w14:paraId="13EBD3C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59296093" w14:textId="77777777">
      <w:pPr>
        <w:pStyle w:val="NormalBold"/>
        <w:rPr>
          <w:lang w:val="en-GB"/>
        </w:rPr>
      </w:pPr>
      <w:r w:rsidRPr="00734CAA">
        <w:rPr>
          <w:rStyle w:val="HideTWBExt"/>
          <w:color w:val="auto"/>
          <w:lang w:val="en-GB"/>
        </w:rPr>
        <w:t>&lt;Article&gt;</w:t>
      </w:r>
      <w:r w:rsidRPr="00734CAA">
        <w:rPr>
          <w:lang w:val="en-GB"/>
        </w:rPr>
        <w:t>Betragtning 5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35B65"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236ABFF8" w14:textId="77777777">
            <w:pPr>
              <w:rPr>
                <w:lang w:val="en-GB"/>
              </w:rPr>
            </w:pPr>
          </w:p>
        </w:tc>
      </w:tr>
      <w:tr w14:paraId="244DB70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5E6046B"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4441E5D" w14:textId="77777777">
            <w:pPr>
              <w:pStyle w:val="AmColumnHeading"/>
            </w:pPr>
            <w:r w:rsidRPr="00B16DFD">
              <w:t>Ændringsforslag</w:t>
            </w:r>
          </w:p>
        </w:tc>
      </w:tr>
      <w:tr w14:paraId="4449ADC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473F1FE" w14:textId="77777777">
            <w:pPr>
              <w:pStyle w:val="Normal6a"/>
            </w:pPr>
          </w:p>
        </w:tc>
        <w:tc>
          <w:tcPr>
            <w:tcW w:w="4876" w:type="dxa"/>
            <w:tcBorders>
              <w:top w:val="nil"/>
              <w:left w:val="nil"/>
              <w:bottom w:val="nil"/>
              <w:right w:val="nil"/>
            </w:tcBorders>
            <w:hideMark/>
          </w:tcPr>
          <w:p w:rsidR="00365C9B" w:rsidRPr="00B16DFD" w:rsidP="00F61C80" w14:paraId="7F1784AC" w14:textId="77777777">
            <w:pPr>
              <w:pStyle w:val="Normal6a"/>
            </w:pPr>
            <w:r w:rsidRPr="00B16DFD">
              <w:rPr>
                <w:b/>
                <w:i/>
              </w:rPr>
              <w:t>(5a)</w:t>
            </w:r>
            <w:r w:rsidRPr="00B16DFD">
              <w:tab/>
            </w:r>
            <w:r w:rsidRPr="00B16DFD">
              <w:rPr>
                <w:b/>
                <w:i/>
              </w:rPr>
              <w:t>Integrationen af kapitalmarkederne bør ikke føre til en lukket markedsstruktur, der fastlåser et duopol eller oligopol bestående af nogle få store, ofte ikkeeuropæiske aktører. For at sikre et mangfoldigt økosystem bør tilsynsmæssig konvergens bevare plads til små og mellemstore kapitalforvaltere i Unionen og forhindre markedskoncentration, der kan skade slutinvestorer gennem reducerede valgmuligheder eller konkurrencebegrænsende gebyrstrukturer.</w:t>
            </w:r>
          </w:p>
        </w:tc>
      </w:tr>
    </w:tbl>
    <w:p w:rsidR="00365C9B" w:rsidRPr="00734CAA" w:rsidP="00365C9B" w14:paraId="599D59E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48FCBBE" w14:textId="77777777">
      <w:pPr>
        <w:rPr>
          <w:lang w:val="en-GB"/>
        </w:rPr>
      </w:pPr>
      <w:r w:rsidRPr="00734CAA">
        <w:rPr>
          <w:rStyle w:val="HideTWBExt"/>
          <w:color w:val="auto"/>
          <w:lang w:val="en-GB"/>
        </w:rPr>
        <w:t>&lt;/Amend&gt;</w:t>
      </w:r>
    </w:p>
    <w:p w:rsidR="00365C9B" w:rsidRPr="00734CAA" w:rsidP="00365C9B" w14:paraId="49297406"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215</w:t>
      </w:r>
      <w:r w:rsidRPr="00734CAA">
        <w:rPr>
          <w:rStyle w:val="HideTWBExt"/>
          <w:color w:val="auto"/>
          <w:lang w:val="en-GB"/>
        </w:rPr>
        <w:t>&lt;/NumAm&gt;</w:t>
      </w:r>
    </w:p>
    <w:p w:rsidR="00365C9B" w:rsidRPr="00734CAA" w:rsidP="00365C9B" w14:paraId="5654E238"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11776898" w14:textId="77777777">
      <w:pPr>
        <w:pStyle w:val="NormalBold"/>
      </w:pPr>
      <w:r w:rsidRPr="00B16DFD">
        <w:rPr>
          <w:rStyle w:val="HideTWBExt"/>
          <w:b w:val="0"/>
          <w:color w:val="auto"/>
        </w:rPr>
        <w:t>&lt;/RepeatBlock-By&gt;</w:t>
      </w:r>
    </w:p>
    <w:p w:rsidR="00365C9B" w:rsidRPr="00B16DFD" w:rsidP="00365C9B" w14:paraId="2CF4586D"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34F112D5" w14:textId="77777777">
      <w:pPr>
        <w:pStyle w:val="NormalBold"/>
        <w:rPr>
          <w:lang w:val="en-GB"/>
        </w:rPr>
      </w:pPr>
      <w:r w:rsidRPr="00734CAA">
        <w:rPr>
          <w:rStyle w:val="HideTWBExt"/>
          <w:color w:val="auto"/>
          <w:lang w:val="en-GB"/>
        </w:rPr>
        <w:t>&lt;Article&gt;</w:t>
      </w:r>
      <w:r w:rsidRPr="00734CAA">
        <w:rPr>
          <w:lang w:val="en-GB"/>
        </w:rPr>
        <w:t>Betragtning 7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673E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1F6C48ED" w14:textId="77777777">
            <w:pPr>
              <w:rPr>
                <w:lang w:val="en-GB"/>
              </w:rPr>
            </w:pPr>
          </w:p>
        </w:tc>
      </w:tr>
      <w:tr w14:paraId="71D9D86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C08590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74C36A9" w14:textId="77777777">
            <w:pPr>
              <w:pStyle w:val="AmColumnHeading"/>
            </w:pPr>
            <w:r w:rsidRPr="00B16DFD">
              <w:t>Ændringsforslag</w:t>
            </w:r>
          </w:p>
        </w:tc>
      </w:tr>
      <w:tr w14:paraId="4D25F73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D5077B5" w14:textId="77777777">
            <w:pPr>
              <w:pStyle w:val="Normal6a"/>
            </w:pPr>
          </w:p>
        </w:tc>
        <w:tc>
          <w:tcPr>
            <w:tcW w:w="4876" w:type="dxa"/>
            <w:tcBorders>
              <w:top w:val="nil"/>
              <w:left w:val="nil"/>
              <w:bottom w:val="nil"/>
              <w:right w:val="nil"/>
            </w:tcBorders>
            <w:hideMark/>
          </w:tcPr>
          <w:p w:rsidR="00365C9B" w:rsidRPr="00B16DFD" w:rsidP="00F61C80" w14:paraId="230D37E4" w14:textId="0490772F">
            <w:pPr>
              <w:pStyle w:val="Normal6a"/>
            </w:pPr>
            <w:r w:rsidRPr="00B16DFD">
              <w:rPr>
                <w:b/>
                <w:i/>
              </w:rPr>
              <w:t>(7a)</w:t>
            </w:r>
            <w:r w:rsidRPr="00B16DFD">
              <w:tab/>
            </w:r>
            <w:r w:rsidRPr="00B16DFD">
              <w:rPr>
                <w:b/>
                <w:i/>
              </w:rPr>
              <w:t xml:space="preserve">Forordning (EU) nr. 1095/2010 bør fastsætte, at ESMA udelukkende når den udfører de opgaver, som den ved nævnte forordning tillægges med henblik på at bidrage til fastlæggelsen af fælles reguleringsmæssige standarder af høj kvalitet, bør tage hensyn til de potentielle virkninger for konkurrenceevnen på </w:t>
            </w:r>
            <w:r w:rsidRPr="00B16DFD" w:rsidR="0055766D">
              <w:rPr>
                <w:b/>
                <w:i/>
              </w:rPr>
              <w:t>Unionen</w:t>
            </w:r>
            <w:r w:rsidR="0055766D">
              <w:rPr>
                <w:b/>
                <w:i/>
              </w:rPr>
              <w:t>s</w:t>
            </w:r>
            <w:r w:rsidRPr="00B16DFD">
              <w:rPr>
                <w:b/>
                <w:i/>
              </w:rPr>
              <w:t xml:space="preserve"> finans</w:t>
            </w:r>
            <w:r w:rsidR="0055766D">
              <w:rPr>
                <w:b/>
                <w:i/>
              </w:rPr>
              <w:t>-</w:t>
            </w:r>
            <w:r w:rsidRPr="00B16DFD">
              <w:rPr>
                <w:b/>
                <w:i/>
              </w:rPr>
              <w:t xml:space="preserve"> og råvaremarkeder. En sådan overvejelse bør ikke have indflydelse på udøvelsen af ESMA's tilsyns- og håndhævelsesbeføjelser.</w:t>
            </w:r>
          </w:p>
        </w:tc>
      </w:tr>
    </w:tbl>
    <w:p w:rsidR="00365C9B" w:rsidRPr="00734CAA" w:rsidP="00365C9B" w14:paraId="44894368"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0EBCB7D" w14:textId="77777777">
      <w:pPr>
        <w:rPr>
          <w:lang w:val="en-GB"/>
        </w:rPr>
      </w:pPr>
      <w:r w:rsidRPr="00734CAA">
        <w:rPr>
          <w:rStyle w:val="HideTWBExt"/>
          <w:color w:val="auto"/>
          <w:lang w:val="en-GB"/>
        </w:rPr>
        <w:t>&lt;/Amend&gt;</w:t>
      </w:r>
    </w:p>
    <w:p w:rsidR="00365C9B" w:rsidRPr="00734CAA" w:rsidP="00365C9B" w14:paraId="35448740"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216</w:t>
      </w:r>
      <w:r w:rsidRPr="00734CAA">
        <w:rPr>
          <w:rStyle w:val="HideTWBExt"/>
          <w:color w:val="auto"/>
          <w:lang w:val="en-GB"/>
        </w:rPr>
        <w:t>&lt;/NumAm&gt;</w:t>
      </w:r>
    </w:p>
    <w:p w:rsidR="00365C9B" w:rsidRPr="00734CAA" w:rsidP="00365C9B" w14:paraId="21056BAF" w14:textId="77777777">
      <w:pPr>
        <w:pStyle w:val="NormalBold"/>
        <w:rPr>
          <w:lang w:val="en-GB"/>
        </w:rPr>
      </w:pPr>
      <w:r w:rsidRPr="00734CAA">
        <w:rPr>
          <w:rStyle w:val="HideTWBExt"/>
          <w:b w:val="0"/>
          <w:color w:val="auto"/>
          <w:lang w:val="en-GB"/>
        </w:rPr>
        <w:t>&lt;RepeatBlock-By&gt;&lt;Members&gt;</w:t>
      </w:r>
      <w:r w:rsidRPr="00734CAA">
        <w:rPr>
          <w:lang w:val="en-GB"/>
        </w:rPr>
        <w:t>Gaetano Pedulla'</w:t>
      </w:r>
      <w:r w:rsidRPr="00734CAA">
        <w:rPr>
          <w:rStyle w:val="HideTWBExt"/>
          <w:b w:val="0"/>
          <w:color w:val="auto"/>
          <w:lang w:val="en-GB"/>
        </w:rPr>
        <w:t>&lt;/Members&gt;</w:t>
      </w:r>
    </w:p>
    <w:p w:rsidR="00365C9B" w:rsidRPr="00B16DFD" w:rsidP="00365C9B" w14:paraId="6800DABC" w14:textId="77777777">
      <w:pPr>
        <w:pStyle w:val="NormalBold"/>
      </w:pPr>
      <w:r w:rsidRPr="00B16DFD">
        <w:rPr>
          <w:rStyle w:val="HideTWBExt"/>
          <w:b w:val="0"/>
          <w:color w:val="auto"/>
        </w:rPr>
        <w:t>&lt;/RepeatBlock-By&gt;</w:t>
      </w:r>
    </w:p>
    <w:p w:rsidR="00365C9B" w:rsidRPr="00B16DFD" w:rsidP="00365C9B" w14:paraId="03D4470D"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01B66EA8" w14:textId="77777777">
      <w:pPr>
        <w:pStyle w:val="NormalBold"/>
      </w:pPr>
      <w:r w:rsidRPr="00B16DFD">
        <w:rPr>
          <w:rStyle w:val="HideTWBExt"/>
          <w:color w:val="auto"/>
        </w:rPr>
        <w:t>&lt;Article&gt;</w:t>
      </w:r>
      <w:r w:rsidRPr="00B16DFD">
        <w:t>Betragtning 9</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5904A3"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EBFC798" w14:textId="77777777"/>
        </w:tc>
      </w:tr>
      <w:tr w14:paraId="72EA4ED5"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813B9B5"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7C81C17" w14:textId="77777777">
            <w:pPr>
              <w:pStyle w:val="AmColumnHeading"/>
            </w:pPr>
            <w:r w:rsidRPr="00B16DFD">
              <w:t>Ændringsforslag</w:t>
            </w:r>
          </w:p>
        </w:tc>
      </w:tr>
      <w:tr w14:paraId="0F577465"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1DF2F3A" w14:textId="77777777">
            <w:pPr>
              <w:pStyle w:val="Normal6a"/>
            </w:pPr>
            <w:r w:rsidRPr="00B16DFD">
              <w:t>(9)</w:t>
            </w:r>
            <w:r w:rsidRPr="00B16DFD">
              <w:tab/>
            </w:r>
            <w:r w:rsidRPr="00B16DFD">
              <w:rPr>
                <w:b/>
                <w:i/>
              </w:rPr>
              <w:t xml:space="preserve">For at sikre en effektiv udøvelse af sine </w:t>
            </w:r>
            <w:r w:rsidRPr="00B16DFD">
              <w:t>direkte tilsynsopgaver bør</w:t>
            </w:r>
            <w:r w:rsidRPr="00B16DFD">
              <w:rPr>
                <w:b/>
                <w:i/>
              </w:rPr>
              <w:t xml:space="preserve"> ESMA </w:t>
            </w:r>
            <w:r w:rsidRPr="00B16DFD">
              <w:t>etablere strukturerede, men fleksible samarbejdsordninger med</w:t>
            </w:r>
            <w:r w:rsidRPr="00B16DFD">
              <w:rPr>
                <w:b/>
                <w:i/>
              </w:rPr>
              <w:t xml:space="preserve"> andre myndigheder. Et sådant samarbejde bør omfatte</w:t>
            </w:r>
            <w:r w:rsidRPr="00B16DFD">
              <w:t xml:space="preserve"> en række situationer, der svarer til ESMA's skiftende rolle. Sådanne ordninger bør for det første tage højde for tilfælde, hvor de nationale kompetente myndigheder </w:t>
            </w:r>
            <w:r w:rsidRPr="00B16DFD">
              <w:rPr>
                <w:b/>
                <w:i/>
              </w:rPr>
              <w:t xml:space="preserve">stadig er </w:t>
            </w:r>
            <w:r w:rsidRPr="00B16DFD">
              <w:t xml:space="preserve">ansvarlige for visse enheder eller aktiviteter, men vil ophøre med at være ansvarlige for tilsynet med visse enheder efter ESMA's overtagelse af direkte tilsynsbeføjelser, hvilket kræver overgangsløsninger for at sikre kontinuitet og en velordnet overdragelse af ansvarsområder. For det andet bør disse samarbejdsordninger omfatte tilfælde, hvor andre EU-myndigheder eller nationale myndigheder, selv om de ikke handler eller har handlet som kompetente myndigheder, ud over ESMA's direkte tilsynsbeføjelser har relevant ekspertise eller høringsrettigheder i henhold til EU-retten, såsom Den Europæiske Centralbank i forbindelse med centrale modparter. For det tredje bør disse samarbejdsordninger omfatte tilfælde, hvor opgaver ikke overføres til ESMA, såsom markedsovervågning af markedspladser. For at håndtere disse forskellige situationer og navnlig for at sikre en gnidningsløs </w:t>
            </w:r>
            <w:r w:rsidRPr="00B16DFD">
              <w:t>overgang bør myndigheden have fleksibilitet til at etablere samarbejdsordninger, der er tilpasset den pågældende sektor, opgavernes art og den grad af inddragelse, der kræves.</w:t>
            </w:r>
            <w:r w:rsidRPr="00B16DFD">
              <w:rPr>
                <w:b/>
                <w:i/>
              </w:rPr>
              <w:t xml:space="preserve"> Sådanne ordninger kan spænde fra tæt strukturelt samarbejde, herunder oprettelse af fælles tilsynshold eller gennemførelse af fælles kontrolbesøg, til løsere former for operationel koordinering og gradvist til mere selvstændige tilsynsforanstaltninger fra myndighedens side, efterhånden som dens kapacitet udvikler sig.</w:t>
            </w:r>
            <w:r w:rsidRPr="00B16DFD">
              <w:t xml:space="preserve"> Disse samarbejdsordninger bør også give mulighed for gradvise tilpasninger over tid og, hvor det er relevant, etablering af myndighedens lokale tilstedeværelse i medlemsstaterne. Disse samarbejdsordninger bør også fremme et effektivt og ressourceeffektivt tilsyn, sikre kontinuitet og konsekvens i tilsynsresultaterne og tage behørigt hensyn til andre myndigheders lovbestemte ansvar og ressourcer. Samarbejdet bør være styret af principperne om effektivitet, proportionalitet, gensidig tillid og god tro og bør fremme en effektiv anvendelse af ressourcerne, samtidig med at ESMA's uafhængighed og ansvarlighed i forbindelse med udførelsen af dens opgaver sikres. For at afspejle den gradvise opbygning af ESMA's tilsynskapacitet og sikre en fuldstændig og effektiv overtagelse af dens tilsynsopgaver bør samarbejdsordningerne </w:t>
            </w:r>
            <w:r w:rsidRPr="00B16DFD">
              <w:rPr>
                <w:b/>
                <w:i/>
              </w:rPr>
              <w:t>regelmæssigt</w:t>
            </w:r>
            <w:r w:rsidRPr="00B16DFD">
              <w:t xml:space="preserve"> revideres af ESMA.</w:t>
            </w:r>
          </w:p>
        </w:tc>
        <w:tc>
          <w:tcPr>
            <w:tcW w:w="4876" w:type="dxa"/>
            <w:tcBorders>
              <w:top w:val="nil"/>
              <w:left w:val="nil"/>
              <w:bottom w:val="nil"/>
              <w:right w:val="nil"/>
            </w:tcBorders>
            <w:hideMark/>
          </w:tcPr>
          <w:p w:rsidR="00365C9B" w:rsidRPr="00B16DFD" w:rsidP="00F61C80" w14:paraId="0A2382A4" w14:textId="1BB8BB75">
            <w:pPr>
              <w:pStyle w:val="Normal6a"/>
            </w:pPr>
            <w:r w:rsidRPr="00B16DFD">
              <w:t>(9)</w:t>
            </w:r>
            <w:r w:rsidRPr="00B16DFD">
              <w:tab/>
            </w:r>
            <w:r w:rsidRPr="00B16DFD">
              <w:rPr>
                <w:b/>
                <w:i/>
              </w:rPr>
              <w:t>De nationale kompetente myndigheder har vigtig og veletableret ekspertise inden for tilsyn med markedspladser og finansmarkedsinfrastrukturer på deres område med særlige økonomiske, organisatoriske og kulturelle forhold. Desuden udfører de nationale kompetente myndigheder vigtige funktioner i forhold til andre relevante aktører på finansmarkeder</w:t>
            </w:r>
            <w:r w:rsidR="0055766D">
              <w:rPr>
                <w:b/>
                <w:i/>
              </w:rPr>
              <w:t>ne</w:t>
            </w:r>
            <w:r w:rsidRPr="00B16DFD">
              <w:rPr>
                <w:b/>
                <w:i/>
              </w:rPr>
              <w:t xml:space="preserve"> såsom formidlere og udstedere. For at sikre et effektivt tilsyn af høj kvalitet på EU-plan bør de nationale kompetente myndigheder derfor være ansvarlige for at bistå ESMA med forberedelsen og gennemførelsen af alle retsakter vedrørende udøvelsen af ESMA's </w:t>
            </w:r>
            <w:r w:rsidRPr="00B16DFD">
              <w:t xml:space="preserve">direkte tilsynsopgaver </w:t>
            </w:r>
            <w:r w:rsidRPr="00B16DFD">
              <w:rPr>
                <w:b/>
                <w:i/>
              </w:rPr>
              <w:t xml:space="preserve">som led i en strukturelt koordineret tilsynsramme. Dette bør navnlig omfatte de løbende daglige tilsynsopgaver og relaterede verifikationer på stedet samt udarbejdelsen af udkast til tilsynsforanstaltninger og </w:t>
            </w:r>
            <w:r w:rsidRPr="00B16DFD">
              <w:rPr>
                <w:b/>
                <w:i/>
              </w:rPr>
              <w:noBreakHyphen/>
              <w:t xml:space="preserve">afgørelser. ESMA og andre kompetente myndigheder på EU-plan eller nationalt plan </w:t>
            </w:r>
            <w:r w:rsidRPr="00B16DFD">
              <w:t xml:space="preserve">bør </w:t>
            </w:r>
            <w:r w:rsidRPr="00B16DFD">
              <w:rPr>
                <w:b/>
                <w:i/>
              </w:rPr>
              <w:t xml:space="preserve">desuden, hvor det er relevant, </w:t>
            </w:r>
            <w:r w:rsidRPr="00B16DFD">
              <w:t xml:space="preserve">etablere strukturerede, men fleksible samarbejdsordninger med </w:t>
            </w:r>
            <w:r w:rsidRPr="00B16DFD">
              <w:rPr>
                <w:b/>
                <w:i/>
              </w:rPr>
              <w:t xml:space="preserve">henblik på at imødegå </w:t>
            </w:r>
            <w:r w:rsidRPr="00B16DFD">
              <w:t xml:space="preserve">en række situationer, der svarer til ESMA's skiftende rolle. Sådanne ordninger bør for det første tage højde for tilfælde, </w:t>
            </w:r>
            <w:r w:rsidRPr="00B16DFD">
              <w:t xml:space="preserve">hvor de nationale kompetente myndigheder </w:t>
            </w:r>
            <w:r w:rsidRPr="00B16DFD">
              <w:rPr>
                <w:b/>
                <w:i/>
              </w:rPr>
              <w:t>fortsat vil være</w:t>
            </w:r>
            <w:r w:rsidRPr="00B16DFD">
              <w:t xml:space="preserve"> ansvarlige for visse enheder eller aktiviteter, men vil ophøre med </w:t>
            </w:r>
            <w:r w:rsidRPr="00B16DFD">
              <w:rPr>
                <w:b/>
                <w:i/>
              </w:rPr>
              <w:t xml:space="preserve">selv </w:t>
            </w:r>
            <w:r w:rsidRPr="00B16DFD">
              <w:t xml:space="preserve">at være ansvarlige for tilsynet med visse enheder efter ESMA's overtagelse af direkte tilsynsbeføjelser, hvilket kræver overgangsløsninger for at sikre kontinuitet og en velordnet overdragelse af ansvarsområder </w:t>
            </w:r>
            <w:r w:rsidRPr="00B16DFD">
              <w:rPr>
                <w:b/>
                <w:i/>
              </w:rPr>
              <w:t>i de nye rammer, der forudser samarbejdet mellem ESMA og de nationale myndigheder</w:t>
            </w:r>
            <w:r w:rsidRPr="00B16DFD">
              <w:t xml:space="preserve">. For det andet bør disse samarbejdsordninger omfatte tilfælde, hvor andre EU-myndigheder eller nationale myndigheder, selv om de ikke handler eller har handlet som kompetente myndigheder, ud over ESMA's direkte tilsynsbeføjelser har relevant ekspertise eller høringsrettigheder i henhold til EU-retten, såsom Den Europæiske Centralbank i forbindelse med centrale modparter. For det tredje bør disse samarbejdsordninger omfatte tilfælde, hvor opgaver ikke overføres til ESMA, såsom markedsovervågning af markedspladser. For at håndtere disse forskellige situationer og navnlig for at sikre en gnidningsløs overgang bør myndigheden have fleksibilitet til at etablere samarbejdsordninger, der er tilpasset den pågældende sektor, opgavernes art og den grad af inddragelse, der kræves. Disse samarbejdsordninger bør også give mulighed for gradvise tilpasninger over tid og, hvor det er relevant, etablering af myndighedens lokale tilstedeværelse i medlemsstaterne. Disse samarbejdsordninger bør også fremme et effektivt og ressourceeffektivt tilsyn, sikre kontinuitet og konsekvens i tilsynsresultaterne og tage behørigt hensyn til andre myndigheders lovbestemte ansvar og ressourcer. Samarbejdet bør være styret af principperne om effektivitet, proportionalitet, gensidig tillid og god tro og bør fremme en effektiv anvendelse af ressourcerne, samtidig med at ESMA's uafhængighed og ansvarlighed i forbindelse med udførelsen af dens opgaver sikres. For at afspejle den gradvise </w:t>
            </w:r>
            <w:r w:rsidRPr="00B16DFD">
              <w:t xml:space="preserve">opbygning af ESMA's tilsynskapacitet og sikre en fuldstændig og effektiv overtagelse af dens tilsynsopgaver bør samarbejdsordningerne </w:t>
            </w:r>
            <w:r w:rsidRPr="00B16DFD">
              <w:rPr>
                <w:b/>
                <w:i/>
              </w:rPr>
              <w:t>om nødvendigt</w:t>
            </w:r>
            <w:r w:rsidRPr="00B16DFD">
              <w:t xml:space="preserve"> revideres af ESMA. </w:t>
            </w:r>
            <w:r w:rsidRPr="00B16DFD">
              <w:rPr>
                <w:b/>
                <w:i/>
              </w:rPr>
              <w:t>For at sikre en gnidningsløs overgang og undgå uklarhed om ansvarligheden bør overførslen af ansvarsområder til ESMA følge en sekventiel integrationsmekanisme. I løbet af en indledende femårig fase bør tilsynet baseres på de strukturelt koordinerede tilsynsrammer for at udnytte national ekspertise, mens der opbygges kapacitet på EU-plan, med fuldt direkte tilsyn med systemiske aktører, der kun finder sted efter en omfattende gennemgang af effektiviteten.</w:t>
            </w:r>
          </w:p>
        </w:tc>
      </w:tr>
    </w:tbl>
    <w:p w:rsidR="00365C9B" w:rsidRPr="00734CAA" w:rsidP="00365C9B" w14:paraId="2918FD9E"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EC64F58" w14:textId="77777777">
      <w:pPr>
        <w:pStyle w:val="AmJustTitle"/>
        <w:rPr>
          <w:lang w:val="en-GB"/>
        </w:rPr>
      </w:pPr>
      <w:r w:rsidRPr="00734CAA">
        <w:rPr>
          <w:rStyle w:val="HideTWBExt"/>
          <w:color w:val="auto"/>
          <w:lang w:val="en-GB"/>
        </w:rPr>
        <w:t>&lt;TitreJust&gt;</w:t>
      </w:r>
      <w:r w:rsidRPr="00734CAA">
        <w:rPr>
          <w:lang w:val="en-GB"/>
        </w:rPr>
        <w:t>Begrundelse</w:t>
      </w:r>
      <w:r w:rsidRPr="00734CAA">
        <w:rPr>
          <w:rStyle w:val="HideTWBExt"/>
          <w:color w:val="auto"/>
          <w:lang w:val="en-GB"/>
        </w:rPr>
        <w:t>&lt;/TitreJust&gt;</w:t>
      </w:r>
    </w:p>
    <w:p w:rsidR="00365C9B" w:rsidRPr="00734CAA" w:rsidP="00365C9B" w14:paraId="58DEBE9B" w14:textId="77777777">
      <w:pPr>
        <w:pStyle w:val="AmJustText"/>
        <w:rPr>
          <w:lang w:val="en-GB"/>
        </w:rPr>
      </w:pPr>
      <w:r w:rsidRPr="00734CAA">
        <w:rPr>
          <w:lang w:val="en-GB"/>
        </w:rPr>
        <w:t xml:space="preserve">To ensure the effective exercise of ESMA direct supervisory responsibilities and considering that national competent authorities have important and long-established expertise in the supervision of financial markets infrastructures and participants, national competent authorities should be involved in the day-to-day supervision through the establishment of structural and coordinated supervisory teams composed of ESMA staff and staff of the relevant national authorities. Level 1 should directly and clearly </w:t>
      </w:r>
      <w:r w:rsidRPr="00734CAA">
        <w:rPr>
          <w:lang w:val="en-GB"/>
        </w:rPr>
        <w:t>states</w:t>
      </w:r>
      <w:r w:rsidRPr="00734CAA">
        <w:rPr>
          <w:lang w:val="en-GB"/>
        </w:rPr>
        <w:t xml:space="preserve"> key principles concerning the functions, composition, cost reimbursement and functioning of such teams, whereas Level 2 measures should further specify the relevant details, including the rules applicable to on-site inspections and other forms of cooperation between ESMA and national authorities. Finally, to ensure a smooth transition, the framework functions as a sequenced integration mechanism whereby the transfer of full responsibilities to the Authority is conducted in two phases, with the move to direct supervision for systemic actors occurring only after an initial five-year period and a comprehensive effectiveness review.</w:t>
      </w:r>
    </w:p>
    <w:p w:rsidR="00365C9B" w:rsidRPr="00B16DFD" w:rsidP="00365C9B" w14:paraId="74431FC4" w14:textId="77777777">
      <w:r w:rsidRPr="00B16DFD">
        <w:rPr>
          <w:rStyle w:val="HideTWBExt"/>
          <w:color w:val="auto"/>
        </w:rPr>
        <w:t>&lt;/Amend&gt;</w:t>
      </w:r>
    </w:p>
    <w:p w:rsidR="00365C9B" w:rsidRPr="00B16DFD" w:rsidP="00365C9B" w14:paraId="518C8BBA"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217</w:t>
      </w:r>
      <w:r w:rsidRPr="00B16DFD">
        <w:rPr>
          <w:rStyle w:val="HideTWBExt"/>
          <w:color w:val="auto"/>
        </w:rPr>
        <w:t>&lt;/NumAm&gt;</w:t>
      </w:r>
    </w:p>
    <w:p w:rsidR="00365C9B" w:rsidRPr="00734CAA" w:rsidP="00365C9B" w14:paraId="17D9502A"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06E51CD3"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1E8F7BA8" w14:textId="77777777">
      <w:pPr>
        <w:pStyle w:val="NormalBold"/>
        <w:rPr>
          <w:lang w:val="en-GB"/>
        </w:rPr>
      </w:pPr>
      <w:r w:rsidRPr="00734CAA">
        <w:rPr>
          <w:rStyle w:val="HideTWBExt"/>
          <w:b w:val="0"/>
          <w:color w:val="auto"/>
          <w:lang w:val="en-GB"/>
        </w:rPr>
        <w:t>&lt;/RepeatBlock-By&gt;</w:t>
      </w:r>
    </w:p>
    <w:p w:rsidR="00365C9B" w:rsidRPr="00734CAA" w:rsidP="00365C9B" w14:paraId="0187ADEF"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4D284B64" w14:textId="77777777">
      <w:pPr>
        <w:pStyle w:val="NormalBold"/>
      </w:pPr>
      <w:r w:rsidRPr="00B16DFD">
        <w:rPr>
          <w:rStyle w:val="HideTWBExt"/>
          <w:color w:val="auto"/>
        </w:rPr>
        <w:t>&lt;Article&gt;</w:t>
      </w:r>
      <w:r w:rsidRPr="00B16DFD">
        <w:t>Betragtning 9</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1DD6E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DE1238F" w14:textId="77777777"/>
        </w:tc>
      </w:tr>
      <w:tr w14:paraId="48B859AC"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0CB21DB"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BDEADA5" w14:textId="77777777">
            <w:pPr>
              <w:pStyle w:val="AmColumnHeading"/>
            </w:pPr>
            <w:r w:rsidRPr="00B16DFD">
              <w:t>Ændringsforslag</w:t>
            </w:r>
          </w:p>
        </w:tc>
      </w:tr>
      <w:tr w14:paraId="1697B7C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355074E" w14:textId="77777777">
            <w:pPr>
              <w:pStyle w:val="Normal6a"/>
            </w:pPr>
            <w:r w:rsidRPr="00B16DFD">
              <w:t>(9)</w:t>
            </w:r>
            <w:r w:rsidRPr="00B16DFD">
              <w:tab/>
              <w:t xml:space="preserve">For at sikre en effektiv udøvelse af sine direkte tilsynsopgaver bør ESMA </w:t>
            </w:r>
            <w:r w:rsidRPr="00B16DFD">
              <w:t xml:space="preserve">etablere strukturerede, men fleksible samarbejdsordninger med andre myndigheder. Et sådant samarbejde bør omfatte en række situationer, der svarer til ESMA's skiftende rolle. Sådanne ordninger bør for det første tage højde for tilfælde, hvor de nationale kompetente myndigheder stadig er ansvarlige for visse enheder eller aktiviteter, men vil ophøre med at være ansvarlige for tilsynet med visse enheder efter ESMA's overtagelse af direkte tilsynsbeføjelser, hvilket kræver overgangsløsninger for at sikre kontinuitet og en velordnet overdragelse af ansvarsområder. For det andet bør disse samarbejdsordninger omfatte tilfælde, hvor andre EU-myndigheder eller nationale myndigheder, selv om de ikke handler eller har handlet som kompetente myndigheder, ud over ESMA's direkte tilsynsbeføjelser har relevant ekspertise eller høringsrettigheder i henhold til EU-retten, såsom Den Europæiske Centralbank i forbindelse med centrale modparter. For det tredje bør disse samarbejdsordninger omfatte tilfælde, hvor opgaver ikke overføres til ESMA, såsom markedsovervågning af markedspladser. For at håndtere disse forskellige situationer og navnlig for at sikre en gnidningsløs overgang bør myndigheden have fleksibilitet til at etablere samarbejdsordninger, der er tilpasset den pågældende sektor, opgavernes art og den grad af inddragelse, der kræves. Sådanne ordninger kan spænde fra tæt strukturelt samarbejde, herunder oprettelse af fælles tilsynshold eller gennemførelse af fælles kontrolbesøg, til løsere former for operationel koordinering og gradvist til mere selvstændige tilsynsforanstaltninger fra myndighedens side, efterhånden som dens kapacitet udvikler sig. Disse samarbejdsordninger bør også give mulighed for gradvise tilpasninger over tid og, hvor det er relevant, etablering af myndighedens lokale tilstedeværelse i medlemsstaterne. Disse samarbejdsordninger bør også fremme et </w:t>
            </w:r>
            <w:r w:rsidRPr="00B16DFD">
              <w:t>effektivt og ressourceeffektivt tilsyn, sikre kontinuitet og konsekvens i tilsynsresultaterne og tage behørigt hensyn til andre myndigheders lovbestemte ansvar og ressourcer. Samarbejdet bør være styret af principperne om effektivitet, proportionalitet, gensidig tillid og god tro og bør fremme en effektiv anvendelse af ressourcerne, samtidig med at ESMA's uafhængighed og ansvarlighed i forbindelse med udførelsen af dens opgaver sikres. For at afspejle den gradvise opbygning af ESMA's tilsynskapacitet og sikre en fuldstændig og effektiv overtagelse af dens tilsynsopgaver bør samarbejdsordningerne regelmæssigt revideres af ESMA.</w:t>
            </w:r>
          </w:p>
        </w:tc>
        <w:tc>
          <w:tcPr>
            <w:tcW w:w="4876" w:type="dxa"/>
            <w:tcBorders>
              <w:top w:val="nil"/>
              <w:left w:val="nil"/>
              <w:bottom w:val="nil"/>
              <w:right w:val="nil"/>
            </w:tcBorders>
            <w:hideMark/>
          </w:tcPr>
          <w:p w:rsidR="00365C9B" w:rsidRPr="00B16DFD" w:rsidP="00F61C80" w14:paraId="500623C9" w14:textId="77777777">
            <w:pPr>
              <w:pStyle w:val="Normal6a"/>
            </w:pPr>
            <w:r w:rsidRPr="00B16DFD">
              <w:t>(9)</w:t>
            </w:r>
            <w:r w:rsidRPr="00B16DFD">
              <w:tab/>
              <w:t xml:space="preserve">For at sikre en effektiv udøvelse af sine direkte tilsynsopgaver bør ESMA </w:t>
            </w:r>
            <w:r w:rsidRPr="00B16DFD">
              <w:t xml:space="preserve">etablere strukturerede, men fleksible samarbejdsordninger med andre myndigheder. Et sådant samarbejde bør omfatte en række situationer, der svarer til ESMA's skiftende rolle. Sådanne ordninger bør for det første tage højde for tilfælde, hvor de nationale kompetente myndigheder stadig er ansvarlige for visse enheder eller aktiviteter, men vil ophøre med at være ansvarlige for tilsynet med visse enheder efter ESMA's overtagelse af direkte tilsynsbeføjelser, hvilket kræver overgangsløsninger for at sikre kontinuitet og en velordnet overdragelse af ansvarsområder. For det andet bør disse samarbejdsordninger omfatte tilfælde, hvor andre EU-myndigheder eller nationale myndigheder, selv om de ikke handler eller har handlet som kompetente myndigheder, ud over ESMA's direkte tilsynsbeføjelser har relevant ekspertise eller høringsrettigheder i henhold til EU-retten, såsom Den Europæiske Centralbank i forbindelse med centrale modparter. For det tredje bør disse samarbejdsordninger omfatte tilfælde, hvor opgaver ikke overføres til ESMA, såsom markedsovervågning af markedspladser. For at håndtere disse forskellige situationer og navnlig for at sikre en gnidningsløs overgang bør myndigheden have fleksibilitet til at etablere samarbejdsordninger, der er tilpasset den pågældende sektor, opgavernes art og den grad af inddragelse, der kræves. Sådanne ordninger kan spænde fra tæt strukturelt samarbejde, herunder oprettelse af fælles tilsynshold eller gennemførelse af fælles kontrolbesøg, til løsere former for operationel koordinering og gradvist til mere selvstændige tilsynsforanstaltninger fra myndighedens side, efterhånden som dens kapacitet udvikler sig. </w:t>
            </w:r>
            <w:r w:rsidRPr="00B16DFD">
              <w:rPr>
                <w:b/>
                <w:i/>
              </w:rPr>
              <w:t xml:space="preserve">Uden at det berører relevante bestemmelser i traktaterne og EU-retten, bør ESMA have ret til at give instrukser til de nationale kompetente myndigheder og andre relevante nationale myndigheder, når den yder støtte og udfører opgaver i henhold </w:t>
            </w:r>
            <w:r w:rsidRPr="00B16DFD">
              <w:rPr>
                <w:b/>
                <w:i/>
              </w:rPr>
              <w:t>til disse samarbejdsordninger.</w:t>
            </w:r>
            <w:r w:rsidRPr="00B16DFD">
              <w:t xml:space="preserve"> Disse samarbejdsordninger bør også give mulighed for gradvise tilpasninger over tid og, hvor det er relevant, etablering af myndighedens lokale tilstedeværelse i medlemsstaterne. Disse samarbejdsordninger bør også fremme et effektivt og ressourceeffektivt tilsyn, sikre kontinuitet og konsekvens i tilsynsresultaterne og tage behørigt hensyn til andre myndigheders lovbestemte ansvar og ressourcer. Samarbejdet bør være styret af principperne om effektivitet, proportionalitet, gensidig tillid og god tro og bør fremme en effektiv anvendelse af ressourcerne, samtidig med at ESMA's uafhængighed og ansvarlighed i forbindelse med udførelsen af dens opgaver sikres. </w:t>
            </w:r>
            <w:r w:rsidRPr="00B16DFD">
              <w:rPr>
                <w:b/>
                <w:i/>
              </w:rPr>
              <w:t>I den forbindelse bør samarbejdsordningerne sikre, at ESMA og myndighederne afsætter de nødvendige finansielle og menneskelige ressourcer til udførelsen af opgaverne i henhold til disse samarbejdsordninger.</w:t>
            </w:r>
            <w:r w:rsidRPr="00B16DFD">
              <w:t xml:space="preserve"> For at afspejle den gradvise opbygning af ESMA's tilsynskapacitet og sikre en fuldstændig og effektiv overtagelse af dens tilsynsopgaver bør samarbejdsordningerne regelmæssigt revideres af ESMA.</w:t>
            </w:r>
          </w:p>
        </w:tc>
      </w:tr>
    </w:tbl>
    <w:p w:rsidR="00365C9B" w:rsidRPr="00734CAA" w:rsidP="00365C9B" w14:paraId="55730EE2"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A0EE505" w14:textId="77777777">
      <w:pPr>
        <w:rPr>
          <w:lang w:val="en-GB"/>
        </w:rPr>
      </w:pPr>
      <w:r w:rsidRPr="00734CAA">
        <w:rPr>
          <w:rStyle w:val="HideTWBExt"/>
          <w:color w:val="auto"/>
          <w:lang w:val="en-GB"/>
        </w:rPr>
        <w:t>&lt;/Amend&gt;</w:t>
      </w:r>
    </w:p>
    <w:p w:rsidR="00365C9B" w:rsidRPr="00734CAA" w:rsidP="00365C9B" w14:paraId="0181DA68"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218</w:t>
      </w:r>
      <w:r w:rsidRPr="00734CAA">
        <w:rPr>
          <w:rStyle w:val="HideTWBExt"/>
          <w:color w:val="auto"/>
          <w:lang w:val="en-GB"/>
        </w:rPr>
        <w:t>&lt;/NumAm&gt;</w:t>
      </w:r>
    </w:p>
    <w:p w:rsidR="00365C9B" w:rsidRPr="00734CAA" w:rsidP="00365C9B" w14:paraId="6DA483B9"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Nikos Papandreou</w:t>
      </w:r>
      <w:r w:rsidRPr="00734CAA">
        <w:rPr>
          <w:rStyle w:val="HideTWBExt"/>
          <w:b w:val="0"/>
          <w:color w:val="auto"/>
          <w:lang w:val="en-GB"/>
        </w:rPr>
        <w:t>&lt;/Members&gt;</w:t>
      </w:r>
    </w:p>
    <w:p w:rsidR="00365C9B" w:rsidRPr="00B16DFD" w:rsidP="00365C9B" w14:paraId="5B5E3609" w14:textId="77777777">
      <w:pPr>
        <w:pStyle w:val="NormalBold"/>
      </w:pPr>
      <w:r w:rsidRPr="00B16DFD">
        <w:rPr>
          <w:rStyle w:val="HideTWBExt"/>
          <w:b w:val="0"/>
          <w:color w:val="auto"/>
        </w:rPr>
        <w:t>&lt;/RepeatBlock-By&gt;</w:t>
      </w:r>
    </w:p>
    <w:p w:rsidR="00365C9B" w:rsidRPr="00B16DFD" w:rsidP="00365C9B" w14:paraId="484BD6F4"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208226C2" w14:textId="77777777">
      <w:pPr>
        <w:pStyle w:val="NormalBold"/>
      </w:pPr>
      <w:r w:rsidRPr="00B16DFD">
        <w:rPr>
          <w:rStyle w:val="HideTWBExt"/>
          <w:color w:val="auto"/>
        </w:rPr>
        <w:t>&lt;Article&gt;</w:t>
      </w:r>
      <w:r w:rsidRPr="00B16DFD">
        <w:t>Betragtning 9</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5AA0F7"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C15AB55" w14:textId="77777777"/>
        </w:tc>
      </w:tr>
      <w:tr w14:paraId="48FFC007"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DDDE95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54D7EA1" w14:textId="77777777">
            <w:pPr>
              <w:pStyle w:val="AmColumnHeading"/>
            </w:pPr>
            <w:r w:rsidRPr="00B16DFD">
              <w:t>Ændringsforslag</w:t>
            </w:r>
          </w:p>
        </w:tc>
      </w:tr>
      <w:tr w14:paraId="79785C6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676A8B5" w14:textId="77777777">
            <w:pPr>
              <w:pStyle w:val="Normal6a"/>
            </w:pPr>
            <w:r w:rsidRPr="00B16DFD">
              <w:t>(9)</w:t>
            </w:r>
            <w:r w:rsidRPr="00B16DFD">
              <w:tab/>
              <w:t xml:space="preserve">For at sikre en effektiv udøvelse af sine direkte tilsynsopgaver bør ESMA etablere strukturerede, men fleksible samarbejdsordninger med andre myndigheder. Et sådant samarbejde bør omfatte en række situationer, der svarer til </w:t>
            </w:r>
            <w:r w:rsidRPr="00B16DFD">
              <w:t xml:space="preserve">ESMA's skiftende rolle. Sådanne ordninger bør for det første tage højde for tilfælde, hvor de nationale kompetente myndigheder stadig er ansvarlige for visse enheder eller aktiviteter, men vil ophøre med at være ansvarlige for tilsynet med visse enheder efter ESMA's overtagelse af direkte tilsynsbeføjelser, hvilket kræver overgangsløsninger for at sikre kontinuitet og en velordnet overdragelse af ansvarsområder. For det andet bør disse samarbejdsordninger omfatte tilfælde, hvor andre EU-myndigheder eller nationale myndigheder, selv om de ikke handler eller har handlet som kompetente myndigheder, ud over ESMA's direkte tilsynsbeføjelser har relevant ekspertise eller høringsrettigheder i henhold til EU-retten, såsom Den Europæiske Centralbank i forbindelse med centrale modparter. </w:t>
            </w:r>
            <w:r w:rsidRPr="00B16DFD">
              <w:rPr>
                <w:b/>
                <w:i/>
              </w:rPr>
              <w:t>For det tredje bør disse samarbejdsordninger omfatte tilfælde, hvor opgaver ikke overføres til ESMA, såsom markedsovervågning af markedspladser.</w:t>
            </w:r>
            <w:r w:rsidRPr="00B16DFD">
              <w:t xml:space="preserve"> For at håndtere disse forskellige situationer og navnlig for at sikre en gnidningsløs overgang bør myndigheden have fleksibilitet til at etablere samarbejdsordninger, der er tilpasset den pågældende sektor, opgavernes art og den grad af inddragelse, der kræves. Sådanne ordninger kan spænde fra tæt strukturelt samarbejde, herunder oprettelse af fælles tilsynshold eller gennemførelse af fælles kontrolbesøg, til løsere former for operationel koordinering og gradvist til mere selvstændige tilsynsforanstaltninger fra myndighedens side, efterhånden som dens kapacitet udvikler sig. Disse samarbejdsordninger bør også give mulighed for gradvise tilpasninger over tid og, hvor det er relevant, etablering af myndighedens lokale tilstedeværelse i medlemsstaterne. Disse samarbejdsordninger bør også fremme et effektivt og ressourceeffektivt tilsyn, sikre kontinuitet og konsekvens i tilsynsresultaterne og tage behørigt hensyn til andre myndigheders lovbestemte ansvar </w:t>
            </w:r>
            <w:r w:rsidRPr="00B16DFD">
              <w:t xml:space="preserve">og ressourcer. Samarbejdet bør være styret af principperne om effektivitet, proportionalitet, gensidig </w:t>
            </w:r>
            <w:r w:rsidRPr="00B16DFD">
              <w:rPr>
                <w:b/>
                <w:i/>
              </w:rPr>
              <w:t>tillid</w:t>
            </w:r>
            <w:r w:rsidRPr="00B16DFD">
              <w:t xml:space="preserve"> og god tro og bør fremme en effektiv anvendelse af ressourcerne, samtidig med at ESMA's uafhængighed og ansvarlighed i forbindelse med udførelsen af dens opgaver sikres. For at afspejle den gradvise opbygning af ESMA's tilsynskapacitet og sikre en fuldstændig og effektiv overtagelse af dens tilsynsopgaver bør samarbejdsordningerne regelmæssigt revideres af ESMA.</w:t>
            </w:r>
          </w:p>
        </w:tc>
        <w:tc>
          <w:tcPr>
            <w:tcW w:w="4876" w:type="dxa"/>
            <w:tcBorders>
              <w:top w:val="nil"/>
              <w:left w:val="nil"/>
              <w:bottom w:val="nil"/>
              <w:right w:val="nil"/>
            </w:tcBorders>
            <w:hideMark/>
          </w:tcPr>
          <w:p w:rsidR="00365C9B" w:rsidRPr="00B16DFD" w:rsidP="00F61C80" w14:paraId="6132EB43" w14:textId="77777777">
            <w:pPr>
              <w:pStyle w:val="Normal6a"/>
            </w:pPr>
            <w:r w:rsidRPr="00B16DFD">
              <w:t>(9)</w:t>
            </w:r>
            <w:r w:rsidRPr="00B16DFD">
              <w:tab/>
              <w:t xml:space="preserve">For at sikre en effektiv udøvelse af sine direkte tilsynsopgaver bør ESMA etablere strukturerede, men fleksible samarbejdsordninger med andre myndigheder. Et sådant samarbejde bør omfatte en række situationer, der svarer til </w:t>
            </w:r>
            <w:r w:rsidRPr="00B16DFD">
              <w:t xml:space="preserve">ESMA's skiftende rolle. Sådanne ordninger bør for det første tage højde for tilfælde, hvor de nationale kompetente myndigheder stadig er ansvarlige for visse enheder eller aktiviteter, men vil ophøre med at være ansvarlige for tilsynet med visse enheder efter ESMA's overtagelse af direkte tilsynsbeføjelser, hvilket kræver overgangsløsninger for at sikre kontinuitet og en velordnet overdragelse af ansvarsområder. For det andet bør disse samarbejdsordninger omfatte tilfælde, hvor andre EU-myndigheder eller nationale myndigheder, selv om de ikke handler eller har handlet som kompetente myndigheder, ud over ESMA's direkte tilsynsbeføjelser har relevant ekspertise eller høringsrettigheder i henhold til EU-retten, såsom Den Europæiske Centralbank i forbindelse med centrale modparter. For at håndtere disse forskellige situationer og navnlig for at sikre en gnidningsløs overgang bør myndigheden have fleksibilitet til at etablere samarbejdsordninger, der er tilpasset den pågældende sektor, opgavernes art og den grad af inddragelse, der kræves. Sådanne ordninger kan spænde fra tæt strukturelt samarbejde, herunder oprettelse af fælles tilsynshold eller gennemførelse af fælles kontrolbesøg, til løsere former for operationel koordinering og gradvist til mere selvstændige tilsynsforanstaltninger fra myndighedens side, efterhånden som dens kapacitet udvikler sig. Disse samarbejdsordninger bør også give mulighed for gradvise tilpasninger over tid og, hvor det er relevant, etablering af myndighedens lokale tilstedeværelse i medlemsstaterne. </w:t>
            </w:r>
            <w:r w:rsidRPr="00B16DFD">
              <w:rPr>
                <w:b/>
                <w:i/>
              </w:rPr>
              <w:t xml:space="preserve">De bør udformes på en måde, der sikrer forsvarlig økonomisk forvaltning og budgetmæssig forudsigelighed. Hvis samarbejdsordningerne navnlig omfatter udførelse af opgaver eller levering af personale, ekspertise, faciliteter eller anden støtte fra de nationale kompetente myndigheder efter ESMA's anmodning, bør de anslåede omkostninger ved disse </w:t>
            </w:r>
            <w:r w:rsidRPr="00B16DFD">
              <w:rPr>
                <w:b/>
                <w:i/>
              </w:rPr>
              <w:t>ordninger være forholdsmæssige, behørigt begrundede og direkte knyttet til de opgaver, der udføres med henblik på ESMA's tilsynsopgaver, uden at dette berører de nationale kompetente myndigheders lovbestemte ansvar i henhold til EU-retten eller national ret.</w:t>
            </w:r>
            <w:r w:rsidRPr="00B16DFD">
              <w:t xml:space="preserve"> Disse samarbejdsordninger bør også fremme et effektivt og ressourceeffektivt tilsyn, sikre kontinuitet og konsekvens i tilsynsresultaterne og tage behørigt hensyn til andre myndigheders lovbestemte ansvar og ressourcer. Samarbejdet bør være styret af principperne om effektivitet, proportionalitet, gensidig </w:t>
            </w:r>
            <w:r w:rsidRPr="00B16DFD">
              <w:rPr>
                <w:b/>
                <w:i/>
              </w:rPr>
              <w:t xml:space="preserve">bistand </w:t>
            </w:r>
            <w:r w:rsidRPr="00B16DFD">
              <w:t>og god tro og bør fremme en effektiv anvendelse af ressourcerne, samtidig med at ESMA's uafhængighed og ansvarlighed i forbindelse med udførelsen af dens opgaver sikres. For at afspejle den gradvise opbygning af ESMA's tilsynskapacitet og sikre en fuldstændig og effektiv overtagelse af dens tilsynsopgaver bør samarbejdsordningerne regelmæssigt revideres af ESMA.</w:t>
            </w:r>
          </w:p>
        </w:tc>
      </w:tr>
    </w:tbl>
    <w:p w:rsidR="00365C9B" w:rsidRPr="00734CAA" w:rsidP="00365C9B" w14:paraId="197EC1C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EDDA739" w14:textId="77777777">
      <w:pPr>
        <w:rPr>
          <w:lang w:val="en-GB"/>
        </w:rPr>
      </w:pPr>
      <w:r w:rsidRPr="00734CAA">
        <w:rPr>
          <w:rStyle w:val="HideTWBExt"/>
          <w:color w:val="auto"/>
          <w:lang w:val="en-GB"/>
        </w:rPr>
        <w:t>&lt;/Amend&gt;</w:t>
      </w:r>
    </w:p>
    <w:p w:rsidR="00365C9B" w:rsidRPr="00734CAA" w:rsidP="00365C9B" w14:paraId="54DEB360"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219</w:t>
      </w:r>
      <w:r w:rsidRPr="00734CAA">
        <w:rPr>
          <w:rStyle w:val="HideTWBExt"/>
          <w:color w:val="auto"/>
          <w:lang w:val="en-GB"/>
        </w:rPr>
        <w:t>&lt;/NumAm&gt;</w:t>
      </w:r>
    </w:p>
    <w:p w:rsidR="00365C9B" w:rsidRPr="00734CAA" w:rsidP="00365C9B" w14:paraId="7E945851"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1C0D1197" w14:textId="77777777">
      <w:pPr>
        <w:pStyle w:val="NormalBold"/>
      </w:pPr>
      <w:r w:rsidRPr="00B16DFD">
        <w:rPr>
          <w:rStyle w:val="HideTWBExt"/>
          <w:b w:val="0"/>
          <w:color w:val="auto"/>
        </w:rPr>
        <w:t>&lt;/RepeatBlock-By&gt;</w:t>
      </w:r>
    </w:p>
    <w:p w:rsidR="00365C9B" w:rsidRPr="00B16DFD" w:rsidP="00365C9B" w14:paraId="3C689291"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12CB8DCF" w14:textId="77777777">
      <w:pPr>
        <w:pStyle w:val="NormalBold"/>
      </w:pPr>
      <w:r w:rsidRPr="00B16DFD">
        <w:rPr>
          <w:rStyle w:val="HideTWBExt"/>
          <w:color w:val="auto"/>
        </w:rPr>
        <w:t>&lt;Article&gt;</w:t>
      </w:r>
      <w:r w:rsidRPr="00B16DFD">
        <w:t>Betragtning 9</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E138E6"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60BFC77" w14:textId="77777777"/>
        </w:tc>
      </w:tr>
      <w:tr w14:paraId="7CEA5D11"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F5096F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1BC392E" w14:textId="77777777">
            <w:pPr>
              <w:pStyle w:val="AmColumnHeading"/>
            </w:pPr>
            <w:r w:rsidRPr="00B16DFD">
              <w:t>Ændringsforslag</w:t>
            </w:r>
          </w:p>
        </w:tc>
      </w:tr>
      <w:tr w14:paraId="6CD6684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60160B1" w14:textId="77777777">
            <w:pPr>
              <w:pStyle w:val="Normal6a"/>
            </w:pPr>
            <w:r w:rsidRPr="00B16DFD">
              <w:t>(9)</w:t>
            </w:r>
            <w:r w:rsidRPr="00B16DFD">
              <w:tab/>
              <w:t xml:space="preserve">For at sikre en effektiv udøvelse af sine direkte tilsynsopgaver bør ESMA etablere strukturerede, men fleksible samarbejdsordninger med andre myndigheder. Et sådant samarbejde bør omfatte en række situationer, der svarer til ESMA's skiftende rolle. Sådanne ordninger bør for det første tage højde for tilfælde, hvor de nationale kompetente myndigheder stadig er ansvarlige for visse enheder eller aktiviteter, men vil ophøre med at være </w:t>
            </w:r>
            <w:r w:rsidRPr="00B16DFD">
              <w:t xml:space="preserve">ansvarlige for tilsynet med visse enheder efter ESMA's overtagelse af direkte tilsynsbeføjelser, hvilket kræver overgangsløsninger for at sikre kontinuitet og en velordnet overdragelse af ansvarsområder. For det andet bør disse samarbejdsordninger omfatte tilfælde, hvor andre EU-myndigheder eller nationale myndigheder, selv om de ikke handler eller har handlet som kompetente myndigheder, ud over ESMA's direkte tilsynsbeføjelser har relevant ekspertise eller høringsrettigheder i henhold til EU-retten, såsom Den Europæiske Centralbank i forbindelse med centrale modparter. For det tredje bør disse samarbejdsordninger omfatte tilfælde, hvor opgaver ikke overføres til ESMA, såsom markedsovervågning af markedspladser. For at håndtere disse forskellige situationer og navnlig for at sikre en gnidningsløs overgang bør myndigheden have fleksibilitet til at etablere samarbejdsordninger, der er tilpasset den pågældende sektor, opgavernes art og den grad af inddragelse, der kræves. Sådanne ordninger kan spænde fra tæt strukturelt samarbejde, herunder oprettelse af fælles tilsynshold eller gennemførelse af fælles kontrolbesøg, til løsere former for operationel koordinering og gradvist til mere selvstændige tilsynsforanstaltninger fra myndighedens side, efterhånden som dens kapacitet udvikler sig. Disse samarbejdsordninger bør også give mulighed for gradvise tilpasninger over tid og, hvor det er relevant, etablering af myndighedens lokale tilstedeværelse i medlemsstaterne. Disse samarbejdsordninger bør også fremme et effektivt og ressourceeffektivt tilsyn, sikre kontinuitet og konsekvens i tilsynsresultaterne og tage behørigt hensyn til andre myndigheders lovbestemte ansvar og ressourcer. Samarbejdet bør være styret af principperne om effektivitet, proportionalitet, gensidig tillid og god tro og bør fremme en effektiv anvendelse af ressourcerne, samtidig med at ESMA's </w:t>
            </w:r>
            <w:r w:rsidRPr="00B16DFD">
              <w:t>uafhængighed og ansvarlighed i forbindelse med udførelsen af dens opgaver sikres. For at afspejle den gradvise opbygning af ESMA's tilsynskapacitet og sikre en fuldstændig og effektiv overtagelse af dens tilsynsopgaver bør samarbejdsordningerne regelmæssigt revideres af ESMA.</w:t>
            </w:r>
          </w:p>
        </w:tc>
        <w:tc>
          <w:tcPr>
            <w:tcW w:w="4876" w:type="dxa"/>
            <w:tcBorders>
              <w:top w:val="nil"/>
              <w:left w:val="nil"/>
              <w:bottom w:val="nil"/>
              <w:right w:val="nil"/>
            </w:tcBorders>
            <w:hideMark/>
          </w:tcPr>
          <w:p w:rsidR="00365C9B" w:rsidRPr="00B16DFD" w:rsidP="00F61C80" w14:paraId="3DE74888" w14:textId="77777777">
            <w:pPr>
              <w:pStyle w:val="Normal6a"/>
            </w:pPr>
            <w:r w:rsidRPr="00B16DFD">
              <w:t>(9)</w:t>
            </w:r>
            <w:r w:rsidRPr="00B16DFD">
              <w:tab/>
              <w:t xml:space="preserve">For at sikre en effektiv udøvelse af sine direkte tilsynsopgaver bør ESMA etablere strukturerede, men fleksible samarbejdsordninger med andre myndigheder. Et sådant samarbejde bør omfatte en række situationer, der svarer til ESMA's skiftende rolle. Sådanne ordninger bør for det første tage højde for tilfælde, hvor de nationale kompetente myndigheder stadig er ansvarlige for visse enheder eller aktiviteter, men vil ophøre med at være </w:t>
            </w:r>
            <w:r w:rsidRPr="00B16DFD">
              <w:t xml:space="preserve">ansvarlige for tilsynet med visse enheder efter ESMA's overtagelse af direkte tilsynsbeføjelser, hvilket kræver overgangsløsninger for at sikre kontinuitet og en velordnet overdragelse af ansvarsområder. For det andet bør disse samarbejdsordninger omfatte tilfælde, hvor andre EU-myndigheder eller nationale myndigheder, selv om de ikke handler eller har handlet som kompetente myndigheder, ud over ESMA's direkte tilsynsbeføjelser har relevant ekspertise eller høringsrettigheder i henhold til EU-retten, såsom Den Europæiske Centralbank i forbindelse med centrale modparter. For det tredje bør disse samarbejdsordninger omfatte tilfælde, hvor opgaver ikke overføres til ESMA, såsom markedsovervågning af markedspladser. For at håndtere disse forskellige situationer og navnlig for at sikre en gnidningsløs overgang bør myndigheden </w:t>
            </w:r>
            <w:r w:rsidRPr="00B16DFD">
              <w:rPr>
                <w:b/>
                <w:i/>
              </w:rPr>
              <w:t xml:space="preserve">i tæt samarbejde med de nationale myndigheder </w:t>
            </w:r>
            <w:r w:rsidRPr="00B16DFD">
              <w:t xml:space="preserve">have fleksibilitet til at etablere samarbejdsordninger, der er tilpasset den pågældende sektor, opgavernes art og den grad af inddragelse, der kræves. Sådanne ordninger kan spænde fra tæt strukturelt samarbejde, herunder oprettelse af fælles tilsynshold eller gennemførelse af fælles kontrolbesøg, til løsere former for operationel koordinering og gradvist til mere selvstændige tilsynsforanstaltninger fra myndighedens side, efterhånden som dens kapacitet udvikler sig. Disse samarbejdsordninger bør også give mulighed for gradvise tilpasninger over tid og, hvor det er relevant, etablering af myndighedens lokale tilstedeværelse i medlemsstaterne. Disse samarbejdsordninger bør også fremme et effektivt og ressourceeffektivt tilsyn, sikre kontinuitet og konsekvens i tilsynsresultaterne og tage behørigt hensyn til andre myndigheders lovbestemte ansvar og ressourcer. Samarbejdet bør være styret af </w:t>
            </w:r>
            <w:r w:rsidRPr="00B16DFD">
              <w:rPr>
                <w:b/>
                <w:i/>
              </w:rPr>
              <w:t xml:space="preserve">nærhedsprincippet, </w:t>
            </w:r>
            <w:r w:rsidRPr="00B16DFD">
              <w:t xml:space="preserve">principperne om effektivitet, proportionalitet, gensidig tillid og god tro og bør fremme en effektiv </w:t>
            </w:r>
            <w:r w:rsidRPr="00B16DFD">
              <w:t>anvendelse af ressourcerne, samtidig med at ESMA's uafhængighed og ansvarlighed i forbindelse med udførelsen af dens opgaver sikres. For at afspejle den gradvise opbygning af ESMA's tilsynskapacitet og sikre en fuldstændig og effektiv overtagelse af dens tilsynsopgaver bør samarbejdsordningerne regelmæssigt revideres af ESMA.</w:t>
            </w:r>
          </w:p>
        </w:tc>
      </w:tr>
    </w:tbl>
    <w:p w:rsidR="00365C9B" w:rsidRPr="00734CAA" w:rsidP="00365C9B" w14:paraId="786AD0E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4DCB317" w14:textId="77777777">
      <w:pPr>
        <w:rPr>
          <w:lang w:val="en-GB"/>
        </w:rPr>
      </w:pPr>
      <w:r w:rsidRPr="00734CAA">
        <w:rPr>
          <w:rStyle w:val="HideTWBExt"/>
          <w:color w:val="auto"/>
          <w:lang w:val="en-GB"/>
        </w:rPr>
        <w:t>&lt;/Amend&gt;</w:t>
      </w:r>
    </w:p>
    <w:p w:rsidR="00365C9B" w:rsidRPr="00734CAA" w:rsidP="00365C9B" w14:paraId="2F73C870"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220</w:t>
      </w:r>
      <w:r w:rsidRPr="00734CAA">
        <w:rPr>
          <w:rStyle w:val="HideTWBExt"/>
          <w:color w:val="auto"/>
          <w:lang w:val="en-GB"/>
        </w:rPr>
        <w:t>&lt;/NumAm&gt;</w:t>
      </w:r>
    </w:p>
    <w:p w:rsidR="00365C9B" w:rsidRPr="00734CAA" w:rsidP="00365C9B" w14:paraId="07DD3D91" w14:textId="77777777">
      <w:pPr>
        <w:pStyle w:val="NormalBold"/>
        <w:rPr>
          <w:lang w:val="en-GB"/>
        </w:rPr>
      </w:pPr>
      <w:r w:rsidRPr="00734CAA">
        <w:rPr>
          <w:rStyle w:val="HideTWBExt"/>
          <w:b w:val="0"/>
          <w:color w:val="auto"/>
          <w:lang w:val="en-GB"/>
        </w:rPr>
        <w:t>&lt;RepeatBlock-By&gt;&lt;Members&gt;</w:t>
      </w:r>
      <w:r w:rsidRPr="00734CAA">
        <w:rPr>
          <w:lang w:val="en-GB"/>
        </w:rPr>
        <w:t>Dirk Gotink</w:t>
      </w:r>
      <w:r w:rsidRPr="00734CAA">
        <w:rPr>
          <w:rStyle w:val="HideTWBExt"/>
          <w:b w:val="0"/>
          <w:color w:val="auto"/>
          <w:lang w:val="en-GB"/>
        </w:rPr>
        <w:t>&lt;/Members&gt;</w:t>
      </w:r>
    </w:p>
    <w:p w:rsidR="00365C9B" w:rsidRPr="00B16DFD" w:rsidP="00365C9B" w14:paraId="4D8FA516" w14:textId="77777777">
      <w:pPr>
        <w:pStyle w:val="NormalBold"/>
      </w:pPr>
      <w:r w:rsidRPr="00B16DFD">
        <w:rPr>
          <w:rStyle w:val="HideTWBExt"/>
          <w:b w:val="0"/>
          <w:color w:val="auto"/>
        </w:rPr>
        <w:t>&lt;/RepeatBlock-By&gt;</w:t>
      </w:r>
    </w:p>
    <w:p w:rsidR="00365C9B" w:rsidRPr="00B16DFD" w:rsidP="00365C9B" w14:paraId="1ABD2CCA"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666BF528" w14:textId="77777777">
      <w:pPr>
        <w:pStyle w:val="NormalBold"/>
      </w:pPr>
      <w:r w:rsidRPr="00B16DFD">
        <w:rPr>
          <w:rStyle w:val="HideTWBExt"/>
          <w:color w:val="auto"/>
        </w:rPr>
        <w:t>&lt;Article&gt;</w:t>
      </w:r>
      <w:r w:rsidRPr="00B16DFD">
        <w:t>Betragtning 9</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BE12C"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6A8ED13" w14:textId="77777777"/>
        </w:tc>
      </w:tr>
      <w:tr w14:paraId="6240404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C1A24B5"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1FF17C8" w14:textId="77777777">
            <w:pPr>
              <w:pStyle w:val="AmColumnHeading"/>
            </w:pPr>
            <w:r w:rsidRPr="00B16DFD">
              <w:t>Ændringsforslag</w:t>
            </w:r>
          </w:p>
        </w:tc>
      </w:tr>
      <w:tr w14:paraId="7105CDC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5EFB27F" w14:textId="77777777">
            <w:pPr>
              <w:pStyle w:val="Normal6a"/>
            </w:pPr>
            <w:r w:rsidRPr="00B16DFD">
              <w:t>(9)</w:t>
            </w:r>
            <w:r w:rsidRPr="00B16DFD">
              <w:tab/>
              <w:t xml:space="preserve">For at sikre en effektiv udøvelse af sine direkte tilsynsopgaver bør ESMA etablere strukturerede, men fleksible samarbejdsordninger med andre myndigheder. Et sådant samarbejde bør omfatte en række situationer, der svarer til ESMA's skiftende rolle. Sådanne ordninger bør for det første tage højde for tilfælde, hvor de nationale kompetente myndigheder stadig er ansvarlige for visse enheder eller aktiviteter, men vil ophøre med at være ansvarlige for tilsynet med visse enheder efter ESMA's overtagelse af direkte tilsynsbeføjelser, hvilket kræver overgangsløsninger for at sikre kontinuitet og en velordnet overdragelse af ansvarsområder. For det andet bør disse samarbejdsordninger omfatte tilfælde, hvor andre EU-myndigheder eller nationale myndigheder, selv om de ikke handler eller har handlet som kompetente myndigheder, ud over ESMA's direkte tilsynsbeføjelser har relevant ekspertise eller høringsrettigheder i henhold til EU-retten, såsom Den Europæiske Centralbank i forbindelse med centrale modparter. For det tredje bør disse samarbejdsordninger </w:t>
            </w:r>
            <w:r w:rsidRPr="00B16DFD">
              <w:t>omfatte tilfælde, hvor opgaver ikke overføres til ESMA, såsom markedsovervågning af markedspladser. For at håndtere disse forskellige situationer og navnlig for at sikre en gnidningsløs overgang bør myndigheden have fleksibilitet til at etablere samarbejdsordninger, der er tilpasset den pågældende sektor, opgavernes art og den grad af inddragelse, der kræves. Sådanne ordninger kan spænde fra tæt strukturelt samarbejde</w:t>
            </w:r>
            <w:r w:rsidRPr="00B16DFD">
              <w:rPr>
                <w:b/>
                <w:i/>
              </w:rPr>
              <w:t>, herunder oprettelse af fælles tilsynshold eller gennemførelse af fælles kontrolbesøg,</w:t>
            </w:r>
            <w:r w:rsidRPr="00B16DFD">
              <w:t xml:space="preserve"> til løsere former for operationel koordinering og gradvist til mere selvstændige tilsynsforanstaltninger fra myndighedens side, efterhånden som dens kapacitet udvikler sig. Disse samarbejdsordninger bør også give mulighed for gradvise tilpasninger over tid og, hvor det er relevant, etablering af myndighedens lokale tilstedeværelse i medlemsstaterne. Disse samarbejdsordninger bør også fremme et effektivt og ressourceeffektivt tilsyn, sikre kontinuitet og konsekvens i tilsynsresultaterne og tage behørigt hensyn til andre myndigheders lovbestemte ansvar og ressourcer. Samarbejdet bør være styret af principperne om effektivitet, proportionalitet, gensidig tillid og god tro og bør fremme en effektiv anvendelse af ressourcerne, samtidig med at ESMA's uafhængighed og ansvarlighed i forbindelse med udførelsen af dens opgaver sikres. For at afspejle den gradvise opbygning af ESMA's tilsynskapacitet og sikre en fuldstændig og effektiv overtagelse af dens tilsynsopgaver bør samarbejdsordningerne regelmæssigt revideres af ESMA.</w:t>
            </w:r>
          </w:p>
        </w:tc>
        <w:tc>
          <w:tcPr>
            <w:tcW w:w="4876" w:type="dxa"/>
            <w:tcBorders>
              <w:top w:val="nil"/>
              <w:left w:val="nil"/>
              <w:bottom w:val="nil"/>
              <w:right w:val="nil"/>
            </w:tcBorders>
            <w:hideMark/>
          </w:tcPr>
          <w:p w:rsidR="00365C9B" w:rsidRPr="00B16DFD" w:rsidP="00F61C80" w14:paraId="679F9AE2" w14:textId="086FB9ED">
            <w:pPr>
              <w:pStyle w:val="Normal6a"/>
            </w:pPr>
            <w:r w:rsidRPr="00B16DFD">
              <w:t>(9)</w:t>
            </w:r>
            <w:r w:rsidRPr="00B16DFD">
              <w:tab/>
              <w:t xml:space="preserve">For at sikre en effektiv udøvelse af sine direkte tilsynsopgaver bør ESMA etablere strukturerede, men fleksible samarbejdsordninger med andre myndigheder. Et sådant samarbejde bør omfatte en række situationer, der svarer til ESMA's skiftende rolle. Sådanne ordninger bør for det første tage højde for tilfælde, hvor de nationale kompetente myndigheder stadig er ansvarlige for visse enheder eller aktiviteter, men vil ophøre med at være ansvarlige for tilsynet med visse enheder efter ESMA's overtagelse af direkte tilsynsbeføjelser, hvilket kræver overgangsløsninger for at sikre kontinuitet og en velordnet overdragelse af ansvarsområder. For det andet bør disse samarbejdsordninger omfatte tilfælde, hvor andre EU-myndigheder eller nationale myndigheder, selv om de ikke handler eller har handlet som kompetente myndigheder, ud over ESMA's direkte tilsynsbeføjelser har relevant ekspertise eller høringsrettigheder i henhold til EU-retten, såsom Den Europæiske Centralbank i forbindelse med centrale modparter. For det tredje bør disse samarbejdsordninger </w:t>
            </w:r>
            <w:r w:rsidRPr="00B16DFD">
              <w:t xml:space="preserve">omfatte tilfælde, hvor opgaver ikke overføres til ESMA, såsom markedsovervågning af markedspladser. For at håndtere disse forskellige situationer og navnlig for at sikre en gnidningsløs overgang bør myndigheden have fleksibilitet til at etablere samarbejdsordninger, der er tilpasset den pågældende sektor, opgavernes art og den grad af inddragelse, der kræves. Sådanne ordninger kan spænde fra tæt strukturelt samarbejde til løsere former for operationel koordinering og gradvist til mere selvstændige tilsynsforanstaltninger fra myndighedens side, efterhånden som dens kapacitet udvikler sig. Disse samarbejdsordninger bør også give mulighed for gradvise tilpasninger over tid og, hvor det er relevant, etablering af myndighedens lokale tilstedeværelse i medlemsstaterne. Disse samarbejdsordninger bør også fremme et effektivt og ressourceeffektivt tilsyn, sikre kontinuitet og konsekvens i tilsynsresultaterne og tage behørigt hensyn til andre myndigheders lovbestemte ansvar og ressourcer. Samarbejdet bør være styret af principperne om effektivitet, proportionalitet, gensidig tillid og god tro og bør fremme en effektiv anvendelse af ressourcerne, samtidig med at ESMA's uafhængighed og ansvarlighed i forbindelse med udførelsen af dens opgaver sikres. </w:t>
            </w:r>
            <w:r w:rsidRPr="00B16DFD">
              <w:rPr>
                <w:b/>
                <w:i/>
              </w:rPr>
              <w:t xml:space="preserve">Det bør under ingen omstændigheder føre til </w:t>
            </w:r>
            <w:r w:rsidR="00AA1655">
              <w:rPr>
                <w:b/>
                <w:i/>
              </w:rPr>
              <w:t>unødig</w:t>
            </w:r>
            <w:r w:rsidRPr="00B16DFD">
              <w:rPr>
                <w:b/>
                <w:i/>
              </w:rPr>
              <w:t>e lag af tilsyn eller lovgivningsmæssige og administrative byrder.</w:t>
            </w:r>
            <w:r w:rsidRPr="00B16DFD">
              <w:t xml:space="preserve"> For at afspejle den gradvise opbygning af ESMA's tilsynskapacitet og sikre en fuldstændig og effektiv overtagelse af dens tilsynsopgaver bør samarbejdsordningerne regelmæssigt revideres af ESMA.</w:t>
            </w:r>
          </w:p>
        </w:tc>
      </w:tr>
    </w:tbl>
    <w:p w:rsidR="00365C9B" w:rsidRPr="00734CAA" w:rsidP="00365C9B" w14:paraId="06B35669"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9069FD6" w14:textId="77777777">
      <w:pPr>
        <w:rPr>
          <w:lang w:val="en-GB"/>
        </w:rPr>
      </w:pPr>
      <w:r w:rsidRPr="00734CAA">
        <w:rPr>
          <w:rStyle w:val="HideTWBExt"/>
          <w:color w:val="auto"/>
          <w:lang w:val="en-GB"/>
        </w:rPr>
        <w:t>&lt;/Amend&gt;</w:t>
      </w:r>
    </w:p>
    <w:p w:rsidR="00365C9B" w:rsidRPr="00734CAA" w:rsidP="00365C9B" w14:paraId="5E176001"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221</w:t>
      </w:r>
      <w:r w:rsidRPr="00734CAA">
        <w:rPr>
          <w:rStyle w:val="HideTWBExt"/>
          <w:color w:val="auto"/>
          <w:lang w:val="en-GB"/>
        </w:rPr>
        <w:t>&lt;/NumAm&gt;</w:t>
      </w:r>
    </w:p>
    <w:p w:rsidR="00365C9B" w:rsidRPr="00734CAA" w:rsidP="00365C9B" w14:paraId="41CB0165" w14:textId="77777777">
      <w:pPr>
        <w:pStyle w:val="NormalBold"/>
        <w:rPr>
          <w:lang w:val="en-GB"/>
        </w:rPr>
      </w:pPr>
      <w:r w:rsidRPr="00734CAA">
        <w:rPr>
          <w:rStyle w:val="HideTWBExt"/>
          <w:b w:val="0"/>
          <w:color w:val="auto"/>
          <w:lang w:val="en-GB"/>
        </w:rPr>
        <w:t>&lt;RepeatBlock-By&gt;&lt;Members&gt;</w:t>
      </w:r>
      <w:r w:rsidRPr="00734CAA">
        <w:rPr>
          <w:lang w:val="en-GB"/>
        </w:rPr>
        <w:t>Christophe Gomart</w:t>
      </w:r>
      <w:r w:rsidRPr="00734CAA">
        <w:rPr>
          <w:rStyle w:val="HideTWBExt"/>
          <w:b w:val="0"/>
          <w:color w:val="auto"/>
          <w:lang w:val="en-GB"/>
        </w:rPr>
        <w:t>&lt;/Members&gt;</w:t>
      </w:r>
    </w:p>
    <w:p w:rsidR="00365C9B" w:rsidRPr="00B16DFD" w:rsidP="00365C9B" w14:paraId="24016346" w14:textId="77777777">
      <w:pPr>
        <w:pStyle w:val="NormalBold"/>
      </w:pPr>
      <w:r w:rsidRPr="00B16DFD">
        <w:rPr>
          <w:rStyle w:val="HideTWBExt"/>
          <w:b w:val="0"/>
          <w:color w:val="auto"/>
        </w:rPr>
        <w:t>&lt;/RepeatBlock-By&gt;</w:t>
      </w:r>
    </w:p>
    <w:p w:rsidR="00365C9B" w:rsidRPr="00B16DFD" w:rsidP="00365C9B" w14:paraId="644A3744"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E370672" w14:textId="77777777">
      <w:pPr>
        <w:pStyle w:val="NormalBold"/>
        <w:rPr>
          <w:lang w:val="en-GB"/>
        </w:rPr>
      </w:pPr>
      <w:r w:rsidRPr="00734CAA">
        <w:rPr>
          <w:rStyle w:val="HideTWBExt"/>
          <w:color w:val="auto"/>
          <w:lang w:val="en-GB"/>
        </w:rPr>
        <w:t>&lt;Article&gt;</w:t>
      </w:r>
      <w:r w:rsidRPr="00734CAA">
        <w:rPr>
          <w:lang w:val="en-GB"/>
        </w:rPr>
        <w:t>Betragtning 13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217CB3"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6FFEF59D" w14:textId="77777777">
            <w:pPr>
              <w:rPr>
                <w:lang w:val="en-GB"/>
              </w:rPr>
            </w:pPr>
          </w:p>
        </w:tc>
      </w:tr>
      <w:tr w14:paraId="50E9B775"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6B9B1D2"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CE7BA7A" w14:textId="77777777">
            <w:pPr>
              <w:pStyle w:val="AmColumnHeading"/>
            </w:pPr>
            <w:r w:rsidRPr="00B16DFD">
              <w:t>Ændringsforslag</w:t>
            </w:r>
          </w:p>
        </w:tc>
      </w:tr>
      <w:tr w14:paraId="7A669152"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12FD4E1" w14:textId="77777777">
            <w:pPr>
              <w:pStyle w:val="Normal6a"/>
            </w:pPr>
          </w:p>
        </w:tc>
        <w:tc>
          <w:tcPr>
            <w:tcW w:w="4876" w:type="dxa"/>
            <w:tcBorders>
              <w:top w:val="nil"/>
              <w:left w:val="nil"/>
              <w:bottom w:val="nil"/>
              <w:right w:val="nil"/>
            </w:tcBorders>
            <w:hideMark/>
          </w:tcPr>
          <w:p w:rsidR="00365C9B" w:rsidRPr="00B16DFD" w:rsidP="00F61C80" w14:paraId="13067942" w14:textId="77777777">
            <w:pPr>
              <w:pStyle w:val="Normal6a"/>
            </w:pPr>
            <w:r w:rsidRPr="00B16DFD">
              <w:rPr>
                <w:b/>
                <w:i/>
              </w:rPr>
              <w:t>(13a)</w:t>
            </w:r>
            <w:r w:rsidRPr="00B16DFD">
              <w:tab/>
            </w:r>
            <w:r w:rsidRPr="00B16DFD">
              <w:rPr>
                <w:b/>
                <w:i/>
              </w:rPr>
              <w:t>ESMA tager hensyn til virkningen af sine aktiviteter for konkurrence og innovation, navnlig ved udarbejdelsen og anvendelsen af det fælles regelsæt. I den forbindelse bør den følge de retningslinjer, der er udstukket af Kommissionen i dennes meddelelse af 16. marts 2023 om EU's konkurrenceevne på lang sigt, som tilstræber at sikre Unionens tiltrækningskraft og bevare dennes position i verdensøkonomien. Vigtigheden af en lovgivningsmæssig ramme, der er vækstfremmende og baseret på en ny konkurrenceevnekontrol, fremhæves. Kommissionen understreger i sin meddelelse bl.a. vigtigheden af en vækstfremmende lovgivningsmæssig ramme baseret på indførelsen af en ny konkurrenceevnekontrol. De konsekvensanalyser, der udføres forud for lovgivningsforslagene, bør således tage højde for de forventede indvirkninger på konkurrenceevnen med hensyn til priser og omkostninger, også internationalt, og med hensyn til innovationsevne. Der skal ligeledes tages et større hensyn til de samlede virkninger af de forskellige foranstaltninger, der træffes på Unionsplan, herunder via princippet "one in, one out". I forlængelse heraf bør ESMA tage hensyn til Det Europæiske Råds konklusioner af 17. og 18 april 2024 vedrørende den nye aftale om europæisk konkurrenceevne, hvori der opfordres til en betragtelig lettelse af de administrative og reguleringsmæssige byrder og til undgåelse af overregulering.</w:t>
            </w:r>
          </w:p>
        </w:tc>
      </w:tr>
    </w:tbl>
    <w:p w:rsidR="00365C9B" w:rsidRPr="00734CAA" w:rsidP="00365C9B" w14:paraId="4BE1E768"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{FR}</w:t>
      </w:r>
      <w:r w:rsidRPr="00734CAA">
        <w:rPr>
          <w:lang w:val="en-GB"/>
        </w:rPr>
        <w:t>fr</w:t>
      </w:r>
      <w:r w:rsidRPr="00734CAA">
        <w:rPr>
          <w:rStyle w:val="HideTWBExt"/>
          <w:color w:val="auto"/>
          <w:lang w:val="en-GB"/>
        </w:rPr>
        <w:t>&lt;/Original&gt;</w:t>
      </w:r>
    </w:p>
    <w:p w:rsidR="00365C9B" w:rsidRPr="00734CAA" w:rsidP="00365C9B" w14:paraId="34775AEC" w14:textId="77777777">
      <w:pPr>
        <w:rPr>
          <w:lang w:val="en-GB"/>
        </w:rPr>
      </w:pPr>
      <w:r w:rsidRPr="00734CAA">
        <w:rPr>
          <w:rStyle w:val="HideTWBExt"/>
          <w:color w:val="auto"/>
          <w:lang w:val="en-GB"/>
        </w:rPr>
        <w:t>&lt;/Amend&gt;</w:t>
      </w:r>
    </w:p>
    <w:p w:rsidR="00365C9B" w:rsidRPr="00734CAA" w:rsidP="00365C9B" w14:paraId="5EEE5603"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222</w:t>
      </w:r>
      <w:r w:rsidRPr="00734CAA">
        <w:rPr>
          <w:rStyle w:val="HideTWBExt"/>
          <w:color w:val="auto"/>
          <w:lang w:val="en-GB"/>
        </w:rPr>
        <w:t>&lt;/NumAm&gt;</w:t>
      </w:r>
    </w:p>
    <w:p w:rsidR="00365C9B" w:rsidRPr="00734CAA" w:rsidP="00365C9B" w14:paraId="78669D48" w14:textId="77777777">
      <w:pPr>
        <w:pStyle w:val="NormalBold"/>
        <w:rPr>
          <w:lang w:val="en-GB"/>
        </w:rPr>
      </w:pPr>
      <w:r w:rsidRPr="00734CAA">
        <w:rPr>
          <w:rStyle w:val="HideTWBExt"/>
          <w:b w:val="0"/>
          <w:color w:val="auto"/>
          <w:lang w:val="en-GB"/>
        </w:rPr>
        <w:t>&lt;RepeatBlock-By&gt;&lt;Members&gt;</w:t>
      </w:r>
      <w:r w:rsidRPr="00734CAA">
        <w:rPr>
          <w:lang w:val="en-GB"/>
        </w:rPr>
        <w:t>Christophe Gomart</w:t>
      </w:r>
      <w:r w:rsidRPr="00734CAA">
        <w:rPr>
          <w:rStyle w:val="HideTWBExt"/>
          <w:b w:val="0"/>
          <w:color w:val="auto"/>
          <w:lang w:val="en-GB"/>
        </w:rPr>
        <w:t>&lt;/Members&gt;</w:t>
      </w:r>
    </w:p>
    <w:p w:rsidR="00365C9B" w:rsidRPr="00B16DFD" w:rsidP="00365C9B" w14:paraId="13ACDE73" w14:textId="77777777">
      <w:pPr>
        <w:pStyle w:val="NormalBold"/>
      </w:pPr>
      <w:r w:rsidRPr="00B16DFD">
        <w:rPr>
          <w:rStyle w:val="HideTWBExt"/>
          <w:b w:val="0"/>
          <w:color w:val="auto"/>
        </w:rPr>
        <w:t>&lt;/RepeatBlock-By&gt;</w:t>
      </w:r>
    </w:p>
    <w:p w:rsidR="00365C9B" w:rsidRPr="00B16DFD" w:rsidP="00365C9B" w14:paraId="69DEAF07"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1EED83CD" w14:textId="77777777">
      <w:pPr>
        <w:pStyle w:val="NormalBold"/>
      </w:pPr>
      <w:r w:rsidRPr="00B16DFD">
        <w:rPr>
          <w:rStyle w:val="HideTWBExt"/>
          <w:color w:val="auto"/>
        </w:rPr>
        <w:t>&lt;Article&gt;</w:t>
      </w:r>
      <w:r w:rsidRPr="00B16DFD">
        <w:t>Betragtning 13 b (ny)</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FB39F"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8E6044D" w14:textId="77777777"/>
        </w:tc>
      </w:tr>
      <w:tr w14:paraId="167BA0B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5DAB6B2"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29FC600" w14:textId="77777777">
            <w:pPr>
              <w:pStyle w:val="AmColumnHeading"/>
            </w:pPr>
            <w:r w:rsidRPr="00B16DFD">
              <w:t>Ændringsforslag</w:t>
            </w:r>
          </w:p>
        </w:tc>
      </w:tr>
      <w:tr w14:paraId="0B5190F5"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1FD1D84A" w14:textId="77777777">
            <w:pPr>
              <w:pStyle w:val="Normal6a"/>
            </w:pPr>
          </w:p>
        </w:tc>
        <w:tc>
          <w:tcPr>
            <w:tcW w:w="4876" w:type="dxa"/>
            <w:tcBorders>
              <w:top w:val="nil"/>
              <w:left w:val="nil"/>
              <w:bottom w:val="nil"/>
              <w:right w:val="nil"/>
            </w:tcBorders>
            <w:hideMark/>
          </w:tcPr>
          <w:p w:rsidR="00365C9B" w:rsidRPr="00B16DFD" w:rsidP="00F61C80" w14:paraId="506344C1" w14:textId="77777777">
            <w:pPr>
              <w:pStyle w:val="Normal6a"/>
            </w:pPr>
            <w:r w:rsidRPr="00B16DFD">
              <w:rPr>
                <w:b/>
                <w:i/>
              </w:rPr>
              <w:t>(13b)</w:t>
            </w:r>
            <w:r w:rsidRPr="00B16DFD">
              <w:tab/>
            </w:r>
            <w:r w:rsidRPr="00B16DFD">
              <w:rPr>
                <w:b/>
                <w:i/>
              </w:rPr>
              <w:t>ESMA har brug for et forskriftsudvalg, som har ansvaret for at undersøge, om det fælles regelsæt opfylder målsætningerne om vækst og konkurrenceevne. Forskriftsudvalget bør offentliggøre sine konklusioner i en årlig rapport, og disse bør fremlægges under de offentlige høringer, der afholdes i Europa-Parlamentet.</w:t>
            </w:r>
          </w:p>
        </w:tc>
      </w:tr>
    </w:tbl>
    <w:p w:rsidR="00365C9B" w:rsidRPr="00734CAA" w:rsidP="00365C9B" w14:paraId="5332CF9C"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{FR}</w:t>
      </w:r>
      <w:r w:rsidRPr="00734CAA">
        <w:rPr>
          <w:lang w:val="en-GB"/>
        </w:rPr>
        <w:t>fr</w:t>
      </w:r>
      <w:r w:rsidRPr="00734CAA">
        <w:rPr>
          <w:rStyle w:val="HideTWBExt"/>
          <w:color w:val="auto"/>
          <w:lang w:val="en-GB"/>
        </w:rPr>
        <w:t>&lt;/Original&gt;</w:t>
      </w:r>
    </w:p>
    <w:p w:rsidR="00365C9B" w:rsidRPr="00734CAA" w:rsidP="00365C9B" w14:paraId="5F536DE2" w14:textId="77777777">
      <w:pPr>
        <w:rPr>
          <w:lang w:val="en-GB"/>
        </w:rPr>
      </w:pPr>
      <w:r w:rsidRPr="00734CAA">
        <w:rPr>
          <w:rStyle w:val="HideTWBExt"/>
          <w:color w:val="auto"/>
          <w:lang w:val="en-GB"/>
        </w:rPr>
        <w:t>&lt;/Amend&gt;</w:t>
      </w:r>
    </w:p>
    <w:p w:rsidR="00365C9B" w:rsidRPr="00734CAA" w:rsidP="00365C9B" w14:paraId="1A90A380"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223</w:t>
      </w:r>
      <w:r w:rsidRPr="00734CAA">
        <w:rPr>
          <w:rStyle w:val="HideTWBExt"/>
          <w:color w:val="auto"/>
          <w:lang w:val="en-GB"/>
        </w:rPr>
        <w:t>&lt;/NumAm&gt;</w:t>
      </w:r>
    </w:p>
    <w:p w:rsidR="00365C9B" w:rsidRPr="00734CAA" w:rsidP="00365C9B" w14:paraId="39DD2AA9"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74BA61F8" w14:textId="77777777">
      <w:pPr>
        <w:pStyle w:val="NormalBold"/>
      </w:pPr>
      <w:r w:rsidRPr="00B16DFD">
        <w:rPr>
          <w:rStyle w:val="HideTWBExt"/>
          <w:b w:val="0"/>
          <w:color w:val="auto"/>
        </w:rPr>
        <w:t>&lt;/RepeatBlock-By&gt;</w:t>
      </w:r>
    </w:p>
    <w:p w:rsidR="00365C9B" w:rsidRPr="00B16DFD" w:rsidP="00365C9B" w14:paraId="2D4D595C"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0B69F86A" w14:textId="77777777">
      <w:pPr>
        <w:pStyle w:val="NormalBold"/>
      </w:pPr>
      <w:r w:rsidRPr="00B16DFD">
        <w:rPr>
          <w:rStyle w:val="HideTWBExt"/>
          <w:color w:val="auto"/>
        </w:rPr>
        <w:t>&lt;Article&gt;</w:t>
      </w:r>
      <w:r w:rsidRPr="00B16DFD">
        <w:t>Betragtning 15</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DBC44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B6BB3C0" w14:textId="77777777"/>
        </w:tc>
      </w:tr>
      <w:tr w14:paraId="0067CE9C"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3050D64"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3DF8115" w14:textId="77777777">
            <w:pPr>
              <w:pStyle w:val="AmColumnHeading"/>
            </w:pPr>
            <w:r w:rsidRPr="00B16DFD">
              <w:t>Ændringsforslag</w:t>
            </w:r>
          </w:p>
        </w:tc>
      </w:tr>
      <w:tr w14:paraId="713462D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96DF131" w14:textId="27E37D8C">
            <w:pPr>
              <w:pStyle w:val="Normal6a"/>
            </w:pPr>
            <w:r w:rsidRPr="00B16DFD">
              <w:t>(15)</w:t>
            </w:r>
            <w:r w:rsidRPr="00B16DFD">
              <w:tab/>
              <w:t xml:space="preserve">For at afhjælpe påviste tilsynssvigt i forbindelse med godkendelse af finansielle produkter, tjenesteydelser eller enheder, der opererer på tværs af Unionen, er det nødvendigt at give ESMA mulighed for at kræve, at en kompetent myndighed indhenter dens udtalelse, inden der gives godkendelse, hvis en peerevaluering </w:t>
            </w:r>
            <w:r w:rsidRPr="00B16DFD">
              <w:rPr>
                <w:b/>
                <w:i/>
              </w:rPr>
              <w:t>eller en undersøgelse</w:t>
            </w:r>
            <w:r w:rsidRPr="00B16DFD">
              <w:t xml:space="preserve"> afslører tilsynssvigt, som kan bringe </w:t>
            </w:r>
            <w:r w:rsidRPr="0055766D" w:rsidR="0055766D">
              <w:rPr>
                <w:bCs/>
                <w:iCs/>
              </w:rPr>
              <w:t>finansmarkederne</w:t>
            </w:r>
            <w:r w:rsidRPr="0055766D">
              <w:rPr>
                <w:bCs/>
                <w:iCs/>
              </w:rPr>
              <w:t>s</w:t>
            </w:r>
            <w:r w:rsidRPr="00B16DFD">
              <w:t xml:space="preserve"> integritet, den finansielle stabilitet eller investorbeskyttelsen i fare. </w:t>
            </w:r>
            <w:r w:rsidRPr="00B16DFD">
              <w:rPr>
                <w:b/>
                <w:i/>
              </w:rPr>
              <w:t xml:space="preserve">Peerevaluerings- eller </w:t>
            </w:r>
            <w:r w:rsidRPr="00B16DFD">
              <w:t xml:space="preserve">undersøgelsesprocessen, som fastsat i artikel 22, stk. 4, i forordning (EU) nr. 1095/2010, udgør en solid og gennemsigtig ramme for at afdække tilsynssvigt og for at iværksætte korrigerende foranstaltninger. ESMA's udtalelse bør udgøre et yderligere </w:t>
            </w:r>
            <w:r w:rsidRPr="00B16DFD">
              <w:t>lag af kontrol og tilsyn, der sikrer, at finansielle produkter</w:t>
            </w:r>
            <w:r w:rsidRPr="00B16DFD">
              <w:rPr>
                <w:b/>
                <w:i/>
              </w:rPr>
              <w:t xml:space="preserve"> og</w:t>
            </w:r>
            <w:r w:rsidRPr="00B16DFD">
              <w:t xml:space="preserve"> tjenesteydelser samt enheder, der opererer i Unionen, opfylder de højeste standarder for tilsyn. For at forhindre, at produkter, tjenesteydelser eller enheder kommer ind på EU-markedet uden tilstrækkeligt tilsyn, er det nødvendigt at give ESMA mulighed for i sin udtalelse at kræve, at de kompetente myndigheder træffer korrigerende foranstaltninger for at afhjælpe eventuelle mangler i tilsynet, som ESMA har konstateret.</w:t>
            </w:r>
          </w:p>
        </w:tc>
        <w:tc>
          <w:tcPr>
            <w:tcW w:w="4876" w:type="dxa"/>
            <w:tcBorders>
              <w:top w:val="nil"/>
              <w:left w:val="nil"/>
              <w:bottom w:val="nil"/>
              <w:right w:val="nil"/>
            </w:tcBorders>
            <w:hideMark/>
          </w:tcPr>
          <w:p w:rsidR="00365C9B" w:rsidRPr="00B16DFD" w:rsidP="00F61C80" w14:paraId="79CAB951" w14:textId="25DBA6B4">
            <w:pPr>
              <w:pStyle w:val="Normal6a"/>
            </w:pPr>
            <w:r w:rsidRPr="00B16DFD">
              <w:t>(15)</w:t>
            </w:r>
            <w:r w:rsidRPr="00B16DFD">
              <w:tab/>
              <w:t>For at afhjælpe påviste tilsynssvigt i forbindelse med godkendelse af finansielle produkter, tjenesteydelser</w:t>
            </w:r>
            <w:r w:rsidRPr="00B16DFD">
              <w:rPr>
                <w:b/>
                <w:i/>
              </w:rPr>
              <w:t>, aktiviteter</w:t>
            </w:r>
            <w:r w:rsidRPr="00B16DFD">
              <w:t xml:space="preserve"> eller enheder, der opererer på tværs af Unionen, er det nødvendigt at give ESMA mulighed for at kræve, at en kompetent myndighed indhenter dens udtalelse, inden der gives godkendelse, hvis en peerevaluering</w:t>
            </w:r>
            <w:r w:rsidRPr="00B16DFD">
              <w:rPr>
                <w:b/>
                <w:i/>
              </w:rPr>
              <w:t>, en undersøgelse eller en samarbejdsplatform</w:t>
            </w:r>
            <w:r w:rsidRPr="00B16DFD">
              <w:t xml:space="preserve"> afslører tilsynssvigt, som kan bringe</w:t>
            </w:r>
            <w:r w:rsidR="0055766D">
              <w:t xml:space="preserve"> </w:t>
            </w:r>
            <w:r w:rsidRPr="00B16DFD">
              <w:t>finansmarkeder</w:t>
            </w:r>
            <w:r w:rsidR="0055766D">
              <w:t>ne</w:t>
            </w:r>
            <w:r w:rsidRPr="00B16DFD">
              <w:t xml:space="preserve">s integritet, den finansielle stabilitet eller investorbeskyttelsen i fare. </w:t>
            </w:r>
            <w:r w:rsidRPr="00B16DFD">
              <w:rPr>
                <w:b/>
                <w:i/>
              </w:rPr>
              <w:t xml:space="preserve">Peerevalueringen, </w:t>
            </w:r>
            <w:r w:rsidRPr="00B16DFD">
              <w:t>undersøgelsesprocessen, som fastsat i artikel 22, stk. 4, i forordning (EU) nr. 1095/2010</w:t>
            </w:r>
            <w:r w:rsidRPr="00B16DFD">
              <w:rPr>
                <w:b/>
                <w:i/>
              </w:rPr>
              <w:t>, eller arbejdet på samarbejdsplatformen</w:t>
            </w:r>
            <w:r w:rsidRPr="00B16DFD">
              <w:t xml:space="preserve">, udgør en solid og gennemsigtig ramme for at afdække </w:t>
            </w:r>
            <w:r w:rsidRPr="00B16DFD">
              <w:t>tilsynssvigt og for at iværksætte korrigerende foranstaltninger. ESMA's udtalelse bør udgøre et yderligere lag af kontrol og tilsyn, der sikrer, at finansielle produkter</w:t>
            </w:r>
            <w:r w:rsidRPr="00B16DFD">
              <w:rPr>
                <w:b/>
                <w:i/>
              </w:rPr>
              <w:t>,</w:t>
            </w:r>
            <w:r w:rsidRPr="00B16DFD">
              <w:t xml:space="preserve"> tjenesteydelser</w:t>
            </w:r>
            <w:r w:rsidRPr="00B16DFD">
              <w:rPr>
                <w:b/>
                <w:i/>
              </w:rPr>
              <w:t>, aktiviteter</w:t>
            </w:r>
            <w:r w:rsidRPr="00B16DFD">
              <w:t xml:space="preserve"> samt enheder, der opererer i Unionen, opfylder de højeste standarder for tilsyn. For at forhindre, at produkter, tjenesteydelser</w:t>
            </w:r>
            <w:r w:rsidRPr="00B16DFD">
              <w:rPr>
                <w:b/>
                <w:i/>
              </w:rPr>
              <w:t>, aktiviteter</w:t>
            </w:r>
            <w:r w:rsidRPr="00B16DFD">
              <w:t xml:space="preserve"> eller enheder kommer ind på EU-markedet uden tilstrækkeligt tilsyn, er det nødvendigt at give ESMA mulighed for i sin udtalelse at kræve, at de kompetente myndigheder træffer korrigerende foranstaltninger for at afhjælpe eventuelle mangler i tilsynet, som ESMA har konstateret.</w:t>
            </w:r>
          </w:p>
        </w:tc>
      </w:tr>
    </w:tbl>
    <w:p w:rsidR="00365C9B" w:rsidRPr="00734CAA" w:rsidP="00365C9B" w14:paraId="01BFD8A7"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7E7215C" w14:textId="77777777">
      <w:pPr>
        <w:rPr>
          <w:lang w:val="en-GB"/>
        </w:rPr>
      </w:pPr>
      <w:r w:rsidRPr="00734CAA">
        <w:rPr>
          <w:rStyle w:val="HideTWBExt"/>
          <w:color w:val="auto"/>
          <w:lang w:val="en-GB"/>
        </w:rPr>
        <w:t>&lt;/Amend&gt;</w:t>
      </w:r>
    </w:p>
    <w:p w:rsidR="00365C9B" w:rsidRPr="00734CAA" w:rsidP="00365C9B" w14:paraId="3837BDA3"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224</w:t>
      </w:r>
      <w:r w:rsidRPr="00734CAA">
        <w:rPr>
          <w:rStyle w:val="HideTWBExt"/>
          <w:color w:val="auto"/>
          <w:lang w:val="en-GB"/>
        </w:rPr>
        <w:t>&lt;/NumAm&gt;</w:t>
      </w:r>
    </w:p>
    <w:p w:rsidR="00365C9B" w:rsidRPr="00734CAA" w:rsidP="00365C9B" w14:paraId="4D72E736"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4C1CEA05" w14:textId="77777777">
      <w:pPr>
        <w:pStyle w:val="NormalBold"/>
      </w:pPr>
      <w:r w:rsidRPr="00B16DFD">
        <w:rPr>
          <w:rStyle w:val="HideTWBExt"/>
          <w:b w:val="0"/>
          <w:color w:val="auto"/>
        </w:rPr>
        <w:t>&lt;/RepeatBlock-By&gt;</w:t>
      </w:r>
    </w:p>
    <w:p w:rsidR="00365C9B" w:rsidRPr="00B16DFD" w:rsidP="00365C9B" w14:paraId="0C4A8EC5"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2353E3F3" w14:textId="77777777">
      <w:pPr>
        <w:pStyle w:val="NormalBold"/>
      </w:pPr>
      <w:r w:rsidRPr="00B16DFD">
        <w:rPr>
          <w:rStyle w:val="HideTWBExt"/>
          <w:color w:val="auto"/>
        </w:rPr>
        <w:t>&lt;Article&gt;</w:t>
      </w:r>
      <w:r w:rsidRPr="00B16DFD">
        <w:t>Betragtning 17</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6FA301"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45CA696" w14:textId="77777777"/>
        </w:tc>
      </w:tr>
      <w:tr w14:paraId="09EBA117"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2CD4763"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8387BA0" w14:textId="77777777">
            <w:pPr>
              <w:pStyle w:val="AmColumnHeading"/>
            </w:pPr>
            <w:r w:rsidRPr="00B16DFD">
              <w:t>Ændringsforslag</w:t>
            </w:r>
          </w:p>
        </w:tc>
      </w:tr>
      <w:tr w14:paraId="3982B3F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F8F9B6A" w14:textId="77777777">
            <w:pPr>
              <w:pStyle w:val="Normal6a"/>
            </w:pPr>
            <w:r w:rsidRPr="00B16DFD">
              <w:t>(17)</w:t>
            </w:r>
            <w:r w:rsidRPr="00B16DFD">
              <w:tab/>
              <w:t xml:space="preserve">På grund af manglen på en mekanisme for gensidig anerkendelse af administrative afgørelser har de nationale kompetente myndigheder betydelige vanskeligheder med at tvangsinddrive administrative bøder i en grænseoverskridende sammenhæng. For at sikre en effektiv håndhævelse af reglerne og et velfungerende indre marked for finansielle tjenesteydelser er det nødvendigt at indføre en mekanisme for gensidig anerkendelse af afgørelser om pålæggelse af en administrativ bøde og for bistand til at efterkomme anmodninger om inddrivelse af en sådan bøde, og en sådan mekanisme bør være baseret på princippet om gensidig </w:t>
            </w:r>
            <w:r w:rsidRPr="00B16DFD">
              <w:rPr>
                <w:b/>
                <w:i/>
              </w:rPr>
              <w:t>tillid</w:t>
            </w:r>
            <w:r w:rsidRPr="00B16DFD">
              <w:t xml:space="preserve">. Med henblik herpå bør grundene til at afslå at efterkomme anmodningen om inddrivelse af en </w:t>
            </w:r>
            <w:r w:rsidRPr="00B16DFD">
              <w:t>administrativ bøde begrænses til det nødvendige minimum.</w:t>
            </w:r>
          </w:p>
        </w:tc>
        <w:tc>
          <w:tcPr>
            <w:tcW w:w="4876" w:type="dxa"/>
            <w:tcBorders>
              <w:top w:val="nil"/>
              <w:left w:val="nil"/>
              <w:bottom w:val="nil"/>
              <w:right w:val="nil"/>
            </w:tcBorders>
            <w:hideMark/>
          </w:tcPr>
          <w:p w:rsidR="00365C9B" w:rsidRPr="00B16DFD" w:rsidP="00F61C80" w14:paraId="334A03DB" w14:textId="77777777">
            <w:pPr>
              <w:pStyle w:val="Normal6a"/>
            </w:pPr>
            <w:r w:rsidRPr="00B16DFD">
              <w:t>(17)</w:t>
            </w:r>
            <w:r w:rsidRPr="00B16DFD">
              <w:tab/>
              <w:t xml:space="preserve">På grund af manglen på en mekanisme for gensidig anerkendelse af administrative afgørelser har de nationale kompetente myndigheder betydelige vanskeligheder med at tvangsinddrive administrative bøder i en grænseoverskridende sammenhæng. For at sikre en effektiv håndhævelse af reglerne og et velfungerende indre marked for finansielle tjenesteydelser er det nødvendigt at indføre en mekanisme for gensidig anerkendelse af afgørelser om pålæggelse af en administrativ bøde og for bistand til at efterkomme anmodninger om inddrivelse af en sådan bøde, og en sådan mekanisme bør være baseret på princippet om gensidig </w:t>
            </w:r>
            <w:r w:rsidRPr="00B16DFD">
              <w:rPr>
                <w:b/>
                <w:i/>
              </w:rPr>
              <w:t>bistand</w:t>
            </w:r>
            <w:r w:rsidRPr="00B16DFD">
              <w:t xml:space="preserve">. Med henblik herpå bør grundene til at afslå at efterkomme anmodningen om inddrivelse af en </w:t>
            </w:r>
            <w:r w:rsidRPr="00B16DFD">
              <w:t>administrativ bøde begrænses til det nødvendige minimum.</w:t>
            </w:r>
          </w:p>
        </w:tc>
      </w:tr>
    </w:tbl>
    <w:p w:rsidR="00365C9B" w:rsidRPr="00734CAA" w:rsidP="00365C9B" w14:paraId="663DCDAF"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C08A80F" w14:textId="77777777">
      <w:pPr>
        <w:rPr>
          <w:lang w:val="en-GB"/>
        </w:rPr>
      </w:pPr>
      <w:r w:rsidRPr="00734CAA">
        <w:rPr>
          <w:rStyle w:val="HideTWBExt"/>
          <w:color w:val="auto"/>
          <w:lang w:val="en-GB"/>
        </w:rPr>
        <w:t>&lt;/Amend&gt;</w:t>
      </w:r>
    </w:p>
    <w:p w:rsidR="00365C9B" w:rsidRPr="00734CAA" w:rsidP="00365C9B" w14:paraId="4276A8B7"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225</w:t>
      </w:r>
      <w:r w:rsidRPr="00734CAA">
        <w:rPr>
          <w:rStyle w:val="HideTWBExt"/>
          <w:color w:val="auto"/>
          <w:lang w:val="en-GB"/>
        </w:rPr>
        <w:t>&lt;/NumAm&gt;</w:t>
      </w:r>
    </w:p>
    <w:p w:rsidR="00365C9B" w:rsidRPr="00734CAA" w:rsidP="00365C9B" w14:paraId="5D335F54" w14:textId="77777777">
      <w:pPr>
        <w:pStyle w:val="NormalBold"/>
        <w:rPr>
          <w:lang w:val="en-GB"/>
        </w:rPr>
      </w:pPr>
      <w:r w:rsidRPr="00734CAA">
        <w:rPr>
          <w:rStyle w:val="HideTWBExt"/>
          <w:b w:val="0"/>
          <w:color w:val="auto"/>
          <w:lang w:val="en-GB"/>
        </w:rPr>
        <w:t>&lt;RepeatBlock-By&gt;&lt;Members&gt;</w:t>
      </w:r>
      <w:r w:rsidRPr="00734CAA">
        <w:rPr>
          <w:lang w:val="en-GB"/>
        </w:rPr>
        <w:t>Markus Ferber</w:t>
      </w:r>
      <w:r w:rsidRPr="00734CAA">
        <w:rPr>
          <w:rStyle w:val="HideTWBExt"/>
          <w:b w:val="0"/>
          <w:color w:val="auto"/>
          <w:lang w:val="en-GB"/>
        </w:rPr>
        <w:t>&lt;/Members&gt;</w:t>
      </w:r>
    </w:p>
    <w:p w:rsidR="00365C9B" w:rsidRPr="00734CAA" w:rsidP="00365C9B" w14:paraId="16DCF41B" w14:textId="77777777">
      <w:pPr>
        <w:pStyle w:val="NormalBold"/>
        <w:rPr>
          <w:lang w:val="en-GB"/>
        </w:rPr>
      </w:pPr>
      <w:r w:rsidRPr="00734CAA">
        <w:rPr>
          <w:rStyle w:val="HideTWBExt"/>
          <w:b w:val="0"/>
          <w:color w:val="auto"/>
          <w:lang w:val="en-GB"/>
        </w:rPr>
        <w:t>&lt;/RepeatBlock-By&gt;</w:t>
      </w:r>
    </w:p>
    <w:p w:rsidR="00365C9B" w:rsidRPr="00B16DFD" w:rsidP="00365C9B" w14:paraId="358D7A70"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F9EF13C" w14:textId="77777777">
      <w:pPr>
        <w:pStyle w:val="NormalBold"/>
        <w:rPr>
          <w:lang w:val="en-GB"/>
        </w:rPr>
      </w:pPr>
      <w:r w:rsidRPr="00734CAA">
        <w:rPr>
          <w:rStyle w:val="HideTWBExt"/>
          <w:color w:val="auto"/>
          <w:lang w:val="en-GB"/>
        </w:rPr>
        <w:t>&lt;Article&gt;</w:t>
      </w:r>
      <w:r w:rsidRPr="00734CAA">
        <w:rPr>
          <w:lang w:val="en-GB"/>
        </w:rPr>
        <w:t>Betragtning 17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C902AF"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5F993667" w14:textId="77777777">
            <w:pPr>
              <w:rPr>
                <w:lang w:val="en-GB"/>
              </w:rPr>
            </w:pPr>
          </w:p>
        </w:tc>
      </w:tr>
      <w:tr w14:paraId="1845FA1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178B15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E373DAE" w14:textId="77777777">
            <w:pPr>
              <w:pStyle w:val="AmColumnHeading"/>
            </w:pPr>
            <w:r w:rsidRPr="00B16DFD">
              <w:t>Ændringsforslag</w:t>
            </w:r>
          </w:p>
        </w:tc>
      </w:tr>
      <w:tr w14:paraId="0B4BF63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F9892A2" w14:textId="77777777">
            <w:pPr>
              <w:pStyle w:val="Normal6a"/>
            </w:pPr>
          </w:p>
        </w:tc>
        <w:tc>
          <w:tcPr>
            <w:tcW w:w="4876" w:type="dxa"/>
            <w:tcBorders>
              <w:top w:val="nil"/>
              <w:left w:val="nil"/>
              <w:bottom w:val="nil"/>
              <w:right w:val="nil"/>
            </w:tcBorders>
            <w:hideMark/>
          </w:tcPr>
          <w:p w:rsidR="00365C9B" w:rsidRPr="00B16DFD" w:rsidP="00F61C80" w14:paraId="2B3E2CDD" w14:textId="77777777">
            <w:pPr>
              <w:pStyle w:val="Normal6a"/>
            </w:pPr>
            <w:r w:rsidRPr="00B16DFD">
              <w:rPr>
                <w:b/>
                <w:i/>
              </w:rPr>
              <w:t>(17a)</w:t>
            </w:r>
            <w:r w:rsidRPr="00B16DFD">
              <w:tab/>
            </w:r>
            <w:r w:rsidRPr="00B16DFD">
              <w:rPr>
                <w:b/>
                <w:i/>
              </w:rPr>
              <w:t>EU-tilsynshåndbogen udformer den daglige tilsynspraksis i hele Unionen mere direkte end nogen erklæring om mål på højt plan. For at sikre at konvergens i retning af fælles tilsynstilgange ikke sker på bekostning af konkurrenceevnen på EU-kapitalmarkederne, bør udviklingen af håndbogen tage behørigt hensyn til dens indvirkning på markedets konkurrenceevne og bør være styret af proportionalitetsprincippet.</w:t>
            </w:r>
          </w:p>
        </w:tc>
      </w:tr>
    </w:tbl>
    <w:p w:rsidR="00365C9B" w:rsidRPr="00734CAA" w:rsidP="00365C9B" w14:paraId="7C31BDAC"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B466EF1" w14:textId="77777777">
      <w:pPr>
        <w:rPr>
          <w:lang w:val="en-GB"/>
        </w:rPr>
      </w:pPr>
      <w:r w:rsidRPr="00734CAA">
        <w:rPr>
          <w:rStyle w:val="HideTWBExt"/>
          <w:color w:val="auto"/>
          <w:lang w:val="en-GB"/>
        </w:rPr>
        <w:t>&lt;/Amend&gt;</w:t>
      </w:r>
    </w:p>
    <w:p w:rsidR="00365C9B" w:rsidRPr="00734CAA" w:rsidP="00365C9B" w14:paraId="053399EC"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226</w:t>
      </w:r>
      <w:r w:rsidRPr="00734CAA">
        <w:rPr>
          <w:rStyle w:val="HideTWBExt"/>
          <w:color w:val="auto"/>
          <w:lang w:val="en-GB"/>
        </w:rPr>
        <w:t>&lt;/NumAm&gt;</w:t>
      </w:r>
    </w:p>
    <w:p w:rsidR="00365C9B" w:rsidRPr="00734CAA" w:rsidP="00365C9B" w14:paraId="27A4A96F"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Nikos Papandreou</w:t>
      </w:r>
      <w:r w:rsidRPr="00734CAA">
        <w:rPr>
          <w:rStyle w:val="HideTWBExt"/>
          <w:b w:val="0"/>
          <w:color w:val="auto"/>
          <w:lang w:val="en-GB"/>
        </w:rPr>
        <w:t>&lt;/Members&gt;</w:t>
      </w:r>
    </w:p>
    <w:p w:rsidR="00365C9B" w:rsidRPr="00B16DFD" w:rsidP="00365C9B" w14:paraId="7304D1BA" w14:textId="77777777">
      <w:pPr>
        <w:pStyle w:val="NormalBold"/>
      </w:pPr>
      <w:r w:rsidRPr="00B16DFD">
        <w:rPr>
          <w:rStyle w:val="HideTWBExt"/>
          <w:b w:val="0"/>
          <w:color w:val="auto"/>
        </w:rPr>
        <w:t>&lt;/RepeatBlock-By&gt;</w:t>
      </w:r>
    </w:p>
    <w:p w:rsidR="00365C9B" w:rsidRPr="00B16DFD" w:rsidP="00365C9B" w14:paraId="1AEEB49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5292235F" w14:textId="77777777">
      <w:pPr>
        <w:pStyle w:val="NormalBold"/>
        <w:rPr>
          <w:lang w:val="en-GB"/>
        </w:rPr>
      </w:pPr>
      <w:r w:rsidRPr="00734CAA">
        <w:rPr>
          <w:rStyle w:val="HideTWBExt"/>
          <w:color w:val="auto"/>
          <w:lang w:val="en-GB"/>
        </w:rPr>
        <w:t>&lt;Article&gt;</w:t>
      </w:r>
      <w:r w:rsidRPr="00734CAA">
        <w:rPr>
          <w:lang w:val="en-GB"/>
        </w:rPr>
        <w:t>Betragtning 18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AB9F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4B63E7A6" w14:textId="77777777">
            <w:pPr>
              <w:rPr>
                <w:lang w:val="en-GB"/>
              </w:rPr>
            </w:pPr>
          </w:p>
        </w:tc>
      </w:tr>
      <w:tr w14:paraId="333575B1"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07D6A29"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65E8587" w14:textId="77777777">
            <w:pPr>
              <w:pStyle w:val="AmColumnHeading"/>
            </w:pPr>
            <w:r w:rsidRPr="00B16DFD">
              <w:t>Ændringsforslag</w:t>
            </w:r>
          </w:p>
        </w:tc>
      </w:tr>
      <w:tr w14:paraId="56FCE3C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24F0E57D" w14:textId="77777777">
            <w:pPr>
              <w:pStyle w:val="Normal6a"/>
            </w:pPr>
          </w:p>
        </w:tc>
        <w:tc>
          <w:tcPr>
            <w:tcW w:w="4876" w:type="dxa"/>
            <w:tcBorders>
              <w:top w:val="nil"/>
              <w:left w:val="nil"/>
              <w:bottom w:val="nil"/>
              <w:right w:val="nil"/>
            </w:tcBorders>
            <w:hideMark/>
          </w:tcPr>
          <w:p w:rsidR="00365C9B" w:rsidRPr="00B16DFD" w:rsidP="00F61C80" w14:paraId="48A0AC40" w14:textId="48CFF609">
            <w:pPr>
              <w:pStyle w:val="Normal6a"/>
            </w:pPr>
            <w:r w:rsidRPr="00B16DFD">
              <w:rPr>
                <w:b/>
                <w:i/>
              </w:rPr>
              <w:t>(18a)</w:t>
            </w:r>
            <w:r w:rsidRPr="00B16DFD">
              <w:tab/>
            </w:r>
            <w:r w:rsidRPr="00B16DFD">
              <w:rPr>
                <w:b/>
                <w:i/>
              </w:rPr>
              <w:t xml:space="preserve">Hvis tilsynsbeføjelser overføres fra nationale kompetente myndigheder til ESMA i henhold til denne forordning, bør de tilsynsgebyrer og </w:t>
            </w:r>
            <w:r w:rsidRPr="00B16DFD">
              <w:rPr>
                <w:b/>
                <w:i/>
              </w:rPr>
              <w:noBreakHyphen/>
              <w:t xml:space="preserve">afgifter, som disse myndigheder opkræver for enheder, der bliver underlagt direkte ESMA-tilsyn, afspejle de tilsynsopgaver, som disse myndigheder varetager efter en sådan overførsel. Dette princip har til formål at </w:t>
            </w:r>
            <w:r w:rsidRPr="00B16DFD">
              <w:rPr>
                <w:b/>
                <w:i/>
              </w:rPr>
              <w:t xml:space="preserve">understøtte proportionalitet og undgå </w:t>
            </w:r>
            <w:r w:rsidR="00AA1655">
              <w:rPr>
                <w:b/>
                <w:i/>
              </w:rPr>
              <w:t>unødig</w:t>
            </w:r>
            <w:r w:rsidRPr="00B16DFD">
              <w:rPr>
                <w:b/>
                <w:i/>
              </w:rPr>
              <w:t>e omkostningsbyrder for regulerede enheder, uden at dette berører de gældende nationale rammer for fastsættelse og justering af sådanne gebyrer og afgifter. Det nye ESMA-tilsynslag må ikke føre til dobbeltopkrævning af de regulerede enheder. Tværtimod bør en mere harmoniseret tilsynsmetode resultere i generelle effektivitetsgevinster.</w:t>
            </w:r>
          </w:p>
        </w:tc>
      </w:tr>
    </w:tbl>
    <w:p w:rsidR="00365C9B" w:rsidRPr="00734CAA" w:rsidP="00365C9B" w14:paraId="3EBBED10"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A82647D" w14:textId="77777777">
      <w:pPr>
        <w:rPr>
          <w:lang w:val="en-GB"/>
        </w:rPr>
      </w:pPr>
      <w:r w:rsidRPr="00734CAA">
        <w:rPr>
          <w:rStyle w:val="HideTWBExt"/>
          <w:color w:val="auto"/>
          <w:lang w:val="en-GB"/>
        </w:rPr>
        <w:t>&lt;/Amend&gt;</w:t>
      </w:r>
    </w:p>
    <w:p w:rsidR="00365C9B" w:rsidRPr="00734CAA" w:rsidP="00365C9B" w14:paraId="27F449E6"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227</w:t>
      </w:r>
      <w:r w:rsidRPr="00734CAA">
        <w:rPr>
          <w:rStyle w:val="HideTWBExt"/>
          <w:color w:val="auto"/>
          <w:lang w:val="en-GB"/>
        </w:rPr>
        <w:t>&lt;/NumAm&gt;</w:t>
      </w:r>
    </w:p>
    <w:p w:rsidR="00365C9B" w:rsidRPr="00734CAA" w:rsidP="00365C9B" w14:paraId="61C3D21F" w14:textId="77777777">
      <w:pPr>
        <w:pStyle w:val="NormalBold"/>
        <w:rPr>
          <w:lang w:val="en-GB"/>
        </w:rPr>
      </w:pPr>
      <w:r w:rsidRPr="00734CAA">
        <w:rPr>
          <w:rStyle w:val="HideTWBExt"/>
          <w:b w:val="0"/>
          <w:color w:val="auto"/>
          <w:lang w:val="en-GB"/>
        </w:rPr>
        <w:t>&lt;RepeatBlock-By&gt;&lt;Members&gt;</w:t>
      </w:r>
      <w:r w:rsidRPr="00734CAA">
        <w:rPr>
          <w:lang w:val="en-GB"/>
        </w:rPr>
        <w:t>Regina Doherty, Martine Kemp</w:t>
      </w:r>
      <w:r w:rsidRPr="00734CAA">
        <w:rPr>
          <w:rStyle w:val="HideTWBExt"/>
          <w:b w:val="0"/>
          <w:color w:val="auto"/>
          <w:lang w:val="en-GB"/>
        </w:rPr>
        <w:t>&lt;/Members&gt;</w:t>
      </w:r>
    </w:p>
    <w:p w:rsidR="00365C9B" w:rsidRPr="00B16DFD" w:rsidP="00365C9B" w14:paraId="3060D9BC" w14:textId="77777777">
      <w:pPr>
        <w:pStyle w:val="NormalBold"/>
      </w:pPr>
      <w:r w:rsidRPr="00B16DFD">
        <w:rPr>
          <w:rStyle w:val="HideTWBExt"/>
          <w:b w:val="0"/>
          <w:color w:val="auto"/>
        </w:rPr>
        <w:t>&lt;/RepeatBlock-By&gt;</w:t>
      </w:r>
    </w:p>
    <w:p w:rsidR="00365C9B" w:rsidRPr="00B16DFD" w:rsidP="00365C9B" w14:paraId="0E8DDF69"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73C07803" w14:textId="77777777">
      <w:pPr>
        <w:pStyle w:val="NormalBold"/>
      </w:pPr>
      <w:r w:rsidRPr="00B16DFD">
        <w:rPr>
          <w:rStyle w:val="HideTWBExt"/>
          <w:color w:val="auto"/>
        </w:rPr>
        <w:t>&lt;Article&gt;</w:t>
      </w:r>
      <w:r w:rsidRPr="00B16DFD">
        <w:t>Betragtning 19</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CB6F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9C9061F" w14:textId="77777777"/>
        </w:tc>
      </w:tr>
      <w:tr w14:paraId="0526079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D04FF0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3B94201" w14:textId="77777777">
            <w:pPr>
              <w:pStyle w:val="AmColumnHeading"/>
            </w:pPr>
            <w:r w:rsidRPr="00B16DFD">
              <w:t>Ændringsforslag</w:t>
            </w:r>
          </w:p>
        </w:tc>
      </w:tr>
      <w:tr w14:paraId="129BD2E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EFEF76A" w14:textId="16AD36A7">
            <w:pPr>
              <w:pStyle w:val="Normal6a"/>
            </w:pPr>
            <w:r w:rsidRPr="00B16DFD">
              <w:t>(19)</w:t>
            </w:r>
            <w:r w:rsidRPr="00B16DFD">
              <w:tab/>
              <w:t xml:space="preserve">I lyset af ESMA's fremtidige nye beføjelser bør dens forvaltningsstruktur tilpasses i overensstemmelse hermed. For at sikre, at ESMA fungerer effektivt og upartisk, er det nødvendigt at styrke dens forvaltning ved at indføre en uafhængig direktion med fuldtidsmedlemmer, </w:t>
            </w:r>
            <w:r w:rsidRPr="00B16DFD">
              <w:rPr>
                <w:b/>
                <w:i/>
              </w:rPr>
              <w:t xml:space="preserve">hvilket bør øge dens kapacitet til at træffe hurtige og EU-orienterede beslutninger, navnlig om tilsyn med deltagere på </w:t>
            </w:r>
            <w:r w:rsidRPr="0055766D" w:rsidR="0055766D">
              <w:rPr>
                <w:b/>
                <w:i/>
              </w:rPr>
              <w:t>finansmarkedet</w:t>
            </w:r>
            <w:r w:rsidRPr="00B16DFD">
              <w:rPr>
                <w:b/>
                <w:i/>
              </w:rPr>
              <w:t>. Direktionen,</w:t>
            </w:r>
            <w:r w:rsidRPr="00B16DFD">
              <w:t xml:space="preserve"> der består af formanden og fem uafhængige fuldtidsmedlemmer med forskellig tilsynsmæssig erfaring og</w:t>
            </w:r>
            <w:r w:rsidRPr="00B16DFD">
              <w:rPr>
                <w:b/>
                <w:i/>
              </w:rPr>
              <w:t xml:space="preserve"> ekspertise i de sektorer, der er under ESMA's tilsyn,</w:t>
            </w:r>
            <w:r w:rsidRPr="00B16DFD">
              <w:t xml:space="preserve"> bør være ansvarlig for afgørelser rettet til deltagere på </w:t>
            </w:r>
            <w:r w:rsidRPr="0055766D" w:rsidR="0055766D">
              <w:rPr>
                <w:bCs/>
                <w:iCs/>
              </w:rPr>
              <w:t>finansmarkede</w:t>
            </w:r>
            <w:r w:rsidR="0055766D">
              <w:rPr>
                <w:bCs/>
                <w:iCs/>
              </w:rPr>
              <w:t>t</w:t>
            </w:r>
            <w:r w:rsidRPr="00B16DFD">
              <w:t xml:space="preserve"> i tilsynsspørgsmål. Direktionen bør også være ansvarlig for afgørelser rettet til én eller et begrænset antal kompetente myndigheder, herunder tvistbilæggelse, overtrædelser af EU-retten og peerevalueringer. </w:t>
            </w:r>
            <w:r w:rsidRPr="00B16DFD">
              <w:rPr>
                <w:b/>
                <w:i/>
              </w:rPr>
              <w:t xml:space="preserve">Disse afgørelser tildeles direktionen for at øge beslutningsprocessens smidighed og </w:t>
            </w:r>
            <w:r w:rsidRPr="00B16DFD">
              <w:rPr>
                <w:b/>
                <w:i/>
              </w:rPr>
              <w:t>reaktionsevne og for at sikre, at der i afgørelserne tages hensyn til en fælles europæisk interesse. Direktionen bør også overtage det nuværende styrelsesudvalgs kompetence i forbindelse med udarbejdelsen af ESMA's arbejdsprogrammer og budget. Dette bør sikre effektive, upartiske og EU-orienterede beslutninger. For at sikre gennemsigtighed og demokratisk kontrol bør direktionens fuldtidsmedlemmer udnævnes af Rådet på grundlag af en udvalgt liste udarbejdet af Kommissionen og et forslag fra tilsynsrådet efter godkendelse fra Europa-Parlamentet.</w:t>
            </w:r>
          </w:p>
        </w:tc>
        <w:tc>
          <w:tcPr>
            <w:tcW w:w="4876" w:type="dxa"/>
            <w:tcBorders>
              <w:top w:val="nil"/>
              <w:left w:val="nil"/>
              <w:bottom w:val="nil"/>
              <w:right w:val="nil"/>
            </w:tcBorders>
            <w:hideMark/>
          </w:tcPr>
          <w:p w:rsidR="00365C9B" w:rsidRPr="00B16DFD" w:rsidP="00F61C80" w14:paraId="36666E22" w14:textId="5CA0A3F1">
            <w:pPr>
              <w:pStyle w:val="Normal6a"/>
            </w:pPr>
            <w:r w:rsidRPr="00B16DFD">
              <w:t>(19)</w:t>
            </w:r>
            <w:r w:rsidRPr="00B16DFD">
              <w:tab/>
              <w:t>I lyset af ESMA's fremtidige nye beføjelser bør dens forvaltningsstruktur tilpasses i overensstemmelse hermed. For at sikre, at ESMA fungerer effektivt og upartisk, er det nødvendigt at styrke dens forvaltning ved at indføre en uafhængig direktion med fuldtidsmedlemmer, der består af formanden og fem uafhængige fuldtidsmedlemmer med forskellig tilsynsmæssig erfaring</w:t>
            </w:r>
            <w:r w:rsidRPr="00B16DFD">
              <w:rPr>
                <w:b/>
                <w:bCs/>
                <w:i/>
                <w:iCs/>
              </w:rPr>
              <w:t xml:space="preserve">, </w:t>
            </w:r>
            <w:r w:rsidRPr="00B16DFD">
              <w:t xml:space="preserve">og </w:t>
            </w:r>
            <w:r w:rsidRPr="00B16DFD">
              <w:rPr>
                <w:b/>
                <w:bCs/>
                <w:i/>
                <w:iCs/>
              </w:rPr>
              <w:t xml:space="preserve">som </w:t>
            </w:r>
            <w:r w:rsidRPr="00B16DFD">
              <w:t xml:space="preserve">bør være ansvarlig for afgørelser rettet til deltagere på </w:t>
            </w:r>
            <w:r w:rsidRPr="0055766D" w:rsidR="0055766D">
              <w:rPr>
                <w:bCs/>
                <w:iCs/>
              </w:rPr>
              <w:t>finansmarkede</w:t>
            </w:r>
            <w:r w:rsidR="0055766D">
              <w:rPr>
                <w:bCs/>
                <w:iCs/>
              </w:rPr>
              <w:t>t</w:t>
            </w:r>
            <w:r w:rsidRPr="00B16DFD">
              <w:t xml:space="preserve"> i tilsynsspørgsmål. Direktionen bør også være ansvarlig for afgørelser rettet til én eller et begrænset antal kompetente myndigheder, herunder tvistbilæggelse, overtrædelser af EU-retten og peerevalueringer.</w:t>
            </w:r>
          </w:p>
        </w:tc>
      </w:tr>
    </w:tbl>
    <w:p w:rsidR="00365C9B" w:rsidRPr="00734CAA" w:rsidP="00365C9B" w14:paraId="7EF71633"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81B8F65" w14:textId="77777777">
      <w:pPr>
        <w:rPr>
          <w:lang w:val="en-GB"/>
        </w:rPr>
      </w:pPr>
      <w:r w:rsidRPr="00734CAA">
        <w:rPr>
          <w:rStyle w:val="HideTWBExt"/>
          <w:color w:val="auto"/>
          <w:lang w:val="en-GB"/>
        </w:rPr>
        <w:t>&lt;/Amend&gt;</w:t>
      </w:r>
    </w:p>
    <w:p w:rsidR="00365C9B" w:rsidRPr="00734CAA" w:rsidP="00365C9B" w14:paraId="2D1E9793"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228</w:t>
      </w:r>
      <w:r w:rsidRPr="00734CAA">
        <w:rPr>
          <w:rStyle w:val="HideTWBExt"/>
          <w:color w:val="auto"/>
          <w:lang w:val="en-GB"/>
        </w:rPr>
        <w:t>&lt;/NumAm&gt;</w:t>
      </w:r>
    </w:p>
    <w:p w:rsidR="00365C9B" w:rsidRPr="00734CAA" w:rsidP="00365C9B" w14:paraId="09A9BCC5" w14:textId="77777777">
      <w:pPr>
        <w:pStyle w:val="NormalBold"/>
        <w:rPr>
          <w:lang w:val="en-GB"/>
        </w:rPr>
      </w:pPr>
      <w:r w:rsidRPr="00734CAA">
        <w:rPr>
          <w:rStyle w:val="HideTWBExt"/>
          <w:b w:val="0"/>
          <w:color w:val="auto"/>
          <w:lang w:val="en-GB"/>
        </w:rPr>
        <w:t>&lt;RepeatBlock-By&gt;&lt;Members&gt;</w:t>
      </w:r>
      <w:r w:rsidRPr="00734CAA">
        <w:rPr>
          <w:lang w:val="en-GB"/>
        </w:rPr>
        <w:t>Arba Kokalari</w:t>
      </w:r>
      <w:r w:rsidRPr="00734CAA">
        <w:rPr>
          <w:rStyle w:val="HideTWBExt"/>
          <w:b w:val="0"/>
          <w:color w:val="auto"/>
          <w:lang w:val="en-GB"/>
        </w:rPr>
        <w:t>&lt;/Members&gt;</w:t>
      </w:r>
    </w:p>
    <w:p w:rsidR="00365C9B" w:rsidRPr="00B16DFD" w:rsidP="00365C9B" w14:paraId="4FBB874A" w14:textId="77777777">
      <w:pPr>
        <w:pStyle w:val="NormalBold"/>
      </w:pPr>
      <w:r w:rsidRPr="00B16DFD">
        <w:rPr>
          <w:rStyle w:val="HideTWBExt"/>
          <w:b w:val="0"/>
          <w:color w:val="auto"/>
        </w:rPr>
        <w:t>&lt;/RepeatBlock-By&gt;</w:t>
      </w:r>
    </w:p>
    <w:p w:rsidR="00365C9B" w:rsidRPr="00B16DFD" w:rsidP="00365C9B" w14:paraId="684204C9"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47BE8A3B" w14:textId="77777777">
      <w:pPr>
        <w:pStyle w:val="NormalBold"/>
      </w:pPr>
      <w:r w:rsidRPr="00B16DFD">
        <w:rPr>
          <w:rStyle w:val="HideTWBExt"/>
          <w:color w:val="auto"/>
        </w:rPr>
        <w:t>&lt;Article&gt;</w:t>
      </w:r>
      <w:r w:rsidRPr="00B16DFD">
        <w:t>Betragtning 19</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AC96C0"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3C9D2E5" w14:textId="77777777"/>
        </w:tc>
      </w:tr>
      <w:tr w14:paraId="44FD29E4"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8200B7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0645AD4" w14:textId="77777777">
            <w:pPr>
              <w:pStyle w:val="AmColumnHeading"/>
            </w:pPr>
            <w:r w:rsidRPr="00B16DFD">
              <w:t>Ændringsforslag</w:t>
            </w:r>
          </w:p>
        </w:tc>
      </w:tr>
      <w:tr w14:paraId="4BC8FE7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3F3CF67B" w14:textId="23D1C68A">
            <w:pPr>
              <w:pStyle w:val="Normal6a"/>
            </w:pPr>
            <w:r w:rsidRPr="00B16DFD">
              <w:t>(19)</w:t>
            </w:r>
            <w:r w:rsidRPr="00B16DFD">
              <w:tab/>
              <w:t xml:space="preserve">I lyset af ESMA's fremtidige nye beføjelser bør dens forvaltningsstruktur tilpasses i overensstemmelse hermed. For at sikre, at ESMA fungerer effektivt og upartisk, er det nødvendigt at styrke dens forvaltning ved at indføre en uafhængig direktion med fuldtidsmedlemmer, hvilket bør øge dens kapacitet til at træffe hurtige og EU-orienterede beslutninger, navnlig om tilsyn med deltagere på </w:t>
            </w:r>
            <w:r w:rsidR="00A604CF">
              <w:t>finansmarkedet</w:t>
            </w:r>
            <w:r w:rsidRPr="00B16DFD">
              <w:t>. Direktionen</w:t>
            </w:r>
            <w:r w:rsidRPr="00B16DFD">
              <w:rPr>
                <w:b/>
                <w:bCs/>
                <w:i/>
                <w:iCs/>
              </w:rPr>
              <w:t>, der</w:t>
            </w:r>
            <w:r w:rsidRPr="00B16DFD">
              <w:t xml:space="preserve"> består af formanden og fem uafhængige fuldtidsmedlemmer med forskellig tilsynsmæssig erfaring og ekspertise i de sektorer, der er under ESMA's tilsyn, bør være ansvarlig for afgørelser rettet til deltagere på</w:t>
            </w:r>
            <w:r w:rsidR="00CB6039">
              <w:t xml:space="preserve"> finansmarked</w:t>
            </w:r>
            <w:r w:rsidR="00242139">
              <w:t>et</w:t>
            </w:r>
            <w:r w:rsidRPr="00B16DFD">
              <w:t xml:space="preserve"> i tilsynsspørgsmål. Direktionen bør også være ansvarlig for afgørelser rettet til én eller et begrænset antal kompetente myndigheder, herunder tvistbilæggelse, </w:t>
            </w:r>
            <w:r w:rsidRPr="00B16DFD">
              <w:t>overtrædelser af EU-retten og peerevalueringer. Disse afgørelser tildeles direktionen for at øge beslutningsprocessens smidighed og reaktionsevne og for at sikre, at der i afgørelserne tages hensyn til en fælles europæisk interesse. Direktionen bør også overtage det nuværende styrelsesudvalgs kompetence i forbindelse med udarbejdelsen af ESMA's arbejdsprogrammer og budget. Dette bør sikre effektive, upartiske og EU-orienterede beslutninger. For at sikre gennemsigtighed og demokratisk kontrol bør direktionens fuldtidsmedlemmer udnævnes af Rådet på grundlag af en udvalgt liste udarbejdet af Kommissionen og et forslag fra tilsynsrådet efter godkendelse fra Europa-Parlamentet.</w:t>
            </w:r>
          </w:p>
        </w:tc>
        <w:tc>
          <w:tcPr>
            <w:tcW w:w="4876" w:type="dxa"/>
            <w:tcBorders>
              <w:top w:val="nil"/>
              <w:left w:val="nil"/>
              <w:bottom w:val="nil"/>
              <w:right w:val="nil"/>
            </w:tcBorders>
            <w:hideMark/>
          </w:tcPr>
          <w:p w:rsidR="00365C9B" w:rsidRPr="00B16DFD" w:rsidP="00F61C80" w14:paraId="20C8A0AE" w14:textId="0A4A30C3">
            <w:pPr>
              <w:pStyle w:val="Normal6a"/>
            </w:pPr>
            <w:r w:rsidRPr="00B16DFD">
              <w:t>(19)</w:t>
            </w:r>
            <w:r w:rsidRPr="00B16DFD">
              <w:tab/>
              <w:t>I lyset af ESMA's fremtidige nye beføjelser bør dens forvaltningsstruktur tilpasses i overensstemmelse hermed. For at sikre, at ESMA fungerer effektivt og upartisk, er det nødvendigt at styrke dens forvaltning ved at indføre en uafhængig direktion med fuldtidsmedlemmer, hvilket bør øge dens kapacitet til at træffe hurtige og EU-orienterede beslutninger, navnlig om tilsyn med deltagere på</w:t>
            </w:r>
            <w:r w:rsidR="00CB6039">
              <w:t xml:space="preserve"> finansmarked</w:t>
            </w:r>
            <w:r w:rsidR="00242139">
              <w:t>et</w:t>
            </w:r>
            <w:r w:rsidRPr="00B16DFD">
              <w:t xml:space="preserve">. Direktionen består af formanden og fem uafhængige fuldtidsmedlemmer med forskellig tilsynsmæssig erfaring og ekspertise i de sektorer, der er under ESMA's tilsyn, </w:t>
            </w:r>
            <w:r w:rsidRPr="00B16DFD">
              <w:rPr>
                <w:b/>
                <w:i/>
              </w:rPr>
              <w:t xml:space="preserve">samt fra de vigtigste kapitalmarkeder under tilsyn. For at sikre sidstnævnte bør dets medlemskab afspejle objektive kriterier, der tager højde for kapitalmarkedets samlede størrelse (f.eks. børsværdi), kapitalmarkedets betydning for den </w:t>
            </w:r>
            <w:r w:rsidRPr="00B16DFD">
              <w:rPr>
                <w:b/>
                <w:i/>
              </w:rPr>
              <w:t>nationale økonomi (f.eks. samlet kapitalmarkedsfinansiering til BNP og gennemsnitlig detailinvestorkapital pr. indbygger) og finansieret pensionskapital til BNP. Direktionen</w:t>
            </w:r>
            <w:r w:rsidRPr="00B16DFD">
              <w:t xml:space="preserve"> bør være ansvarlig for afgørelser rettet til deltagere på</w:t>
            </w:r>
            <w:r w:rsidR="00CB6039">
              <w:t xml:space="preserve"> finansmarked</w:t>
            </w:r>
            <w:r w:rsidR="00242139">
              <w:t>et</w:t>
            </w:r>
            <w:r w:rsidRPr="00B16DFD">
              <w:t xml:space="preserve"> i tilsynsspørgsmål. Direktionen bør også være ansvarlig for afgørelser rettet til én eller et begrænset antal kompetente myndigheder, herunder tvistbilæggelse, overtrædelser af EU-retten og peerevalueringer. Disse afgørelser tildeles direktionen for at øge beslutningsprocessens smidighed og reaktionsevne og for at sikre, at der i afgørelserne tages hensyn til en fælles europæisk interesse. Direktionen bør også overtage det nuværende styrelsesudvalgs kompetence i forbindelse med udarbejdelsen af ESMA's arbejdsprogrammer og budget. Dette bør sikre effektive, upartiske og EU-orienterede beslutninger. For at sikre gennemsigtighed og demokratisk kontrol bør direktionens fuldtidsmedlemmer udnævnes af Rådet på grundlag af en udvalgt liste udarbejdet af Kommissionen og et forslag fra tilsynsrådet efter godkendelse fra Europa-Parlamentet.</w:t>
            </w:r>
          </w:p>
        </w:tc>
      </w:tr>
    </w:tbl>
    <w:p w:rsidR="00365C9B" w:rsidRPr="00734CAA" w:rsidP="00365C9B" w14:paraId="78D5F69C"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362BC67" w14:textId="77777777">
      <w:pPr>
        <w:rPr>
          <w:lang w:val="en-GB"/>
        </w:rPr>
      </w:pPr>
      <w:r w:rsidRPr="00734CAA">
        <w:rPr>
          <w:rStyle w:val="HideTWBExt"/>
          <w:color w:val="auto"/>
          <w:lang w:val="en-GB"/>
        </w:rPr>
        <w:t>&lt;/Amend&gt;</w:t>
      </w:r>
    </w:p>
    <w:p w:rsidR="00365C9B" w:rsidRPr="00734CAA" w:rsidP="00365C9B" w14:paraId="0801D447"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229</w:t>
      </w:r>
      <w:r w:rsidRPr="00734CAA">
        <w:rPr>
          <w:rStyle w:val="HideTWBExt"/>
          <w:color w:val="auto"/>
          <w:lang w:val="en-GB"/>
        </w:rPr>
        <w:t>&lt;/NumAm&gt;</w:t>
      </w:r>
    </w:p>
    <w:p w:rsidR="00365C9B" w:rsidRPr="00734CAA" w:rsidP="00365C9B" w14:paraId="49395BB8"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388076F7" w14:textId="77777777">
      <w:pPr>
        <w:pStyle w:val="NormalBold"/>
      </w:pPr>
      <w:r w:rsidRPr="00B16DFD">
        <w:rPr>
          <w:rStyle w:val="HideTWBExt"/>
          <w:b w:val="0"/>
          <w:color w:val="auto"/>
        </w:rPr>
        <w:t>&lt;/RepeatBlock-By&gt;</w:t>
      </w:r>
    </w:p>
    <w:p w:rsidR="00365C9B" w:rsidRPr="00B16DFD" w:rsidP="00365C9B" w14:paraId="3360A265"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1D42CD2B" w14:textId="77777777">
      <w:pPr>
        <w:pStyle w:val="NormalBold"/>
      </w:pPr>
      <w:r w:rsidRPr="00B16DFD">
        <w:rPr>
          <w:rStyle w:val="HideTWBExt"/>
          <w:color w:val="auto"/>
        </w:rPr>
        <w:t>&lt;Article&gt;</w:t>
      </w:r>
      <w:r w:rsidRPr="00B16DFD">
        <w:t>Betragtning 19</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7B153"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6C5A13F" w14:textId="77777777"/>
        </w:tc>
      </w:tr>
      <w:tr w14:paraId="0849C59C"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5EA82E9"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0AD029C" w14:textId="77777777">
            <w:pPr>
              <w:pStyle w:val="AmColumnHeading"/>
            </w:pPr>
            <w:r w:rsidRPr="00B16DFD">
              <w:t>Ændringsforslag</w:t>
            </w:r>
          </w:p>
        </w:tc>
      </w:tr>
      <w:tr w14:paraId="63BB776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12EA839" w14:textId="7FDF3A78">
            <w:pPr>
              <w:pStyle w:val="Normal6a"/>
            </w:pPr>
            <w:r w:rsidRPr="00B16DFD">
              <w:t>(19)</w:t>
            </w:r>
            <w:r w:rsidRPr="00B16DFD">
              <w:tab/>
              <w:t xml:space="preserve">I lyset af ESMA's fremtidige nye beføjelser bør dens forvaltningsstruktur tilpasses i overensstemmelse hermed. For at sikre, at ESMA fungerer effektivt og upartisk, er det nødvendigt at styrke dens forvaltning ved at indføre en uafhængig direktion med fuldtidsmedlemmer, hvilket </w:t>
            </w:r>
            <w:r w:rsidRPr="00B16DFD">
              <w:t>bør øge dens kapacitet til at træffe hurtige og EU-orienterede beslutninger, navnlig om tilsyn med deltagere på</w:t>
            </w:r>
            <w:r w:rsidR="00CB6039">
              <w:t xml:space="preserve"> finansmarked</w:t>
            </w:r>
            <w:r w:rsidR="00242139">
              <w:t>et</w:t>
            </w:r>
            <w:r w:rsidRPr="00B16DFD">
              <w:t>. Direktionen, der består af formanden og fem uafhængige fuldtidsmedlemmer med forskellig tilsynsmæssig erfaring og ekspertise i de sektorer, der er under ESMA's tilsyn, bør være ansvarlig for afgørelser rettet til deltagere på</w:t>
            </w:r>
            <w:r w:rsidR="00CB6039">
              <w:t xml:space="preserve"> finansmarked</w:t>
            </w:r>
            <w:r w:rsidR="00242139">
              <w:t>et</w:t>
            </w:r>
            <w:r w:rsidRPr="00B16DFD">
              <w:t xml:space="preserve"> i tilsynsspørgsmål. Direktionen bør også være ansvarlig for afgørelser rettet til én eller et begrænset antal kompetente myndigheder, herunder tvistbilæggelse, overtrædelser af EU-retten og peerevalueringer. Disse afgørelser tildeles direktionen for at øge beslutningsprocessens smidighed og reaktionsevne og for at sikre, at der i afgørelserne tages hensyn til en fælles europæisk interesse. Direktionen bør også overtage det nuværende styrelsesudvalgs kompetence i forbindelse med udarbejdelsen af ESMA's arbejdsprogrammer og budget. Dette bør sikre effektive, upartiske og EU-orienterede beslutninger. For at sikre gennemsigtighed og demokratisk kontrol bør direktionens fuldtidsmedlemmer udnævnes af Rådet på grundlag af en udvalgt liste udarbejdet af Kommissionen og et forslag fra tilsynsrådet efter godkendelse fra Europa-Parlamentet.</w:t>
            </w:r>
          </w:p>
        </w:tc>
        <w:tc>
          <w:tcPr>
            <w:tcW w:w="4876" w:type="dxa"/>
            <w:tcBorders>
              <w:top w:val="nil"/>
              <w:left w:val="nil"/>
              <w:bottom w:val="nil"/>
              <w:right w:val="nil"/>
            </w:tcBorders>
            <w:hideMark/>
          </w:tcPr>
          <w:p w:rsidR="00365C9B" w:rsidRPr="00B16DFD" w:rsidP="00F61C80" w14:paraId="45F85AAD" w14:textId="7E60818D">
            <w:pPr>
              <w:pStyle w:val="Normal6a"/>
            </w:pPr>
            <w:r w:rsidRPr="00B16DFD">
              <w:t>(19)</w:t>
            </w:r>
            <w:r w:rsidRPr="00B16DFD">
              <w:tab/>
              <w:t xml:space="preserve">I lyset af ESMA's fremtidige nye beføjelser bør dens forvaltningsstruktur tilpasses i overensstemmelse hermed. For at sikre, at ESMA fungerer effektivt og upartisk, er det nødvendigt at styrke dens forvaltning ved at indføre en uafhængig direktion med fuldtidsmedlemmer, hvilket </w:t>
            </w:r>
            <w:r w:rsidRPr="00B16DFD">
              <w:t>bør øge dens kapacitet til at træffe hurtige og EU-orienterede beslutninger, navnlig om tilsyn med deltagere på</w:t>
            </w:r>
            <w:r w:rsidR="00CB6039">
              <w:t xml:space="preserve"> finansmarked</w:t>
            </w:r>
            <w:r w:rsidR="00242139">
              <w:t>et</w:t>
            </w:r>
            <w:r w:rsidRPr="00B16DFD">
              <w:t xml:space="preserve">. Direktionen, der består af formanden og fem uafhængige fuldtidsmedlemmer med forskellig tilsynsmæssig erfaring og </w:t>
            </w:r>
            <w:r w:rsidRPr="00B16DFD">
              <w:rPr>
                <w:b/>
                <w:i/>
              </w:rPr>
              <w:t>samlet</w:t>
            </w:r>
            <w:r w:rsidRPr="00B16DFD">
              <w:t xml:space="preserve"> ekspertise i </w:t>
            </w:r>
            <w:r w:rsidRPr="00B16DFD">
              <w:rPr>
                <w:b/>
                <w:i/>
              </w:rPr>
              <w:t xml:space="preserve">hver af </w:t>
            </w:r>
            <w:r w:rsidRPr="00B16DFD">
              <w:t>de sektorer, der er under ESMA's tilsyn, bør være ansvarlig for afgørelser rettet til deltagere på</w:t>
            </w:r>
            <w:r w:rsidR="00CB6039">
              <w:t xml:space="preserve"> finansmarked</w:t>
            </w:r>
            <w:r w:rsidR="00242139">
              <w:t>et</w:t>
            </w:r>
            <w:r w:rsidRPr="00B16DFD">
              <w:t xml:space="preserve"> i tilsynsspørgsmål. Direktionen bør også være ansvarlig for afgørelser rettet til én eller et begrænset antal kompetente myndigheder, herunder tvistbilæggelse, overtrædelser af EU-retten og peerevalueringer. Disse afgørelser tildeles direktionen for at øge beslutningsprocessens smidighed og reaktionsevne og for at sikre, at der i afgørelserne tages hensyn til en fælles europæisk interesse. </w:t>
            </w:r>
            <w:r w:rsidRPr="00B16DFD">
              <w:rPr>
                <w:b/>
                <w:i/>
              </w:rPr>
              <w:t>For at opretholde tvistbilæggelsessystemets integritet i tilfælde, hvor ESMA i sin direkte tilsynsrolle er part i tvisten, bør de relevante direktionsmedlemmer erstattes af medlemmer af tilsynsrådet, når afgørelsen træffes.</w:t>
            </w:r>
            <w:r w:rsidRPr="00B16DFD">
              <w:t xml:space="preserve"> Direktionen bør også overtage det nuværende styrelsesudvalgs kompetence i forbindelse med udarbejdelsen af ESMA's arbejdsprogrammer og budget. Dette bør sikre effektive, upartiske og EU-orienterede beslutninger. For at sikre gennemsigtighed og demokratisk kontrol bør direktionens fuldtidsmedlemmer udnævnes af Rådet på grundlag af en udvalgt liste udarbejdet af Kommissionen og et forslag fra tilsynsrådet efter godkendelse fra Europa-Parlamentet.</w:t>
            </w:r>
          </w:p>
        </w:tc>
      </w:tr>
    </w:tbl>
    <w:p w:rsidR="00365C9B" w:rsidRPr="00734CAA" w:rsidP="00365C9B" w14:paraId="29DF7BD6"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D9E9209" w14:textId="77777777">
      <w:pPr>
        <w:rPr>
          <w:lang w:val="en-GB"/>
        </w:rPr>
      </w:pPr>
      <w:r w:rsidRPr="00734CAA">
        <w:rPr>
          <w:rStyle w:val="HideTWBExt"/>
          <w:color w:val="auto"/>
          <w:lang w:val="en-GB"/>
        </w:rPr>
        <w:t>&lt;/Amend&gt;</w:t>
      </w:r>
    </w:p>
    <w:p w:rsidR="00365C9B" w:rsidRPr="00734CAA" w:rsidP="00365C9B" w14:paraId="6B825FBD"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230</w:t>
      </w:r>
      <w:r w:rsidRPr="00734CAA">
        <w:rPr>
          <w:rStyle w:val="HideTWBExt"/>
          <w:color w:val="auto"/>
          <w:lang w:val="en-GB"/>
        </w:rPr>
        <w:t>&lt;/NumAm&gt;</w:t>
      </w:r>
    </w:p>
    <w:p w:rsidR="00365C9B" w:rsidRPr="00734CAA" w:rsidP="00365C9B" w14:paraId="039FBECA"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2266F8DE"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636619F0" w14:textId="77777777">
      <w:pPr>
        <w:pStyle w:val="NormalBold"/>
        <w:rPr>
          <w:lang w:val="en-GB"/>
        </w:rPr>
      </w:pPr>
      <w:r w:rsidRPr="00734CAA">
        <w:rPr>
          <w:rStyle w:val="HideTWBExt"/>
          <w:b w:val="0"/>
          <w:color w:val="auto"/>
          <w:lang w:val="en-GB"/>
        </w:rPr>
        <w:t>&lt;/RepeatBlock-By&gt;</w:t>
      </w:r>
    </w:p>
    <w:p w:rsidR="00365C9B" w:rsidRPr="00734CAA" w:rsidP="00365C9B" w14:paraId="5EFDFC5B"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50C705AD" w14:textId="77777777">
      <w:pPr>
        <w:pStyle w:val="NormalBold"/>
      </w:pPr>
      <w:r w:rsidRPr="00B16DFD">
        <w:rPr>
          <w:rStyle w:val="HideTWBExt"/>
          <w:color w:val="auto"/>
        </w:rPr>
        <w:t>&lt;Article&gt;</w:t>
      </w:r>
      <w:r w:rsidRPr="00B16DFD">
        <w:t>Betragtning 19</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728E2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E3196C9" w14:textId="77777777"/>
        </w:tc>
      </w:tr>
      <w:tr w14:paraId="75DBB0E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8C49F85"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A28AF59" w14:textId="77777777">
            <w:pPr>
              <w:pStyle w:val="AmColumnHeading"/>
            </w:pPr>
            <w:r w:rsidRPr="00B16DFD">
              <w:t>Ændringsforslag</w:t>
            </w:r>
          </w:p>
        </w:tc>
      </w:tr>
      <w:tr w14:paraId="1C7FB9B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81DE037" w14:textId="37E54AAE">
            <w:pPr>
              <w:pStyle w:val="Normal6a"/>
            </w:pPr>
            <w:r w:rsidRPr="00B16DFD">
              <w:t>(19)</w:t>
            </w:r>
            <w:r w:rsidRPr="00B16DFD">
              <w:tab/>
              <w:t>I lyset af ESMA's fremtidige nye beføjelser bør dens forvaltningsstruktur tilpasses i overensstemmelse hermed. For at sikre, at ESMA fungerer effektivt og upartisk, er det nødvendigt at styrke dens forvaltning ved at indføre en uafhængig direktion med fuldtidsmedlemmer, hvilket bør øge dens kapacitet til at træffe hurtige og EU-orienterede beslutninger, navnlig om tilsyn med deltagere på</w:t>
            </w:r>
            <w:r w:rsidR="00CB6039">
              <w:t xml:space="preserve"> finansmarked</w:t>
            </w:r>
            <w:r w:rsidR="00242139">
              <w:t>et</w:t>
            </w:r>
            <w:r w:rsidRPr="00B16DFD">
              <w:t>. Direktionen, der består af formanden og fem uafhængige fuldtidsmedlemmer med forskellig tilsynsmæssig erfaring og ekspertise i de sektorer, der er under ESMA's tilsyn, bør være ansvarlig for afgørelser rettet til deltagere på</w:t>
            </w:r>
            <w:r w:rsidR="00CB6039">
              <w:t xml:space="preserve"> finansmarked</w:t>
            </w:r>
            <w:r w:rsidR="00242139">
              <w:t>et</w:t>
            </w:r>
            <w:r w:rsidRPr="00B16DFD">
              <w:t xml:space="preserve"> i tilsynsspørgsmål. Direktionen bør også være ansvarlig for afgørelser rettet til én eller et begrænset antal kompetente myndigheder, herunder tvistbilæggelse, overtrædelser af EU-retten og peerevalueringer. Disse afgørelser tildeles direktionen for at øge beslutningsprocessens smidighed og reaktionsevne og for at sikre, at der i afgørelserne tages hensyn til en fælles europæisk interesse. Direktionen bør også overtage det nuværende styrelsesudvalgs kompetence i forbindelse med udarbejdelsen af ESMA's arbejdsprogrammer og budget. Dette bør sikre effektive, upartiske og EU-orienterede beslutninger. For at sikre gennemsigtighed og demokratisk kontrol bør direktionens fuldtidsmedlemmer udnævnes af Rådet på grundlag af en udvalgt liste udarbejdet af Kommissionen og et forslag fra tilsynsrådet efter godkendelse fra Europa-Parlamentet.</w:t>
            </w:r>
          </w:p>
        </w:tc>
        <w:tc>
          <w:tcPr>
            <w:tcW w:w="4876" w:type="dxa"/>
            <w:tcBorders>
              <w:top w:val="nil"/>
              <w:left w:val="nil"/>
              <w:bottom w:val="nil"/>
              <w:right w:val="nil"/>
            </w:tcBorders>
            <w:hideMark/>
          </w:tcPr>
          <w:p w:rsidR="00365C9B" w:rsidRPr="00B16DFD" w:rsidP="00F61C80" w14:paraId="7D2F593F" w14:textId="3D1E74C1">
            <w:pPr>
              <w:pStyle w:val="Normal6a"/>
            </w:pPr>
            <w:r w:rsidRPr="00B16DFD">
              <w:t>(19)</w:t>
            </w:r>
            <w:r w:rsidRPr="00B16DFD">
              <w:tab/>
              <w:t xml:space="preserve">I lyset af ESMA's fremtidige nye beføjelser bør dens forvaltningsstruktur tilpasses i overensstemmelse hermed. For at sikre, at ESMA fungerer effektivt og upartisk, er det nødvendigt at styrke dens forvaltning ved at indføre en uafhængig </w:t>
            </w:r>
            <w:r w:rsidRPr="00B16DFD">
              <w:rPr>
                <w:b/>
                <w:i/>
              </w:rPr>
              <w:t xml:space="preserve">og kønsbalanceret </w:t>
            </w:r>
            <w:r w:rsidRPr="00B16DFD">
              <w:t>direktion med fuldtidsmedlemmer, hvilket bør øge dens kapacitet til at træffe hurtige og EU-orienterede beslutninger, navnlig om tilsyn med deltagere på</w:t>
            </w:r>
            <w:r w:rsidR="00CB6039">
              <w:t xml:space="preserve"> finansmarked</w:t>
            </w:r>
            <w:r w:rsidR="00242139">
              <w:t>et</w:t>
            </w:r>
            <w:r w:rsidRPr="00B16DFD">
              <w:t>. Direktionen, der består af formanden og fem uafhængige fuldtidsmedlemmer med forskellig tilsynsmæssig erfaring og ekspertise i de sektorer, der er under ESMA's tilsyn, bør være ansvarlig for afgørelser rettet til deltagere på</w:t>
            </w:r>
            <w:r w:rsidR="00CB6039">
              <w:t xml:space="preserve"> finansmarked</w:t>
            </w:r>
            <w:r w:rsidR="00242139">
              <w:t>et</w:t>
            </w:r>
            <w:r w:rsidRPr="00B16DFD">
              <w:t xml:space="preserve"> i tilsynsspørgsmål. Direktionen bør også være ansvarlig for afgørelser rettet til én eller et begrænset antal kompetente myndigheder, herunder tvistbilæggelse, overtrædelser af EU-retten og peerevalueringer. Disse afgørelser tildeles direktionen for at øge beslutningsprocessens smidighed og reaktionsevne og for at sikre, at der i afgørelserne tages hensyn til en fælles europæisk interesse. Direktionen bør også overtage det nuværende styrelsesudvalgs kompetence i forbindelse med udarbejdelsen af ESMA's arbejdsprogrammer og budget. Dette bør sikre effektive, upartiske og EU-orienterede beslutninger. For at sikre gennemsigtighed og demokratisk kontrol bør direktionens fuldtidsmedlemmer udnævnes af Rådet på grundlag af en udvalgt liste udarbejdet af Kommissionen og et forslag fra tilsynsrådet efter godkendelse fra Europa-Parlamentet.</w:t>
            </w:r>
          </w:p>
        </w:tc>
      </w:tr>
    </w:tbl>
    <w:p w:rsidR="00365C9B" w:rsidRPr="00734CAA" w:rsidP="00365C9B" w14:paraId="6B04E783"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6328FB7" w14:textId="77777777">
      <w:pPr>
        <w:rPr>
          <w:lang w:val="en-GB"/>
        </w:rPr>
      </w:pPr>
      <w:r w:rsidRPr="00734CAA">
        <w:rPr>
          <w:rStyle w:val="HideTWBExt"/>
          <w:color w:val="auto"/>
          <w:lang w:val="en-GB"/>
        </w:rPr>
        <w:t>&lt;/Amend&gt;</w:t>
      </w:r>
    </w:p>
    <w:p w:rsidR="00365C9B" w:rsidRPr="00734CAA" w:rsidP="00365C9B" w14:paraId="347990BC"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231</w:t>
      </w:r>
      <w:r w:rsidRPr="00734CAA">
        <w:rPr>
          <w:rStyle w:val="HideTWBExt"/>
          <w:color w:val="auto"/>
          <w:lang w:val="en-GB"/>
        </w:rPr>
        <w:t>&lt;/NumAm&gt;</w:t>
      </w:r>
    </w:p>
    <w:p w:rsidR="00365C9B" w:rsidRPr="00734CAA" w:rsidP="00365C9B" w14:paraId="36B2450E"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700FEBDF" w14:textId="77777777">
      <w:pPr>
        <w:pStyle w:val="NormalBold"/>
      </w:pPr>
      <w:r w:rsidRPr="00B16DFD">
        <w:rPr>
          <w:rStyle w:val="HideTWBExt"/>
          <w:b w:val="0"/>
          <w:color w:val="auto"/>
        </w:rPr>
        <w:t>&lt;/RepeatBlock-By&gt;</w:t>
      </w:r>
    </w:p>
    <w:p w:rsidR="00365C9B" w:rsidRPr="00B16DFD" w:rsidP="00365C9B" w14:paraId="2DD8B649"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6DD5D420" w14:textId="77777777">
      <w:pPr>
        <w:pStyle w:val="NormalBold"/>
      </w:pPr>
      <w:r w:rsidRPr="00B16DFD">
        <w:rPr>
          <w:rStyle w:val="HideTWBExt"/>
          <w:color w:val="auto"/>
        </w:rPr>
        <w:t>&lt;Article&gt;</w:t>
      </w:r>
      <w:r w:rsidRPr="00B16DFD">
        <w:t>Betragtning 19</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B43AA1"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F37C603" w14:textId="77777777"/>
        </w:tc>
      </w:tr>
      <w:tr w14:paraId="11B51184"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23A0EA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850E02E" w14:textId="77777777">
            <w:pPr>
              <w:pStyle w:val="AmColumnHeading"/>
            </w:pPr>
            <w:r w:rsidRPr="00B16DFD">
              <w:t>Ændringsforslag</w:t>
            </w:r>
          </w:p>
        </w:tc>
      </w:tr>
      <w:tr w14:paraId="3AED791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A6DAF65" w14:textId="21259C4C">
            <w:pPr>
              <w:pStyle w:val="Normal6a"/>
            </w:pPr>
            <w:r w:rsidRPr="00B16DFD">
              <w:t>(19)</w:t>
            </w:r>
            <w:r w:rsidRPr="00B16DFD">
              <w:tab/>
              <w:t>I lyset af ESMA's fremtidige nye beføjelser bør dens forvaltningsstruktur tilpasses i overensstemmelse hermed. For at sikre, at ESMA fungerer effektivt og upartisk, er det nødvendigt at styrke dens forvaltning ved at indføre en uafhængig direktion med fuldtidsmedlemmer, hvilket bør øge dens kapacitet til at træffe hurtige og EU-orienterede beslutninger, navnlig om tilsyn med deltagere på</w:t>
            </w:r>
            <w:r w:rsidR="00CB6039">
              <w:t xml:space="preserve"> finansmarked</w:t>
            </w:r>
            <w:r w:rsidR="00242139">
              <w:t>et</w:t>
            </w:r>
            <w:r w:rsidRPr="00B16DFD">
              <w:t xml:space="preserve">. Direktionen, der består af formanden og </w:t>
            </w:r>
            <w:r w:rsidRPr="00B16DFD">
              <w:rPr>
                <w:b/>
                <w:i/>
              </w:rPr>
              <w:t>fem</w:t>
            </w:r>
            <w:r w:rsidRPr="00B16DFD">
              <w:t xml:space="preserve"> uafhængige fuldtidsmedlemmer med forskellig tilsynsmæssig erfaring og ekspertise i de sektorer, der er under ESMA's tilsyn, bør være ansvarlig for afgørelser rettet til deltagere på</w:t>
            </w:r>
            <w:r w:rsidR="00CB6039">
              <w:t xml:space="preserve"> finansmarked</w:t>
            </w:r>
            <w:r w:rsidR="00242139">
              <w:t>et</w:t>
            </w:r>
            <w:r w:rsidRPr="00B16DFD">
              <w:t xml:space="preserve"> i </w:t>
            </w:r>
            <w:r w:rsidRPr="00B16DFD">
              <w:rPr>
                <w:b/>
                <w:i/>
              </w:rPr>
              <w:t>tilsynsspørgsmål</w:t>
            </w:r>
            <w:r w:rsidRPr="00B16DFD">
              <w:t xml:space="preserve">. Direktionen bør også være ansvarlig for afgørelser rettet til én eller et begrænset antal kompetente myndigheder, herunder tvistbilæggelse, overtrædelser af EU-retten og peerevalueringer. Disse afgørelser tildeles direktionen for at øge beslutningsprocessens smidighed og reaktionsevne og for at sikre, at der i afgørelserne tages hensyn til en fælles europæisk interesse. Direktionen bør også overtage det nuværende styrelsesudvalgs kompetence i forbindelse med udarbejdelsen af ESMA's arbejdsprogrammer og budget. Dette bør sikre effektive, upartiske og EU-orienterede beslutninger. For at sikre gennemsigtighed og demokratisk kontrol bør direktionens fuldtidsmedlemmer udnævnes af Rådet på grundlag af en udvalgt liste udarbejdet af Kommissionen og et forslag fra tilsynsrådet efter </w:t>
            </w:r>
            <w:r w:rsidRPr="00B16DFD">
              <w:t>godkendelse fra Europa-Parlamentet.</w:t>
            </w:r>
          </w:p>
        </w:tc>
        <w:tc>
          <w:tcPr>
            <w:tcW w:w="4876" w:type="dxa"/>
            <w:tcBorders>
              <w:top w:val="nil"/>
              <w:left w:val="nil"/>
              <w:bottom w:val="nil"/>
              <w:right w:val="nil"/>
            </w:tcBorders>
            <w:hideMark/>
          </w:tcPr>
          <w:p w:rsidR="00365C9B" w:rsidRPr="00B16DFD" w:rsidP="00F61C80" w14:paraId="0CEEA99C" w14:textId="07A93309">
            <w:pPr>
              <w:pStyle w:val="Normal6a"/>
            </w:pPr>
            <w:r w:rsidRPr="00B16DFD">
              <w:t>(19)</w:t>
            </w:r>
            <w:r w:rsidRPr="00B16DFD">
              <w:tab/>
              <w:t>I lyset af ESMA's fremtidige nye beføjelser bør dens forvaltningsstruktur tilpasses i overensstemmelse hermed. For at sikre, at ESMA fungerer effektivt og upartisk, er det nødvendigt at styrke dens forvaltning ved at indføre en uafhængig direktion med fuldtidsmedlemmer, hvilket bør øge dens kapacitet til at træffe hurtige og EU-orienterede beslutninger, navnlig om tilsyn med deltagere på</w:t>
            </w:r>
            <w:r w:rsidR="00CB6039">
              <w:t xml:space="preserve"> finansmarked</w:t>
            </w:r>
            <w:r w:rsidR="00242139">
              <w:t>et</w:t>
            </w:r>
            <w:r w:rsidRPr="00B16DFD">
              <w:t xml:space="preserve">. Direktionen, der består af formanden og </w:t>
            </w:r>
            <w:r w:rsidRPr="00B16DFD">
              <w:rPr>
                <w:b/>
                <w:i/>
              </w:rPr>
              <w:t>ni</w:t>
            </w:r>
            <w:r w:rsidRPr="00B16DFD">
              <w:t xml:space="preserve"> uafhængige fuldtidsmedlemmer med forskellig tilsynsmæssig erfaring og ekspertise i de sektorer, der er under ESMA's tilsyn, bør være ansvarlig for afgørelser rettet til deltagere på</w:t>
            </w:r>
            <w:r w:rsidR="00CB6039">
              <w:t xml:space="preserve"> finansmarked</w:t>
            </w:r>
            <w:r w:rsidR="00242139">
              <w:t>et</w:t>
            </w:r>
            <w:r w:rsidRPr="00B16DFD">
              <w:t xml:space="preserve"> i </w:t>
            </w:r>
            <w:r w:rsidRPr="00B16DFD">
              <w:rPr>
                <w:b/>
                <w:i/>
              </w:rPr>
              <w:t>tilsyns- og reguleringsmæssige spørgsmål</w:t>
            </w:r>
            <w:r w:rsidRPr="00B16DFD">
              <w:t xml:space="preserve">. Direktionen bør også være ansvarlig for afgørelser rettet til én eller et begrænset antal kompetente myndigheder, herunder tvistbilæggelse, overtrædelser af EU-retten og peerevalueringer. Disse afgørelser tildeles direktionen for at øge beslutningsprocessens smidighed og reaktionsevne og for at sikre, at der i afgørelserne tages hensyn til en fælles europæisk interesse. Direktionen bør også overtage det nuværende styrelsesudvalgs kompetence i forbindelse med udarbejdelsen af ESMA's arbejdsprogrammer og budget. Dette bør sikre effektive, upartiske og EU-orienterede beslutninger. For at sikre gennemsigtighed og demokratisk kontrol bør direktionens fuldtidsmedlemmer udnævnes af Rådet på grundlag af en udvalgt liste udarbejdet af Kommissionen og et forslag fra tilsynsrådet efter </w:t>
            </w:r>
            <w:r w:rsidRPr="00B16DFD">
              <w:t>godkendelse fra Europa-Parlamentet.</w:t>
            </w:r>
          </w:p>
        </w:tc>
      </w:tr>
    </w:tbl>
    <w:p w:rsidR="00365C9B" w:rsidRPr="00734CAA" w:rsidP="00365C9B" w14:paraId="434A989B"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FCD4FD2" w14:textId="77777777">
      <w:pPr>
        <w:rPr>
          <w:lang w:val="en-GB"/>
        </w:rPr>
      </w:pPr>
      <w:r w:rsidRPr="00734CAA">
        <w:rPr>
          <w:rStyle w:val="HideTWBExt"/>
          <w:color w:val="auto"/>
          <w:lang w:val="en-GB"/>
        </w:rPr>
        <w:t>&lt;/Amend&gt;</w:t>
      </w:r>
    </w:p>
    <w:p w:rsidR="00365C9B" w:rsidRPr="00734CAA" w:rsidP="00365C9B" w14:paraId="7558446A"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232</w:t>
      </w:r>
      <w:r w:rsidRPr="00734CAA">
        <w:rPr>
          <w:rStyle w:val="HideTWBExt"/>
          <w:color w:val="auto"/>
          <w:lang w:val="en-GB"/>
        </w:rPr>
        <w:t>&lt;/NumAm&gt;</w:t>
      </w:r>
    </w:p>
    <w:p w:rsidR="00365C9B" w:rsidRPr="00734CAA" w:rsidP="00365C9B" w14:paraId="56459210" w14:textId="77777777">
      <w:pPr>
        <w:pStyle w:val="NormalBold"/>
        <w:rPr>
          <w:lang w:val="en-GB"/>
        </w:rPr>
      </w:pPr>
      <w:r w:rsidRPr="00734CAA">
        <w:rPr>
          <w:rStyle w:val="HideTWBExt"/>
          <w:b w:val="0"/>
          <w:color w:val="auto"/>
          <w:lang w:val="en-GB"/>
        </w:rPr>
        <w:t>&lt;RepeatBlock-By&gt;&lt;Members&gt;</w:t>
      </w:r>
      <w:r w:rsidRPr="00734CAA">
        <w:rPr>
          <w:lang w:val="en-GB"/>
        </w:rPr>
        <w:t>Gaetano Pedulla'</w:t>
      </w:r>
      <w:r w:rsidRPr="00734CAA">
        <w:rPr>
          <w:rStyle w:val="HideTWBExt"/>
          <w:b w:val="0"/>
          <w:color w:val="auto"/>
          <w:lang w:val="en-GB"/>
        </w:rPr>
        <w:t>&lt;/Members&gt;</w:t>
      </w:r>
    </w:p>
    <w:p w:rsidR="00365C9B" w:rsidRPr="00B16DFD" w:rsidP="00365C9B" w14:paraId="46015DE2" w14:textId="77777777">
      <w:pPr>
        <w:pStyle w:val="NormalBold"/>
      </w:pPr>
      <w:r w:rsidRPr="00B16DFD">
        <w:rPr>
          <w:rStyle w:val="HideTWBExt"/>
          <w:b w:val="0"/>
          <w:color w:val="auto"/>
        </w:rPr>
        <w:t>&lt;/RepeatBlock-By&gt;</w:t>
      </w:r>
    </w:p>
    <w:p w:rsidR="00365C9B" w:rsidRPr="00B16DFD" w:rsidP="00365C9B" w14:paraId="3D7B7A6C"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45145A79" w14:textId="77777777">
      <w:pPr>
        <w:pStyle w:val="NormalBold"/>
      </w:pPr>
      <w:r w:rsidRPr="00B16DFD">
        <w:rPr>
          <w:rStyle w:val="HideTWBExt"/>
          <w:color w:val="auto"/>
        </w:rPr>
        <w:t>&lt;Article&gt;</w:t>
      </w:r>
      <w:r w:rsidRPr="00B16DFD">
        <w:t>Betragtning 20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06C6AA"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8DFBA9C" w14:textId="77777777"/>
        </w:tc>
      </w:tr>
      <w:tr w14:paraId="3ACE226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1005959"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5709342" w14:textId="77777777">
            <w:pPr>
              <w:pStyle w:val="AmColumnHeading"/>
            </w:pPr>
            <w:r w:rsidRPr="00B16DFD">
              <w:t>Ændringsforslag</w:t>
            </w:r>
          </w:p>
        </w:tc>
      </w:tr>
      <w:tr w14:paraId="43B03532"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10B3BBD" w14:textId="77777777">
            <w:pPr>
              <w:pStyle w:val="Normal6a"/>
            </w:pPr>
            <w:r w:rsidRPr="00B16DFD">
              <w:t>(20)</w:t>
            </w:r>
            <w:r w:rsidRPr="00B16DFD">
              <w:tab/>
              <w:t>For at sikre en klar ansvarsfordeling og effektive kontrolforanstaltninger bør tilsynsrådet fortsat være ESMA's hovedorgan for lovgivningsmæssige afgørelser og tilsynsmæssig konvergens. For at styrke EU-dimensionen i beslutningsprocessen i tilsynsrådet bør dets sammensætning tilpasses, så direktionens fuldtidsmedlemmer indgår som stemmeberettigede medlemmer ved tilsynsafgørelser. For at sikre en afbalanceret tilgang og hensyntagen til nationale perspektiver bør tilsynsrådet have beføjelse til at gøre indsigelse mod større tilsynsafgørelser truffet af direktionen inden for 10 dage (eller 48 timer i hastesager)</w:t>
            </w:r>
            <w:r w:rsidRPr="00B16DFD">
              <w:rPr>
                <w:b/>
                <w:i/>
              </w:rPr>
              <w:t>, mens</w:t>
            </w:r>
            <w:r w:rsidRPr="00B16DFD">
              <w:t xml:space="preserve"> direktionen skal aflægge rapport til tilsynsrådet to gange om året om sine tilsynsaktiviteter og</w:t>
            </w:r>
            <w:r w:rsidRPr="00B16DFD">
              <w:rPr>
                <w:b/>
                <w:i/>
              </w:rPr>
              <w:t xml:space="preserve"> kunne anmode om</w:t>
            </w:r>
            <w:r w:rsidRPr="00B16DFD">
              <w:t xml:space="preserve"> udtalelser om tilsynsspørgsmål.</w:t>
            </w:r>
          </w:p>
        </w:tc>
        <w:tc>
          <w:tcPr>
            <w:tcW w:w="4876" w:type="dxa"/>
            <w:tcBorders>
              <w:top w:val="nil"/>
              <w:left w:val="nil"/>
              <w:bottom w:val="nil"/>
              <w:right w:val="nil"/>
            </w:tcBorders>
            <w:hideMark/>
          </w:tcPr>
          <w:p w:rsidR="00365C9B" w:rsidRPr="00B16DFD" w:rsidP="00F61C80" w14:paraId="76FF8578" w14:textId="66C4B86D">
            <w:pPr>
              <w:pStyle w:val="Normal6a"/>
            </w:pPr>
            <w:r w:rsidRPr="00B16DFD">
              <w:t>(20)</w:t>
            </w:r>
            <w:r w:rsidRPr="00B16DFD">
              <w:tab/>
              <w:t xml:space="preserve">For at sikre en klar ansvarsfordeling og effektive kontrolforanstaltninger bør tilsynsrådet fortsat være ESMA's hovedorgan for lovgivningsmæssige afgørelser og tilsynsmæssig konvergens. For at styrke EU-dimensionen i beslutningsprocessen i tilsynsrådet bør dets sammensætning tilpasses, så direktionens </w:t>
            </w:r>
            <w:r w:rsidRPr="00B16DFD">
              <w:rPr>
                <w:b/>
                <w:i/>
              </w:rPr>
              <w:t xml:space="preserve">fem uafhængige </w:t>
            </w:r>
            <w:r w:rsidRPr="00B16DFD">
              <w:t xml:space="preserve">fuldtidsmedlemmer indgår som stemmeberettigede medlemmer ved tilsynsafgørelser. For at sikre en afbalanceret tilgang og hensyntagen til nationale perspektiver bør tilsynsrådet have beføjelse til at gøre indsigelse mod større </w:t>
            </w:r>
            <w:r w:rsidRPr="00B16DFD">
              <w:rPr>
                <w:b/>
                <w:i/>
              </w:rPr>
              <w:t xml:space="preserve">tilsyns- og håndhævelsesafgørelser </w:t>
            </w:r>
            <w:r w:rsidRPr="00B16DFD">
              <w:t>truffet af direktionen inden for 10 dage (eller 48 timer i hastesager)</w:t>
            </w:r>
            <w:r w:rsidRPr="00B16DFD">
              <w:rPr>
                <w:b/>
                <w:i/>
              </w:rPr>
              <w:t xml:space="preserve">. Sådanne afgørelser, der er omfattet af proceduren om ikkeindsigelse, bør også omfatte de mest relevante tilsynsafgørelser baseret på sektorspecifik lovgivning, herunder f.eks. afgørelser om tilladelse til et reguleret marked, tilbagekaldelse af en sådan tilladelse og andre afgørelser med væsentlig indvirkning på enheder under tilsyn eller på </w:t>
            </w:r>
            <w:r w:rsidR="00242139">
              <w:rPr>
                <w:b/>
                <w:i/>
              </w:rPr>
              <w:t>finansmarkederne</w:t>
            </w:r>
            <w:r w:rsidRPr="00B16DFD">
              <w:rPr>
                <w:b/>
                <w:i/>
              </w:rPr>
              <w:t xml:space="preserve">s </w:t>
            </w:r>
            <w:r w:rsidR="00CB6039">
              <w:rPr>
                <w:b/>
                <w:i/>
              </w:rPr>
              <w:t>vel</w:t>
            </w:r>
            <w:r w:rsidRPr="00B16DFD">
              <w:rPr>
                <w:b/>
                <w:i/>
              </w:rPr>
              <w:t>ordnede funktion.</w:t>
            </w:r>
            <w:r w:rsidRPr="00B16DFD">
              <w:t xml:space="preserve"> Direktionen skal aflægge rapport til tilsynsrådet to gange om året om sine tilsynsaktiviteter og </w:t>
            </w:r>
            <w:r w:rsidRPr="00B16DFD">
              <w:rPr>
                <w:b/>
                <w:i/>
              </w:rPr>
              <w:t xml:space="preserve">herunder tilvejebringe oplysninger, der er tilstrækkeligt fuldstændige, rettidige og strukturerede til, at tilsynsrådet kan udøve sin tilsynsfunktion og kunne afgive </w:t>
            </w:r>
            <w:r w:rsidRPr="00B16DFD">
              <w:t xml:space="preserve">udtalelser </w:t>
            </w:r>
            <w:r w:rsidRPr="00B16DFD">
              <w:rPr>
                <w:b/>
                <w:i/>
              </w:rPr>
              <w:t xml:space="preserve">om ethvert udkast til afgørelser fra direktionen, herunder afgørelser </w:t>
            </w:r>
            <w:r w:rsidRPr="00B16DFD">
              <w:t xml:space="preserve">om </w:t>
            </w:r>
            <w:r w:rsidRPr="00B16DFD">
              <w:t>tilsynsspørgsmål.</w:t>
            </w:r>
          </w:p>
        </w:tc>
      </w:tr>
    </w:tbl>
    <w:p w:rsidR="00365C9B" w:rsidRPr="00734CAA" w:rsidP="00365C9B" w14:paraId="59F58885"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B83297D" w14:textId="77777777">
      <w:pPr>
        <w:pStyle w:val="AmJustTitle"/>
        <w:rPr>
          <w:lang w:val="en-GB"/>
        </w:rPr>
      </w:pPr>
      <w:r w:rsidRPr="00734CAA">
        <w:rPr>
          <w:rStyle w:val="HideTWBExt"/>
          <w:color w:val="auto"/>
          <w:lang w:val="en-GB"/>
        </w:rPr>
        <w:t>&lt;TitreJust&gt;</w:t>
      </w:r>
      <w:r w:rsidRPr="00734CAA">
        <w:rPr>
          <w:lang w:val="en-GB"/>
        </w:rPr>
        <w:t>Begrundelse</w:t>
      </w:r>
      <w:r w:rsidRPr="00734CAA">
        <w:rPr>
          <w:rStyle w:val="HideTWBExt"/>
          <w:color w:val="auto"/>
          <w:lang w:val="en-GB"/>
        </w:rPr>
        <w:t>&lt;/TitreJust&gt;</w:t>
      </w:r>
    </w:p>
    <w:p w:rsidR="00365C9B" w:rsidRPr="00734CAA" w:rsidP="00365C9B" w14:paraId="31DB6BB7" w14:textId="77777777">
      <w:pPr>
        <w:pStyle w:val="AmJustText"/>
        <w:rPr>
          <w:lang w:val="en-GB"/>
        </w:rPr>
      </w:pPr>
      <w:r w:rsidRPr="00734CAA">
        <w:rPr>
          <w:lang w:val="en-GB"/>
        </w:rPr>
        <w:t>Executive Board members shall participate in discussions of the Board of Supervisors with voting rights. The amendment clarifies the scope of the non-objection procedure by specifying that it should cover the most relevant supervisory and enforcement decisions adopted by the Executive Board, such as the authorization of a regulated market, the withdrawal of such authorisation and other decisions with significant impact on supervised entities or on the orderly functioning of financial markets. Moreover, it is clarified that the Board of Supervisors should receive complete information to exercise its oversight functions and that it can give opinion to the Executive Board on any draft decision, including those relating to supervisory actions. This clarification strengthens legal certainty and ensures that the Board of Supervisors can effectively exercise its oversight role in relation to decisions that may have significant regulatory, supervisory or market consequences, while preserving the efficiency of ESMA’s decision-making process.</w:t>
      </w:r>
    </w:p>
    <w:p w:rsidR="00365C9B" w:rsidRPr="00B16DFD" w:rsidP="00365C9B" w14:paraId="49C01403" w14:textId="77777777">
      <w:r w:rsidRPr="00B16DFD">
        <w:rPr>
          <w:rStyle w:val="HideTWBExt"/>
          <w:color w:val="auto"/>
        </w:rPr>
        <w:t>&lt;/Amend&gt;</w:t>
      </w:r>
    </w:p>
    <w:p w:rsidR="00365C9B" w:rsidRPr="00B16DFD" w:rsidP="00365C9B" w14:paraId="74C8AAD2"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233</w:t>
      </w:r>
      <w:r w:rsidRPr="00B16DFD">
        <w:rPr>
          <w:rStyle w:val="HideTWBExt"/>
          <w:color w:val="auto"/>
        </w:rPr>
        <w:t>&lt;/NumAm&gt;</w:t>
      </w:r>
    </w:p>
    <w:p w:rsidR="00365C9B" w:rsidRPr="00B16DFD" w:rsidP="00365C9B" w14:paraId="514E2450" w14:textId="77777777">
      <w:pPr>
        <w:pStyle w:val="NormalBold"/>
      </w:pPr>
      <w:r w:rsidRPr="00B16DFD">
        <w:rPr>
          <w:rStyle w:val="HideTWBExt"/>
          <w:b w:val="0"/>
          <w:color w:val="auto"/>
        </w:rPr>
        <w:t>&lt;RepeatBlock-By&gt;&lt;Members&gt;</w:t>
      </w:r>
      <w:r w:rsidRPr="00B16DFD">
        <w:t>Johan Van Overtveldt, Giovanni Crosetto, Francesco Ventola, Mariateresa Vivaldini, Marco Squarta, Denis Nesci</w:t>
      </w:r>
      <w:r w:rsidRPr="00B16DFD">
        <w:rPr>
          <w:rStyle w:val="HideTWBExt"/>
          <w:b w:val="0"/>
          <w:color w:val="auto"/>
        </w:rPr>
        <w:t>&lt;/Members&gt;</w:t>
      </w:r>
    </w:p>
    <w:p w:rsidR="00365C9B" w:rsidRPr="00B16DFD" w:rsidP="00365C9B" w14:paraId="3DD3EBCD" w14:textId="77777777">
      <w:pPr>
        <w:pStyle w:val="NormalBold"/>
      </w:pPr>
      <w:r w:rsidRPr="00B16DFD">
        <w:rPr>
          <w:rStyle w:val="HideTWBExt"/>
          <w:b w:val="0"/>
          <w:color w:val="auto"/>
        </w:rPr>
        <w:t>&lt;/RepeatBlock-By&gt;</w:t>
      </w:r>
    </w:p>
    <w:p w:rsidR="00365C9B" w:rsidRPr="00B16DFD" w:rsidP="00365C9B" w14:paraId="0609F00B"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464A7DEF" w14:textId="77777777">
      <w:pPr>
        <w:pStyle w:val="NormalBold"/>
      </w:pPr>
      <w:r w:rsidRPr="00B16DFD">
        <w:rPr>
          <w:rStyle w:val="HideTWBExt"/>
          <w:color w:val="auto"/>
        </w:rPr>
        <w:t>&lt;Article&gt;</w:t>
      </w:r>
      <w:r w:rsidRPr="00B16DFD">
        <w:t>Betragtning 20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C41EB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2CE0C8C" w14:textId="77777777"/>
        </w:tc>
      </w:tr>
      <w:tr w14:paraId="490BD682"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FDB33B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75CAAA8" w14:textId="77777777">
            <w:pPr>
              <w:pStyle w:val="AmColumnHeading"/>
            </w:pPr>
            <w:r w:rsidRPr="00B16DFD">
              <w:t>Ændringsforslag</w:t>
            </w:r>
          </w:p>
        </w:tc>
      </w:tr>
      <w:tr w14:paraId="546464D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6310D25" w14:textId="77777777">
            <w:pPr>
              <w:pStyle w:val="Normal6a"/>
            </w:pPr>
            <w:r w:rsidRPr="00B16DFD">
              <w:t>(20)</w:t>
            </w:r>
            <w:r w:rsidRPr="00B16DFD">
              <w:tab/>
              <w:t xml:space="preserve">For at sikre en klar ansvarsfordeling og effektive kontrolforanstaltninger bør tilsynsrådet fortsat være ESMA's hovedorgan for lovgivningsmæssige afgørelser og tilsynsmæssig konvergens. For at styrke EU-dimensionen i beslutningsprocessen i tilsynsrådet bør dets sammensætning tilpasses, så direktionens fuldtidsmedlemmer indgår som </w:t>
            </w:r>
            <w:r w:rsidRPr="00B16DFD">
              <w:rPr>
                <w:b/>
                <w:i/>
              </w:rPr>
              <w:t>stemmeberettigede</w:t>
            </w:r>
            <w:r w:rsidRPr="00B16DFD">
              <w:t xml:space="preserve"> medlemmer ved tilsynsafgørelser. For at sikre en afbalanceret tilgang og hensyntagen til nationale perspektiver bør tilsynsrådet have beføjelse til at gøre indsigelse mod større tilsynsafgørelser truffet af direktionen inden for 10 dage (eller 48 timer i hastesager)</w:t>
            </w:r>
            <w:r w:rsidRPr="00B16DFD">
              <w:rPr>
                <w:b/>
                <w:i/>
              </w:rPr>
              <w:t>, mens</w:t>
            </w:r>
            <w:r w:rsidRPr="00B16DFD">
              <w:t xml:space="preserve"> direktionen skal aflægge rapport til tilsynsrådet to gange om året om sine tilsynsaktiviteter </w:t>
            </w:r>
            <w:r w:rsidRPr="00B16DFD">
              <w:rPr>
                <w:b/>
                <w:i/>
              </w:rPr>
              <w:t>og</w:t>
            </w:r>
            <w:r w:rsidRPr="00B16DFD">
              <w:t xml:space="preserve"> kunne </w:t>
            </w:r>
            <w:r w:rsidRPr="00B16DFD">
              <w:rPr>
                <w:b/>
                <w:i/>
              </w:rPr>
              <w:t xml:space="preserve">anmode </w:t>
            </w:r>
            <w:r w:rsidRPr="00B16DFD">
              <w:rPr>
                <w:b/>
                <w:i/>
              </w:rPr>
              <w:t>om</w:t>
            </w:r>
            <w:r w:rsidRPr="00B16DFD">
              <w:t xml:space="preserve"> udtalelser om tilsynsspørgsmål.</w:t>
            </w:r>
          </w:p>
        </w:tc>
        <w:tc>
          <w:tcPr>
            <w:tcW w:w="4876" w:type="dxa"/>
            <w:tcBorders>
              <w:top w:val="nil"/>
              <w:left w:val="nil"/>
              <w:bottom w:val="nil"/>
              <w:right w:val="nil"/>
            </w:tcBorders>
            <w:hideMark/>
          </w:tcPr>
          <w:p w:rsidR="00365C9B" w:rsidRPr="00B16DFD" w:rsidP="00F61C80" w14:paraId="02D22F12" w14:textId="65CC69CC">
            <w:pPr>
              <w:pStyle w:val="Normal6a"/>
            </w:pPr>
            <w:r w:rsidRPr="00B16DFD">
              <w:t>(20)</w:t>
            </w:r>
            <w:r w:rsidRPr="00B16DFD">
              <w:tab/>
              <w:t xml:space="preserve">For at sikre en klar ansvarsfordeling og effektive kontrolforanstaltninger bør tilsynsrådet fortsat være ESMA's hovedorgan for lovgivningsmæssige afgørelser og tilsynsmæssig konvergens. For at styrke EU-dimensionen i beslutningsprocessen i tilsynsrådet bør dets sammensætning tilpasses, så direktionens fuldtidsmedlemmer indgår som </w:t>
            </w:r>
            <w:r w:rsidRPr="00B16DFD">
              <w:rPr>
                <w:b/>
                <w:i/>
              </w:rPr>
              <w:t>ikkestemmeberettigede</w:t>
            </w:r>
            <w:r w:rsidRPr="00B16DFD">
              <w:t xml:space="preserve"> medlemmer ved tilsynsafgørelser.</w:t>
            </w:r>
            <w:r w:rsidRPr="00B16DFD">
              <w:rPr>
                <w:b/>
                <w:i/>
              </w:rPr>
              <w:t xml:space="preserve"> Den Europæiske Centralbank (ECB) bør også være repræsenteret som medlem uden stemmeret.</w:t>
            </w:r>
            <w:r w:rsidRPr="00B16DFD">
              <w:t xml:space="preserve"> For at sikre en afbalanceret tilgang og hensyntagen til nationale perspektiver bør tilsynsrådet have beføjelse til at gøre indsigelse mod større tilsynsafgørelser truffet af direktionen inden for 10 dage (eller 48 timer i </w:t>
            </w:r>
            <w:r w:rsidRPr="00B16DFD">
              <w:t>hastesager)</w:t>
            </w:r>
            <w:r w:rsidRPr="00B16DFD">
              <w:rPr>
                <w:b/>
                <w:i/>
              </w:rPr>
              <w:t xml:space="preserve">. Disse afgørelser bør omfatte f.eks. afgørelser om tilladelse til et reguleret marked, tilbagekaldelse af en sådan tilladelse og andre afgørelser med væsentlig indvirkning på enheder under tilsyn eller på </w:t>
            </w:r>
            <w:r w:rsidR="00242139">
              <w:rPr>
                <w:b/>
                <w:i/>
              </w:rPr>
              <w:t>finansmarkederne</w:t>
            </w:r>
            <w:r w:rsidRPr="00B16DFD">
              <w:rPr>
                <w:b/>
                <w:i/>
              </w:rPr>
              <w:t xml:space="preserve">s </w:t>
            </w:r>
            <w:r w:rsidR="00CB6039">
              <w:rPr>
                <w:b/>
                <w:i/>
              </w:rPr>
              <w:t>vel</w:t>
            </w:r>
            <w:r w:rsidRPr="00B16DFD">
              <w:rPr>
                <w:b/>
                <w:i/>
              </w:rPr>
              <w:t>ordnede funktion baseret på sektorspecifik lovgivning.</w:t>
            </w:r>
            <w:r w:rsidRPr="00B16DFD">
              <w:t xml:space="preserve"> Direktionen skal aflægge rapport til tilsynsrådet to gange om året om sine tilsynsaktiviteter.</w:t>
            </w:r>
            <w:r w:rsidRPr="00B16DFD">
              <w:rPr>
                <w:b/>
                <w:i/>
              </w:rPr>
              <w:t xml:space="preserve"> Tilsynsrådet bør </w:t>
            </w:r>
            <w:r w:rsidRPr="00B16DFD">
              <w:t xml:space="preserve">kunne </w:t>
            </w:r>
            <w:r w:rsidRPr="00B16DFD">
              <w:rPr>
                <w:b/>
                <w:i/>
              </w:rPr>
              <w:t xml:space="preserve">afgive </w:t>
            </w:r>
            <w:r w:rsidRPr="00B16DFD">
              <w:t xml:space="preserve">udtalelser om </w:t>
            </w:r>
            <w:r w:rsidRPr="00B16DFD">
              <w:rPr>
                <w:b/>
                <w:i/>
              </w:rPr>
              <w:t xml:space="preserve">ethvert udkast til afgørelser fra direktionen, herunder afgørelser om </w:t>
            </w:r>
            <w:r w:rsidRPr="00B16DFD">
              <w:t>tilsynsspørgsmål.</w:t>
            </w:r>
          </w:p>
        </w:tc>
      </w:tr>
    </w:tbl>
    <w:p w:rsidR="00365C9B" w:rsidRPr="00734CAA" w:rsidP="00365C9B" w14:paraId="2A7E22EB"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40E576E" w14:textId="77777777">
      <w:pPr>
        <w:rPr>
          <w:lang w:val="en-GB"/>
        </w:rPr>
      </w:pPr>
      <w:r w:rsidRPr="00734CAA">
        <w:rPr>
          <w:rStyle w:val="HideTWBExt"/>
          <w:color w:val="auto"/>
          <w:lang w:val="en-GB"/>
        </w:rPr>
        <w:t>&lt;/Amend&gt;</w:t>
      </w:r>
    </w:p>
    <w:p w:rsidR="00365C9B" w:rsidRPr="00734CAA" w:rsidP="00365C9B" w14:paraId="38CAE436"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234</w:t>
      </w:r>
      <w:r w:rsidRPr="00734CAA">
        <w:rPr>
          <w:rStyle w:val="HideTWBExt"/>
          <w:color w:val="auto"/>
          <w:lang w:val="en-GB"/>
        </w:rPr>
        <w:t>&lt;/NumAm&gt;</w:t>
      </w:r>
    </w:p>
    <w:p w:rsidR="00365C9B" w:rsidRPr="00734CAA" w:rsidP="00365C9B" w14:paraId="5AA1BA5E"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09777E52"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4835BEEB" w14:textId="77777777">
      <w:pPr>
        <w:pStyle w:val="NormalBold"/>
        <w:rPr>
          <w:lang w:val="en-GB"/>
        </w:rPr>
      </w:pPr>
      <w:r w:rsidRPr="00734CAA">
        <w:rPr>
          <w:rStyle w:val="HideTWBExt"/>
          <w:b w:val="0"/>
          <w:color w:val="auto"/>
          <w:lang w:val="en-GB"/>
        </w:rPr>
        <w:t>&lt;/RepeatBlock-By&gt;</w:t>
      </w:r>
    </w:p>
    <w:p w:rsidR="00365C9B" w:rsidRPr="00734CAA" w:rsidP="00365C9B" w14:paraId="50EA20E0"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40FC139B" w14:textId="77777777">
      <w:pPr>
        <w:pStyle w:val="NormalBold"/>
      </w:pPr>
      <w:r w:rsidRPr="00B16DFD">
        <w:rPr>
          <w:rStyle w:val="HideTWBExt"/>
          <w:color w:val="auto"/>
        </w:rPr>
        <w:t>&lt;Article&gt;</w:t>
      </w:r>
      <w:r w:rsidRPr="00B16DFD">
        <w:t>Betragtning 20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D849D0"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189002C" w14:textId="77777777"/>
        </w:tc>
      </w:tr>
      <w:tr w14:paraId="620E0071"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7948262"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75AD0EE" w14:textId="77777777">
            <w:pPr>
              <w:pStyle w:val="AmColumnHeading"/>
            </w:pPr>
            <w:r w:rsidRPr="00B16DFD">
              <w:t>Ændringsforslag</w:t>
            </w:r>
          </w:p>
        </w:tc>
      </w:tr>
      <w:tr w14:paraId="2DC7C35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E33E1EA" w14:textId="77777777">
            <w:pPr>
              <w:pStyle w:val="Normal6a"/>
            </w:pPr>
            <w:r w:rsidRPr="00B16DFD">
              <w:t>(20)</w:t>
            </w:r>
            <w:r w:rsidRPr="00B16DFD">
              <w:tab/>
              <w:t xml:space="preserve">For at sikre en klar ansvarsfordeling og effektive kontrolforanstaltninger bør tilsynsrådet fortsat være ESMA's hovedorgan for lovgivningsmæssige afgørelser og tilsynsmæssig konvergens. For at styrke EU-dimensionen i beslutningsprocessen i tilsynsrådet bør dets sammensætning tilpasses, så direktionens fuldtidsmedlemmer indgår som stemmeberettigede medlemmer ved tilsynsafgørelser. </w:t>
            </w:r>
            <w:r w:rsidRPr="00B16DFD">
              <w:rPr>
                <w:b/>
                <w:i/>
              </w:rPr>
              <w:t xml:space="preserve">For at sikre en afbalanceret tilgang og hensyntagen til nationale perspektiver </w:t>
            </w:r>
            <w:r w:rsidRPr="00B16DFD">
              <w:t xml:space="preserve">bør </w:t>
            </w:r>
            <w:r w:rsidRPr="00B16DFD">
              <w:rPr>
                <w:b/>
                <w:i/>
              </w:rPr>
              <w:t>tilsynsrådet have beføjelse til at gøre indsigelse mod større tilsynsafgørelser truffet af direktionen inden for 10 dage (eller 48 timer i hastesager), mens direktionen skal aflægge rapport til tilsynsrådet to gange om året om sine tilsynsaktiviteter og kunne anmode om udtalelser om tilsynsspørgsmål</w:t>
            </w:r>
            <w:r w:rsidRPr="00B16DFD">
              <w:t>.</w:t>
            </w:r>
          </w:p>
        </w:tc>
        <w:tc>
          <w:tcPr>
            <w:tcW w:w="4876" w:type="dxa"/>
            <w:tcBorders>
              <w:top w:val="nil"/>
              <w:left w:val="nil"/>
              <w:bottom w:val="nil"/>
              <w:right w:val="nil"/>
            </w:tcBorders>
            <w:hideMark/>
          </w:tcPr>
          <w:p w:rsidR="00365C9B" w:rsidRPr="00B16DFD" w:rsidP="00F61C80" w14:paraId="376EB94E" w14:textId="77777777">
            <w:pPr>
              <w:pStyle w:val="Normal6a"/>
            </w:pPr>
            <w:r w:rsidRPr="00B16DFD">
              <w:t>(20)</w:t>
            </w:r>
            <w:r w:rsidRPr="00B16DFD">
              <w:tab/>
              <w:t xml:space="preserve">For at sikre en klar ansvarsfordeling og effektive kontrolforanstaltninger bør tilsynsrådet fortsat være ESMA's hovedorgan for lovgivningsmæssige afgørelser og tilsynsmæssig konvergens. For at styrke EU-dimensionen i beslutningsprocessen i tilsynsrådet bør dets sammensætning tilpasses, så direktionens fuldtidsmedlemmer indgår som stemmeberettigede medlemmer ved tilsynsafgørelser. </w:t>
            </w:r>
            <w:r w:rsidRPr="00B16DFD">
              <w:rPr>
                <w:b/>
                <w:i/>
              </w:rPr>
              <w:t>ECB</w:t>
            </w:r>
            <w:r w:rsidRPr="00B16DFD">
              <w:t xml:space="preserve"> bør </w:t>
            </w:r>
            <w:r w:rsidRPr="00B16DFD">
              <w:rPr>
                <w:b/>
                <w:i/>
              </w:rPr>
              <w:t>også være repræsenteret som observatør uden stemmeret</w:t>
            </w:r>
            <w:r w:rsidRPr="00B16DFD">
              <w:t>.</w:t>
            </w:r>
          </w:p>
        </w:tc>
      </w:tr>
    </w:tbl>
    <w:p w:rsidR="00365C9B" w:rsidRPr="00B16DFD" w:rsidP="00365C9B" w14:paraId="639EEBC7"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62C80A15" w14:textId="77777777">
      <w:r w:rsidRPr="00B16DFD">
        <w:rPr>
          <w:rStyle w:val="HideTWBExt"/>
          <w:color w:val="auto"/>
        </w:rPr>
        <w:t>&lt;/Amend&gt;</w:t>
      </w:r>
    </w:p>
    <w:p w:rsidR="00365C9B" w:rsidRPr="00B16DFD" w:rsidP="00365C9B" w14:paraId="4F613889"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235</w:t>
      </w:r>
      <w:r w:rsidRPr="00B16DFD">
        <w:rPr>
          <w:rStyle w:val="HideTWBExt"/>
          <w:color w:val="auto"/>
        </w:rPr>
        <w:t>&lt;/NumAm&gt;</w:t>
      </w:r>
    </w:p>
    <w:p w:rsidR="00365C9B" w:rsidRPr="00B16DFD" w:rsidP="00365C9B" w14:paraId="5FC2C91E" w14:textId="77777777">
      <w:pPr>
        <w:pStyle w:val="NormalBold"/>
      </w:pPr>
      <w:r w:rsidRPr="00B16DFD">
        <w:rPr>
          <w:rStyle w:val="HideTWBExt"/>
          <w:b w:val="0"/>
          <w:color w:val="auto"/>
        </w:rPr>
        <w:t>&lt;RepeatBlock-By&gt;&lt;Members&gt;</w:t>
      </w:r>
      <w:r w:rsidRPr="00B16DFD">
        <w:t>Eero Heinäluoma, Francisco Assis, Jonás Fernández, César Luena, Evelyn Regner, Aurore Lalucq, Nikos Papandreou, Claire Fita</w:t>
      </w:r>
      <w:r w:rsidRPr="00B16DFD">
        <w:rPr>
          <w:rStyle w:val="HideTWBExt"/>
          <w:b w:val="0"/>
          <w:color w:val="auto"/>
        </w:rPr>
        <w:t>&lt;/Members&gt;</w:t>
      </w:r>
    </w:p>
    <w:p w:rsidR="00365C9B" w:rsidRPr="00B16DFD" w:rsidP="00365C9B" w14:paraId="4EAA6C93" w14:textId="77777777">
      <w:pPr>
        <w:pStyle w:val="NormalBold"/>
      </w:pPr>
      <w:r w:rsidRPr="00B16DFD">
        <w:rPr>
          <w:rStyle w:val="HideTWBExt"/>
          <w:b w:val="0"/>
          <w:color w:val="auto"/>
        </w:rPr>
        <w:t>&lt;/RepeatBlock-By&gt;</w:t>
      </w:r>
    </w:p>
    <w:p w:rsidR="00365C9B" w:rsidRPr="00B16DFD" w:rsidP="00365C9B" w14:paraId="7B1413B9"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4C45959F" w14:textId="77777777">
      <w:pPr>
        <w:pStyle w:val="NormalBold"/>
      </w:pPr>
      <w:r w:rsidRPr="00B16DFD">
        <w:rPr>
          <w:rStyle w:val="HideTWBExt"/>
          <w:color w:val="auto"/>
        </w:rPr>
        <w:t>&lt;Article&gt;</w:t>
      </w:r>
      <w:r w:rsidRPr="00B16DFD">
        <w:t>Betragtning 20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AB53EE"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489C084" w14:textId="77777777"/>
        </w:tc>
      </w:tr>
      <w:tr w14:paraId="1917C70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EBFB257"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B29AE7D" w14:textId="77777777">
            <w:pPr>
              <w:pStyle w:val="AmColumnHeading"/>
            </w:pPr>
            <w:r w:rsidRPr="00B16DFD">
              <w:t>Ændringsforslag</w:t>
            </w:r>
          </w:p>
        </w:tc>
      </w:tr>
      <w:tr w14:paraId="377CA87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03C2F2A" w14:textId="77777777">
            <w:pPr>
              <w:pStyle w:val="Normal6a"/>
            </w:pPr>
            <w:r w:rsidRPr="00B16DFD">
              <w:t>(20)</w:t>
            </w:r>
            <w:r w:rsidRPr="00B16DFD">
              <w:tab/>
            </w:r>
            <w:r w:rsidRPr="00B16DFD">
              <w:rPr>
                <w:b/>
                <w:i/>
              </w:rPr>
              <w:t>For at sikre en klar ansvarsfordeling og effektive kontrolforanstaltninger bør tilsynsrådet fortsat være ESMA's hovedorgan for lovgivningsmæssige afgørelser og tilsynsmæssig konvergens.</w:t>
            </w:r>
            <w:r w:rsidRPr="00B16DFD">
              <w:t xml:space="preserve"> For at styrke EU-dimensionen i beslutningsprocessen i tilsynsrådet bør dets sammensætning tilpasses, så direktionens fuldtidsmedlemmer indgår som stemmeberettigede medlemmer ved tilsynsafgørelser. For at sikre en afbalanceret tilgang og hensyntagen til nationale perspektiver bør tilsynsrådet have beføjelse til at gøre indsigelse mod større tilsynsafgørelser truffet af direktionen inden for </w:t>
            </w:r>
            <w:r w:rsidRPr="00B16DFD">
              <w:rPr>
                <w:b/>
                <w:i/>
              </w:rPr>
              <w:t>10</w:t>
            </w:r>
            <w:r w:rsidRPr="00B16DFD">
              <w:t xml:space="preserve"> dage (eller 48 timer i hastesager), mens direktionen skal aflægge rapport til tilsynsrådet to gange om året om sine tilsynsaktiviteter og kunne anmode om udtalelser om tilsynsspørgsmål.</w:t>
            </w:r>
          </w:p>
        </w:tc>
        <w:tc>
          <w:tcPr>
            <w:tcW w:w="4876" w:type="dxa"/>
            <w:tcBorders>
              <w:top w:val="nil"/>
              <w:left w:val="nil"/>
              <w:bottom w:val="nil"/>
              <w:right w:val="nil"/>
            </w:tcBorders>
            <w:hideMark/>
          </w:tcPr>
          <w:p w:rsidR="00365C9B" w:rsidRPr="00B16DFD" w:rsidP="00F61C80" w14:paraId="5FEA383F" w14:textId="77777777">
            <w:pPr>
              <w:pStyle w:val="Normal6a"/>
            </w:pPr>
            <w:r w:rsidRPr="00B16DFD">
              <w:t>(20)</w:t>
            </w:r>
            <w:r w:rsidRPr="00B16DFD">
              <w:tab/>
              <w:t xml:space="preserve">For at styrke EU-dimensionen i beslutningsprocessen i tilsynsrådet bør dets sammensætning tilpasses, så direktionens fuldtidsmedlemmer indgår som stemmeberettigede medlemmer ved tilsynsafgørelser. For at sikre en afbalanceret tilgang og hensyntagen til nationale perspektiver bør tilsynsrådet have beføjelse til at gøre indsigelse mod større tilsynsafgørelser truffet af direktionen inden for </w:t>
            </w:r>
            <w:r w:rsidRPr="00B16DFD">
              <w:rPr>
                <w:b/>
                <w:i/>
              </w:rPr>
              <w:t>fem</w:t>
            </w:r>
            <w:r w:rsidRPr="00B16DFD">
              <w:t xml:space="preserve"> dage (eller 48 timer i hastesager), mens direktionen skal aflægge rapport til tilsynsrådet to gange om året om sine tilsynsaktiviteter og kunne anmode om udtalelser om tilsynsspørgsmål.</w:t>
            </w:r>
          </w:p>
        </w:tc>
      </w:tr>
    </w:tbl>
    <w:p w:rsidR="00365C9B" w:rsidRPr="00734CAA" w:rsidP="00365C9B" w14:paraId="4458E149"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0C77C7F" w14:textId="77777777">
      <w:pPr>
        <w:rPr>
          <w:lang w:val="en-GB"/>
        </w:rPr>
      </w:pPr>
      <w:r w:rsidRPr="00734CAA">
        <w:rPr>
          <w:rStyle w:val="HideTWBExt"/>
          <w:color w:val="auto"/>
          <w:lang w:val="en-GB"/>
        </w:rPr>
        <w:t>&lt;/Amend&gt;</w:t>
      </w:r>
    </w:p>
    <w:p w:rsidR="00365C9B" w:rsidRPr="00734CAA" w:rsidP="00365C9B" w14:paraId="63BD07DB"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236</w:t>
      </w:r>
      <w:r w:rsidRPr="00734CAA">
        <w:rPr>
          <w:rStyle w:val="HideTWBExt"/>
          <w:color w:val="auto"/>
          <w:lang w:val="en-GB"/>
        </w:rPr>
        <w:t>&lt;/NumAm&gt;</w:t>
      </w:r>
    </w:p>
    <w:p w:rsidR="00365C9B" w:rsidRPr="00734CAA" w:rsidP="00365C9B" w14:paraId="65E340A9"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5A348702" w14:textId="77777777">
      <w:pPr>
        <w:pStyle w:val="NormalBold"/>
      </w:pPr>
      <w:r w:rsidRPr="00B16DFD">
        <w:rPr>
          <w:rStyle w:val="HideTWBExt"/>
          <w:b w:val="0"/>
          <w:color w:val="auto"/>
        </w:rPr>
        <w:t>&lt;/RepeatBlock-By&gt;</w:t>
      </w:r>
    </w:p>
    <w:p w:rsidR="00365C9B" w:rsidRPr="00B16DFD" w:rsidP="00365C9B" w14:paraId="2C2C3BFB"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3805E75F" w14:textId="77777777">
      <w:pPr>
        <w:pStyle w:val="NormalBold"/>
      </w:pPr>
      <w:r w:rsidRPr="00B16DFD">
        <w:rPr>
          <w:rStyle w:val="HideTWBExt"/>
          <w:color w:val="auto"/>
        </w:rPr>
        <w:t>&lt;Article&gt;</w:t>
      </w:r>
      <w:r w:rsidRPr="00B16DFD">
        <w:t>Betragtning 20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B6079E"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58A0386" w14:textId="77777777"/>
        </w:tc>
      </w:tr>
      <w:tr w14:paraId="050304E1"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44F0D5E"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7C0A83E" w14:textId="77777777">
            <w:pPr>
              <w:pStyle w:val="AmColumnHeading"/>
            </w:pPr>
            <w:r w:rsidRPr="00B16DFD">
              <w:t>Ændringsforslag</w:t>
            </w:r>
          </w:p>
        </w:tc>
      </w:tr>
      <w:tr w14:paraId="0C73A69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FDEE19C" w14:textId="77777777">
            <w:pPr>
              <w:pStyle w:val="Normal6a"/>
            </w:pPr>
            <w:r w:rsidRPr="00B16DFD">
              <w:t>(20)</w:t>
            </w:r>
            <w:r w:rsidRPr="00B16DFD">
              <w:tab/>
              <w:t xml:space="preserve">For at sikre en klar ansvarsfordeling og effektive kontrolforanstaltninger bør </w:t>
            </w:r>
            <w:r w:rsidRPr="00B16DFD">
              <w:t xml:space="preserve">tilsynsrådet fortsat være ESMA's hovedorgan for lovgivningsmæssige afgørelser og tilsynsmæssig konvergens. For at styrke EU-dimensionen i beslutningsprocessen i tilsynsrådet bør dets sammensætning tilpasses, så direktionens fuldtidsmedlemmer indgår som </w:t>
            </w:r>
            <w:r w:rsidRPr="00B16DFD">
              <w:rPr>
                <w:b/>
                <w:i/>
              </w:rPr>
              <w:t>stemmeberettigede</w:t>
            </w:r>
            <w:r w:rsidRPr="00B16DFD">
              <w:t xml:space="preserve"> medlemmer ved tilsynsafgørelser. For at sikre en afbalanceret tilgang og hensyntagen til nationale perspektiver bør tilsynsrådet have beføjelse til at gøre indsigelse mod større tilsynsafgørelser truffet af direktionen inden for 10 dage (eller 48 timer i hastesager), mens direktionen skal aflægge rapport til tilsynsrådet to gange om året om sine tilsynsaktiviteter og kunne anmode om udtalelser om tilsynsspørgsmål.</w:t>
            </w:r>
          </w:p>
        </w:tc>
        <w:tc>
          <w:tcPr>
            <w:tcW w:w="4876" w:type="dxa"/>
            <w:tcBorders>
              <w:top w:val="nil"/>
              <w:left w:val="nil"/>
              <w:bottom w:val="nil"/>
              <w:right w:val="nil"/>
            </w:tcBorders>
            <w:hideMark/>
          </w:tcPr>
          <w:p w:rsidR="00365C9B" w:rsidRPr="00B16DFD" w:rsidP="00F61C80" w14:paraId="04820E85" w14:textId="77777777">
            <w:pPr>
              <w:pStyle w:val="Normal6a"/>
            </w:pPr>
            <w:r w:rsidRPr="00B16DFD">
              <w:t>(20)</w:t>
            </w:r>
            <w:r w:rsidRPr="00B16DFD">
              <w:tab/>
              <w:t xml:space="preserve">For at sikre en klar ansvarsfordeling og effektive kontrolforanstaltninger bør </w:t>
            </w:r>
            <w:r w:rsidRPr="00B16DFD">
              <w:t xml:space="preserve">tilsynsrådet fortsat være ESMA's hovedorgan for lovgivningsmæssige afgørelser og tilsynsmæssig konvergens. For at styrke EU-dimensionen i beslutningsprocessen i tilsynsrådet bør dets sammensætning tilpasses, så direktionens fuldtidsmedlemmer indgår som </w:t>
            </w:r>
            <w:r w:rsidRPr="00B16DFD">
              <w:rPr>
                <w:b/>
                <w:i/>
              </w:rPr>
              <w:t>ikkestemmeberettigede</w:t>
            </w:r>
            <w:r w:rsidRPr="00B16DFD">
              <w:t xml:space="preserve"> medlemmer ved tilsynsafgørelser.</w:t>
            </w:r>
            <w:r w:rsidRPr="00B16DFD">
              <w:rPr>
                <w:b/>
                <w:i/>
              </w:rPr>
              <w:t xml:space="preserve"> Den Europæiske Centralbank (ECB) bør også være repræsenteret som medlem uden stemmeret.</w:t>
            </w:r>
            <w:r w:rsidRPr="00B16DFD">
              <w:t xml:space="preserve"> For at sikre en afbalanceret tilgang og hensyntagen til nationale perspektiver bør tilsynsrådet have beføjelse til at gøre indsigelse mod større tilsynsafgørelser truffet af direktionen inden for 10 dage (eller 48 timer i hastesager), mens direktionen skal aflægge rapport til tilsynsrådet to gange om året om sine tilsynsaktiviteter og kunne anmode om udtalelser om tilsynsspørgsmål.</w:t>
            </w:r>
          </w:p>
        </w:tc>
      </w:tr>
    </w:tbl>
    <w:p w:rsidR="00365C9B" w:rsidRPr="00B16DFD" w:rsidP="00365C9B" w14:paraId="4BC9962A"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0F929769"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05C75BEF" w14:textId="6DEDEAEB">
      <w:pPr>
        <w:pStyle w:val="AmJustText"/>
      </w:pPr>
      <w:r w:rsidRPr="00B16DFD">
        <w:t>ECB bør være medlem af ESMA's tilsynsråd uden stemmeret. Dette vil yderligere øge effektiviteten af samarbejdet, koordineringen og udvekslingen af oplysninger mellem ECB, ESMA og de andre myndigheder, der er repræsenteret i ESMA's tilsynsråd, og dermed styrke den tværsektorielle koordinering med hensyn til finans</w:t>
      </w:r>
      <w:r w:rsidR="00242139">
        <w:t>væsenet</w:t>
      </w:r>
      <w:r w:rsidR="00CB6039">
        <w:t xml:space="preserve">s </w:t>
      </w:r>
      <w:r w:rsidRPr="00B16DFD" w:rsidR="00CB6039">
        <w:t>stabilitet</w:t>
      </w:r>
      <w:r w:rsidRPr="00B16DFD">
        <w:t>.</w:t>
      </w:r>
    </w:p>
    <w:p w:rsidR="00365C9B" w:rsidRPr="00B16DFD" w:rsidP="00365C9B" w14:paraId="4C1E898F" w14:textId="77777777">
      <w:r w:rsidRPr="00B16DFD">
        <w:rPr>
          <w:rStyle w:val="HideTWBExt"/>
          <w:color w:val="auto"/>
        </w:rPr>
        <w:t>&lt;/Amend&gt;</w:t>
      </w:r>
    </w:p>
    <w:p w:rsidR="00365C9B" w:rsidRPr="00B16DFD" w:rsidP="00365C9B" w14:paraId="6B360C7D"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237</w:t>
      </w:r>
      <w:r w:rsidRPr="00B16DFD">
        <w:rPr>
          <w:rStyle w:val="HideTWBExt"/>
          <w:color w:val="auto"/>
        </w:rPr>
        <w:t>&lt;/NumAm&gt;</w:t>
      </w:r>
    </w:p>
    <w:p w:rsidR="00365C9B" w:rsidRPr="00734CAA" w:rsidP="00365C9B" w14:paraId="138A19F0"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3411CFD9" w14:textId="77777777">
      <w:pPr>
        <w:pStyle w:val="NormalBold"/>
      </w:pPr>
      <w:r w:rsidRPr="00B16DFD">
        <w:rPr>
          <w:rStyle w:val="HideTWBExt"/>
          <w:b w:val="0"/>
          <w:color w:val="auto"/>
        </w:rPr>
        <w:t>&lt;/RepeatBlock-By&gt;</w:t>
      </w:r>
    </w:p>
    <w:p w:rsidR="00365C9B" w:rsidRPr="00B16DFD" w:rsidP="00365C9B" w14:paraId="2A5F927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2F83E3BC" w14:textId="77777777">
      <w:pPr>
        <w:pStyle w:val="NormalBold"/>
      </w:pPr>
      <w:r w:rsidRPr="00B16DFD">
        <w:rPr>
          <w:rStyle w:val="HideTWBExt"/>
          <w:color w:val="auto"/>
        </w:rPr>
        <w:t>&lt;Article&gt;</w:t>
      </w:r>
      <w:r w:rsidRPr="00B16DFD">
        <w:t>Betragtning 20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E4E631"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1C475B7" w14:textId="77777777"/>
        </w:tc>
      </w:tr>
      <w:tr w14:paraId="6C0AADA1"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05FB14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21FE115" w14:textId="77777777">
            <w:pPr>
              <w:pStyle w:val="AmColumnHeading"/>
            </w:pPr>
            <w:r w:rsidRPr="00B16DFD">
              <w:t>Ændringsforslag</w:t>
            </w:r>
          </w:p>
        </w:tc>
      </w:tr>
      <w:tr w14:paraId="3F82A1D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0B3F2DF" w14:textId="77777777">
            <w:pPr>
              <w:pStyle w:val="Normal6a"/>
            </w:pPr>
            <w:r w:rsidRPr="00B16DFD">
              <w:t>(20)</w:t>
            </w:r>
            <w:r w:rsidRPr="00B16DFD">
              <w:tab/>
              <w:t xml:space="preserve">For at sikre en klar ansvarsfordeling og effektive kontrolforanstaltninger bør tilsynsrådet fortsat være ESMA's hovedorgan for lovgivningsmæssige afgørelser og tilsynsmæssig konvergens. For at styrke EU-dimensionen i beslutningsprocessen i tilsynsrådet bør dets sammensætning tilpasses, så direktionens </w:t>
            </w:r>
            <w:r w:rsidRPr="00B16DFD">
              <w:t xml:space="preserve">fuldtidsmedlemmer indgår </w:t>
            </w:r>
            <w:r w:rsidRPr="00B16DFD">
              <w:rPr>
                <w:b/>
                <w:i/>
              </w:rPr>
              <w:t>som stemmeberettigede medlemmer ved tilsynsafgørelser</w:t>
            </w:r>
            <w:r w:rsidRPr="00B16DFD">
              <w:t>. For at sikre en afbalanceret tilgang og hensyntagen til nationale perspektiver bør tilsynsrådet have beføjelse til at gøre indsigelse mod større tilsynsafgørelser truffet af direktionen inden for 10 dage (eller 48 timer i hastesager), mens direktionen skal aflægge rapport til tilsynsrådet to gange om året om sine tilsynsaktiviteter og kunne anmode om udtalelser om tilsynsspørgsmål.</w:t>
            </w:r>
          </w:p>
        </w:tc>
        <w:tc>
          <w:tcPr>
            <w:tcW w:w="4876" w:type="dxa"/>
            <w:tcBorders>
              <w:top w:val="nil"/>
              <w:left w:val="nil"/>
              <w:bottom w:val="nil"/>
              <w:right w:val="nil"/>
            </w:tcBorders>
            <w:hideMark/>
          </w:tcPr>
          <w:p w:rsidR="00365C9B" w:rsidRPr="00B16DFD" w:rsidP="00F61C80" w14:paraId="427938BE" w14:textId="77777777">
            <w:pPr>
              <w:pStyle w:val="Normal6a"/>
            </w:pPr>
            <w:r w:rsidRPr="00B16DFD">
              <w:t>(20)</w:t>
            </w:r>
            <w:r w:rsidRPr="00B16DFD">
              <w:tab/>
              <w:t xml:space="preserve">For at sikre en klar ansvarsfordeling og effektive kontrolforanstaltninger bør tilsynsrådet fortsat være ESMA's hovedorgan for lovgivningsmæssige afgørelser og tilsynsmæssig konvergens. For at styrke EU-dimensionen i beslutningsprocessen i tilsynsrådet bør dets sammensætning tilpasses, så direktionens </w:t>
            </w:r>
            <w:r w:rsidRPr="00B16DFD">
              <w:t>fuldtidsmedlemmer indgår. For at sikre en afbalanceret tilgang og hensyntagen til nationale perspektiver bør tilsynsrådet have beføjelse til at gøre indsigelse mod større tilsynsafgørelser truffet af direktionen inden for 10 dage (eller 48 timer i hastesager), mens direktionen skal aflægge rapport til tilsynsrådet to gange om året om sine tilsynsaktiviteter og kunne anmode om udtalelser om tilsynsspørgsmål.</w:t>
            </w:r>
          </w:p>
        </w:tc>
      </w:tr>
    </w:tbl>
    <w:p w:rsidR="00365C9B" w:rsidRPr="00734CAA" w:rsidP="00365C9B" w14:paraId="1188C17B"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6733A84" w14:textId="77777777">
      <w:pPr>
        <w:rPr>
          <w:lang w:val="en-GB"/>
        </w:rPr>
      </w:pPr>
      <w:r w:rsidRPr="00734CAA">
        <w:rPr>
          <w:rStyle w:val="HideTWBExt"/>
          <w:color w:val="auto"/>
          <w:lang w:val="en-GB"/>
        </w:rPr>
        <w:t>&lt;/Amend&gt;</w:t>
      </w:r>
    </w:p>
    <w:p w:rsidR="00365C9B" w:rsidRPr="00734CAA" w:rsidP="00365C9B" w14:paraId="113BA1F4"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238</w:t>
      </w:r>
      <w:r w:rsidRPr="00734CAA">
        <w:rPr>
          <w:rStyle w:val="HideTWBExt"/>
          <w:color w:val="auto"/>
          <w:lang w:val="en-GB"/>
        </w:rPr>
        <w:t>&lt;/NumAm&gt;</w:t>
      </w:r>
    </w:p>
    <w:p w:rsidR="00365C9B" w:rsidRPr="00734CAA" w:rsidP="00365C9B" w14:paraId="37C0C05E" w14:textId="77777777">
      <w:pPr>
        <w:pStyle w:val="NormalBold"/>
        <w:rPr>
          <w:lang w:val="en-GB"/>
        </w:rPr>
      </w:pPr>
      <w:r w:rsidRPr="00734CAA">
        <w:rPr>
          <w:rStyle w:val="HideTWBExt"/>
          <w:b w:val="0"/>
          <w:color w:val="auto"/>
          <w:lang w:val="en-GB"/>
        </w:rPr>
        <w:t>&lt;RepeatBlock-By&gt;&lt;Members&gt;</w:t>
      </w:r>
      <w:r w:rsidRPr="00734CAA">
        <w:rPr>
          <w:lang w:val="en-GB"/>
        </w:rPr>
        <w:t>Jaroslav Knot, Auke Zijlstra, Enikő Győri, Pierre Pimpie, Tomáš Kubín</w:t>
      </w:r>
      <w:r w:rsidRPr="00734CAA">
        <w:rPr>
          <w:rStyle w:val="HideTWBExt"/>
          <w:b w:val="0"/>
          <w:color w:val="auto"/>
          <w:lang w:val="en-GB"/>
        </w:rPr>
        <w:t>&lt;/Members&gt;</w:t>
      </w:r>
    </w:p>
    <w:p w:rsidR="00365C9B" w:rsidRPr="00B16DFD" w:rsidP="00365C9B" w14:paraId="78A0AEDC" w14:textId="77777777">
      <w:pPr>
        <w:pStyle w:val="NormalBold"/>
      </w:pPr>
      <w:r w:rsidRPr="00B16DFD">
        <w:rPr>
          <w:rStyle w:val="HideTWBExt"/>
          <w:b w:val="0"/>
          <w:color w:val="auto"/>
        </w:rPr>
        <w:t>&lt;/RepeatBlock-By&gt;</w:t>
      </w:r>
    </w:p>
    <w:p w:rsidR="00365C9B" w:rsidRPr="00B16DFD" w:rsidP="00365C9B" w14:paraId="47613086"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768F4F3B" w14:textId="77777777">
      <w:pPr>
        <w:pStyle w:val="NormalBold"/>
        <w:rPr>
          <w:lang w:val="en-GB"/>
        </w:rPr>
      </w:pPr>
      <w:r w:rsidRPr="00734CAA">
        <w:rPr>
          <w:rStyle w:val="HideTWBExt"/>
          <w:color w:val="auto"/>
          <w:lang w:val="en-GB"/>
        </w:rPr>
        <w:t>&lt;Article&gt;</w:t>
      </w:r>
      <w:r w:rsidRPr="00734CAA">
        <w:rPr>
          <w:lang w:val="en-GB"/>
        </w:rPr>
        <w:t>Betragtning 21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C92C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72DF805E" w14:textId="77777777">
            <w:pPr>
              <w:rPr>
                <w:lang w:val="en-GB"/>
              </w:rPr>
            </w:pPr>
          </w:p>
        </w:tc>
      </w:tr>
      <w:tr w14:paraId="3047F285"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BA6D2A7"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9EC10A9" w14:textId="77777777">
            <w:pPr>
              <w:pStyle w:val="AmColumnHeading"/>
            </w:pPr>
            <w:r w:rsidRPr="00B16DFD">
              <w:t>Ændringsforslag</w:t>
            </w:r>
          </w:p>
        </w:tc>
      </w:tr>
      <w:tr w14:paraId="363F40C7"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32FAAF6" w14:textId="77777777">
            <w:pPr>
              <w:pStyle w:val="Normal6a"/>
            </w:pPr>
          </w:p>
        </w:tc>
        <w:tc>
          <w:tcPr>
            <w:tcW w:w="4876" w:type="dxa"/>
            <w:tcBorders>
              <w:top w:val="nil"/>
              <w:left w:val="nil"/>
              <w:bottom w:val="nil"/>
              <w:right w:val="nil"/>
            </w:tcBorders>
            <w:hideMark/>
          </w:tcPr>
          <w:p w:rsidR="00365C9B" w:rsidRPr="00B16DFD" w:rsidP="00F61C80" w14:paraId="66BE869E" w14:textId="0355BF65">
            <w:pPr>
              <w:pStyle w:val="Normal6a"/>
            </w:pPr>
            <w:r w:rsidRPr="00B16DFD">
              <w:rPr>
                <w:b/>
                <w:i/>
              </w:rPr>
              <w:t>(21a)</w:t>
            </w:r>
            <w:r w:rsidRPr="00B16DFD">
              <w:tab/>
            </w:r>
            <w:r w:rsidRPr="00B16DFD">
              <w:rPr>
                <w:b/>
                <w:i/>
              </w:rPr>
              <w:t xml:space="preserve">Der bør tilstræbes yderligere </w:t>
            </w:r>
            <w:r w:rsidRPr="00B16DFD" w:rsidR="00AA1655">
              <w:rPr>
                <w:b/>
                <w:i/>
              </w:rPr>
              <w:t>integr</w:t>
            </w:r>
            <w:r w:rsidR="00AA1655">
              <w:rPr>
                <w:b/>
                <w:i/>
              </w:rPr>
              <w:t xml:space="preserve">ering </w:t>
            </w:r>
            <w:r w:rsidRPr="00B16DFD">
              <w:rPr>
                <w:b/>
                <w:i/>
              </w:rPr>
              <w:t xml:space="preserve">af Unionens kapitalmarkeder gennem reel forenkling, fjernelse af konkrete grænseoverskridende hindringer og en forholdsmæssig tilpasning af tilsynet. Myndighedens direkte tilsyn bør fortsat være ekstraordinært og bør begrænses til tilfælde, hvor objektive beviser viser, at målene i denne forordning ikke kan nås ved hjælp af mindre indgribende midler, herunder samarbejde mellem nationale kompetente myndigheder, peerevalueringer og fælles skabeloner. Eksistensen af grænseoverskridende aktiviteter eller divergerende national praksis bør ikke i sig selv begrunde en overførsel af direkte tilsynsbeføjelser fra de nationale kompetente myndigheder til myndigheden. Enhver sådan overførsel bør baseres på klare væsentlighedskriterier, et påvist tilsynsbehov og en positiv vurdering af dens indvirkning på de nationale </w:t>
            </w:r>
            <w:r w:rsidRPr="00B16DFD">
              <w:rPr>
                <w:b/>
                <w:i/>
              </w:rPr>
              <w:t xml:space="preserve">markeder, tilsynsomkostninger, markedsadgang og konkurrenceevnen for Unionens deltagere </w:t>
            </w:r>
            <w:r w:rsidRPr="00B16DFD" w:rsidR="00CB6039">
              <w:rPr>
                <w:b/>
                <w:i/>
              </w:rPr>
              <w:t>på</w:t>
            </w:r>
            <w:r w:rsidR="00CB6039">
              <w:rPr>
                <w:b/>
                <w:i/>
              </w:rPr>
              <w:t xml:space="preserve"> finansmarkedet</w:t>
            </w:r>
            <w:r w:rsidRPr="00B16DFD">
              <w:rPr>
                <w:b/>
                <w:i/>
              </w:rPr>
              <w:t>.</w:t>
            </w:r>
          </w:p>
        </w:tc>
      </w:tr>
    </w:tbl>
    <w:p w:rsidR="00365C9B" w:rsidRPr="00734CAA" w:rsidP="00365C9B" w14:paraId="33A4E2EB"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7A215EE" w14:textId="77777777">
      <w:pPr>
        <w:rPr>
          <w:lang w:val="en-GB"/>
        </w:rPr>
      </w:pPr>
      <w:r w:rsidRPr="00734CAA">
        <w:rPr>
          <w:rStyle w:val="HideTWBExt"/>
          <w:color w:val="auto"/>
          <w:lang w:val="en-GB"/>
        </w:rPr>
        <w:t>&lt;/Amend&gt;</w:t>
      </w:r>
    </w:p>
    <w:p w:rsidR="00365C9B" w:rsidRPr="00734CAA" w:rsidP="00365C9B" w14:paraId="4D41132C"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239</w:t>
      </w:r>
      <w:r w:rsidRPr="00734CAA">
        <w:rPr>
          <w:rStyle w:val="HideTWBExt"/>
          <w:color w:val="auto"/>
          <w:lang w:val="en-GB"/>
        </w:rPr>
        <w:t>&lt;/NumAm&gt;</w:t>
      </w:r>
    </w:p>
    <w:p w:rsidR="00365C9B" w:rsidRPr="00734CAA" w:rsidP="00365C9B" w14:paraId="54896EA0"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3765E2B1"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5AB66FB9" w14:textId="77777777">
      <w:pPr>
        <w:pStyle w:val="NormalBold"/>
        <w:rPr>
          <w:lang w:val="en-GB"/>
        </w:rPr>
      </w:pPr>
      <w:r w:rsidRPr="00734CAA">
        <w:rPr>
          <w:rStyle w:val="HideTWBExt"/>
          <w:b w:val="0"/>
          <w:color w:val="auto"/>
          <w:lang w:val="en-GB"/>
        </w:rPr>
        <w:t>&lt;/RepeatBlock-By&gt;</w:t>
      </w:r>
    </w:p>
    <w:p w:rsidR="00365C9B" w:rsidRPr="00734CAA" w:rsidP="00365C9B" w14:paraId="23E8FABA"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3BE78856" w14:textId="77777777">
      <w:pPr>
        <w:pStyle w:val="NormalBold"/>
      </w:pPr>
      <w:r w:rsidRPr="00B16DFD">
        <w:rPr>
          <w:rStyle w:val="HideTWBExt"/>
          <w:color w:val="auto"/>
        </w:rPr>
        <w:t>&lt;Article&gt;</w:t>
      </w:r>
      <w:r w:rsidRPr="00B16DFD">
        <w:t>Betragtning 22</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9D91C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C66321F" w14:textId="77777777"/>
        </w:tc>
      </w:tr>
      <w:tr w14:paraId="2F166A0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2EF2457"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B51E04B" w14:textId="77777777">
            <w:pPr>
              <w:pStyle w:val="AmColumnHeading"/>
            </w:pPr>
            <w:r w:rsidRPr="00B16DFD">
              <w:t>Ændringsforslag</w:t>
            </w:r>
          </w:p>
        </w:tc>
      </w:tr>
      <w:tr w14:paraId="3FEA3BC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9EF2F2C" w14:textId="77777777">
            <w:pPr>
              <w:pStyle w:val="Normal6a"/>
            </w:pPr>
            <w:r w:rsidRPr="00B16DFD">
              <w:t>(22)</w:t>
            </w:r>
            <w:r w:rsidRPr="00B16DFD">
              <w:tab/>
              <w:t>Centrale modparter ("CCP'er") i Unionen er i øjeblikket meddelt tilladelse og underlagt tilsyn af de kompetente myndigheder i de medlemsstater, hvor de er etableret, i samarbejde med ESMA og CCP-kollegier. På trods af de fremskridt, der hidtil er gjort med hensyn til at harmonisere tilsynsaktiviteterne for CCP'er i Unionen, er der fortsat forskelle i tilsynspraksis for CCP'er blandt de nationale myndigheder i hele Unionen, hvilket skaber ulige vilkår for CCP'er i Unionen. Dette øger kompleksiteten af Unionens CCP-ramme og pålægger CCP'er i Unionen en yderligere byrde og yderligere omkostninger, herunder sammenlignet med tier 2-CCP'er, som ESMA fører direkte tilsyn med. Med udviklingen af dybere og mere likvide kapitalmarkeder i Unionen under opsparings- og investeringsunionen kan ulige vilkår øge risikoen for og incitamenterne til tilsynsarbitrage, hvilket igen kan føre til problemer med den finansielle stabilitet. For at sikre, at de tilsynsmæssige, organisatoriske og adfærdsmæssige krav til CCP'er i Unionen anvendes på en ensartet måde,</w:t>
            </w:r>
            <w:r w:rsidRPr="00B16DFD">
              <w:rPr>
                <w:b/>
                <w:i/>
              </w:rPr>
              <w:t xml:space="preserve"> navnlig for CCP'er med betydelig clearingaktivitet, </w:t>
            </w:r>
            <w:r w:rsidRPr="00B16DFD">
              <w:t xml:space="preserve">bør CCP'er </w:t>
            </w:r>
            <w:r w:rsidRPr="00B16DFD">
              <w:rPr>
                <w:b/>
                <w:i/>
              </w:rPr>
              <w:t xml:space="preserve">med en væsentlig grænseoverskridende dimension og CCP'er, der indgår i en koncern, som </w:t>
            </w:r>
            <w:r w:rsidRPr="00B16DFD">
              <w:rPr>
                <w:b/>
                <w:i/>
              </w:rPr>
              <w:t>omfatter andre markedsinfrastrukturer, der er underlagt ESMA's tilsyn,</w:t>
            </w:r>
            <w:r w:rsidRPr="00B16DFD">
              <w:t xml:space="preserve"> derfor være underlagt ESMA's tilsyn på grundlag af ESMA's ekspertise og erfaring med anvendelsen af Europa-Parlamentets og Rådets forordning (EU) nr. 648/2012</w:t>
            </w:r>
            <w:r w:rsidRPr="00B16DFD">
              <w:rPr>
                <w:vertAlign w:val="superscript"/>
              </w:rPr>
              <w:t>16</w:t>
            </w:r>
            <w:r w:rsidRPr="00B16DFD">
              <w:t xml:space="preserve">. </w:t>
            </w:r>
            <w:r w:rsidRPr="00B16DFD">
              <w:rPr>
                <w:b/>
                <w:i/>
              </w:rPr>
              <w:t>CCP'er med lav clearingaktivitet og en mere indenlandsk status, der anses for mindre signifikante, bør fortsat drage fordel af tilsynet fra lokale myndigheder med et større kendskab til de indenlandske markeder</w:t>
            </w:r>
            <w:r w:rsidRPr="00B16DFD">
              <w:rPr>
                <w:b/>
                <w:i/>
                <w:vertAlign w:val="superscript"/>
              </w:rPr>
              <w:t>17</w:t>
            </w:r>
            <w:r w:rsidRPr="00B16DFD">
              <w:rPr>
                <w:b/>
                <w:i/>
              </w:rPr>
              <w:t>.</w:t>
            </w:r>
          </w:p>
        </w:tc>
        <w:tc>
          <w:tcPr>
            <w:tcW w:w="4876" w:type="dxa"/>
            <w:tcBorders>
              <w:top w:val="nil"/>
              <w:left w:val="nil"/>
              <w:bottom w:val="nil"/>
              <w:right w:val="nil"/>
            </w:tcBorders>
            <w:hideMark/>
          </w:tcPr>
          <w:p w:rsidR="00365C9B" w:rsidRPr="00B16DFD" w:rsidP="00F61C80" w14:paraId="37F1522C" w14:textId="77777777">
            <w:pPr>
              <w:pStyle w:val="Normal6a"/>
            </w:pPr>
            <w:r w:rsidRPr="00B16DFD">
              <w:t>(22)</w:t>
            </w:r>
            <w:r w:rsidRPr="00B16DFD">
              <w:tab/>
              <w:t xml:space="preserve">Centrale modparter ("CCP'er") i Unionen er i øjeblikket meddelt tilladelse og underlagt tilsyn af de kompetente myndigheder i de medlemsstater, hvor de er etableret, i samarbejde med ESMA og CCP-kollegier. På trods af de fremskridt, der hidtil er gjort med hensyn til at harmonisere tilsynsaktiviteterne for CCP'er i Unionen, er der fortsat forskelle i tilsynspraksis for CCP'er blandt de nationale myndigheder i hele Unionen, hvilket skaber ulige vilkår for CCP'er i Unionen. Dette øger kompleksiteten af Unionens CCP-ramme og pålægger CCP'er i Unionen en yderligere byrde og yderligere omkostninger, herunder sammenlignet med tier 2-CCP'er, som ESMA fører direkte tilsyn med. Med udviklingen af dybere og mere likvide kapitalmarkeder i Unionen under opsparings- og investeringsunionen kan ulige vilkår øge risikoen for og incitamenterne til tilsynsarbitrage, hvilket igen kan føre til problemer med den finansielle stabilitet. For at sikre, at de tilsynsmæssige, organisatoriske og adfærdsmæssige krav til CCP'er i Unionen anvendes på en ensartet måde, bør CCP'er derfor være underlagt ESMA's tilsyn på grundlag af ESMA's ekspertise og erfaring med anvendelsen af Europa-Parlamentets </w:t>
            </w:r>
            <w:r w:rsidRPr="00B16DFD">
              <w:t>og Rådets forordning (EU) nr. 648/2012</w:t>
            </w:r>
            <w:r w:rsidRPr="00B16DFD">
              <w:rPr>
                <w:vertAlign w:val="superscript"/>
              </w:rPr>
              <w:t>16</w:t>
            </w:r>
            <w:r w:rsidRPr="00B16DFD">
              <w:t>.</w:t>
            </w:r>
          </w:p>
        </w:tc>
      </w:tr>
      <w:tr w14:paraId="4419EE85"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802FF75" w14:textId="77777777">
            <w:pPr>
              <w:pStyle w:val="Normal6a"/>
            </w:pPr>
            <w:r w:rsidRPr="00B16DFD">
              <w:rPr>
                <w:b/>
                <w:i/>
              </w:rPr>
              <w:t>_________________</w:t>
            </w:r>
          </w:p>
        </w:tc>
        <w:tc>
          <w:tcPr>
            <w:tcW w:w="4876" w:type="dxa"/>
            <w:tcBorders>
              <w:top w:val="nil"/>
              <w:left w:val="nil"/>
              <w:bottom w:val="nil"/>
              <w:right w:val="nil"/>
            </w:tcBorders>
            <w:hideMark/>
          </w:tcPr>
          <w:p w:rsidR="00365C9B" w:rsidRPr="00B16DFD" w:rsidP="00F61C80" w14:paraId="460EE2A7" w14:textId="77777777">
            <w:pPr>
              <w:pStyle w:val="Normal6a"/>
            </w:pPr>
            <w:r w:rsidRPr="00B16DFD">
              <w:rPr>
                <w:b/>
                <w:i/>
              </w:rPr>
              <w:t>_________________</w:t>
            </w:r>
          </w:p>
        </w:tc>
      </w:tr>
      <w:tr w14:paraId="77D88FB2"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31E03397" w14:textId="77777777">
            <w:pPr>
              <w:pStyle w:val="Normal6a"/>
            </w:pPr>
            <w:r w:rsidRPr="00B16DFD">
              <w:rPr>
                <w:vertAlign w:val="superscript"/>
              </w:rPr>
              <w:t xml:space="preserve">16 </w:t>
            </w:r>
            <w:r w:rsidRPr="00B16DFD">
              <w:t>Europa-Parlamentets og Rådets forordning (EU) nr. 648/2012 af 4. juli 2012 om OTC-derivater, centrale modparter og transaktionsregistre (EUT L 201 af 27.7.2012, s. 1, ELI: http://data.europa.eu/eli/reg/2012/648/oj).</w:t>
            </w:r>
          </w:p>
        </w:tc>
        <w:tc>
          <w:tcPr>
            <w:tcW w:w="4876" w:type="dxa"/>
            <w:tcBorders>
              <w:top w:val="nil"/>
              <w:left w:val="nil"/>
              <w:bottom w:val="nil"/>
              <w:right w:val="nil"/>
            </w:tcBorders>
            <w:hideMark/>
          </w:tcPr>
          <w:p w:rsidR="00365C9B" w:rsidRPr="00B16DFD" w:rsidP="00F61C80" w14:paraId="01280871" w14:textId="77777777">
            <w:pPr>
              <w:pStyle w:val="Normal6a"/>
            </w:pPr>
            <w:r w:rsidRPr="00B16DFD">
              <w:rPr>
                <w:vertAlign w:val="superscript"/>
              </w:rPr>
              <w:t xml:space="preserve">16 </w:t>
            </w:r>
            <w:r w:rsidRPr="00B16DFD">
              <w:t>Europa-Parlamentets og Rådets forordning (EU) nr. 648/2012 af 4. juli 2012 om OTC-derivater, centrale modparter og transaktionsregistre (EUT L 201 af 27.7.2012, s. 1, ELI: http://data.europa.eu/eli/reg/2012/648/oj).</w:t>
            </w:r>
          </w:p>
        </w:tc>
      </w:tr>
      <w:tr w14:paraId="4035922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A0D85CB" w14:textId="77777777">
            <w:pPr>
              <w:pStyle w:val="Normal6a"/>
            </w:pPr>
            <w:r w:rsidRPr="00B16DFD">
              <w:rPr>
                <w:b/>
                <w:bCs/>
                <w:i/>
                <w:iCs/>
                <w:vertAlign w:val="superscript"/>
              </w:rPr>
              <w:t xml:space="preserve">17 </w:t>
            </w:r>
            <w:r w:rsidRPr="00B16DFD">
              <w:rPr>
                <w:b/>
                <w:bCs/>
                <w:i/>
                <w:iCs/>
              </w:rPr>
              <w:t>Europa-Parlamentets og Rådets forordning (EU) nr. 648/2012 af 4. juli 2012 om OTC-derivater, centrale modparter og transaktionsregistre (EUT L 201 af 27.7.2012, s. 1, ELI:</w:t>
            </w:r>
            <w:r w:rsidRPr="00B16DFD">
              <w:rPr>
                <w:b/>
                <w:i/>
              </w:rPr>
              <w:t xml:space="preserve"> http://data.europa.eu/eli/reg/2012/648/oj).</w:t>
            </w:r>
          </w:p>
        </w:tc>
        <w:tc>
          <w:tcPr>
            <w:tcW w:w="4876" w:type="dxa"/>
            <w:tcBorders>
              <w:top w:val="nil"/>
              <w:left w:val="nil"/>
              <w:bottom w:val="nil"/>
              <w:right w:val="nil"/>
            </w:tcBorders>
          </w:tcPr>
          <w:p w:rsidR="00365C9B" w:rsidRPr="00B16DFD" w:rsidP="00F61C80" w14:paraId="03D291F2" w14:textId="77777777"/>
        </w:tc>
      </w:tr>
    </w:tbl>
    <w:p w:rsidR="00365C9B" w:rsidRPr="00734CAA" w:rsidP="00365C9B" w14:paraId="6235E16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815EFF5" w14:textId="77777777">
      <w:pPr>
        <w:rPr>
          <w:lang w:val="en-GB"/>
        </w:rPr>
      </w:pPr>
      <w:r w:rsidRPr="00734CAA">
        <w:rPr>
          <w:rStyle w:val="HideTWBExt"/>
          <w:color w:val="auto"/>
          <w:lang w:val="en-GB"/>
        </w:rPr>
        <w:t>&lt;/Amend&gt;</w:t>
      </w:r>
    </w:p>
    <w:p w:rsidR="00365C9B" w:rsidRPr="00734CAA" w:rsidP="00365C9B" w14:paraId="71746640"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240</w:t>
      </w:r>
      <w:r w:rsidRPr="00734CAA">
        <w:rPr>
          <w:rStyle w:val="HideTWBExt"/>
          <w:color w:val="auto"/>
          <w:lang w:val="en-GB"/>
        </w:rPr>
        <w:t>&lt;/NumAm&gt;</w:t>
      </w:r>
    </w:p>
    <w:p w:rsidR="00365C9B" w:rsidRPr="00734CAA" w:rsidP="00365C9B" w14:paraId="1983A6A7" w14:textId="77777777">
      <w:pPr>
        <w:pStyle w:val="NormalBold"/>
        <w:rPr>
          <w:lang w:val="en-GB"/>
        </w:rPr>
      </w:pPr>
      <w:r w:rsidRPr="00734CAA">
        <w:rPr>
          <w:rStyle w:val="HideTWBExt"/>
          <w:b w:val="0"/>
          <w:color w:val="auto"/>
          <w:lang w:val="en-GB"/>
        </w:rPr>
        <w:t>&lt;RepeatBlock-By&gt;&lt;Members&gt;</w:t>
      </w:r>
      <w:r w:rsidRPr="00734CAA">
        <w:rPr>
          <w:lang w:val="en-GB"/>
        </w:rPr>
        <w:t>Aurore Lalucq, Evelyn Regner, Nikos Papandreou, Claire Fita</w:t>
      </w:r>
      <w:r w:rsidRPr="00734CAA">
        <w:rPr>
          <w:rStyle w:val="HideTWBExt"/>
          <w:b w:val="0"/>
          <w:color w:val="auto"/>
          <w:lang w:val="en-GB"/>
        </w:rPr>
        <w:t>&lt;/Members&gt;</w:t>
      </w:r>
    </w:p>
    <w:p w:rsidR="00365C9B" w:rsidRPr="00B16DFD" w:rsidP="00365C9B" w14:paraId="6A9D22D1" w14:textId="77777777">
      <w:pPr>
        <w:pStyle w:val="NormalBold"/>
      </w:pPr>
      <w:r w:rsidRPr="00B16DFD">
        <w:rPr>
          <w:rStyle w:val="HideTWBExt"/>
          <w:b w:val="0"/>
          <w:color w:val="auto"/>
        </w:rPr>
        <w:t>&lt;/RepeatBlock-By&gt;</w:t>
      </w:r>
    </w:p>
    <w:p w:rsidR="00365C9B" w:rsidRPr="00B16DFD" w:rsidP="00365C9B" w14:paraId="294D971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20A98401" w14:textId="77777777">
      <w:pPr>
        <w:pStyle w:val="NormalBold"/>
      </w:pPr>
      <w:r w:rsidRPr="00B16DFD">
        <w:rPr>
          <w:rStyle w:val="HideTWBExt"/>
          <w:color w:val="auto"/>
        </w:rPr>
        <w:t>&lt;Article&gt;</w:t>
      </w:r>
      <w:r w:rsidRPr="00B16DFD">
        <w:t>Betragtning 22</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9A5745"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239D483" w14:textId="77777777"/>
        </w:tc>
      </w:tr>
      <w:tr w14:paraId="6FA1BC2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F12B5F3"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BDB1AD9" w14:textId="77777777">
            <w:pPr>
              <w:pStyle w:val="AmColumnHeading"/>
            </w:pPr>
            <w:r w:rsidRPr="00B16DFD">
              <w:t>Ændringsforslag</w:t>
            </w:r>
          </w:p>
        </w:tc>
      </w:tr>
      <w:tr w14:paraId="7572D76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ABB8B98" w14:textId="77777777">
            <w:pPr>
              <w:pStyle w:val="Normal6a"/>
            </w:pPr>
            <w:r w:rsidRPr="00B16DFD">
              <w:t>(22)</w:t>
            </w:r>
            <w:r w:rsidRPr="00B16DFD">
              <w:tab/>
              <w:t xml:space="preserve">Centrale modparter ("CCP'er") i Unionen er i øjeblikket meddelt tilladelse og underlagt tilsyn af de kompetente myndigheder i de medlemsstater, hvor de er etableret, i samarbejde med ESMA og CCP-kollegier. På trods af de fremskridt, der hidtil er gjort med hensyn til at harmonisere tilsynsaktiviteterne for CCP'er i Unionen, er der fortsat forskelle i </w:t>
            </w:r>
            <w:r w:rsidRPr="00B16DFD">
              <w:t>tilsynspraksis for CCP'er blandt de nationale myndigheder i hele Unionen, hvilket skaber ulige vilkår for CCP'er i Unionen. Dette øger kompleksiteten af Unionens CCP-ramme og pålægger CCP'er i Unionen en yderligere byrde og yderligere omkostninger, herunder sammenlignet med tier 2-CCP'er, som ESMA fører direkte tilsyn med. Med udviklingen af dybere og mere likvide kapitalmarkeder i Unionen under opsparings- og investeringsunionen kan ulige vilkår øge risikoen for og incitamenterne til tilsynsarbitrage, hvilket igen kan føre til problemer med den finansielle stabilitet. For at sikre, at de tilsynsmæssige, organisatoriske og adfærdsmæssige krav til CCP'er i Unionen anvendes på en ensartet måde,</w:t>
            </w:r>
            <w:r w:rsidRPr="00B16DFD">
              <w:rPr>
                <w:b/>
                <w:i/>
              </w:rPr>
              <w:t xml:space="preserve"> navnlig for CCP'er med betydelig clearingaktivitet, </w:t>
            </w:r>
            <w:r w:rsidRPr="00B16DFD">
              <w:t xml:space="preserve">bør CCP'er </w:t>
            </w:r>
            <w:r w:rsidRPr="00B16DFD">
              <w:rPr>
                <w:b/>
                <w:i/>
              </w:rPr>
              <w:t>med en væsentlig grænseoverskridende dimension og CCP'er, der indgår i en koncern, som omfatter andre markedsinfrastrukturer, der er underlagt ESMA's tilsyn,</w:t>
            </w:r>
            <w:r w:rsidRPr="00B16DFD">
              <w:t xml:space="preserve"> derfor være underlagt ESMA's tilsyn på grundlag af ESMA's ekspertise og erfaring med anvendelsen af Europa-Parlamentets og Rådets forordning (EU) nr. 648/2012</w:t>
            </w:r>
            <w:r w:rsidRPr="00B16DFD">
              <w:rPr>
                <w:vertAlign w:val="superscript"/>
              </w:rPr>
              <w:t>16</w:t>
            </w:r>
            <w:r w:rsidRPr="00B16DFD">
              <w:t xml:space="preserve">. </w:t>
            </w:r>
            <w:r w:rsidRPr="00B16DFD">
              <w:rPr>
                <w:b/>
                <w:i/>
              </w:rPr>
              <w:t>CCP'er med lav clearingaktivitet og en mere indenlandsk status, der anses for mindre signifikante, bør fortsat drage fordel af tilsynet fra lokale myndigheder med et større kendskab til de indenlandske markeder</w:t>
            </w:r>
            <w:r w:rsidRPr="00B16DFD">
              <w:rPr>
                <w:b/>
                <w:i/>
                <w:vertAlign w:val="superscript"/>
              </w:rPr>
              <w:t>17</w:t>
            </w:r>
            <w:r w:rsidRPr="00B16DFD">
              <w:rPr>
                <w:b/>
                <w:i/>
              </w:rPr>
              <w:t>.</w:t>
            </w:r>
          </w:p>
        </w:tc>
        <w:tc>
          <w:tcPr>
            <w:tcW w:w="4876" w:type="dxa"/>
            <w:tcBorders>
              <w:top w:val="nil"/>
              <w:left w:val="nil"/>
              <w:bottom w:val="nil"/>
              <w:right w:val="nil"/>
            </w:tcBorders>
            <w:hideMark/>
          </w:tcPr>
          <w:p w:rsidR="00365C9B" w:rsidRPr="00B16DFD" w:rsidP="00F61C80" w14:paraId="77E709E0" w14:textId="77777777">
            <w:pPr>
              <w:pStyle w:val="Normal6a"/>
            </w:pPr>
            <w:r w:rsidRPr="00B16DFD">
              <w:t>(22)</w:t>
            </w:r>
            <w:r w:rsidRPr="00B16DFD">
              <w:tab/>
              <w:t xml:space="preserve">Centrale modparter ("CCP'er") i Unionen er i øjeblikket meddelt tilladelse og underlagt tilsyn af de kompetente myndigheder i de medlemsstater, hvor de er etableret, i samarbejde med ESMA og CCP-kollegier. På trods af de fremskridt, der hidtil er gjort med hensyn til at harmonisere tilsynsaktiviteterne for CCP'er i Unionen, er der fortsat forskelle i </w:t>
            </w:r>
            <w:r w:rsidRPr="00B16DFD">
              <w:t>tilsynspraksis for CCP'er blandt de nationale myndigheder i hele Unionen, hvilket skaber ulige vilkår for CCP'er i Unionen. Dette øger kompleksiteten af Unionens CCP-ramme og pålægger CCP'er i Unionen en yderligere byrde og yderligere omkostninger, herunder sammenlignet med tier 2-CCP'er, som ESMA fører direkte tilsyn med. Med udviklingen af dybere og mere likvide kapitalmarkeder i Unionen under opsparings- og investeringsunionen kan ulige vilkår øge risikoen for og incitamenterne til tilsynsarbitrage, hvilket igen kan føre til problemer med den finansielle stabilitet. For at sikre, at de tilsynsmæssige, organisatoriske og adfærdsmæssige krav til CCP'er i Unionen anvendes på en ensartet måde, bør CCP'er derfor være underlagt ESMA's tilsyn på grundlag af ESMA's ekspertise og erfaring med anvendelsen af Europa-Parlamentets og Rådets forordning (EU) nr. 648/2012</w:t>
            </w:r>
            <w:r w:rsidRPr="00B16DFD">
              <w:rPr>
                <w:vertAlign w:val="superscript"/>
              </w:rPr>
              <w:t>16</w:t>
            </w:r>
            <w:r w:rsidRPr="00B16DFD">
              <w:t>.</w:t>
            </w:r>
          </w:p>
        </w:tc>
      </w:tr>
      <w:tr w14:paraId="25E2326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1BE5C2A" w14:textId="77777777">
            <w:pPr>
              <w:pStyle w:val="Normal6a"/>
            </w:pPr>
            <w:r w:rsidRPr="00B16DFD">
              <w:rPr>
                <w:b/>
                <w:i/>
              </w:rPr>
              <w:t>_________________</w:t>
            </w:r>
          </w:p>
        </w:tc>
        <w:tc>
          <w:tcPr>
            <w:tcW w:w="4876" w:type="dxa"/>
            <w:tcBorders>
              <w:top w:val="nil"/>
              <w:left w:val="nil"/>
              <w:bottom w:val="nil"/>
              <w:right w:val="nil"/>
            </w:tcBorders>
            <w:hideMark/>
          </w:tcPr>
          <w:p w:rsidR="00365C9B" w:rsidRPr="00B16DFD" w:rsidP="00F61C80" w14:paraId="0EE297B2" w14:textId="77777777">
            <w:pPr>
              <w:pStyle w:val="Normal6a"/>
            </w:pPr>
            <w:r w:rsidRPr="00B16DFD">
              <w:rPr>
                <w:b/>
                <w:i/>
              </w:rPr>
              <w:t>_________________</w:t>
            </w:r>
          </w:p>
        </w:tc>
      </w:tr>
      <w:tr w14:paraId="3E97DB9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1B354E1" w14:textId="77777777">
            <w:pPr>
              <w:pStyle w:val="Normal6a"/>
            </w:pPr>
            <w:r w:rsidRPr="00B16DFD">
              <w:rPr>
                <w:vertAlign w:val="superscript"/>
              </w:rPr>
              <w:t xml:space="preserve">16 </w:t>
            </w:r>
            <w:r w:rsidRPr="00B16DFD">
              <w:t>Europa-Parlamentets og Rådets forordning (EU) nr. 648/2012 af 4. juli 2012 om OTC-derivater, centrale modparter og transaktionsregistre (EUT L 201 af 27.7.2012, s. 1, ELI: http://data.europa.eu/eli/reg/2012/648/oj).</w:t>
            </w:r>
          </w:p>
        </w:tc>
        <w:tc>
          <w:tcPr>
            <w:tcW w:w="4876" w:type="dxa"/>
            <w:tcBorders>
              <w:top w:val="nil"/>
              <w:left w:val="nil"/>
              <w:bottom w:val="nil"/>
              <w:right w:val="nil"/>
            </w:tcBorders>
            <w:hideMark/>
          </w:tcPr>
          <w:p w:rsidR="00365C9B" w:rsidRPr="00B16DFD" w:rsidP="00F61C80" w14:paraId="07CC2AF0" w14:textId="77777777">
            <w:pPr>
              <w:pStyle w:val="Normal6a"/>
            </w:pPr>
            <w:r w:rsidRPr="00B16DFD">
              <w:rPr>
                <w:vertAlign w:val="superscript"/>
              </w:rPr>
              <w:t xml:space="preserve">16 </w:t>
            </w:r>
            <w:r w:rsidRPr="00B16DFD">
              <w:t>Europa-Parlamentets og Rådets forordning (EU) nr. 648/2012 af 4. juli 2012 om OTC-derivater, centrale modparter og transaktionsregistre (EUT L 201 af 27.7.2012, s. 1, ELI: http://data.europa.eu/eli/reg/2012/648/oj).</w:t>
            </w:r>
          </w:p>
        </w:tc>
      </w:tr>
      <w:tr w14:paraId="58303CB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2CFA4EA" w14:textId="77777777">
            <w:pPr>
              <w:pStyle w:val="Normal6a"/>
            </w:pPr>
            <w:r w:rsidRPr="00B16DFD">
              <w:rPr>
                <w:b/>
                <w:bCs/>
                <w:i/>
                <w:iCs/>
                <w:vertAlign w:val="superscript"/>
              </w:rPr>
              <w:t xml:space="preserve">17 </w:t>
            </w:r>
            <w:r w:rsidRPr="00B16DFD">
              <w:rPr>
                <w:b/>
                <w:bCs/>
                <w:i/>
                <w:iCs/>
              </w:rPr>
              <w:t>Europa-Parlamentets og Rådets forordning (EU) nr. 648/2012 af 4. juli 2012 om OTC-derivater, centrale modparter og transaktionsregistre (EUT L 201 af 27.7.2012, s. 1, ELI:</w:t>
            </w:r>
            <w:r w:rsidRPr="00B16DFD">
              <w:rPr>
                <w:b/>
                <w:i/>
              </w:rPr>
              <w:t xml:space="preserve"> </w:t>
            </w:r>
            <w:r w:rsidRPr="00B16DFD">
              <w:rPr>
                <w:b/>
                <w:i/>
              </w:rPr>
              <w:t>http://data.europa.eu/eli/reg/2012/648/oj).</w:t>
            </w:r>
          </w:p>
        </w:tc>
        <w:tc>
          <w:tcPr>
            <w:tcW w:w="4876" w:type="dxa"/>
            <w:tcBorders>
              <w:top w:val="nil"/>
              <w:left w:val="nil"/>
              <w:bottom w:val="nil"/>
              <w:right w:val="nil"/>
            </w:tcBorders>
          </w:tcPr>
          <w:p w:rsidR="00365C9B" w:rsidRPr="00B16DFD" w:rsidP="00F61C80" w14:paraId="52F69147" w14:textId="77777777"/>
        </w:tc>
      </w:tr>
    </w:tbl>
    <w:p w:rsidR="00365C9B" w:rsidRPr="00734CAA" w:rsidP="00365C9B" w14:paraId="4D951B5B"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C474FB7" w14:textId="77777777">
      <w:pPr>
        <w:rPr>
          <w:lang w:val="en-GB"/>
        </w:rPr>
      </w:pPr>
      <w:r w:rsidRPr="00734CAA">
        <w:rPr>
          <w:rStyle w:val="HideTWBExt"/>
          <w:color w:val="auto"/>
          <w:lang w:val="en-GB"/>
        </w:rPr>
        <w:t>&lt;/Amend&gt;</w:t>
      </w:r>
    </w:p>
    <w:p w:rsidR="00365C9B" w:rsidRPr="00734CAA" w:rsidP="00365C9B" w14:paraId="02D5CDF5"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241</w:t>
      </w:r>
      <w:r w:rsidRPr="00734CAA">
        <w:rPr>
          <w:rStyle w:val="HideTWBExt"/>
          <w:color w:val="auto"/>
          <w:lang w:val="en-GB"/>
        </w:rPr>
        <w:t>&lt;/NumAm&gt;</w:t>
      </w:r>
    </w:p>
    <w:p w:rsidR="00365C9B" w:rsidRPr="00734CAA" w:rsidP="00365C9B" w14:paraId="5F4AE547"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574AB441"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67F1FBD3" w14:textId="77777777">
      <w:pPr>
        <w:pStyle w:val="NormalBold"/>
        <w:rPr>
          <w:lang w:val="en-GB"/>
        </w:rPr>
      </w:pPr>
      <w:r w:rsidRPr="00734CAA">
        <w:rPr>
          <w:rStyle w:val="HideTWBExt"/>
          <w:b w:val="0"/>
          <w:color w:val="auto"/>
          <w:lang w:val="en-GB"/>
        </w:rPr>
        <w:t>&lt;/RepeatBlock-By&gt;</w:t>
      </w:r>
    </w:p>
    <w:p w:rsidR="00365C9B" w:rsidRPr="00734CAA" w:rsidP="00365C9B" w14:paraId="4956C22A"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2063B068" w14:textId="77777777">
      <w:pPr>
        <w:pStyle w:val="NormalBold"/>
      </w:pPr>
      <w:r w:rsidRPr="00B16DFD">
        <w:rPr>
          <w:rStyle w:val="HideTWBExt"/>
          <w:color w:val="auto"/>
        </w:rPr>
        <w:t>&lt;Article&gt;</w:t>
      </w:r>
      <w:r w:rsidRPr="00B16DFD">
        <w:t>Betragtning 23</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B27940"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B7355E2" w14:textId="77777777"/>
        </w:tc>
      </w:tr>
      <w:tr w14:paraId="52B1118A"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3E23DEE"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96E9759" w14:textId="77777777">
            <w:pPr>
              <w:pStyle w:val="AmColumnHeading"/>
            </w:pPr>
            <w:r w:rsidRPr="00B16DFD">
              <w:t>Ændringsforslag</w:t>
            </w:r>
          </w:p>
        </w:tc>
      </w:tr>
      <w:tr w14:paraId="21F774D9"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DFABDA9" w14:textId="49E26323">
            <w:pPr>
              <w:pStyle w:val="Normal6a"/>
            </w:pPr>
            <w:r w:rsidRPr="00B16DFD">
              <w:rPr>
                <w:b/>
                <w:i/>
              </w:rPr>
              <w:t>(23)</w:t>
            </w:r>
            <w:r w:rsidRPr="00B16DFD">
              <w:tab/>
            </w:r>
            <w:r w:rsidRPr="00B16DFD">
              <w:rPr>
                <w:b/>
                <w:i/>
              </w:rPr>
              <w:t xml:space="preserve">For at afgøre, hvilke af de CCP'er, der er meddelt tilladelse i henhold til forordning (EU) nr. 648/2012, der bør anses for signifikante og dermed være underlagt ESMA's tilsyn, er det nødvendigt at fastsætte klare og objektive kriterier, som bør afspejle de pågældende CCP'ers aktiviteter og risici. Med henblik på forenkling og for at undgå </w:t>
            </w:r>
            <w:r w:rsidR="00AA1655">
              <w:rPr>
                <w:b/>
                <w:i/>
              </w:rPr>
              <w:t>unødig</w:t>
            </w:r>
            <w:r w:rsidRPr="00B16DFD">
              <w:rPr>
                <w:b/>
                <w:i/>
              </w:rPr>
              <w:t>e administrative byrder bør en eksisterende CCP, der på et senere tidspunkt fastslås som signifikant, ikke skulle meddeles tilladelse på ny.</w:t>
            </w:r>
          </w:p>
        </w:tc>
        <w:tc>
          <w:tcPr>
            <w:tcW w:w="4876" w:type="dxa"/>
            <w:tcBorders>
              <w:top w:val="nil"/>
              <w:left w:val="nil"/>
              <w:bottom w:val="nil"/>
              <w:right w:val="nil"/>
            </w:tcBorders>
            <w:hideMark/>
          </w:tcPr>
          <w:p w:rsidR="00365C9B" w:rsidRPr="00B16DFD" w:rsidP="00F61C80" w14:paraId="474AF721" w14:textId="77777777">
            <w:pPr>
              <w:pStyle w:val="Normal6a"/>
            </w:pPr>
            <w:r w:rsidRPr="00B16DFD">
              <w:rPr>
                <w:b/>
                <w:i/>
              </w:rPr>
              <w:t>udgår</w:t>
            </w:r>
          </w:p>
        </w:tc>
      </w:tr>
    </w:tbl>
    <w:p w:rsidR="00365C9B" w:rsidRPr="00B16DFD" w:rsidP="00365C9B" w14:paraId="2D4A63BA"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19E0A792" w14:textId="77777777">
      <w:r w:rsidRPr="00B16DFD">
        <w:rPr>
          <w:rStyle w:val="HideTWBExt"/>
          <w:color w:val="auto"/>
        </w:rPr>
        <w:t>&lt;/Amend&gt;</w:t>
      </w:r>
    </w:p>
    <w:p w:rsidR="00365C9B" w:rsidRPr="00B16DFD" w:rsidP="00365C9B" w14:paraId="2C09E1D3"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242</w:t>
      </w:r>
      <w:r w:rsidRPr="00B16DFD">
        <w:rPr>
          <w:rStyle w:val="HideTWBExt"/>
          <w:color w:val="auto"/>
        </w:rPr>
        <w:t>&lt;/NumAm&gt;</w:t>
      </w:r>
    </w:p>
    <w:p w:rsidR="00365C9B" w:rsidRPr="00B16DFD" w:rsidP="00365C9B" w14:paraId="122929F5" w14:textId="77777777">
      <w:pPr>
        <w:pStyle w:val="NormalBold"/>
      </w:pPr>
      <w:r w:rsidRPr="00B16DFD">
        <w:rPr>
          <w:rStyle w:val="HideTWBExt"/>
          <w:b w:val="0"/>
          <w:color w:val="auto"/>
        </w:rPr>
        <w:t>&lt;RepeatBlock-By&gt;&lt;Members&gt;</w:t>
      </w:r>
      <w:r w:rsidRPr="00B16DFD">
        <w:t>Aurore Lalucq, Evelyn Regner, Nikos Papandreou, Claire Fita</w:t>
      </w:r>
      <w:r w:rsidRPr="00B16DFD">
        <w:rPr>
          <w:rStyle w:val="HideTWBExt"/>
          <w:b w:val="0"/>
          <w:color w:val="auto"/>
        </w:rPr>
        <w:t>&lt;/Members&gt;</w:t>
      </w:r>
    </w:p>
    <w:p w:rsidR="00365C9B" w:rsidRPr="00B16DFD" w:rsidP="00365C9B" w14:paraId="503B485C" w14:textId="77777777">
      <w:pPr>
        <w:pStyle w:val="NormalBold"/>
      </w:pPr>
      <w:r w:rsidRPr="00B16DFD">
        <w:rPr>
          <w:rStyle w:val="HideTWBExt"/>
          <w:b w:val="0"/>
          <w:color w:val="auto"/>
        </w:rPr>
        <w:t>&lt;/RepeatBlock-By&gt;</w:t>
      </w:r>
    </w:p>
    <w:p w:rsidR="00365C9B" w:rsidRPr="00B16DFD" w:rsidP="00365C9B" w14:paraId="0D53DFA5"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65B777D5" w14:textId="77777777">
      <w:pPr>
        <w:pStyle w:val="NormalBold"/>
      </w:pPr>
      <w:r w:rsidRPr="00B16DFD">
        <w:rPr>
          <w:rStyle w:val="HideTWBExt"/>
          <w:color w:val="auto"/>
        </w:rPr>
        <w:t>&lt;Article&gt;</w:t>
      </w:r>
      <w:r w:rsidRPr="00B16DFD">
        <w:t>Betragtning 23</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AC310"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A7D1DBD" w14:textId="77777777"/>
        </w:tc>
      </w:tr>
      <w:tr w14:paraId="52037BC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54A09C4"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4656C95" w14:textId="77777777">
            <w:pPr>
              <w:pStyle w:val="AmColumnHeading"/>
            </w:pPr>
            <w:r w:rsidRPr="00B16DFD">
              <w:t>Ændringsforslag</w:t>
            </w:r>
          </w:p>
        </w:tc>
      </w:tr>
      <w:tr w14:paraId="23629DB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AB141FC" w14:textId="20D126A4">
            <w:pPr>
              <w:pStyle w:val="Normal6a"/>
            </w:pPr>
            <w:r w:rsidRPr="00B16DFD">
              <w:rPr>
                <w:b/>
                <w:i/>
              </w:rPr>
              <w:t>(23)</w:t>
            </w:r>
            <w:r w:rsidRPr="00B16DFD">
              <w:tab/>
            </w:r>
            <w:r w:rsidRPr="00B16DFD">
              <w:rPr>
                <w:b/>
                <w:i/>
              </w:rPr>
              <w:t xml:space="preserve">For at afgøre, hvilke af de CCP'er, der er meddelt tilladelse i henhold til forordning (EU) nr. 648/2012, der bør anses for signifikante og dermed være underlagt ESMA's tilsyn, er det nødvendigt at fastsætte klare og objektive kriterier, som bør afspejle de pågældende CCP'ers aktiviteter og risici. Med henblik </w:t>
            </w:r>
            <w:r w:rsidRPr="00B16DFD">
              <w:rPr>
                <w:b/>
                <w:i/>
              </w:rPr>
              <w:t xml:space="preserve">på forenkling og for at undgå </w:t>
            </w:r>
            <w:r w:rsidR="00AA1655">
              <w:rPr>
                <w:b/>
                <w:i/>
              </w:rPr>
              <w:t>unødig</w:t>
            </w:r>
            <w:r w:rsidRPr="00B16DFD">
              <w:rPr>
                <w:b/>
                <w:i/>
              </w:rPr>
              <w:t>e administrative byrder bør en eksisterende CCP, der på et senere tidspunkt fastslås som signifikant, ikke skulle meddeles tilladelse på ny.</w:t>
            </w:r>
          </w:p>
        </w:tc>
        <w:tc>
          <w:tcPr>
            <w:tcW w:w="4876" w:type="dxa"/>
            <w:tcBorders>
              <w:top w:val="nil"/>
              <w:left w:val="nil"/>
              <w:bottom w:val="nil"/>
              <w:right w:val="nil"/>
            </w:tcBorders>
            <w:hideMark/>
          </w:tcPr>
          <w:p w:rsidR="00365C9B" w:rsidRPr="00B16DFD" w:rsidP="00F61C80" w14:paraId="2D3D4A92" w14:textId="77777777">
            <w:pPr>
              <w:pStyle w:val="Normal6a"/>
            </w:pPr>
            <w:r w:rsidRPr="00B16DFD">
              <w:rPr>
                <w:b/>
                <w:i/>
              </w:rPr>
              <w:t>udgår</w:t>
            </w:r>
          </w:p>
        </w:tc>
      </w:tr>
    </w:tbl>
    <w:p w:rsidR="00365C9B" w:rsidRPr="00B16DFD" w:rsidP="00365C9B" w14:paraId="1948D3FD"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19F96355" w14:textId="77777777">
      <w:r w:rsidRPr="00B16DFD">
        <w:rPr>
          <w:rStyle w:val="HideTWBExt"/>
          <w:color w:val="auto"/>
        </w:rPr>
        <w:t>&lt;/Amend&gt;</w:t>
      </w:r>
    </w:p>
    <w:p w:rsidR="00365C9B" w:rsidRPr="00B16DFD" w:rsidP="00365C9B" w14:paraId="74C80950"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243</w:t>
      </w:r>
      <w:r w:rsidRPr="00B16DFD">
        <w:rPr>
          <w:rStyle w:val="HideTWBExt"/>
          <w:color w:val="auto"/>
        </w:rPr>
        <w:t>&lt;/NumAm&gt;</w:t>
      </w:r>
    </w:p>
    <w:p w:rsidR="00365C9B" w:rsidRPr="00734CAA" w:rsidP="00365C9B" w14:paraId="391A2C29" w14:textId="77777777">
      <w:pPr>
        <w:pStyle w:val="NormalBold"/>
        <w:rPr>
          <w:lang w:val="en-GB"/>
        </w:rPr>
      </w:pPr>
      <w:r w:rsidRPr="00734CAA">
        <w:rPr>
          <w:rStyle w:val="HideTWBExt"/>
          <w:b w:val="0"/>
          <w:color w:val="auto"/>
          <w:lang w:val="en-GB"/>
        </w:rPr>
        <w:t>&lt;RepeatBlock-By&gt;&lt;Members&gt;</w:t>
      </w:r>
      <w:r w:rsidRPr="00734CAA">
        <w:rPr>
          <w:lang w:val="en-GB"/>
        </w:rPr>
        <w:t>Regina Doherty</w:t>
      </w:r>
      <w:r w:rsidRPr="00734CAA">
        <w:rPr>
          <w:rStyle w:val="HideTWBExt"/>
          <w:b w:val="0"/>
          <w:color w:val="auto"/>
          <w:lang w:val="en-GB"/>
        </w:rPr>
        <w:t>&lt;/Members&gt;</w:t>
      </w:r>
    </w:p>
    <w:p w:rsidR="00365C9B" w:rsidRPr="00B16DFD" w:rsidP="00365C9B" w14:paraId="3C1D0287" w14:textId="77777777">
      <w:pPr>
        <w:pStyle w:val="NormalBold"/>
      </w:pPr>
      <w:r w:rsidRPr="00B16DFD">
        <w:rPr>
          <w:rStyle w:val="HideTWBExt"/>
          <w:b w:val="0"/>
          <w:color w:val="auto"/>
        </w:rPr>
        <w:t>&lt;/RepeatBlock-By&gt;</w:t>
      </w:r>
    </w:p>
    <w:p w:rsidR="00365C9B" w:rsidRPr="00B16DFD" w:rsidP="00365C9B" w14:paraId="3FF6C285"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78913B1C" w14:textId="77777777">
      <w:pPr>
        <w:pStyle w:val="NormalBold"/>
      </w:pPr>
      <w:r w:rsidRPr="00B16DFD">
        <w:rPr>
          <w:rStyle w:val="HideTWBExt"/>
          <w:color w:val="auto"/>
        </w:rPr>
        <w:t>&lt;Article&gt;</w:t>
      </w:r>
      <w:r w:rsidRPr="00B16DFD">
        <w:t>Betragtning 23</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B6248E"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695965B" w14:textId="77777777"/>
        </w:tc>
      </w:tr>
      <w:tr w14:paraId="20556CB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DA55365"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A7D348A" w14:textId="77777777">
            <w:pPr>
              <w:pStyle w:val="AmColumnHeading"/>
            </w:pPr>
            <w:r w:rsidRPr="00B16DFD">
              <w:t>Ændringsforslag</w:t>
            </w:r>
          </w:p>
        </w:tc>
      </w:tr>
      <w:tr w14:paraId="7F69017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838BFD7" w14:textId="0C989003">
            <w:pPr>
              <w:pStyle w:val="Normal6a"/>
            </w:pPr>
            <w:r w:rsidRPr="00B16DFD">
              <w:t>(23)</w:t>
            </w:r>
            <w:r w:rsidRPr="00B16DFD">
              <w:tab/>
              <w:t xml:space="preserve">For at afgøre, hvilke af de CCP'er, der er meddelt tilladelse i henhold til forordning (EU) nr. 648/2012, der bør anses for signifikante og dermed være underlagt ESMA's tilsyn, er det nødvendigt at fastsætte klare og objektive kriterier, som bør afspejle de pågældende CCP'ers aktiviteter og risici. Med henblik på forenkling og for at undgå </w:t>
            </w:r>
            <w:r w:rsidR="00AA1655">
              <w:t>unødig</w:t>
            </w:r>
            <w:r w:rsidRPr="00B16DFD">
              <w:t>e administrative byrder bør en eksisterende CCP, der på et senere tidspunkt fastslås som signifikant, ikke skulle meddeles tilladelse på ny.</w:t>
            </w:r>
          </w:p>
        </w:tc>
        <w:tc>
          <w:tcPr>
            <w:tcW w:w="4876" w:type="dxa"/>
            <w:tcBorders>
              <w:top w:val="nil"/>
              <w:left w:val="nil"/>
              <w:bottom w:val="nil"/>
              <w:right w:val="nil"/>
            </w:tcBorders>
            <w:hideMark/>
          </w:tcPr>
          <w:p w:rsidR="00365C9B" w:rsidRPr="00B16DFD" w:rsidP="00F61C80" w14:paraId="04244B4A" w14:textId="5AB7528D">
            <w:pPr>
              <w:pStyle w:val="Normal6a"/>
            </w:pPr>
            <w:r w:rsidRPr="00B16DFD">
              <w:t>(23)</w:t>
            </w:r>
            <w:r w:rsidRPr="00B16DFD">
              <w:tab/>
              <w:t xml:space="preserve">For at afgøre, hvilke af de CCP'er, der er meddelt tilladelse i henhold til forordning (EU) nr. 648/2012, der bør anses for signifikante og dermed være underlagt ESMA's tilsyn, er det nødvendigt at fastsætte klare og objektive kriterier, som bør afspejle de pågældende CCP'ers aktiviteter og risici. Med henblik på forenkling og for at undgå </w:t>
            </w:r>
            <w:r w:rsidR="00AA1655">
              <w:t>unødig</w:t>
            </w:r>
            <w:r w:rsidRPr="00B16DFD">
              <w:t>e administrative byrder bør en eksisterende CCP, der på et senere tidspunkt fastslås som signifikant, ikke skulle meddeles tilladelse på ny.</w:t>
            </w:r>
            <w:r w:rsidRPr="00B16DFD">
              <w:rPr>
                <w:b/>
                <w:i/>
              </w:rPr>
              <w:t> Overførslen af tilsynsopgaver for signifikante centrale modparter til ESMA må ikke finde sted, medmindre den tilsvarende afviklingsramme på EU-plan er blevet tilpasset for at sikre en passende inddragelse af den myndighed i hjemlandet, der er ansvarlig for afviklingen, og eventuelle tilknyttede eventualforpligtelser.</w:t>
            </w:r>
          </w:p>
        </w:tc>
      </w:tr>
    </w:tbl>
    <w:p w:rsidR="00365C9B" w:rsidRPr="00734CAA" w:rsidP="00365C9B" w14:paraId="7A6B0DAB"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7F863A9" w14:textId="77777777">
      <w:pPr>
        <w:rPr>
          <w:lang w:val="en-GB"/>
        </w:rPr>
      </w:pPr>
      <w:r w:rsidRPr="00734CAA">
        <w:rPr>
          <w:rStyle w:val="HideTWBExt"/>
          <w:color w:val="auto"/>
          <w:lang w:val="en-GB"/>
        </w:rPr>
        <w:t>&lt;/Amend&gt;</w:t>
      </w:r>
    </w:p>
    <w:p w:rsidR="00365C9B" w:rsidRPr="00734CAA" w:rsidP="00365C9B" w14:paraId="1CD978C6"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244</w:t>
      </w:r>
      <w:r w:rsidRPr="00734CAA">
        <w:rPr>
          <w:rStyle w:val="HideTWBExt"/>
          <w:color w:val="auto"/>
          <w:lang w:val="en-GB"/>
        </w:rPr>
        <w:t>&lt;/NumAm&gt;</w:t>
      </w:r>
    </w:p>
    <w:p w:rsidR="00365C9B" w:rsidRPr="00734CAA" w:rsidP="00365C9B" w14:paraId="5DFAFAB3"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00709CC4"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7B3AC8B7" w14:textId="77777777">
      <w:pPr>
        <w:pStyle w:val="NormalBold"/>
        <w:rPr>
          <w:lang w:val="en-GB"/>
        </w:rPr>
      </w:pPr>
      <w:r w:rsidRPr="00734CAA">
        <w:rPr>
          <w:rStyle w:val="HideTWBExt"/>
          <w:b w:val="0"/>
          <w:color w:val="auto"/>
          <w:lang w:val="en-GB"/>
        </w:rPr>
        <w:t>&lt;/RepeatBlock-By&gt;</w:t>
      </w:r>
    </w:p>
    <w:p w:rsidR="00365C9B" w:rsidRPr="00734CAA" w:rsidP="00365C9B" w14:paraId="1933198F"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58683261" w14:textId="77777777">
      <w:pPr>
        <w:pStyle w:val="NormalBold"/>
      </w:pPr>
      <w:r w:rsidRPr="00B16DFD">
        <w:rPr>
          <w:rStyle w:val="HideTWBExt"/>
          <w:color w:val="auto"/>
        </w:rPr>
        <w:t>&lt;Article&gt;</w:t>
      </w:r>
      <w:r w:rsidRPr="00B16DFD">
        <w:t>Betragtning 24</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4E6B5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0618C41" w14:textId="77777777"/>
        </w:tc>
      </w:tr>
      <w:tr w14:paraId="235246F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07988C8"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1812AC3" w14:textId="77777777">
            <w:pPr>
              <w:pStyle w:val="AmColumnHeading"/>
            </w:pPr>
            <w:r w:rsidRPr="00B16DFD">
              <w:t>Ændringsforslag</w:t>
            </w:r>
          </w:p>
        </w:tc>
      </w:tr>
      <w:tr w14:paraId="70CD7DE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679608D" w14:textId="77777777">
            <w:pPr>
              <w:pStyle w:val="Normal6a"/>
            </w:pPr>
            <w:r w:rsidRPr="00B16DFD">
              <w:rPr>
                <w:b/>
                <w:i/>
              </w:rPr>
              <w:t>(24)</w:t>
            </w:r>
            <w:r w:rsidRPr="00B16DFD">
              <w:tab/>
            </w:r>
            <w:r w:rsidRPr="00B16DFD">
              <w:rPr>
                <w:b/>
                <w:i/>
              </w:rPr>
              <w:t>De nationale kompetente myndigheder, der fører tilsyn med mindre signifikante CCP'er, bør have et tættere samarbejde med ESMA for at sikre en ensartet tilgang til tilsynet og dermed sikre lige vilkår for CCP'er. Hvis de ønsker det, bør medlemsstaterne have mulighed for at udpege ESMA som den kompetente myndighed for mindre signifikante CCP'er, der er etableret i deres jurisdiktion. Hvis en tidligere signifikant CCP ikke længere opfylder betingelserne for at blive betragtet som sådan, bør den nationale kompetente myndighed desuden tildeles en tilstrækkelig overgangsperiode, så den kan forberede sig, inden den formelt overtager tilsynsansvaret for den pågældende CCP. Alternativt bør den nationale kompetente myndighed kunne overlade tilsynet med denne tidligere signifikante CCP til ESMA. For at sikre konsekvens og lige vilkår mellem signifikante og mindre signifikante CCP'er bør ESMA desuden også være den myndighed, der er ansvarlig for at godkende interoperabilitetsordninger og for at lede tilsynskollegierne for mindre signifikante CCP'er. De nye tilsynsordninger for CCP'er i Unionen, navnlig ESMA's rolle som kompetent myndighed for signifikante CCP'er, bør afspejles i Europa-Parlamentets og Rådets forordning (EU) 2021/23</w:t>
            </w:r>
            <w:r w:rsidRPr="00B16DFD">
              <w:rPr>
                <w:b/>
                <w:i/>
                <w:vertAlign w:val="superscript"/>
              </w:rPr>
              <w:t>18</w:t>
            </w:r>
            <w:r w:rsidRPr="00B16DFD">
              <w:rPr>
                <w:b/>
                <w:i/>
              </w:rPr>
              <w:t>.</w:t>
            </w:r>
          </w:p>
        </w:tc>
        <w:tc>
          <w:tcPr>
            <w:tcW w:w="4876" w:type="dxa"/>
            <w:tcBorders>
              <w:top w:val="nil"/>
              <w:left w:val="nil"/>
              <w:bottom w:val="nil"/>
              <w:right w:val="nil"/>
            </w:tcBorders>
            <w:hideMark/>
          </w:tcPr>
          <w:p w:rsidR="00365C9B" w:rsidRPr="00B16DFD" w:rsidP="00F61C80" w14:paraId="1979CD81" w14:textId="77777777">
            <w:pPr>
              <w:pStyle w:val="Normal6a"/>
            </w:pPr>
            <w:r w:rsidRPr="00B16DFD">
              <w:rPr>
                <w:b/>
                <w:i/>
              </w:rPr>
              <w:t>udgår</w:t>
            </w:r>
          </w:p>
        </w:tc>
      </w:tr>
      <w:tr w14:paraId="2E3B50F9"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6637E3B" w14:textId="77777777">
            <w:pPr>
              <w:pStyle w:val="Normal6a"/>
            </w:pPr>
            <w:r w:rsidRPr="00B16DFD">
              <w:rPr>
                <w:b/>
                <w:i/>
              </w:rPr>
              <w:t>_________________</w:t>
            </w:r>
          </w:p>
        </w:tc>
        <w:tc>
          <w:tcPr>
            <w:tcW w:w="4876" w:type="dxa"/>
            <w:tcBorders>
              <w:top w:val="nil"/>
              <w:left w:val="nil"/>
              <w:bottom w:val="nil"/>
              <w:right w:val="nil"/>
            </w:tcBorders>
          </w:tcPr>
          <w:p w:rsidR="00365C9B" w:rsidRPr="00B16DFD" w:rsidP="00F61C80" w14:paraId="01EE4E37" w14:textId="77777777"/>
        </w:tc>
      </w:tr>
      <w:tr w14:paraId="14E64AF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349E34C1" w14:textId="77777777">
            <w:pPr>
              <w:pStyle w:val="Normal6a"/>
            </w:pPr>
            <w:r w:rsidRPr="00B16DFD">
              <w:rPr>
                <w:b/>
                <w:bCs/>
                <w:i/>
                <w:iCs/>
                <w:vertAlign w:val="superscript"/>
              </w:rPr>
              <w:t xml:space="preserve">18 </w:t>
            </w:r>
            <w:r w:rsidRPr="00B16DFD">
              <w:rPr>
                <w:b/>
                <w:bCs/>
                <w:i/>
                <w:iCs/>
              </w:rPr>
              <w:t xml:space="preserve">Europa-Parlamentets og Rådets forordning (EU) 2021/23 af 16. december 2020 om et regelsæt for genopretning og afvikling af centrale modparter og om ændring af forordning (EU) nr. 1095/2010, (EU) nr. 648/2012, (EU) nr. 600/2014, (EU) nr. 806/2014 og (EU) 2015/2365 samt </w:t>
            </w:r>
            <w:r w:rsidRPr="00B16DFD">
              <w:rPr>
                <w:b/>
                <w:bCs/>
                <w:i/>
                <w:iCs/>
              </w:rPr>
              <w:t>direktiv 2002/47/EF, 2004/25/EF, 2007/36/EF, 2014/59/EU og (EU) 2017/1132 (EUT L 22 af 22.1.2021, s. 1, ELI:</w:t>
            </w:r>
            <w:r w:rsidRPr="00B16DFD">
              <w:rPr>
                <w:b/>
                <w:i/>
              </w:rPr>
              <w:t xml:space="preserve"> http://data.europa.eu/eli/reg/2021/23/oj).</w:t>
            </w:r>
          </w:p>
        </w:tc>
        <w:tc>
          <w:tcPr>
            <w:tcW w:w="4876" w:type="dxa"/>
            <w:tcBorders>
              <w:top w:val="nil"/>
              <w:left w:val="nil"/>
              <w:bottom w:val="nil"/>
              <w:right w:val="nil"/>
            </w:tcBorders>
          </w:tcPr>
          <w:p w:rsidR="00365C9B" w:rsidRPr="00B16DFD" w:rsidP="00F61C80" w14:paraId="345AA7DB" w14:textId="77777777"/>
        </w:tc>
      </w:tr>
    </w:tbl>
    <w:p w:rsidR="00365C9B" w:rsidRPr="00734CAA" w:rsidP="00365C9B" w14:paraId="61D58C83"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87C67B0" w14:textId="77777777">
      <w:pPr>
        <w:rPr>
          <w:lang w:val="en-GB"/>
        </w:rPr>
      </w:pPr>
      <w:r w:rsidRPr="00734CAA">
        <w:rPr>
          <w:rStyle w:val="HideTWBExt"/>
          <w:color w:val="auto"/>
          <w:lang w:val="en-GB"/>
        </w:rPr>
        <w:t>&lt;/Amend&gt;</w:t>
      </w:r>
    </w:p>
    <w:p w:rsidR="00365C9B" w:rsidRPr="00734CAA" w:rsidP="00365C9B" w14:paraId="37142F77"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245</w:t>
      </w:r>
      <w:r w:rsidRPr="00734CAA">
        <w:rPr>
          <w:rStyle w:val="HideTWBExt"/>
          <w:color w:val="auto"/>
          <w:lang w:val="en-GB"/>
        </w:rPr>
        <w:t>&lt;/NumAm&gt;</w:t>
      </w:r>
    </w:p>
    <w:p w:rsidR="00365C9B" w:rsidRPr="00734CAA" w:rsidP="00365C9B" w14:paraId="1C6DA7FF"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35D2AB38" w14:textId="77777777">
      <w:pPr>
        <w:pStyle w:val="NormalBold"/>
      </w:pPr>
      <w:r w:rsidRPr="00B16DFD">
        <w:rPr>
          <w:rStyle w:val="HideTWBExt"/>
          <w:b w:val="0"/>
          <w:color w:val="auto"/>
        </w:rPr>
        <w:t>&lt;/RepeatBlock-By&gt;</w:t>
      </w:r>
    </w:p>
    <w:p w:rsidR="00365C9B" w:rsidRPr="00B16DFD" w:rsidP="00365C9B" w14:paraId="6DFF450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75090F63" w14:textId="77777777">
      <w:pPr>
        <w:pStyle w:val="NormalBold"/>
      </w:pPr>
      <w:r w:rsidRPr="00B16DFD">
        <w:rPr>
          <w:rStyle w:val="HideTWBExt"/>
          <w:color w:val="auto"/>
        </w:rPr>
        <w:t>&lt;Article&gt;</w:t>
      </w:r>
      <w:r w:rsidRPr="00B16DFD">
        <w:t>Betragtning 24</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B6E44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7A038FB" w14:textId="77777777"/>
        </w:tc>
      </w:tr>
      <w:tr w14:paraId="645D5A57"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B614632"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DCEDF67" w14:textId="77777777">
            <w:pPr>
              <w:pStyle w:val="AmColumnHeading"/>
            </w:pPr>
            <w:r w:rsidRPr="00B16DFD">
              <w:t>Ændringsforslag</w:t>
            </w:r>
          </w:p>
        </w:tc>
      </w:tr>
      <w:tr w14:paraId="0E042F1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C5FB955" w14:textId="77777777">
            <w:pPr>
              <w:pStyle w:val="Normal6a"/>
            </w:pPr>
            <w:r w:rsidRPr="00B16DFD">
              <w:t>(24)</w:t>
            </w:r>
            <w:r w:rsidRPr="00B16DFD">
              <w:tab/>
              <w:t xml:space="preserve">De nationale kompetente myndigheder, der fører tilsyn med mindre signifikante CCP'er, bør have et tættere samarbejde med ESMA for at sikre en ensartet tilgang til tilsynet og dermed sikre lige vilkår for CCP'er. Hvis de ønsker det, bør medlemsstaterne have mulighed for at udpege ESMA som den kompetente myndighed for mindre signifikante CCP'er, der er etableret i deres jurisdiktion. Hvis en tidligere signifikant CCP ikke længere opfylder betingelserne for at blive betragtet som sådan, bør den nationale kompetente myndighed desuden tildeles en tilstrækkelig overgangsperiode, så den kan forberede sig, inden den formelt overtager tilsynsansvaret for den pågældende CCP. Alternativt bør den nationale kompetente myndighed kunne overlade tilsynet med denne tidligere signifikante CCP til ESMA. For at sikre konsekvens og lige vilkår mellem signifikante og mindre signifikante CCP'er bør ESMA desuden også være den myndighed, der er ansvarlig for at godkende interoperabilitetsordninger og for at lede tilsynskollegierne for mindre signifikante CCP'er. De nye tilsynsordninger for CCP'er i Unionen, navnlig ESMA's rolle som kompetent myndighed for signifikante CCP'er, bør afspejles i Europa-Parlamentets og Rådets </w:t>
            </w:r>
            <w:r w:rsidRPr="00B16DFD">
              <w:t>forordning (EU) 2021/23</w:t>
            </w:r>
            <w:r w:rsidRPr="00B16DFD">
              <w:rPr>
                <w:vertAlign w:val="superscript"/>
              </w:rPr>
              <w:t>18</w:t>
            </w:r>
            <w:r w:rsidRPr="00B16DFD">
              <w:t>.</w:t>
            </w:r>
          </w:p>
        </w:tc>
        <w:tc>
          <w:tcPr>
            <w:tcW w:w="4876" w:type="dxa"/>
            <w:tcBorders>
              <w:top w:val="nil"/>
              <w:left w:val="nil"/>
              <w:bottom w:val="nil"/>
              <w:right w:val="nil"/>
            </w:tcBorders>
            <w:hideMark/>
          </w:tcPr>
          <w:p w:rsidR="00365C9B" w:rsidRPr="00B16DFD" w:rsidP="00F61C80" w14:paraId="2F55EA24" w14:textId="77777777">
            <w:pPr>
              <w:pStyle w:val="Normal6a"/>
            </w:pPr>
            <w:r w:rsidRPr="00B16DFD">
              <w:t>(24)</w:t>
            </w:r>
            <w:r w:rsidRPr="00B16DFD">
              <w:tab/>
              <w:t xml:space="preserve">De nationale kompetente myndigheder, der fører tilsyn med mindre signifikante CCP'er, bør have et tættere samarbejde med ESMA for at sikre en ensartet tilgang til tilsynet og dermed sikre lige vilkår for CCP'er. Hvis de ønsker det, bør medlemsstaterne </w:t>
            </w:r>
            <w:r w:rsidRPr="00B16DFD">
              <w:rPr>
                <w:b/>
                <w:i/>
              </w:rPr>
              <w:t xml:space="preserve">og mindre signifikante CCP'er </w:t>
            </w:r>
            <w:r w:rsidRPr="00B16DFD">
              <w:t xml:space="preserve">have mulighed for at udpege ESMA som den kompetente myndighed for mindre signifikante CCP'er, der er etableret i deres jurisdiktion. Hvis en tidligere signifikant CCP ikke længere opfylder betingelserne for at blive betragtet som sådan, bør den nationale kompetente myndighed desuden tildeles en tilstrækkelig overgangsperiode, så den kan forberede sig, inden den formelt overtager tilsynsansvaret for den pågældende CCP. Alternativt bør den nationale kompetente myndighed kunne overlade tilsynet med denne tidligere signifikante CCP til ESMA. For at sikre konsekvens og lige vilkår mellem signifikante og mindre signifikante CCP'er bør ESMA desuden også være den myndighed, der er ansvarlig for at godkende interoperabilitetsordninger og for at lede tilsynskollegierne for mindre signifikante CCP'er. De nye tilsynsordninger for CCP'er i Unionen, navnlig ESMA's rolle som kompetent myndighed for signifikante CCP'er, bør </w:t>
            </w:r>
            <w:r w:rsidRPr="00B16DFD">
              <w:t>afspejles i Europa-Parlamentets og Rådets forordning (EU) 2021/23</w:t>
            </w:r>
            <w:r w:rsidRPr="00B16DFD">
              <w:rPr>
                <w:vertAlign w:val="superscript"/>
              </w:rPr>
              <w:t>18</w:t>
            </w:r>
            <w:r w:rsidRPr="00B16DFD">
              <w:t>.</w:t>
            </w:r>
          </w:p>
        </w:tc>
      </w:tr>
      <w:tr w14:paraId="63B887E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18F27D2" w14:textId="77777777">
            <w:pPr>
              <w:pStyle w:val="Normal6a"/>
            </w:pPr>
            <w:r w:rsidRPr="00B16DFD">
              <w:rPr>
                <w:b/>
                <w:i/>
              </w:rPr>
              <w:t>_________________</w:t>
            </w:r>
          </w:p>
        </w:tc>
        <w:tc>
          <w:tcPr>
            <w:tcW w:w="4876" w:type="dxa"/>
            <w:tcBorders>
              <w:top w:val="nil"/>
              <w:left w:val="nil"/>
              <w:bottom w:val="nil"/>
              <w:right w:val="nil"/>
            </w:tcBorders>
            <w:hideMark/>
          </w:tcPr>
          <w:p w:rsidR="00365C9B" w:rsidRPr="00B16DFD" w:rsidP="00F61C80" w14:paraId="7BF79268" w14:textId="77777777">
            <w:pPr>
              <w:pStyle w:val="Normal6a"/>
            </w:pPr>
            <w:r w:rsidRPr="00B16DFD">
              <w:rPr>
                <w:b/>
                <w:i/>
              </w:rPr>
              <w:t>_________________</w:t>
            </w:r>
          </w:p>
        </w:tc>
      </w:tr>
      <w:tr w14:paraId="6C557E37"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3943A1E2" w14:textId="77777777">
            <w:pPr>
              <w:pStyle w:val="Normal6a"/>
            </w:pPr>
            <w:r w:rsidRPr="00B16DFD">
              <w:rPr>
                <w:vertAlign w:val="superscript"/>
              </w:rPr>
              <w:t xml:space="preserve">18 </w:t>
            </w:r>
            <w:r w:rsidRPr="00B16DFD">
              <w:t>Europa-Parlamentets og Rådets forordning (EU) 2021/23 af 16. december 2020 om et regelsæt for genopretning og afvikling af centrale modparter og om ændring af forordning (EU) nr. 1095/2010, (EU) nr. 648/2012, (EU) nr. 600/2014, (EU) nr. 806/2014 og (EU) 2015/2365 samt direktiv 2002/47/EF, 2004/25/EF, 2007/36/EF, 2014/59/EU og (EU) 2017/1132 (EUT L 22 af 22.1.2021, s. 1, ELI: http://data.europa.eu/eli/reg/2021/23/oj).</w:t>
            </w:r>
          </w:p>
        </w:tc>
        <w:tc>
          <w:tcPr>
            <w:tcW w:w="4876" w:type="dxa"/>
            <w:tcBorders>
              <w:top w:val="nil"/>
              <w:left w:val="nil"/>
              <w:bottom w:val="nil"/>
              <w:right w:val="nil"/>
            </w:tcBorders>
            <w:hideMark/>
          </w:tcPr>
          <w:p w:rsidR="00365C9B" w:rsidRPr="00B16DFD" w:rsidP="00F61C80" w14:paraId="72A62E92" w14:textId="77777777">
            <w:pPr>
              <w:pStyle w:val="Normal6a"/>
            </w:pPr>
            <w:r w:rsidRPr="00B16DFD">
              <w:rPr>
                <w:vertAlign w:val="superscript"/>
              </w:rPr>
              <w:t xml:space="preserve">18 </w:t>
            </w:r>
            <w:r w:rsidRPr="00B16DFD">
              <w:t>Europa-Parlamentets og Rådets forordning (EU) 2021/23 af 16. december 2020 om et regelsæt for genopretning og afvikling af centrale modparter og om ændring af forordning (EU) nr. 1095/2010, (EU) nr. 648/2012, (EU) nr. 600/2014, (EU) nr. 806/2014 og (EU) 2015/2365 samt direktiv 2002/47/EF, 2004/25/EF, 2007/36/EF, 2014/59/EU og (EU) 2017/1132 (EUT L 22 af 22.1.2021, s. 1, ELI: http://data.europa.eu/eli/reg/2021/23/oj).</w:t>
            </w:r>
          </w:p>
        </w:tc>
      </w:tr>
    </w:tbl>
    <w:p w:rsidR="00365C9B" w:rsidRPr="00734CAA" w:rsidP="00365C9B" w14:paraId="26D7E278"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317CB05" w14:textId="77777777">
      <w:pPr>
        <w:rPr>
          <w:lang w:val="en-GB"/>
        </w:rPr>
      </w:pPr>
      <w:r w:rsidRPr="00734CAA">
        <w:rPr>
          <w:rStyle w:val="HideTWBExt"/>
          <w:color w:val="auto"/>
          <w:lang w:val="en-GB"/>
        </w:rPr>
        <w:t>&lt;/Amend&gt;</w:t>
      </w:r>
    </w:p>
    <w:p w:rsidR="00365C9B" w:rsidRPr="00734CAA" w:rsidP="00365C9B" w14:paraId="7DD2D1F4"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246</w:t>
      </w:r>
      <w:r w:rsidRPr="00734CAA">
        <w:rPr>
          <w:rStyle w:val="HideTWBExt"/>
          <w:color w:val="auto"/>
          <w:lang w:val="en-GB"/>
        </w:rPr>
        <w:t>&lt;/NumAm&gt;</w:t>
      </w:r>
    </w:p>
    <w:p w:rsidR="00365C9B" w:rsidRPr="00734CAA" w:rsidP="00365C9B" w14:paraId="1BCD7228"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33A12D64" w14:textId="77777777">
      <w:pPr>
        <w:pStyle w:val="NormalBold"/>
      </w:pPr>
      <w:r w:rsidRPr="00B16DFD">
        <w:rPr>
          <w:rStyle w:val="HideTWBExt"/>
          <w:b w:val="0"/>
          <w:color w:val="auto"/>
        </w:rPr>
        <w:t>&lt;/RepeatBlock-By&gt;</w:t>
      </w:r>
    </w:p>
    <w:p w:rsidR="00365C9B" w:rsidRPr="00B16DFD" w:rsidP="00365C9B" w14:paraId="49572C65"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304EFB14" w14:textId="77777777">
      <w:pPr>
        <w:pStyle w:val="NormalBold"/>
      </w:pPr>
      <w:r w:rsidRPr="00B16DFD">
        <w:rPr>
          <w:rStyle w:val="HideTWBExt"/>
          <w:color w:val="auto"/>
        </w:rPr>
        <w:t>&lt;Article&gt;</w:t>
      </w:r>
      <w:r w:rsidRPr="00B16DFD">
        <w:t>Betragtning 24</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2427F0"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10306AE" w14:textId="77777777"/>
        </w:tc>
      </w:tr>
      <w:tr w14:paraId="2700CDB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21CFD27"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D288846" w14:textId="77777777">
            <w:pPr>
              <w:pStyle w:val="AmColumnHeading"/>
            </w:pPr>
            <w:r w:rsidRPr="00B16DFD">
              <w:t>Ændringsforslag</w:t>
            </w:r>
          </w:p>
        </w:tc>
      </w:tr>
      <w:tr w14:paraId="0D06571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4E152C7" w14:textId="77777777">
            <w:pPr>
              <w:pStyle w:val="Normal6a"/>
            </w:pPr>
            <w:r w:rsidRPr="00B16DFD">
              <w:t>(24)</w:t>
            </w:r>
            <w:r w:rsidRPr="00B16DFD">
              <w:tab/>
              <w:t xml:space="preserve">De nationale kompetente myndigheder, der fører tilsyn med mindre signifikante CCP'er, bør have et tættere samarbejde med ESMA for at sikre en ensartet tilgang til tilsynet og dermed sikre lige vilkår for CCP'er. Hvis de ønsker det, bør medlemsstaterne have mulighed for at udpege ESMA som den kompetente myndighed for mindre signifikante CCP'er, der er etableret i deres jurisdiktion. Hvis en tidligere signifikant CCP ikke længere opfylder betingelserne for at blive betragtet som sådan, bør den nationale kompetente myndighed desuden tildeles en tilstrækkelig overgangsperiode, så den kan forberede sig, inden den formelt overtager tilsynsansvaret for den pågældende CCP. Alternativt bør den nationale kompetente myndighed kunne overlade tilsynet med denne tidligere signifikante CCP til ESMA. </w:t>
            </w:r>
            <w:r w:rsidRPr="00B16DFD">
              <w:t xml:space="preserve">For at sikre konsekvens og lige vilkår mellem signifikante og mindre signifikante CCP'er bør ESMA desuden også være den myndighed, der er ansvarlig for at godkende interoperabilitetsordninger </w:t>
            </w:r>
            <w:r w:rsidRPr="00B16DFD">
              <w:rPr>
                <w:b/>
                <w:i/>
              </w:rPr>
              <w:t>og for at lede tilsynskollegierne for mindre signifikante CCP'er</w:t>
            </w:r>
            <w:r w:rsidRPr="00B16DFD">
              <w:t>. De nye tilsynsordninger for CCP'er i Unionen, navnlig ESMA's rolle som kompetent myndighed for signifikante CCP'er, bør afspejles i Europa-Parlamentets og Rådets forordning (EU) 2021/23</w:t>
            </w:r>
            <w:r w:rsidRPr="00B16DFD">
              <w:rPr>
                <w:vertAlign w:val="superscript"/>
              </w:rPr>
              <w:t>18</w:t>
            </w:r>
            <w:r w:rsidRPr="00B16DFD">
              <w:t>.</w:t>
            </w:r>
          </w:p>
        </w:tc>
        <w:tc>
          <w:tcPr>
            <w:tcW w:w="4876" w:type="dxa"/>
            <w:tcBorders>
              <w:top w:val="nil"/>
              <w:left w:val="nil"/>
              <w:bottom w:val="nil"/>
              <w:right w:val="nil"/>
            </w:tcBorders>
            <w:hideMark/>
          </w:tcPr>
          <w:p w:rsidR="00365C9B" w:rsidRPr="00B16DFD" w:rsidP="00F61C80" w14:paraId="33317FF3" w14:textId="77777777">
            <w:pPr>
              <w:pStyle w:val="Normal6a"/>
            </w:pPr>
            <w:r w:rsidRPr="00B16DFD">
              <w:t>(24)</w:t>
            </w:r>
            <w:r w:rsidRPr="00B16DFD">
              <w:tab/>
              <w:t xml:space="preserve">De nationale kompetente myndigheder, der fører tilsyn med mindre signifikante CCP'er, bør have et tættere samarbejde med ESMA for at sikre en ensartet tilgang til tilsynet og dermed sikre lige vilkår for CCP'er. Hvis de ønsker det, bør medlemsstaterne have mulighed for at udpege ESMA som den kompetente myndighed for mindre signifikante CCP'er, der er etableret i deres jurisdiktion. Hvis en tidligere signifikant CCP ikke længere opfylder betingelserne for at blive betragtet som sådan, bør den nationale kompetente myndighed desuden tildeles en tilstrækkelig overgangsperiode, så den kan forberede sig, inden den formelt overtager tilsynsansvaret for den pågældende CCP. Alternativt bør den nationale kompetente myndighed kunne overlade tilsynet med denne tidligere signifikante CCP til ESMA. </w:t>
            </w:r>
            <w:r w:rsidRPr="00B16DFD">
              <w:t>For at sikre konsekvens og lige vilkår mellem signifikante og mindre signifikante CCP'er bør ESMA desuden også være den myndighed, der er ansvarlig for at godkende interoperabilitetsordninger. De nye tilsynsordninger for CCP'er i Unionen, navnlig ESMA's rolle som kompetent myndighed for signifikante CCP'er, bør afspejles i Europa-Parlamentets og Rådets forordning (EU) 2021/23</w:t>
            </w:r>
            <w:r w:rsidRPr="00B16DFD">
              <w:rPr>
                <w:vertAlign w:val="superscript"/>
              </w:rPr>
              <w:t>18</w:t>
            </w:r>
            <w:r w:rsidRPr="00B16DFD">
              <w:t>.</w:t>
            </w:r>
          </w:p>
        </w:tc>
      </w:tr>
      <w:tr w14:paraId="3BCBA3C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747973F" w14:textId="77777777">
            <w:pPr>
              <w:pStyle w:val="Normal6a"/>
            </w:pPr>
            <w:r w:rsidRPr="00B16DFD">
              <w:rPr>
                <w:b/>
                <w:i/>
              </w:rPr>
              <w:t>_________________</w:t>
            </w:r>
          </w:p>
        </w:tc>
        <w:tc>
          <w:tcPr>
            <w:tcW w:w="4876" w:type="dxa"/>
            <w:tcBorders>
              <w:top w:val="nil"/>
              <w:left w:val="nil"/>
              <w:bottom w:val="nil"/>
              <w:right w:val="nil"/>
            </w:tcBorders>
            <w:hideMark/>
          </w:tcPr>
          <w:p w:rsidR="00365C9B" w:rsidRPr="00B16DFD" w:rsidP="00F61C80" w14:paraId="208224D4" w14:textId="77777777">
            <w:pPr>
              <w:pStyle w:val="Normal6a"/>
            </w:pPr>
            <w:r w:rsidRPr="00B16DFD">
              <w:rPr>
                <w:b/>
                <w:i/>
              </w:rPr>
              <w:t>_________________</w:t>
            </w:r>
          </w:p>
        </w:tc>
      </w:tr>
      <w:tr w14:paraId="3C78D91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E57873A" w14:textId="77777777">
            <w:pPr>
              <w:pStyle w:val="Normal6a"/>
            </w:pPr>
            <w:r w:rsidRPr="00B16DFD">
              <w:rPr>
                <w:vertAlign w:val="superscript"/>
              </w:rPr>
              <w:t xml:space="preserve">18 </w:t>
            </w:r>
            <w:r w:rsidRPr="00B16DFD">
              <w:t>Europa-Parlamentets og Rådets forordning (EU) 2021/23 af 16. december 2020 om et regelsæt for genopretning og afvikling af centrale modparter og om ændring af forordning (EU) nr. 1095/2010, (EU) nr. 648/2012, (EU) nr. 600/2014, (EU) nr. 806/2014 og (EU) 2015/2365 samt direktiv 2002/47/EF, 2004/25/EF, 2007/36/EF, 2014/59/EU og (EU) 2017/1132 (EUT L 22 af 22.1.2021, s. 1, ELI: http://data.europa.eu/eli/reg/2021/23/oj).</w:t>
            </w:r>
          </w:p>
        </w:tc>
        <w:tc>
          <w:tcPr>
            <w:tcW w:w="4876" w:type="dxa"/>
            <w:tcBorders>
              <w:top w:val="nil"/>
              <w:left w:val="nil"/>
              <w:bottom w:val="nil"/>
              <w:right w:val="nil"/>
            </w:tcBorders>
            <w:hideMark/>
          </w:tcPr>
          <w:p w:rsidR="00365C9B" w:rsidRPr="00B16DFD" w:rsidP="00F61C80" w14:paraId="4EEB85CD" w14:textId="77777777">
            <w:pPr>
              <w:pStyle w:val="Normal6a"/>
            </w:pPr>
            <w:r w:rsidRPr="00B16DFD">
              <w:rPr>
                <w:vertAlign w:val="superscript"/>
              </w:rPr>
              <w:t xml:space="preserve">18 </w:t>
            </w:r>
            <w:r w:rsidRPr="00B16DFD">
              <w:t>Europa-Parlamentets og Rådets forordning (EU) 2021/23 af 16. december 2020 om et regelsæt for genopretning og afvikling af centrale modparter og om ændring af forordning (EU) nr. 1095/2010, (EU) nr. 648/2012, (EU) nr. 600/2014, (EU) nr. 806/2014 og (EU) 2015/2365 samt direktiv 2002/47/EF, 2004/25/EF, 2007/36/EF, 2014/59/EU og (EU) 2017/1132 (EUT L 22 af 22.1.2021, s. 1, ELI: http://data.europa.eu/eli/reg/2021/23/oj).</w:t>
            </w:r>
          </w:p>
        </w:tc>
      </w:tr>
    </w:tbl>
    <w:p w:rsidR="00365C9B" w:rsidRPr="00734CAA" w:rsidP="00365C9B" w14:paraId="032E575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3D8D58F" w14:textId="77777777">
      <w:pPr>
        <w:rPr>
          <w:lang w:val="en-GB"/>
        </w:rPr>
      </w:pPr>
      <w:r w:rsidRPr="00734CAA">
        <w:rPr>
          <w:rStyle w:val="HideTWBExt"/>
          <w:color w:val="auto"/>
          <w:lang w:val="en-GB"/>
        </w:rPr>
        <w:t>&lt;/Amend&gt;</w:t>
      </w:r>
    </w:p>
    <w:p w:rsidR="00365C9B" w:rsidRPr="00734CAA" w:rsidP="00365C9B" w14:paraId="03F197C1"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247</w:t>
      </w:r>
      <w:r w:rsidRPr="00734CAA">
        <w:rPr>
          <w:rStyle w:val="HideTWBExt"/>
          <w:color w:val="auto"/>
          <w:lang w:val="en-GB"/>
        </w:rPr>
        <w:t>&lt;/NumAm&gt;</w:t>
      </w:r>
    </w:p>
    <w:p w:rsidR="00365C9B" w:rsidRPr="00734CAA" w:rsidP="00365C9B" w14:paraId="66577DCF" w14:textId="77777777">
      <w:pPr>
        <w:pStyle w:val="NormalBold"/>
        <w:rPr>
          <w:lang w:val="en-GB"/>
        </w:rPr>
      </w:pPr>
      <w:r w:rsidRPr="00734CAA">
        <w:rPr>
          <w:rStyle w:val="HideTWBExt"/>
          <w:b w:val="0"/>
          <w:color w:val="auto"/>
          <w:lang w:val="en-GB"/>
        </w:rPr>
        <w:t>&lt;RepeatBlock-By&gt;&lt;Members&gt;</w:t>
      </w:r>
      <w:r w:rsidRPr="00734CAA">
        <w:rPr>
          <w:lang w:val="en-GB"/>
        </w:rPr>
        <w:t>Fernando Navarrete Rojas, Isabel Benjumea Benjumea</w:t>
      </w:r>
      <w:r w:rsidRPr="00734CAA">
        <w:rPr>
          <w:rStyle w:val="HideTWBExt"/>
          <w:b w:val="0"/>
          <w:color w:val="auto"/>
          <w:lang w:val="en-GB"/>
        </w:rPr>
        <w:t>&lt;/Members&gt;</w:t>
      </w:r>
    </w:p>
    <w:p w:rsidR="00365C9B" w:rsidRPr="00734CAA" w:rsidP="00365C9B" w14:paraId="45825EF7" w14:textId="77777777">
      <w:pPr>
        <w:pStyle w:val="NormalBold"/>
        <w:rPr>
          <w:lang w:val="en-GB"/>
        </w:rPr>
      </w:pPr>
      <w:r w:rsidRPr="00734CAA">
        <w:rPr>
          <w:rStyle w:val="HideTWBExt"/>
          <w:b w:val="0"/>
          <w:color w:val="auto"/>
          <w:lang w:val="en-GB"/>
        </w:rPr>
        <w:t>&lt;/RepeatBlock-By&gt;</w:t>
      </w:r>
    </w:p>
    <w:p w:rsidR="00365C9B" w:rsidRPr="00B16DFD" w:rsidP="00365C9B" w14:paraId="358211BB"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59EF1144" w14:textId="77777777">
      <w:pPr>
        <w:pStyle w:val="NormalBold"/>
        <w:rPr>
          <w:lang w:val="en-GB"/>
        </w:rPr>
      </w:pPr>
      <w:r w:rsidRPr="00734CAA">
        <w:rPr>
          <w:rStyle w:val="HideTWBExt"/>
          <w:color w:val="auto"/>
          <w:lang w:val="en-GB"/>
        </w:rPr>
        <w:t>&lt;Article&gt;</w:t>
      </w:r>
      <w:r w:rsidRPr="00734CAA">
        <w:rPr>
          <w:lang w:val="en-GB"/>
        </w:rPr>
        <w:t>Betragtning 25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2E93C7"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437651D8" w14:textId="77777777">
            <w:pPr>
              <w:rPr>
                <w:lang w:val="en-GB"/>
              </w:rPr>
            </w:pPr>
          </w:p>
        </w:tc>
      </w:tr>
      <w:tr w14:paraId="1997DEC6"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EE7F7A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413E07C" w14:textId="77777777">
            <w:pPr>
              <w:pStyle w:val="AmColumnHeading"/>
            </w:pPr>
            <w:r w:rsidRPr="00B16DFD">
              <w:t>Ændringsforslag</w:t>
            </w:r>
          </w:p>
        </w:tc>
      </w:tr>
      <w:tr w14:paraId="5411091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24A10B8" w14:textId="77777777">
            <w:pPr>
              <w:pStyle w:val="Normal6a"/>
            </w:pPr>
          </w:p>
        </w:tc>
        <w:tc>
          <w:tcPr>
            <w:tcW w:w="4876" w:type="dxa"/>
            <w:tcBorders>
              <w:top w:val="nil"/>
              <w:left w:val="nil"/>
              <w:bottom w:val="nil"/>
              <w:right w:val="nil"/>
            </w:tcBorders>
            <w:hideMark/>
          </w:tcPr>
          <w:p w:rsidR="00365C9B" w:rsidRPr="00B16DFD" w:rsidP="00F61C80" w14:paraId="1E7044ED" w14:textId="426A79BE">
            <w:pPr>
              <w:pStyle w:val="Normal6a"/>
            </w:pPr>
            <w:r w:rsidRPr="00B16DFD">
              <w:rPr>
                <w:b/>
                <w:i/>
              </w:rPr>
              <w:t>(25a)</w:t>
            </w:r>
            <w:r w:rsidRPr="00B16DFD">
              <w:tab/>
            </w:r>
            <w:r w:rsidRPr="00B16DFD">
              <w:rPr>
                <w:b/>
                <w:i/>
              </w:rPr>
              <w:t xml:space="preserve">Et fuldt integreret og konkurrencedygtigt efterhandelslandskab er afgørende for at gennemføre opsparings- og investeringsunionen. I øjeblikket medfører fragmenteringen af clearing- og afviklingsinfrastrukturer på tværs af nationale linjer </w:t>
            </w:r>
            <w:r w:rsidR="00AA1655">
              <w:rPr>
                <w:b/>
                <w:i/>
              </w:rPr>
              <w:t>unødig</w:t>
            </w:r>
            <w:r w:rsidRPr="00B16DFD">
              <w:rPr>
                <w:b/>
                <w:i/>
              </w:rPr>
              <w:t xml:space="preserve">e friktionsomkostninger og begrænser brugernes valg. For at frigøre paneuropæiske investeringsmuligheder er </w:t>
            </w:r>
            <w:r w:rsidRPr="00B16DFD">
              <w:rPr>
                <w:b/>
                <w:i/>
              </w:rPr>
              <w:t>det nødvendigt at kræve fuld interoperabilitet mellem signifikante centrale modparter (CCP'er) for aktier og bevæge sig ud over den restriktive "foretrukken clearing"-model for at sikre reelle investorvalg, fremme konkurrencen og maksimere effektiviteten af multilateral netting. For at forhindre kunstige hindringer for en sådan åben adgang skal forbindelses- og adgangsgebyrer mellem infrastrukturer desuden være strengt begrænset til et engangsgrundlag, der er rimeligt og omkostningsdækkende. På afviklingsniveauet skal interoperabiliteten ligeledes forbedres gennem etablering af obligatoriske gensidige forbindelser mellem værdipapircentraler og ved at kræve, at forbindelser mellem værdipapircentraler, der er tilsluttet en fælles afviklingsinfrastruktur, der er integreret med centralbankers realtidsbruttoafviklingssystemer, etableres direkte via denne fælles infrastruktur, hvorved likviditeten og afviklingseffektiviteten i hele Unionen optimeres.</w:t>
            </w:r>
          </w:p>
        </w:tc>
      </w:tr>
    </w:tbl>
    <w:p w:rsidR="00365C9B" w:rsidRPr="00734CAA" w:rsidP="00365C9B" w14:paraId="2C96C51F"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F150337" w14:textId="77777777">
      <w:pPr>
        <w:rPr>
          <w:lang w:val="en-GB"/>
        </w:rPr>
      </w:pPr>
      <w:r w:rsidRPr="00734CAA">
        <w:rPr>
          <w:rStyle w:val="HideTWBExt"/>
          <w:color w:val="auto"/>
          <w:lang w:val="en-GB"/>
        </w:rPr>
        <w:t>&lt;/Amend&gt;</w:t>
      </w:r>
    </w:p>
    <w:p w:rsidR="00365C9B" w:rsidRPr="00734CAA" w:rsidP="00365C9B" w14:paraId="170CC4BF"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248</w:t>
      </w:r>
      <w:r w:rsidRPr="00734CAA">
        <w:rPr>
          <w:rStyle w:val="HideTWBExt"/>
          <w:color w:val="auto"/>
          <w:lang w:val="en-GB"/>
        </w:rPr>
        <w:t>&lt;/NumAm&gt;</w:t>
      </w:r>
    </w:p>
    <w:p w:rsidR="00365C9B" w:rsidRPr="00734CAA" w:rsidP="00365C9B" w14:paraId="5FE48716"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5D1F3D91"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1289D712" w14:textId="77777777">
      <w:pPr>
        <w:pStyle w:val="NormalBold"/>
        <w:rPr>
          <w:lang w:val="en-GB"/>
        </w:rPr>
      </w:pPr>
      <w:r w:rsidRPr="00734CAA">
        <w:rPr>
          <w:rStyle w:val="HideTWBExt"/>
          <w:b w:val="0"/>
          <w:color w:val="auto"/>
          <w:lang w:val="en-GB"/>
        </w:rPr>
        <w:t>&lt;/RepeatBlock-By&gt;</w:t>
      </w:r>
    </w:p>
    <w:p w:rsidR="00365C9B" w:rsidRPr="00734CAA" w:rsidP="00365C9B" w14:paraId="4D0C7686"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722BDA3A" w14:textId="77777777">
      <w:pPr>
        <w:pStyle w:val="NormalBold"/>
      </w:pPr>
      <w:r w:rsidRPr="00B16DFD">
        <w:rPr>
          <w:rStyle w:val="HideTWBExt"/>
          <w:color w:val="auto"/>
        </w:rPr>
        <w:t>&lt;Article&gt;</w:t>
      </w:r>
      <w:r w:rsidRPr="00B16DFD">
        <w:t>Betragtning 26</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C7045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75FE453" w14:textId="77777777"/>
        </w:tc>
      </w:tr>
      <w:tr w14:paraId="45E61C4A"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1FF572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BC028B2" w14:textId="77777777">
            <w:pPr>
              <w:pStyle w:val="AmColumnHeading"/>
            </w:pPr>
            <w:r w:rsidRPr="00B16DFD">
              <w:t>Ændringsforslag</w:t>
            </w:r>
          </w:p>
        </w:tc>
      </w:tr>
      <w:tr w14:paraId="3C735B52"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7D824D1" w14:textId="21CF4C08">
            <w:pPr>
              <w:pStyle w:val="Normal6a"/>
            </w:pPr>
            <w:r w:rsidRPr="00B16DFD">
              <w:t>(26)</w:t>
            </w:r>
            <w:r w:rsidRPr="00B16DFD">
              <w:tab/>
              <w:t>De nye tilsynsmæssige ansvarsområder, der er tildelt ESMA, og ændringerne i ESMA's interne organisationsstruktur, herunder afskaffelsen af CCP-Tilsynsudvalget, hvis opgaver bør overdrages til den nyoprettede direktion, bør afspejles i forordning (EU) nr. 648/2012. På grund af tredjelands-</w:t>
            </w:r>
            <w:r w:rsidRPr="00B16DFD">
              <w:t xml:space="preserve">CCP'ers unikke status bør bestemmelserne om de procedurer, der gælder for dem, forblive i forordning (EU) nr. 648/2012 i stedet for at blive flyttet til forordning (EU) nr. 1095/2010. Under hensyntagen til disse ændringer, for yderligere at forenkle den fremtidige organisationsstruktur og de fremtidige samarbejdsordninger og for at fjerne </w:t>
            </w:r>
            <w:r w:rsidR="00AA1655">
              <w:t>unødig</w:t>
            </w:r>
            <w:r w:rsidRPr="00B16DFD">
              <w:t xml:space="preserve">e byrder bør </w:t>
            </w:r>
            <w:r w:rsidRPr="00B16DFD">
              <w:rPr>
                <w:b/>
                <w:i/>
              </w:rPr>
              <w:t>signifikante</w:t>
            </w:r>
            <w:r w:rsidRPr="00B16DFD">
              <w:t xml:space="preserve"> CCP'er ikke længere være forpligtet til at have et tilsynskollegium. Ligeledes bør kravene til ESMA's udtalelser vedrørende </w:t>
            </w:r>
            <w:r w:rsidRPr="00B16DFD">
              <w:rPr>
                <w:b/>
                <w:i/>
              </w:rPr>
              <w:t>signifikante</w:t>
            </w:r>
            <w:r w:rsidRPr="00B16DFD">
              <w:t xml:space="preserve"> CCP'er fjernes i lyset af ESMA's nye tilsynsansvar for disse CCP'er. </w:t>
            </w:r>
            <w:r w:rsidRPr="00B16DFD">
              <w:rPr>
                <w:b/>
                <w:i/>
              </w:rPr>
              <w:t>Tilsynsordninger for mindre signifikante CCP'er bør stort set forblive, som de var, da disse CCP'er har et mere nationalt anvendelsesområde og bør drage fordel af de nationale myndigheders lokale viden og ekspertise.</w:t>
            </w:r>
          </w:p>
        </w:tc>
        <w:tc>
          <w:tcPr>
            <w:tcW w:w="4876" w:type="dxa"/>
            <w:tcBorders>
              <w:top w:val="nil"/>
              <w:left w:val="nil"/>
              <w:bottom w:val="nil"/>
              <w:right w:val="nil"/>
            </w:tcBorders>
            <w:hideMark/>
          </w:tcPr>
          <w:p w:rsidR="00365C9B" w:rsidRPr="00B16DFD" w:rsidP="00F61C80" w14:paraId="2A0928EA" w14:textId="4B21F027">
            <w:pPr>
              <w:pStyle w:val="Normal6a"/>
            </w:pPr>
            <w:r w:rsidRPr="00B16DFD">
              <w:t>(26)</w:t>
            </w:r>
            <w:r w:rsidRPr="00B16DFD">
              <w:tab/>
              <w:t>De nye tilsynsmæssige ansvarsområder, der er tildelt ESMA, og ændringerne i ESMA's interne organisationsstruktur, herunder afskaffelsen af CCP-Tilsynsudvalget, hvis opgaver bør overdrages til den nyoprettede direktion, bør afspejles i forordning (EU) nr. 648/2012. På grund af tredjelands-</w:t>
            </w:r>
            <w:r w:rsidRPr="00B16DFD">
              <w:t xml:space="preserve">CCP'ers unikke status bør bestemmelserne om de procedurer, der gælder for dem, forblive i forordning (EU) nr. 648/2012 i stedet for at blive flyttet til forordning (EU) nr. 1095/2010. Under hensyntagen til disse ændringer, for yderligere at forenkle den fremtidige organisationsstruktur og de fremtidige samarbejdsordninger og for at fjerne </w:t>
            </w:r>
            <w:r w:rsidR="00AA1655">
              <w:t>unødig</w:t>
            </w:r>
            <w:r w:rsidRPr="00B16DFD">
              <w:t>e byrder bør CCP'er ikke længere være forpligtet til at have et tilsynskollegium. Ligeledes bør kravene til ESMA's udtalelser vedrørende CCP'er fjernes i lyset af ESMA's nye tilsynsansvar for disse CCP'er.</w:t>
            </w:r>
          </w:p>
        </w:tc>
      </w:tr>
    </w:tbl>
    <w:p w:rsidR="00365C9B" w:rsidRPr="00734CAA" w:rsidP="00365C9B" w14:paraId="3083291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2CD0C96" w14:textId="77777777">
      <w:pPr>
        <w:rPr>
          <w:lang w:val="en-GB"/>
        </w:rPr>
      </w:pPr>
      <w:r w:rsidRPr="00734CAA">
        <w:rPr>
          <w:rStyle w:val="HideTWBExt"/>
          <w:color w:val="auto"/>
          <w:lang w:val="en-GB"/>
        </w:rPr>
        <w:t>&lt;/Amend&gt;</w:t>
      </w:r>
    </w:p>
    <w:p w:rsidR="00365C9B" w:rsidRPr="00734CAA" w:rsidP="00365C9B" w14:paraId="263E1729"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249</w:t>
      </w:r>
      <w:r w:rsidRPr="00734CAA">
        <w:rPr>
          <w:rStyle w:val="HideTWBExt"/>
          <w:color w:val="auto"/>
          <w:lang w:val="en-GB"/>
        </w:rPr>
        <w:t>&lt;/NumAm&gt;</w:t>
      </w:r>
    </w:p>
    <w:p w:rsidR="00365C9B" w:rsidRPr="00734CAA" w:rsidP="00365C9B" w14:paraId="370B49A0"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47144EC6" w14:textId="77777777">
      <w:pPr>
        <w:pStyle w:val="NormalBold"/>
      </w:pPr>
      <w:r w:rsidRPr="00B16DFD">
        <w:rPr>
          <w:rStyle w:val="HideTWBExt"/>
          <w:b w:val="0"/>
          <w:color w:val="auto"/>
        </w:rPr>
        <w:t>&lt;/RepeatBlock-By&gt;</w:t>
      </w:r>
    </w:p>
    <w:p w:rsidR="00365C9B" w:rsidRPr="00B16DFD" w:rsidP="00365C9B" w14:paraId="711EDEFD"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485D80AD" w14:textId="77777777">
      <w:pPr>
        <w:pStyle w:val="NormalBold"/>
      </w:pPr>
      <w:r w:rsidRPr="00B16DFD">
        <w:rPr>
          <w:rStyle w:val="HideTWBExt"/>
          <w:color w:val="auto"/>
        </w:rPr>
        <w:t>&lt;Article&gt;</w:t>
      </w:r>
      <w:r w:rsidRPr="00B16DFD">
        <w:t>Betragtning 26</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ACC70A"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61E54EC" w14:textId="77777777"/>
        </w:tc>
      </w:tr>
      <w:tr w14:paraId="26DCAC7F"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35C944A"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1B1A390" w14:textId="77777777">
            <w:pPr>
              <w:pStyle w:val="AmColumnHeading"/>
            </w:pPr>
            <w:r w:rsidRPr="00B16DFD">
              <w:t>Ændringsforslag</w:t>
            </w:r>
          </w:p>
        </w:tc>
      </w:tr>
      <w:tr w14:paraId="2FDEA14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AD24E2A" w14:textId="51A948F4">
            <w:pPr>
              <w:pStyle w:val="Normal6a"/>
            </w:pPr>
            <w:r w:rsidRPr="00B16DFD">
              <w:t>(26)</w:t>
            </w:r>
            <w:r w:rsidRPr="00B16DFD">
              <w:tab/>
              <w:t xml:space="preserve">De nye tilsynsmæssige ansvarsområder, der er tildelt ESMA, og ændringerne i ESMA's interne organisationsstruktur, herunder afskaffelsen af CCP-Tilsynsudvalget, hvis opgaver bør overdrages til den nyoprettede direktion, bør afspejles i forordning (EU) nr. 648/2012. På grund af tredjelands-CCP'ers unikke status bør bestemmelserne om de procedurer, der gælder for dem, forblive i forordning (EU) nr. 648/2012 i stedet for at blive flyttet til forordning (EU) nr. 1095/2010. Under hensyntagen til disse ændringer, for yderligere at forenkle den fremtidige organisationsstruktur og de fremtidige samarbejdsordninger og for at </w:t>
            </w:r>
            <w:r w:rsidRPr="00B16DFD">
              <w:t xml:space="preserve">fjerne </w:t>
            </w:r>
            <w:r w:rsidR="00AA1655">
              <w:t>unødig</w:t>
            </w:r>
            <w:r w:rsidRPr="00B16DFD">
              <w:t xml:space="preserve">e byrder bør signifikante CCP'er ikke længere være forpligtet til at have et tilsynskollegium. Ligeledes bør kravene til ESMA's udtalelser vedrørende signifikante CCP'er fjernes i lyset af ESMA's nye tilsynsansvar for disse CCP'er. Tilsynsordninger for mindre signifikante CCP'er bør </w:t>
            </w:r>
            <w:r w:rsidRPr="00B16DFD">
              <w:rPr>
                <w:b/>
                <w:i/>
              </w:rPr>
              <w:t xml:space="preserve">stort set </w:t>
            </w:r>
            <w:r w:rsidRPr="00B16DFD">
              <w:t>forblive</w:t>
            </w:r>
            <w:r w:rsidRPr="00B16DFD">
              <w:rPr>
                <w:b/>
                <w:i/>
              </w:rPr>
              <w:t>, som de var</w:t>
            </w:r>
            <w:r w:rsidRPr="00B16DFD">
              <w:t>, da disse CCP'er har et mere nationalt anvendelsesområde og bør drage fordel af de nationale myndigheders lokale viden og ekspertise.</w:t>
            </w:r>
          </w:p>
        </w:tc>
        <w:tc>
          <w:tcPr>
            <w:tcW w:w="4876" w:type="dxa"/>
            <w:tcBorders>
              <w:top w:val="nil"/>
              <w:left w:val="nil"/>
              <w:bottom w:val="nil"/>
              <w:right w:val="nil"/>
            </w:tcBorders>
            <w:hideMark/>
          </w:tcPr>
          <w:p w:rsidR="00365C9B" w:rsidRPr="00B16DFD" w:rsidP="00F61C80" w14:paraId="710D8CC7" w14:textId="2064DB6E">
            <w:pPr>
              <w:pStyle w:val="Normal6a"/>
            </w:pPr>
            <w:r w:rsidRPr="00B16DFD">
              <w:t>(26)</w:t>
            </w:r>
            <w:r w:rsidRPr="00B16DFD">
              <w:tab/>
              <w:t xml:space="preserve">De nye tilsynsmæssige ansvarsområder, der er tildelt ESMA, og ændringerne i ESMA's interne organisationsstruktur, herunder afskaffelsen af CCP-Tilsynsudvalget, hvis opgaver bør overdrages til den nyoprettede direktion, bør afspejles i forordning (EU) nr. 648/2012. På grund af tredjelands-CCP'ers unikke status bør bestemmelserne om de procedurer, der gælder for dem, forblive i forordning (EU) nr. 648/2012 i stedet for at blive flyttet til forordning (EU) nr. 1095/2010. Under hensyntagen til disse ændringer, for yderligere at forenkle den fremtidige organisationsstruktur og de fremtidige samarbejdsordninger og for at </w:t>
            </w:r>
            <w:r w:rsidRPr="00B16DFD">
              <w:t xml:space="preserve">fjerne </w:t>
            </w:r>
            <w:r w:rsidR="00AA1655">
              <w:t>unødig</w:t>
            </w:r>
            <w:r w:rsidRPr="00B16DFD">
              <w:t xml:space="preserve">e byrder bør signifikante CCP'er ikke længere være forpligtet til at have et tilsynskollegium. Ligeledes bør kravene til ESMA's udtalelser vedrørende signifikante CCP'er fjernes i lyset af ESMA's nye tilsynsansvar for disse CCP'er. Tilsynsordninger for mindre signifikante CCP'er bør forblive </w:t>
            </w:r>
            <w:r w:rsidRPr="00B16DFD">
              <w:rPr>
                <w:b/>
                <w:i/>
              </w:rPr>
              <w:t>hos de kompetente myndigheder</w:t>
            </w:r>
            <w:r w:rsidRPr="00B16DFD">
              <w:t>, da disse CCP'er har et mere nationalt anvendelsesområde og bør drage fordel af de nationale myndigheders lokale viden og ekspertise.</w:t>
            </w:r>
          </w:p>
        </w:tc>
      </w:tr>
    </w:tbl>
    <w:p w:rsidR="00365C9B" w:rsidRPr="00734CAA" w:rsidP="00365C9B" w14:paraId="0ADF26A6"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DDA64B4" w14:textId="77777777">
      <w:pPr>
        <w:rPr>
          <w:lang w:val="en-GB"/>
        </w:rPr>
      </w:pPr>
      <w:r w:rsidRPr="00734CAA">
        <w:rPr>
          <w:rStyle w:val="HideTWBExt"/>
          <w:color w:val="auto"/>
          <w:lang w:val="en-GB"/>
        </w:rPr>
        <w:t>&lt;/Amend&gt;</w:t>
      </w:r>
    </w:p>
    <w:p w:rsidR="00365C9B" w:rsidRPr="00734CAA" w:rsidP="00365C9B" w14:paraId="2260D7CE"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250</w:t>
      </w:r>
      <w:r w:rsidRPr="00734CAA">
        <w:rPr>
          <w:rStyle w:val="HideTWBExt"/>
          <w:color w:val="auto"/>
          <w:lang w:val="en-GB"/>
        </w:rPr>
        <w:t>&lt;/NumAm&gt;</w:t>
      </w:r>
    </w:p>
    <w:p w:rsidR="00365C9B" w:rsidRPr="00734CAA" w:rsidP="00365C9B" w14:paraId="7843C0A4" w14:textId="77777777">
      <w:pPr>
        <w:pStyle w:val="NormalBold"/>
        <w:rPr>
          <w:lang w:val="en-GB"/>
        </w:rPr>
      </w:pPr>
      <w:r w:rsidRPr="00734CAA">
        <w:rPr>
          <w:rStyle w:val="HideTWBExt"/>
          <w:b w:val="0"/>
          <w:color w:val="auto"/>
          <w:lang w:val="en-GB"/>
        </w:rPr>
        <w:t>&lt;RepeatBlock-By&gt;&lt;Members&gt;</w:t>
      </w:r>
      <w:r w:rsidRPr="00734CAA">
        <w:rPr>
          <w:lang w:val="en-GB"/>
        </w:rPr>
        <w:t>Markus Ferber</w:t>
      </w:r>
      <w:r w:rsidRPr="00734CAA">
        <w:rPr>
          <w:rStyle w:val="HideTWBExt"/>
          <w:b w:val="0"/>
          <w:color w:val="auto"/>
          <w:lang w:val="en-GB"/>
        </w:rPr>
        <w:t>&lt;/Members&gt;</w:t>
      </w:r>
    </w:p>
    <w:p w:rsidR="00365C9B" w:rsidRPr="00734CAA" w:rsidP="00365C9B" w14:paraId="5A42465E" w14:textId="77777777">
      <w:pPr>
        <w:pStyle w:val="NormalBold"/>
        <w:rPr>
          <w:lang w:val="en-GB"/>
        </w:rPr>
      </w:pPr>
      <w:r w:rsidRPr="00734CAA">
        <w:rPr>
          <w:rStyle w:val="HideTWBExt"/>
          <w:b w:val="0"/>
          <w:color w:val="auto"/>
          <w:lang w:val="en-GB"/>
        </w:rPr>
        <w:t>&lt;/RepeatBlock-By&gt;</w:t>
      </w:r>
    </w:p>
    <w:p w:rsidR="00365C9B" w:rsidRPr="00B16DFD" w:rsidP="00365C9B" w14:paraId="3B92687A"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7ABEF279" w14:textId="77777777">
      <w:pPr>
        <w:pStyle w:val="NormalBold"/>
        <w:rPr>
          <w:lang w:val="en-GB"/>
        </w:rPr>
      </w:pPr>
      <w:r w:rsidRPr="00734CAA">
        <w:rPr>
          <w:rStyle w:val="HideTWBExt"/>
          <w:color w:val="auto"/>
          <w:lang w:val="en-GB"/>
        </w:rPr>
        <w:t>&lt;Article&gt;</w:t>
      </w:r>
      <w:r w:rsidRPr="00734CAA">
        <w:rPr>
          <w:lang w:val="en-GB"/>
        </w:rPr>
        <w:t>Betragtning 26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B99600"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0A690A37" w14:textId="77777777">
            <w:pPr>
              <w:rPr>
                <w:lang w:val="en-GB"/>
              </w:rPr>
            </w:pPr>
          </w:p>
        </w:tc>
      </w:tr>
      <w:tr w14:paraId="2C922BC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CBC7CC7"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60BC506" w14:textId="77777777">
            <w:pPr>
              <w:pStyle w:val="AmColumnHeading"/>
            </w:pPr>
            <w:r w:rsidRPr="00B16DFD">
              <w:t>Ændringsforslag</w:t>
            </w:r>
          </w:p>
        </w:tc>
      </w:tr>
      <w:tr w14:paraId="204C03E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EA65EC2" w14:textId="77777777">
            <w:pPr>
              <w:pStyle w:val="Normal6a"/>
            </w:pPr>
          </w:p>
        </w:tc>
        <w:tc>
          <w:tcPr>
            <w:tcW w:w="4876" w:type="dxa"/>
            <w:tcBorders>
              <w:top w:val="nil"/>
              <w:left w:val="nil"/>
              <w:bottom w:val="nil"/>
              <w:right w:val="nil"/>
            </w:tcBorders>
            <w:hideMark/>
          </w:tcPr>
          <w:p w:rsidR="00365C9B" w:rsidRPr="00B16DFD" w:rsidP="00A87173" w14:paraId="4F8E4724" w14:textId="2173787E">
            <w:pPr>
              <w:pStyle w:val="Normal6a"/>
            </w:pPr>
            <w:r w:rsidRPr="00B16DFD">
              <w:rPr>
                <w:b/>
                <w:i/>
              </w:rPr>
              <w:t>(26a)</w:t>
            </w:r>
            <w:r w:rsidRPr="00B16DFD">
              <w:tab/>
            </w:r>
            <w:r w:rsidRPr="00B16DFD">
              <w:rPr>
                <w:b/>
                <w:i/>
              </w:rPr>
              <w:t xml:space="preserve">Beregningen af positioner i forhold til clearinggrænseværdierne i henhold til artikel 10 i forordning (EU) nr. 648/2012 bør afspejle den faktiske rullende eksponering for ikkefinansielle modparter over for langvarige OTC-derivataftaler snarere end den fulde notionelle værdi af sådanne kontrakter, målt på datoen for deres indgåelse. Den nuværende metode begrænser uforholdsmæssigt ikkefinansielle modparter, der indgår langsigtede kontrakter såsom virtuelle elkøbsaftaler, som er afgørende for at finansiere implementeringen af kulstoffattig energiproduktion, ved at få en enkelt kontrakt til at forbruge en betydelig del af den gældende tærskel ved indgåelsen uanset modpartens faktiske risikoprofil med tiden. En beregning baseret på den notionelle værdi, der kan henføres til en rullende </w:t>
            </w:r>
            <w:r w:rsidRPr="00B16DFD" w:rsidR="00A87173">
              <w:rPr>
                <w:b/>
                <w:i/>
              </w:rPr>
              <w:t>12-</w:t>
            </w:r>
            <w:r w:rsidRPr="00B16DFD">
              <w:rPr>
                <w:b/>
                <w:i/>
              </w:rPr>
              <w:t xml:space="preserve">månedersperiode i overensstemmelse med den metode, der anvendes i henhold til tilsvarende </w:t>
            </w:r>
            <w:r w:rsidRPr="00B16DFD">
              <w:rPr>
                <w:b/>
                <w:i/>
              </w:rPr>
              <w:t>tredjelandes rammer, ville tage hånd om denne effekt på tværs af alle relevante aktivklasser, samtidig med at clearinggrænseværdiens integritet bevares som et mål for systemisk relevans.</w:t>
            </w:r>
          </w:p>
        </w:tc>
      </w:tr>
    </w:tbl>
    <w:p w:rsidR="00365C9B" w:rsidRPr="00B16DFD" w:rsidP="00365C9B" w14:paraId="1F3F5864"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5C2EBE22"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0840F4F9" w14:textId="19189670">
      <w:pPr>
        <w:pStyle w:val="AmJustText"/>
      </w:pPr>
      <w:r w:rsidRPr="00B16DFD">
        <w:t>Artikel 10's nuværende metode baseret på no</w:t>
      </w:r>
      <w:r w:rsidRPr="00B16DFD" w:rsidR="00D41C75">
        <w:t>minel</w:t>
      </w:r>
      <w:r w:rsidRPr="00B16DFD">
        <w:t xml:space="preserve"> værdi over hele kontraktens løbetid medfører, at tærskelværdien opbruges forlods for langvarige kontrakter, med den tydeligste praktiske virkning for virtuelle elkøbsaftaler, der finansierer investeringer i lavemissionsteknologi. En rullende </w:t>
      </w:r>
      <w:r w:rsidRPr="00B16DFD" w:rsidR="00A87173">
        <w:t>12-</w:t>
      </w:r>
      <w:r w:rsidRPr="00B16DFD">
        <w:t>måneders beregning, der afspejler Dodd-Frank-tilgangen, korrigerer dette uden at indsnævre clearinggrænseværdiens systemiske risikofunktion.</w:t>
      </w:r>
    </w:p>
    <w:p w:rsidR="00365C9B" w:rsidRPr="00B16DFD" w:rsidP="00365C9B" w14:paraId="3F02A709" w14:textId="77777777">
      <w:r w:rsidRPr="00B16DFD">
        <w:rPr>
          <w:rStyle w:val="HideTWBExt"/>
          <w:color w:val="auto"/>
        </w:rPr>
        <w:t>&lt;/Amend&gt;</w:t>
      </w:r>
    </w:p>
    <w:p w:rsidR="00365C9B" w:rsidRPr="00B16DFD" w:rsidP="00365C9B" w14:paraId="1E96094D"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251</w:t>
      </w:r>
      <w:r w:rsidRPr="00B16DFD">
        <w:rPr>
          <w:rStyle w:val="HideTWBExt"/>
          <w:color w:val="auto"/>
        </w:rPr>
        <w:t>&lt;/NumAm&gt;</w:t>
      </w:r>
    </w:p>
    <w:p w:rsidR="00365C9B" w:rsidRPr="00734CAA" w:rsidP="00365C9B" w14:paraId="7CEF8358"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0B8EC5E7"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7F4AD700" w14:textId="77777777">
      <w:pPr>
        <w:pStyle w:val="NormalBold"/>
        <w:rPr>
          <w:lang w:val="en-GB"/>
        </w:rPr>
      </w:pPr>
      <w:r w:rsidRPr="00734CAA">
        <w:rPr>
          <w:rStyle w:val="HideTWBExt"/>
          <w:b w:val="0"/>
          <w:color w:val="auto"/>
          <w:lang w:val="en-GB"/>
        </w:rPr>
        <w:t>&lt;/RepeatBlock-By&gt;</w:t>
      </w:r>
    </w:p>
    <w:p w:rsidR="00365C9B" w:rsidRPr="00734CAA" w:rsidP="00365C9B" w14:paraId="75272205"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734CAA" w:rsidP="00365C9B" w14:paraId="7950FFF1" w14:textId="77777777">
      <w:pPr>
        <w:pStyle w:val="NormalBold"/>
        <w:rPr>
          <w:lang w:val="en-GB"/>
        </w:rPr>
      </w:pPr>
      <w:r w:rsidRPr="00734CAA">
        <w:rPr>
          <w:rStyle w:val="HideTWBExt"/>
          <w:color w:val="auto"/>
          <w:lang w:val="en-GB"/>
        </w:rPr>
        <w:t>&lt;Article&gt;</w:t>
      </w:r>
      <w:r w:rsidRPr="00734CAA">
        <w:rPr>
          <w:lang w:val="en-GB"/>
        </w:rPr>
        <w:t>Betragtning 26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BD99CC"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3377B092" w14:textId="77777777">
            <w:pPr>
              <w:rPr>
                <w:lang w:val="en-GB"/>
              </w:rPr>
            </w:pPr>
          </w:p>
        </w:tc>
      </w:tr>
      <w:tr w14:paraId="4FDCEBC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1C1E8E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7108576" w14:textId="77777777">
            <w:pPr>
              <w:pStyle w:val="AmColumnHeading"/>
            </w:pPr>
            <w:r w:rsidRPr="00B16DFD">
              <w:t>Ændringsforslag</w:t>
            </w:r>
          </w:p>
        </w:tc>
      </w:tr>
      <w:tr w14:paraId="7699650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694D8742" w14:textId="77777777">
            <w:pPr>
              <w:pStyle w:val="Normal6a"/>
            </w:pPr>
          </w:p>
        </w:tc>
        <w:tc>
          <w:tcPr>
            <w:tcW w:w="4876" w:type="dxa"/>
            <w:tcBorders>
              <w:top w:val="nil"/>
              <w:left w:val="nil"/>
              <w:bottom w:val="nil"/>
              <w:right w:val="nil"/>
            </w:tcBorders>
            <w:hideMark/>
          </w:tcPr>
          <w:p w:rsidR="00365C9B" w:rsidRPr="00B16DFD" w:rsidP="00F61C80" w14:paraId="5E4ACCA3" w14:textId="77777777">
            <w:pPr>
              <w:pStyle w:val="Normal6a"/>
            </w:pPr>
            <w:r w:rsidRPr="00B16DFD">
              <w:rPr>
                <w:b/>
                <w:i/>
              </w:rPr>
              <w:t>(26a)</w:t>
            </w:r>
            <w:r w:rsidRPr="00B16DFD">
              <w:tab/>
            </w:r>
            <w:r w:rsidRPr="00B16DFD">
              <w:rPr>
                <w:b/>
                <w:i/>
              </w:rPr>
              <w:t xml:space="preserve">For at imødegå de risici for den finansielle stabilitet, der skyldes EU's afhængighed af tredjelands-CCP'er, blev der ved forordning (EU) 2024/2987 indført et "krav om en aktiv konto" for finansielle og ikkefinansielle modparter, der er omfattet af clearingkravet. ESMA's foreløbige rapport om kravet om en aktiv konto af 6. juli 2026 viser, at der kun er et begrænset skift i markedsandele fra systemisk vigtige centrale modparter fra tredjelande (tier 2-CCP'er) til EU-CCP'er i visse produkter relateret til kravet om en aktiv konto. For at sikre EU's finansielle suverænitet og imødegå de risici for den finansielle stabilitet, der skyldes EU's afhængighed af tredjelandes finansielle markedsinfrastruktur, bør Kommissionen senest den 30. juni 2027 forelægge en omfattende rapport baseret på input fra ESMA og den fælles </w:t>
            </w:r>
            <w:r w:rsidRPr="00B16DFD">
              <w:rPr>
                <w:b/>
                <w:i/>
              </w:rPr>
              <w:t>overvågningsmekanisme ledsaget af lovgivningsforslag.</w:t>
            </w:r>
          </w:p>
        </w:tc>
      </w:tr>
    </w:tbl>
    <w:p w:rsidR="00365C9B" w:rsidRPr="00734CAA" w:rsidP="00365C9B" w14:paraId="75C49E6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2FD6A07" w14:textId="77777777">
      <w:pPr>
        <w:rPr>
          <w:lang w:val="en-GB"/>
        </w:rPr>
      </w:pPr>
      <w:r w:rsidRPr="00734CAA">
        <w:rPr>
          <w:rStyle w:val="HideTWBExt"/>
          <w:color w:val="auto"/>
          <w:lang w:val="en-GB"/>
        </w:rPr>
        <w:t>&lt;/Amend&gt;</w:t>
      </w:r>
    </w:p>
    <w:p w:rsidR="00365C9B" w:rsidRPr="00734CAA" w:rsidP="00365C9B" w14:paraId="26B5C9B8"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252</w:t>
      </w:r>
      <w:r w:rsidRPr="00734CAA">
        <w:rPr>
          <w:rStyle w:val="HideTWBExt"/>
          <w:color w:val="auto"/>
          <w:lang w:val="en-GB"/>
        </w:rPr>
        <w:t>&lt;/NumAm&gt;</w:t>
      </w:r>
    </w:p>
    <w:p w:rsidR="00365C9B" w:rsidRPr="00734CAA" w:rsidP="00365C9B" w14:paraId="270869E4"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08D325B3" w14:textId="77777777">
      <w:pPr>
        <w:pStyle w:val="NormalBold"/>
      </w:pPr>
      <w:r w:rsidRPr="00B16DFD">
        <w:rPr>
          <w:rStyle w:val="HideTWBExt"/>
          <w:b w:val="0"/>
          <w:color w:val="auto"/>
        </w:rPr>
        <w:t>&lt;/RepeatBlock-By&gt;</w:t>
      </w:r>
    </w:p>
    <w:p w:rsidR="00365C9B" w:rsidRPr="00B16DFD" w:rsidP="00365C9B" w14:paraId="2759FDA6"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426496EE" w14:textId="77777777">
      <w:pPr>
        <w:pStyle w:val="NormalBold"/>
        <w:rPr>
          <w:lang w:val="en-GB"/>
        </w:rPr>
      </w:pPr>
      <w:r w:rsidRPr="00734CAA">
        <w:rPr>
          <w:rStyle w:val="HideTWBExt"/>
          <w:color w:val="auto"/>
          <w:lang w:val="en-GB"/>
        </w:rPr>
        <w:t>&lt;Article&gt;</w:t>
      </w:r>
      <w:r w:rsidRPr="00734CAA">
        <w:rPr>
          <w:lang w:val="en-GB"/>
        </w:rPr>
        <w:t>Betragtning 26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1089BE"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27FF0932" w14:textId="77777777">
            <w:pPr>
              <w:rPr>
                <w:lang w:val="en-GB"/>
              </w:rPr>
            </w:pPr>
          </w:p>
        </w:tc>
      </w:tr>
      <w:tr w14:paraId="6B627061"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B814245"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8D841D6" w14:textId="77777777">
            <w:pPr>
              <w:pStyle w:val="AmColumnHeading"/>
            </w:pPr>
            <w:r w:rsidRPr="00B16DFD">
              <w:t>Ændringsforslag</w:t>
            </w:r>
          </w:p>
        </w:tc>
      </w:tr>
      <w:tr w14:paraId="4F56FCE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A7E1793" w14:textId="77777777">
            <w:pPr>
              <w:pStyle w:val="Normal6a"/>
            </w:pPr>
          </w:p>
        </w:tc>
        <w:tc>
          <w:tcPr>
            <w:tcW w:w="4876" w:type="dxa"/>
            <w:tcBorders>
              <w:top w:val="nil"/>
              <w:left w:val="nil"/>
              <w:bottom w:val="nil"/>
              <w:right w:val="nil"/>
            </w:tcBorders>
            <w:hideMark/>
          </w:tcPr>
          <w:p w:rsidR="00365C9B" w:rsidRPr="00B16DFD" w:rsidP="00F61C80" w14:paraId="125B3042" w14:textId="77777777">
            <w:pPr>
              <w:pStyle w:val="Normal6a"/>
            </w:pPr>
            <w:r w:rsidRPr="00B16DFD">
              <w:rPr>
                <w:b/>
                <w:i/>
              </w:rPr>
              <w:t>(26a)</w:t>
            </w:r>
            <w:r w:rsidRPr="00B16DFD">
              <w:tab/>
            </w:r>
            <w:r w:rsidRPr="00B16DFD">
              <w:rPr>
                <w:b/>
                <w:i/>
              </w:rPr>
              <w:t>I betragtning af at mindre signifikante CCP'er generelt primært betjener lokale markeder og har en mere begrænset kompleksitet og systemisk betydning, er det ikke længere nødvendigt at oprette et tilsynskollegium. For at bevare tilsynskonvergensen og støtte den finansielle stabilitet bør samarbejdet og informationsudvekslingen mellem den kompetente myndighed, ESMA og, hvor det er relevant, andre relevante kompetente myndigheder styrkes gennem forholdsmæssige koordineringsmekanismer.</w:t>
            </w:r>
          </w:p>
        </w:tc>
      </w:tr>
    </w:tbl>
    <w:p w:rsidR="00365C9B" w:rsidRPr="00734CAA" w:rsidP="00365C9B" w14:paraId="5730710C"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86DB85E" w14:textId="77777777">
      <w:pPr>
        <w:rPr>
          <w:lang w:val="en-GB"/>
        </w:rPr>
      </w:pPr>
      <w:r w:rsidRPr="00734CAA">
        <w:rPr>
          <w:rStyle w:val="HideTWBExt"/>
          <w:color w:val="auto"/>
          <w:lang w:val="en-GB"/>
        </w:rPr>
        <w:t>&lt;/Amend&gt;</w:t>
      </w:r>
    </w:p>
    <w:p w:rsidR="00365C9B" w:rsidRPr="00734CAA" w:rsidP="00365C9B" w14:paraId="14F5DF7E"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253</w:t>
      </w:r>
      <w:r w:rsidRPr="00734CAA">
        <w:rPr>
          <w:rStyle w:val="HideTWBExt"/>
          <w:color w:val="auto"/>
          <w:lang w:val="en-GB"/>
        </w:rPr>
        <w:t>&lt;/NumAm&gt;</w:t>
      </w:r>
    </w:p>
    <w:p w:rsidR="00365C9B" w:rsidRPr="00734CAA" w:rsidP="00365C9B" w14:paraId="378BB40C" w14:textId="77777777">
      <w:pPr>
        <w:pStyle w:val="NormalBold"/>
        <w:rPr>
          <w:lang w:val="en-GB"/>
        </w:rPr>
      </w:pPr>
      <w:r w:rsidRPr="00734CAA">
        <w:rPr>
          <w:rStyle w:val="HideTWBExt"/>
          <w:b w:val="0"/>
          <w:color w:val="auto"/>
          <w:lang w:val="en-GB"/>
        </w:rPr>
        <w:t>&lt;RepeatBlock-By&gt;&lt;Members&gt;</w:t>
      </w:r>
      <w:r w:rsidRPr="00734CAA">
        <w:rPr>
          <w:lang w:val="en-GB"/>
        </w:rPr>
        <w:t>Janusz Lewandowski</w:t>
      </w:r>
      <w:r w:rsidRPr="00734CAA">
        <w:rPr>
          <w:rStyle w:val="HideTWBExt"/>
          <w:b w:val="0"/>
          <w:color w:val="auto"/>
          <w:lang w:val="en-GB"/>
        </w:rPr>
        <w:t>&lt;/Members&gt;</w:t>
      </w:r>
    </w:p>
    <w:p w:rsidR="00365C9B" w:rsidRPr="00B16DFD" w:rsidP="00365C9B" w14:paraId="058710F2" w14:textId="77777777">
      <w:pPr>
        <w:pStyle w:val="NormalBold"/>
      </w:pPr>
      <w:r w:rsidRPr="00B16DFD">
        <w:rPr>
          <w:rStyle w:val="HideTWBExt"/>
          <w:b w:val="0"/>
          <w:color w:val="auto"/>
        </w:rPr>
        <w:t>&lt;/RepeatBlock-By&gt;</w:t>
      </w:r>
    </w:p>
    <w:p w:rsidR="00365C9B" w:rsidRPr="00B16DFD" w:rsidP="00365C9B" w14:paraId="29A1CC90"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3F317014" w14:textId="77777777">
      <w:pPr>
        <w:pStyle w:val="NormalBold"/>
      </w:pPr>
      <w:r w:rsidRPr="00B16DFD">
        <w:rPr>
          <w:rStyle w:val="HideTWBExt"/>
          <w:color w:val="auto"/>
        </w:rPr>
        <w:t>&lt;Article&gt;</w:t>
      </w:r>
      <w:r w:rsidRPr="00B16DFD">
        <w:t>Betragtning 27</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19DE8B"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6A578D8" w14:textId="77777777"/>
        </w:tc>
      </w:tr>
      <w:tr w14:paraId="222C8BBF"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C7B5FC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4170521" w14:textId="77777777">
            <w:pPr>
              <w:pStyle w:val="AmColumnHeading"/>
            </w:pPr>
            <w:r w:rsidRPr="00B16DFD">
              <w:t>Ændringsforslag</w:t>
            </w:r>
          </w:p>
        </w:tc>
      </w:tr>
      <w:tr w14:paraId="1E567D8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1F9E02D" w14:textId="77777777">
            <w:pPr>
              <w:pStyle w:val="Normal6a"/>
            </w:pPr>
            <w:r w:rsidRPr="00B16DFD">
              <w:rPr>
                <w:b/>
                <w:i/>
              </w:rPr>
              <w:t>(27)</w:t>
            </w:r>
            <w:r w:rsidRPr="00B16DFD">
              <w:tab/>
            </w:r>
            <w:r w:rsidRPr="00B16DFD">
              <w:rPr>
                <w:b/>
                <w:i/>
              </w:rPr>
              <w:t>Europa-Parlamentets og Rådets forordning (EU) 2024/791</w:t>
            </w:r>
            <w:r w:rsidRPr="00B16DFD">
              <w:rPr>
                <w:b/>
                <w:i/>
                <w:vertAlign w:val="superscript"/>
              </w:rPr>
              <w:t>19</w:t>
            </w:r>
            <w:r w:rsidRPr="00B16DFD">
              <w:rPr>
                <w:b/>
                <w:i/>
              </w:rPr>
              <w:t xml:space="preserve"> ændrede Europa-Parlamentets og Rådets forordning (EU) nr. 600/2014</w:t>
            </w:r>
            <w:r w:rsidRPr="00B16DFD">
              <w:rPr>
                <w:b/>
                <w:i/>
                <w:vertAlign w:val="superscript"/>
              </w:rPr>
              <w:t>20</w:t>
            </w:r>
            <w:r w:rsidRPr="00B16DFD">
              <w:rPr>
                <w:b/>
                <w:i/>
              </w:rPr>
              <w:t xml:space="preserve"> for at fjerne hindringer for fremkomsten af konsolideret løbende handelsinformation i obligationer, aktier og børshandlede </w:t>
            </w:r>
            <w:r w:rsidRPr="00B16DFD">
              <w:rPr>
                <w:b/>
                <w:i/>
              </w:rPr>
              <w:t>fonde ("ETF'er") samt OTC-derivater. For en given aktie eller ETF på et givent tidspunkt skal udbyderen af den konsoliderede løbende handelsinformation offentliggøre bedste europæiske købs- og salgspris ("EBBO") samt den volumen, der er tilgængelig til disse priser i hele Unionen. Den konsoliderede løbende handelsinformation vil imidlertid ikke afsløre identiteten på den markedsplads, hvor EBBO'en er dannet, da den ikke vil tilskrive de tilgængelige volumener til EBBO'en til individuelle markedspladser, og den vil heller ikke omfatte købs- og salgsdata ud over EBBO'en og de tilhørende volumener. Dette begrænser i væsentlig grad merværdien af den konsoliderede løbende handelsinformation og fratager brugerne muligheden for at lokalisere de volumener, der er tilgængelige til EBBO'en, samt for at få et repræsentativt billede af den likviditetsdybde, der er til rådighed for handel. For yderligere at øge attraktiviteten bør den konsoliderede løbende handelsinformation for aktier og ETF'er derfor give et mere indgående overblik over handelsinteresser, dække de fem bedste købs- og salgspriser med de volumener, der er tilgængelige til disse priser, samt angive den enkelte markedsplads, hvor disse volumener er tilgængelige.</w:t>
            </w:r>
          </w:p>
        </w:tc>
        <w:tc>
          <w:tcPr>
            <w:tcW w:w="4876" w:type="dxa"/>
            <w:tcBorders>
              <w:top w:val="nil"/>
              <w:left w:val="nil"/>
              <w:bottom w:val="nil"/>
              <w:right w:val="nil"/>
            </w:tcBorders>
            <w:hideMark/>
          </w:tcPr>
          <w:p w:rsidR="00365C9B" w:rsidRPr="00B16DFD" w:rsidP="00F61C80" w14:paraId="0A19E442" w14:textId="77777777">
            <w:pPr>
              <w:pStyle w:val="Normal6a"/>
            </w:pPr>
            <w:r w:rsidRPr="00B16DFD">
              <w:rPr>
                <w:b/>
                <w:i/>
              </w:rPr>
              <w:t>udgår</w:t>
            </w:r>
          </w:p>
        </w:tc>
      </w:tr>
      <w:tr w14:paraId="0D4375E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719D3A4" w14:textId="77777777">
            <w:pPr>
              <w:pStyle w:val="Normal6a"/>
            </w:pPr>
            <w:r w:rsidRPr="00B16DFD">
              <w:rPr>
                <w:b/>
                <w:i/>
              </w:rPr>
              <w:t>_________________</w:t>
            </w:r>
          </w:p>
        </w:tc>
        <w:tc>
          <w:tcPr>
            <w:tcW w:w="4876" w:type="dxa"/>
            <w:tcBorders>
              <w:top w:val="nil"/>
              <w:left w:val="nil"/>
              <w:bottom w:val="nil"/>
              <w:right w:val="nil"/>
            </w:tcBorders>
          </w:tcPr>
          <w:p w:rsidR="00365C9B" w:rsidRPr="00B16DFD" w:rsidP="00F61C80" w14:paraId="34D93E9A" w14:textId="77777777"/>
        </w:tc>
      </w:tr>
      <w:tr w14:paraId="01F74C4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00E3411" w14:textId="77777777">
            <w:pPr>
              <w:pStyle w:val="Normal6a"/>
            </w:pPr>
            <w:r w:rsidRPr="00B16DFD">
              <w:rPr>
                <w:b/>
                <w:i/>
                <w:vertAlign w:val="superscript"/>
              </w:rPr>
              <w:t xml:space="preserve">19 </w:t>
            </w:r>
            <w:r w:rsidRPr="00B16DFD">
              <w:rPr>
                <w:b/>
                <w:i/>
              </w:rPr>
              <w:t>Europa-Parlamentets og Rådets forordning (EU) 2024/791 af 28. februar 2024 om ændring af forordning (EU) nr. 600/2014 for så vidt angår forbedring af gennemsigtigheden af data, fjernelse af hindringer for fremkomsten af konsoliderede løbende handelsinformationer, optimering af handelsforpligtelserne og forbud mod at modtage betaling for ordreflow (EUT L, 2024/791, 8.3.2024, ELI: http://data.europa.eu/eli/reg/2024/791/oj).</w:t>
            </w:r>
          </w:p>
        </w:tc>
        <w:tc>
          <w:tcPr>
            <w:tcW w:w="4876" w:type="dxa"/>
            <w:tcBorders>
              <w:top w:val="nil"/>
              <w:left w:val="nil"/>
              <w:bottom w:val="nil"/>
              <w:right w:val="nil"/>
            </w:tcBorders>
          </w:tcPr>
          <w:p w:rsidR="00365C9B" w:rsidRPr="00B16DFD" w:rsidP="00F61C80" w14:paraId="6BF06FA0" w14:textId="77777777"/>
        </w:tc>
      </w:tr>
      <w:tr w14:paraId="00C17C4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7362314" w14:textId="77777777">
            <w:pPr>
              <w:pStyle w:val="Normal6a"/>
            </w:pPr>
            <w:r w:rsidRPr="00B16DFD">
              <w:rPr>
                <w:b/>
                <w:i/>
                <w:vertAlign w:val="superscript"/>
              </w:rPr>
              <w:t xml:space="preserve">20 </w:t>
            </w:r>
            <w:r w:rsidRPr="00B16DFD">
              <w:rPr>
                <w:b/>
                <w:i/>
              </w:rPr>
              <w:t>Europa-Parlamentets og Rådets forordning (EU) nr. 600/2014 af 15. maj 2014 om markeder for finansielle instrumenter og om ændring af forordning (EU) nr. 648/2012 (EUT L 173 af 12.6.2014, s. 84, ELI: http://data.europa.eu/eli/reg/2014/600/oj).</w:t>
            </w:r>
          </w:p>
        </w:tc>
        <w:tc>
          <w:tcPr>
            <w:tcW w:w="4876" w:type="dxa"/>
            <w:tcBorders>
              <w:top w:val="nil"/>
              <w:left w:val="nil"/>
              <w:bottom w:val="nil"/>
              <w:right w:val="nil"/>
            </w:tcBorders>
          </w:tcPr>
          <w:p w:rsidR="00365C9B" w:rsidRPr="00B16DFD" w:rsidP="00F61C80" w14:paraId="42EC5D3B" w14:textId="77777777"/>
        </w:tc>
      </w:tr>
    </w:tbl>
    <w:p w:rsidR="00365C9B" w:rsidRPr="00B16DFD" w:rsidP="00365C9B" w14:paraId="19C9E19A"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70E085B1"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7075DE35" w14:textId="77777777">
      <w:pPr>
        <w:pStyle w:val="AmJustText"/>
      </w:pPr>
      <w:r w:rsidRPr="00B16DFD">
        <w:t>Den sletning, som ordføreren har foreslået i sit udkast til betænkning, bør opretholdes, da en udvidelse af den konsoliderede løbende handelsinformation om aktier, før den bliver taget i brug, er for tidlig og uforholdsmæssig. Artikel 52, stk. 14, i MiFIR kræver allerede en evidensbaseret ESMA-gennemgang efterfulgt, hvor det er relevant, af et forslag fra Kommissionen. Denne proces bør være afsluttet, før det overvejes at ændre indholdet af den løbende handelsinformation.</w:t>
      </w:r>
    </w:p>
    <w:p w:rsidR="00365C9B" w:rsidRPr="00B16DFD" w:rsidP="00365C9B" w14:paraId="74DA8612" w14:textId="77777777">
      <w:r w:rsidRPr="00B16DFD">
        <w:rPr>
          <w:rStyle w:val="HideTWBExt"/>
          <w:color w:val="auto"/>
        </w:rPr>
        <w:t>&lt;/Amend&gt;</w:t>
      </w:r>
    </w:p>
    <w:p w:rsidR="00365C9B" w:rsidRPr="00B16DFD" w:rsidP="00365C9B" w14:paraId="6BB7DF70"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254</w:t>
      </w:r>
      <w:r w:rsidRPr="00B16DFD">
        <w:rPr>
          <w:rStyle w:val="HideTWBExt"/>
          <w:color w:val="auto"/>
        </w:rPr>
        <w:t>&lt;/NumAm&gt;</w:t>
      </w:r>
    </w:p>
    <w:p w:rsidR="00365C9B" w:rsidRPr="00B16DFD" w:rsidP="00365C9B" w14:paraId="0803AB4D" w14:textId="77777777">
      <w:pPr>
        <w:pStyle w:val="NormalBold"/>
      </w:pPr>
      <w:r w:rsidRPr="00B16DFD">
        <w:rPr>
          <w:rStyle w:val="HideTWBExt"/>
          <w:b w:val="0"/>
          <w:color w:val="auto"/>
        </w:rPr>
        <w:t>&lt;RepeatBlock-By&gt;&lt;Members&gt;</w:t>
      </w:r>
      <w:r w:rsidRPr="00B16DFD">
        <w:t>Eero Heinäluoma, Francisco Assis, Jonás Fernández, César Luena, Evelyn Regner, Aurore Lalucq, Nikos Papandreou, Claire Fita</w:t>
      </w:r>
      <w:r w:rsidRPr="00B16DFD">
        <w:rPr>
          <w:rStyle w:val="HideTWBExt"/>
          <w:b w:val="0"/>
          <w:color w:val="auto"/>
        </w:rPr>
        <w:t>&lt;/Members&gt;</w:t>
      </w:r>
    </w:p>
    <w:p w:rsidR="00365C9B" w:rsidRPr="00B16DFD" w:rsidP="00365C9B" w14:paraId="0FCF53C3" w14:textId="77777777">
      <w:pPr>
        <w:pStyle w:val="NormalBold"/>
      </w:pPr>
      <w:r w:rsidRPr="00B16DFD">
        <w:rPr>
          <w:rStyle w:val="HideTWBExt"/>
          <w:b w:val="0"/>
          <w:color w:val="auto"/>
        </w:rPr>
        <w:t>&lt;/RepeatBlock-By&gt;</w:t>
      </w:r>
    </w:p>
    <w:p w:rsidR="00365C9B" w:rsidRPr="00B16DFD" w:rsidP="00365C9B" w14:paraId="1FCD0874"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17CA0EDA" w14:textId="77777777">
      <w:pPr>
        <w:pStyle w:val="NormalBold"/>
      </w:pPr>
      <w:r w:rsidRPr="00B16DFD">
        <w:rPr>
          <w:rStyle w:val="HideTWBExt"/>
          <w:color w:val="auto"/>
        </w:rPr>
        <w:t>&lt;Article&gt;</w:t>
      </w:r>
      <w:r w:rsidRPr="00B16DFD">
        <w:t>Betragtning 27</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F76C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DA88A53" w14:textId="77777777"/>
        </w:tc>
      </w:tr>
      <w:tr w14:paraId="44DFE4C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30CAE54"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8886D90" w14:textId="77777777">
            <w:pPr>
              <w:pStyle w:val="AmColumnHeading"/>
            </w:pPr>
            <w:r w:rsidRPr="00B16DFD">
              <w:t>Ændringsforslag</w:t>
            </w:r>
          </w:p>
        </w:tc>
      </w:tr>
      <w:tr w14:paraId="41E606B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C57E734" w14:textId="77777777">
            <w:pPr>
              <w:pStyle w:val="Normal6a"/>
            </w:pPr>
            <w:r w:rsidRPr="00B16DFD">
              <w:t>(27)</w:t>
            </w:r>
            <w:r w:rsidRPr="00B16DFD">
              <w:tab/>
              <w:t>Europa-Parlamentets og Rådets forordning (EU) 2024/791</w:t>
            </w:r>
            <w:r w:rsidRPr="00B16DFD">
              <w:rPr>
                <w:vertAlign w:val="superscript"/>
              </w:rPr>
              <w:t>19</w:t>
            </w:r>
            <w:r w:rsidRPr="00B16DFD">
              <w:t xml:space="preserve"> ændrede Europa-Parlamentets og Rådets forordning (EU) nr. 600/2014</w:t>
            </w:r>
            <w:r w:rsidRPr="00B16DFD">
              <w:rPr>
                <w:vertAlign w:val="superscript"/>
              </w:rPr>
              <w:t>20</w:t>
            </w:r>
            <w:r w:rsidRPr="00B16DFD">
              <w:t xml:space="preserve"> for at fjerne hindringer for fremkomsten af konsolideret løbende handelsinformation i obligationer, aktier og børshandlede fonde ("ETF'er") samt OTC-derivater. For en given aktie eller ETF på et givent tidspunkt skal udbyderen af den konsoliderede løbende handelsinformation offentliggøre bedste europæiske købs- og salgspris ("EBBO") samt den volumen, der er tilgængelig til disse priser i hele Unionen. Den konsoliderede løbende handelsinformation vil imidlertid ikke afsløre identiteten på den markedsplads, hvor EBBO'en er dannet, da den ikke vil tilskrive de tilgængelige volumener til EBBO'en til individuelle markedspladser, </w:t>
            </w:r>
            <w:r w:rsidRPr="00B16DFD">
              <w:t xml:space="preserve">og den vil heller ikke omfatte købs- og salgsdata ud over EBBO'en og de tilhørende volumener. Dette begrænser i væsentlig grad merværdien af den konsoliderede løbende handelsinformation og fratager brugerne muligheden for at lokalisere de volumener, der er tilgængelige til EBBO'en, samt for at få et repræsentativt billede af den likviditetsdybde, der er til rådighed for handel. For yderligere at øge attraktiviteten bør den konsoliderede løbende handelsinformation for aktier og ETF'er derfor give et mere indgående overblik over handelsinteresser, dække de </w:t>
            </w:r>
            <w:r w:rsidRPr="00B16DFD">
              <w:rPr>
                <w:b/>
                <w:i/>
              </w:rPr>
              <w:t>fem</w:t>
            </w:r>
            <w:r w:rsidRPr="00B16DFD">
              <w:t xml:space="preserve"> bedste købs- og salgspriser med de volumener, der er tilgængelige til disse priser, samt angive den enkelte markedsplads, hvor disse volumener er tilgængelige.</w:t>
            </w:r>
          </w:p>
        </w:tc>
        <w:tc>
          <w:tcPr>
            <w:tcW w:w="4876" w:type="dxa"/>
            <w:tcBorders>
              <w:top w:val="nil"/>
              <w:left w:val="nil"/>
              <w:bottom w:val="nil"/>
              <w:right w:val="nil"/>
            </w:tcBorders>
            <w:hideMark/>
          </w:tcPr>
          <w:p w:rsidR="00365C9B" w:rsidRPr="00B16DFD" w:rsidP="00F61C80" w14:paraId="334D91FB" w14:textId="28766F6B">
            <w:pPr>
              <w:pStyle w:val="Normal6a"/>
            </w:pPr>
            <w:r w:rsidRPr="00B16DFD">
              <w:t>(27)</w:t>
            </w:r>
            <w:r w:rsidRPr="00B16DFD">
              <w:tab/>
              <w:t>Europa-Parlamentets og Rådets forordning (EU) 2024/791</w:t>
            </w:r>
            <w:r w:rsidRPr="00B16DFD">
              <w:rPr>
                <w:vertAlign w:val="superscript"/>
              </w:rPr>
              <w:t>19</w:t>
            </w:r>
            <w:r w:rsidRPr="00B16DFD">
              <w:t xml:space="preserve"> ændrede Europa-Parlamentets og Rådets forordning (EU) nr. 600/2014</w:t>
            </w:r>
            <w:r w:rsidRPr="00B16DFD">
              <w:rPr>
                <w:vertAlign w:val="superscript"/>
              </w:rPr>
              <w:t>20</w:t>
            </w:r>
            <w:r w:rsidRPr="00B16DFD">
              <w:t xml:space="preserve"> for at fjerne hindringer for fremkomsten af konsolideret løbende handelsinformation i obligationer, aktier og børshandlede fonde ("ETF'er") samt OTC-derivater. For en given aktie eller ETF på et givent tidspunkt skal udbyderen af den konsoliderede løbende handelsinformation offentliggøre bedste europæiske købs- og salgspris ("EBBO") samt den volumen, der er tilgængelig til disse priser i hele Unionen. Den konsoliderede løbende handelsinformation vil imidlertid ikke afsløre identiteten på den markedsplads, hvor EBBO'en er dannet, da den ikke vil tilskrive de tilgængelige volumener til EBBO'en til individuelle markedspladser, </w:t>
            </w:r>
            <w:r w:rsidRPr="00B16DFD">
              <w:t xml:space="preserve">og den vil heller ikke omfatte købs- og salgsdata ud over EBBO'en og de tilhørende volumener. Dette begrænser i væsentlig grad merværdien af den konsoliderede løbende handelsinformation og fratager brugerne muligheden for at lokalisere de volumener, der er tilgængelige til EBBO'en, samt for at få et repræsentativt billede af den likviditetsdybde, der er til rådighed for handel. For yderligere at øge attraktiviteten bør den konsoliderede løbende handelsinformation for aktier og ETF'er derfor give et mere indgående overblik over handelsinteresser, dække de bedste købs- og salgspriser med de volumener, der er tilgængelige til disse priser, samt angive den enkelte markedsplads, hvor disse volumener er tilgængelige. </w:t>
            </w:r>
            <w:r w:rsidRPr="00B16DFD">
              <w:rPr>
                <w:b/>
                <w:i/>
              </w:rPr>
              <w:t xml:space="preserve">Oprettelsen af en konsolideret løbende handelsinformation bør ikke kun fungere som et register over efterhandels- og førhandelsdata, men bør også fremme udviklingen af værktøjer, der bidrager til </w:t>
            </w:r>
            <w:r w:rsidR="00AA1655">
              <w:rPr>
                <w:b/>
                <w:i/>
              </w:rPr>
              <w:t xml:space="preserve">at </w:t>
            </w:r>
            <w:r w:rsidRPr="00B16DFD" w:rsidR="00AA1655">
              <w:rPr>
                <w:b/>
                <w:i/>
              </w:rPr>
              <w:t>integr</w:t>
            </w:r>
            <w:r w:rsidR="00AA1655">
              <w:rPr>
                <w:b/>
                <w:i/>
              </w:rPr>
              <w:t>ere</w:t>
            </w:r>
            <w:r w:rsidRPr="00B16DFD">
              <w:rPr>
                <w:b/>
                <w:i/>
              </w:rPr>
              <w:t xml:space="preserve"> Unionens kapitalmarkeder. For at forbedre udstedernes synlighed i alle medlemsstater og lette grænseoverskridende investeringer i Unionen bør CTP have mandat til at levere en ikkeproprietær EU-dækkende indeksfamilie, der fungerer som et offentligt gode, hvilket også sikrer, at virksomheder i mindre jurisdiktioner er tilstrækkeligt repræsenteret i Unionens finansielle landskab.</w:t>
            </w:r>
          </w:p>
        </w:tc>
      </w:tr>
      <w:tr w14:paraId="5B34206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309CDE6B" w14:textId="77777777">
            <w:pPr>
              <w:pStyle w:val="Normal6a"/>
            </w:pPr>
            <w:r w:rsidRPr="00B16DFD">
              <w:rPr>
                <w:b/>
                <w:i/>
              </w:rPr>
              <w:t>_________________</w:t>
            </w:r>
          </w:p>
        </w:tc>
        <w:tc>
          <w:tcPr>
            <w:tcW w:w="4876" w:type="dxa"/>
            <w:tcBorders>
              <w:top w:val="nil"/>
              <w:left w:val="nil"/>
              <w:bottom w:val="nil"/>
              <w:right w:val="nil"/>
            </w:tcBorders>
            <w:hideMark/>
          </w:tcPr>
          <w:p w:rsidR="00365C9B" w:rsidRPr="00B16DFD" w:rsidP="00F61C80" w14:paraId="0D0D8857" w14:textId="77777777">
            <w:pPr>
              <w:pStyle w:val="Normal6a"/>
            </w:pPr>
            <w:r w:rsidRPr="00B16DFD">
              <w:rPr>
                <w:b/>
                <w:i/>
              </w:rPr>
              <w:t>_________________</w:t>
            </w:r>
          </w:p>
        </w:tc>
      </w:tr>
      <w:tr w14:paraId="1AFDF08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9CD3051" w14:textId="77777777">
            <w:pPr>
              <w:pStyle w:val="Normal6a"/>
            </w:pPr>
            <w:r w:rsidRPr="00B16DFD">
              <w:rPr>
                <w:vertAlign w:val="superscript"/>
              </w:rPr>
              <w:t xml:space="preserve">19 </w:t>
            </w:r>
            <w:r w:rsidRPr="00B16DFD">
              <w:t xml:space="preserve">Europa-Parlamentets og Rådets forordning (EU) 2024/791 af 28. februar 2024 om ændring af forordning (EU) nr. 600/2014 for så vidt angår forbedring af gennemsigtigheden af data, fjernelse af hindringer for fremkomsten af konsoliderede løbende handelsinformationer, optimering af handelsforpligtelserne og forbud mod at modtage betaling for ordreflow (EUT L, 2024/791, 8.3.2024, ELI: </w:t>
            </w:r>
            <w:r w:rsidRPr="00B16DFD">
              <w:t>http://data.europa.eu/eli/reg/2024/791/oj).</w:t>
            </w:r>
          </w:p>
        </w:tc>
        <w:tc>
          <w:tcPr>
            <w:tcW w:w="4876" w:type="dxa"/>
            <w:tcBorders>
              <w:top w:val="nil"/>
              <w:left w:val="nil"/>
              <w:bottom w:val="nil"/>
              <w:right w:val="nil"/>
            </w:tcBorders>
            <w:hideMark/>
          </w:tcPr>
          <w:p w:rsidR="00365C9B" w:rsidRPr="00B16DFD" w:rsidP="00F61C80" w14:paraId="4FC38624" w14:textId="77777777">
            <w:pPr>
              <w:pStyle w:val="Normal6a"/>
            </w:pPr>
            <w:r w:rsidRPr="00B16DFD">
              <w:rPr>
                <w:vertAlign w:val="superscript"/>
              </w:rPr>
              <w:t xml:space="preserve">19 </w:t>
            </w:r>
            <w:r w:rsidRPr="00B16DFD">
              <w:t xml:space="preserve">Europa-Parlamentets og Rådets forordning (EU) 2024/791 af 28. februar 2024 om ændring af forordning (EU) nr. 600/2014 for så vidt angår forbedring af gennemsigtigheden af data, fjernelse af hindringer for fremkomsten af konsoliderede løbende handelsinformationer, optimering af handelsforpligtelserne og forbud mod at modtage betaling for ordreflow (EUT L, 2024/791, 8.3.2024, ELI: </w:t>
            </w:r>
            <w:r w:rsidRPr="00B16DFD">
              <w:t>http://data.europa.eu/eli/reg/2024/791/oj).</w:t>
            </w:r>
          </w:p>
        </w:tc>
      </w:tr>
      <w:tr w14:paraId="263A7DE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B00BED6" w14:textId="77777777">
            <w:pPr>
              <w:pStyle w:val="Normal6a"/>
            </w:pPr>
            <w:r w:rsidRPr="00B16DFD">
              <w:rPr>
                <w:vertAlign w:val="superscript"/>
              </w:rPr>
              <w:t xml:space="preserve">20 </w:t>
            </w:r>
            <w:r w:rsidRPr="00B16DFD">
              <w:t>Europa-Parlamentets og Rådets forordning (EU) nr. 600/2014 af 15. maj 2014 om markeder for finansielle instrumenter og om ændring af forordning (EU) nr. 648/2012 (EUT L 173 af 12.6.2014, s. 84, ELI: http://data.europa.eu/eli/reg/2014/600/oj).</w:t>
            </w:r>
          </w:p>
        </w:tc>
        <w:tc>
          <w:tcPr>
            <w:tcW w:w="4876" w:type="dxa"/>
            <w:tcBorders>
              <w:top w:val="nil"/>
              <w:left w:val="nil"/>
              <w:bottom w:val="nil"/>
              <w:right w:val="nil"/>
            </w:tcBorders>
            <w:hideMark/>
          </w:tcPr>
          <w:p w:rsidR="00365C9B" w:rsidRPr="00B16DFD" w:rsidP="00F61C80" w14:paraId="06A5EB24" w14:textId="77777777">
            <w:pPr>
              <w:pStyle w:val="Normal6a"/>
            </w:pPr>
            <w:r w:rsidRPr="00B16DFD">
              <w:rPr>
                <w:vertAlign w:val="superscript"/>
              </w:rPr>
              <w:t xml:space="preserve">20 </w:t>
            </w:r>
            <w:r w:rsidRPr="00B16DFD">
              <w:t>Europa-Parlamentets og Rådets forordning (EU) nr. 600/2014 af 15. maj 2014 om markeder for finansielle instrumenter og om ændring af forordning (EU) nr. 648/2012 (EUT L 173 af 12.6.2014, s. 84, ELI: http://data.europa.eu/eli/reg/2014/600/oj).</w:t>
            </w:r>
          </w:p>
        </w:tc>
      </w:tr>
    </w:tbl>
    <w:p w:rsidR="00365C9B" w:rsidRPr="00734CAA" w:rsidP="00365C9B" w14:paraId="2CFDA94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A536A13" w14:textId="77777777">
      <w:pPr>
        <w:rPr>
          <w:lang w:val="en-GB"/>
        </w:rPr>
      </w:pPr>
      <w:r w:rsidRPr="00734CAA">
        <w:rPr>
          <w:rStyle w:val="HideTWBExt"/>
          <w:color w:val="auto"/>
          <w:lang w:val="en-GB"/>
        </w:rPr>
        <w:t>&lt;/Amend&gt;</w:t>
      </w:r>
    </w:p>
    <w:p w:rsidR="00365C9B" w:rsidRPr="00734CAA" w:rsidP="00365C9B" w14:paraId="79EA5842"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255</w:t>
      </w:r>
      <w:r w:rsidRPr="00734CAA">
        <w:rPr>
          <w:rStyle w:val="HideTWBExt"/>
          <w:color w:val="auto"/>
          <w:lang w:val="en-GB"/>
        </w:rPr>
        <w:t>&lt;/NumAm&gt;</w:t>
      </w:r>
    </w:p>
    <w:p w:rsidR="00365C9B" w:rsidRPr="00734CAA" w:rsidP="00365C9B" w14:paraId="2E48D942"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3BC3876D"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572F4141" w14:textId="77777777">
      <w:pPr>
        <w:pStyle w:val="NormalBold"/>
        <w:rPr>
          <w:lang w:val="en-GB"/>
        </w:rPr>
      </w:pPr>
      <w:r w:rsidRPr="00734CAA">
        <w:rPr>
          <w:rStyle w:val="HideTWBExt"/>
          <w:b w:val="0"/>
          <w:color w:val="auto"/>
          <w:lang w:val="en-GB"/>
        </w:rPr>
        <w:t>&lt;/RepeatBlock-By&gt;</w:t>
      </w:r>
    </w:p>
    <w:p w:rsidR="00365C9B" w:rsidRPr="00734CAA" w:rsidP="00365C9B" w14:paraId="4AE74097"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24A5C2DD" w14:textId="77777777">
      <w:pPr>
        <w:pStyle w:val="NormalBold"/>
      </w:pPr>
      <w:r w:rsidRPr="00B16DFD">
        <w:rPr>
          <w:rStyle w:val="HideTWBExt"/>
          <w:color w:val="auto"/>
        </w:rPr>
        <w:t>&lt;Article&gt;</w:t>
      </w:r>
      <w:r w:rsidRPr="00B16DFD">
        <w:t>Betragtning 27</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92A2B7"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631623E" w14:textId="77777777"/>
        </w:tc>
      </w:tr>
      <w:tr w14:paraId="6A6B009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779172E"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B7B0B3D" w14:textId="77777777">
            <w:pPr>
              <w:pStyle w:val="AmColumnHeading"/>
            </w:pPr>
            <w:r w:rsidRPr="00B16DFD">
              <w:t>Ændringsforslag</w:t>
            </w:r>
          </w:p>
        </w:tc>
      </w:tr>
      <w:tr w14:paraId="1381A03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602B48B" w14:textId="77777777">
            <w:pPr>
              <w:pStyle w:val="Normal6a"/>
            </w:pPr>
            <w:r w:rsidRPr="00B16DFD">
              <w:t>(27)</w:t>
            </w:r>
            <w:r w:rsidRPr="00B16DFD">
              <w:tab/>
              <w:t>Europa-Parlamentets og Rådets forordning (EU) 2024/791</w:t>
            </w:r>
            <w:r w:rsidRPr="00B16DFD">
              <w:rPr>
                <w:vertAlign w:val="superscript"/>
              </w:rPr>
              <w:t>19</w:t>
            </w:r>
            <w:r w:rsidRPr="00B16DFD">
              <w:t xml:space="preserve"> ændrede Europa-Parlamentets og Rådets forordning (EU) nr. 600/2014</w:t>
            </w:r>
            <w:r w:rsidRPr="00B16DFD">
              <w:rPr>
                <w:vertAlign w:val="superscript"/>
              </w:rPr>
              <w:t>20</w:t>
            </w:r>
            <w:r w:rsidRPr="00B16DFD">
              <w:t xml:space="preserve"> for at fjerne hindringer for fremkomsten af konsolideret løbende handelsinformation i obligationer, aktier og børshandlede fonde ("ETF'er") samt OTC-derivater. For en given aktie eller ETF på et givent tidspunkt skal udbyderen af den konsoliderede løbende handelsinformation offentliggøre bedste europæiske købs- og salgspris ("EBBO") samt den volumen, der er tilgængelig til disse priser i hele Unionen. Den konsoliderede løbende handelsinformation vil imidlertid ikke afsløre identiteten på den markedsplads, hvor EBBO'en er dannet, da den ikke vil tilskrive de tilgængelige volumener til EBBO'en til individuelle markedspladser, og den vil heller ikke omfatte købs- og salgsdata ud over EBBO'en og de tilhørende volumener. Dette begrænser i væsentlig grad merværdien af den konsoliderede løbende handelsinformation og fratager brugerne muligheden for at lokalisere de volumener, der er </w:t>
            </w:r>
            <w:r w:rsidRPr="00B16DFD">
              <w:t>tilgængelige til EBBO'en, samt for at få et repræsentativt billede af den likviditetsdybde, der er til rådighed for handel. For yderligere at øge attraktiviteten bør den konsoliderede løbende handelsinformation for aktier og ETF'er derfor give et mere indgående overblik over handelsinteresser, dække de</w:t>
            </w:r>
            <w:r w:rsidRPr="00B16DFD">
              <w:rPr>
                <w:b/>
                <w:i/>
              </w:rPr>
              <w:t xml:space="preserve"> fem bedste købs- og salgspriser</w:t>
            </w:r>
            <w:r w:rsidRPr="00B16DFD">
              <w:t xml:space="preserve"> med de volumener, der er tilgængelige til disse priser, samt angive den enkelte markedsplads, hvor disse volumener er tilgængelige.</w:t>
            </w:r>
          </w:p>
        </w:tc>
        <w:tc>
          <w:tcPr>
            <w:tcW w:w="4876" w:type="dxa"/>
            <w:tcBorders>
              <w:top w:val="nil"/>
              <w:left w:val="nil"/>
              <w:bottom w:val="nil"/>
              <w:right w:val="nil"/>
            </w:tcBorders>
            <w:hideMark/>
          </w:tcPr>
          <w:p w:rsidR="00365C9B" w:rsidRPr="00B16DFD" w:rsidP="00F61C80" w14:paraId="50D4EC7F" w14:textId="77777777">
            <w:pPr>
              <w:pStyle w:val="Normal6a"/>
            </w:pPr>
            <w:r w:rsidRPr="00B16DFD">
              <w:t>(27)</w:t>
            </w:r>
            <w:r w:rsidRPr="00B16DFD">
              <w:tab/>
              <w:t>Europa-Parlamentets og Rådets forordning (EU) 2024/791</w:t>
            </w:r>
            <w:r w:rsidRPr="00B16DFD">
              <w:rPr>
                <w:vertAlign w:val="superscript"/>
              </w:rPr>
              <w:t>19</w:t>
            </w:r>
            <w:r w:rsidRPr="00B16DFD">
              <w:t xml:space="preserve"> ændrede Europa-Parlamentets og Rådets forordning (EU) nr. 600/2014</w:t>
            </w:r>
            <w:r w:rsidRPr="00B16DFD">
              <w:rPr>
                <w:vertAlign w:val="superscript"/>
              </w:rPr>
              <w:t>20</w:t>
            </w:r>
            <w:r w:rsidRPr="00B16DFD">
              <w:t xml:space="preserve"> for at fjerne hindringer for fremkomsten af konsolideret løbende handelsinformation i obligationer, aktier og børshandlede fonde ("ETF'er") samt OTC-derivater. For en given aktie eller ETF på et givent tidspunkt skal udbyderen af den konsoliderede løbende handelsinformation offentliggøre bedste europæiske købs- og salgspris ("EBBO") samt den volumen, der er tilgængelig til disse priser i hele Unionen. Den konsoliderede løbende handelsinformation vil imidlertid ikke afsløre identiteten på den markedsplads, hvor EBBO'en er dannet, da den ikke vil tilskrive de tilgængelige volumener til EBBO'en til individuelle markedspladser, og den vil heller ikke omfatte købs- og salgsdata ud over EBBO'en og de tilhørende volumener. Dette begrænser i væsentlig grad merværdien af den konsoliderede løbende handelsinformation og fratager brugerne muligheden for at lokalisere de volumener, der er </w:t>
            </w:r>
            <w:r w:rsidRPr="00B16DFD">
              <w:t>tilgængelige til EBBO'en, samt for at få et repræsentativt billede af den likviditetsdybde, der er til rådighed for handel. For yderligere at øge attraktiviteten bør den konsoliderede løbende handelsinformation for aktier og ETF'er derfor give et mere indgående overblik over handelsinteresser, dække de</w:t>
            </w:r>
            <w:r w:rsidRPr="00B16DFD">
              <w:rPr>
                <w:b/>
                <w:i/>
              </w:rPr>
              <w:t xml:space="preserve"> fulde ordrebogspriser</w:t>
            </w:r>
            <w:r w:rsidRPr="00B16DFD">
              <w:t xml:space="preserve"> med de volumener, der er tilgængelige til disse priser, samt angive den enkelte markedsplads, hvor disse volumener er tilgængelige.</w:t>
            </w:r>
          </w:p>
        </w:tc>
      </w:tr>
      <w:tr w14:paraId="4B2007A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EEC8D9C" w14:textId="77777777">
            <w:pPr>
              <w:pStyle w:val="Normal6a"/>
            </w:pPr>
            <w:r w:rsidRPr="00B16DFD">
              <w:rPr>
                <w:b/>
                <w:i/>
              </w:rPr>
              <w:t>_________________</w:t>
            </w:r>
          </w:p>
        </w:tc>
        <w:tc>
          <w:tcPr>
            <w:tcW w:w="4876" w:type="dxa"/>
            <w:tcBorders>
              <w:top w:val="nil"/>
              <w:left w:val="nil"/>
              <w:bottom w:val="nil"/>
              <w:right w:val="nil"/>
            </w:tcBorders>
            <w:hideMark/>
          </w:tcPr>
          <w:p w:rsidR="00365C9B" w:rsidRPr="00B16DFD" w:rsidP="00F61C80" w14:paraId="040190E3" w14:textId="77777777">
            <w:pPr>
              <w:pStyle w:val="Normal6a"/>
            </w:pPr>
            <w:r w:rsidRPr="00B16DFD">
              <w:rPr>
                <w:b/>
                <w:i/>
              </w:rPr>
              <w:t>_________________</w:t>
            </w:r>
          </w:p>
        </w:tc>
      </w:tr>
      <w:tr w14:paraId="1E736A8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6D1FABE" w14:textId="77777777">
            <w:pPr>
              <w:pStyle w:val="Normal6a"/>
            </w:pPr>
            <w:r w:rsidRPr="00B16DFD">
              <w:rPr>
                <w:vertAlign w:val="superscript"/>
              </w:rPr>
              <w:t xml:space="preserve">19 </w:t>
            </w:r>
            <w:r w:rsidRPr="00B16DFD">
              <w:t>Europa-Parlamentets og Rådets forordning (EU) 2024/791 af 28. februar 2024 om ændring af forordning (EU) nr. 600/2014 for så vidt angår forbedring af gennemsigtigheden af data, fjernelse af hindringer for fremkomsten af konsoliderede løbende handelsinformationer, optimering af handelsforpligtelserne og forbud mod at modtage betaling for ordreflow (EUT L, 2024/791, 8.3.2024, ELI: http://data.europa.eu/eli/reg/2024/791/oj).</w:t>
            </w:r>
          </w:p>
        </w:tc>
        <w:tc>
          <w:tcPr>
            <w:tcW w:w="4876" w:type="dxa"/>
            <w:tcBorders>
              <w:top w:val="nil"/>
              <w:left w:val="nil"/>
              <w:bottom w:val="nil"/>
              <w:right w:val="nil"/>
            </w:tcBorders>
            <w:hideMark/>
          </w:tcPr>
          <w:p w:rsidR="00365C9B" w:rsidRPr="00B16DFD" w:rsidP="00F61C80" w14:paraId="608D0E88" w14:textId="77777777">
            <w:pPr>
              <w:pStyle w:val="Normal6a"/>
            </w:pPr>
            <w:r w:rsidRPr="00B16DFD">
              <w:rPr>
                <w:vertAlign w:val="superscript"/>
              </w:rPr>
              <w:t xml:space="preserve">19 </w:t>
            </w:r>
            <w:r w:rsidRPr="00B16DFD">
              <w:t>Europa-Parlamentets og Rådets forordning (EU) 2024/791 af 28. februar 2024 om ændring af forordning (EU) nr. 600/2014 for så vidt angår forbedring af gennemsigtigheden af data, fjernelse af hindringer for fremkomsten af konsoliderede løbende handelsinformationer, optimering af handelsforpligtelserne og forbud mod at modtage betaling for ordreflow (EUT L, 2024/791, 8.3.2024, ELI: http://data.europa.eu/eli/reg/2024/791/oj).</w:t>
            </w:r>
          </w:p>
        </w:tc>
      </w:tr>
      <w:tr w14:paraId="48499E2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CC963FA" w14:textId="77777777">
            <w:pPr>
              <w:pStyle w:val="Normal6a"/>
            </w:pPr>
            <w:r w:rsidRPr="00B16DFD">
              <w:rPr>
                <w:vertAlign w:val="superscript"/>
              </w:rPr>
              <w:t xml:space="preserve">20 </w:t>
            </w:r>
            <w:r w:rsidRPr="00B16DFD">
              <w:t>Europa-Parlamentets og Rådets forordning (EU) nr. 600/2014 af 15. maj 2014 om markeder for finansielle instrumenter og om ændring af forordning (EU) nr. 648/2012 (EUT L 173 af 12.6.2014, s. 84, ELI: http://data.europa.eu/eli/reg/2014/600/oj).</w:t>
            </w:r>
          </w:p>
        </w:tc>
        <w:tc>
          <w:tcPr>
            <w:tcW w:w="4876" w:type="dxa"/>
            <w:tcBorders>
              <w:top w:val="nil"/>
              <w:left w:val="nil"/>
              <w:bottom w:val="nil"/>
              <w:right w:val="nil"/>
            </w:tcBorders>
            <w:hideMark/>
          </w:tcPr>
          <w:p w:rsidR="00365C9B" w:rsidRPr="00B16DFD" w:rsidP="00F61C80" w14:paraId="650D3F7D" w14:textId="77777777">
            <w:pPr>
              <w:pStyle w:val="Normal6a"/>
            </w:pPr>
            <w:r w:rsidRPr="00B16DFD">
              <w:rPr>
                <w:vertAlign w:val="superscript"/>
              </w:rPr>
              <w:t xml:space="preserve">20 </w:t>
            </w:r>
            <w:r w:rsidRPr="00B16DFD">
              <w:t>Europa-Parlamentets og Rådets forordning (EU) nr. 600/2014 af 15. maj 2014 om markeder for finansielle instrumenter og om ændring af forordning (EU) nr. 648/2012 (EUT L 173 af 12.6.2014, s. 84, ELI: http://data.europa.eu/eli/reg/2014/600/oj).</w:t>
            </w:r>
          </w:p>
        </w:tc>
      </w:tr>
    </w:tbl>
    <w:p w:rsidR="00365C9B" w:rsidRPr="00734CAA" w:rsidP="00365C9B" w14:paraId="4B457F7C"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43883CD" w14:textId="77777777">
      <w:pPr>
        <w:rPr>
          <w:lang w:val="en-GB"/>
        </w:rPr>
      </w:pPr>
      <w:r w:rsidRPr="00734CAA">
        <w:rPr>
          <w:rStyle w:val="HideTWBExt"/>
          <w:color w:val="auto"/>
          <w:lang w:val="en-GB"/>
        </w:rPr>
        <w:t>&lt;/Amend&gt;</w:t>
      </w:r>
    </w:p>
    <w:p w:rsidR="00365C9B" w:rsidRPr="00734CAA" w:rsidP="00365C9B" w14:paraId="572F1613"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256</w:t>
      </w:r>
      <w:r w:rsidRPr="00734CAA">
        <w:rPr>
          <w:rStyle w:val="HideTWBExt"/>
          <w:color w:val="auto"/>
          <w:lang w:val="en-GB"/>
        </w:rPr>
        <w:t>&lt;/NumAm&gt;</w:t>
      </w:r>
    </w:p>
    <w:p w:rsidR="00365C9B" w:rsidRPr="00734CAA" w:rsidP="00365C9B" w14:paraId="446ECCEA"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69B80A11" w14:textId="77777777">
      <w:pPr>
        <w:pStyle w:val="NormalBold"/>
      </w:pPr>
      <w:r w:rsidRPr="00B16DFD">
        <w:rPr>
          <w:rStyle w:val="HideTWBExt"/>
          <w:b w:val="0"/>
          <w:color w:val="auto"/>
        </w:rPr>
        <w:t>&lt;/RepeatBlock-By&gt;</w:t>
      </w:r>
    </w:p>
    <w:p w:rsidR="00365C9B" w:rsidRPr="00B16DFD" w:rsidP="00365C9B" w14:paraId="54671EF1"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131AEB8E" w14:textId="77777777">
      <w:pPr>
        <w:pStyle w:val="NormalBold"/>
        <w:rPr>
          <w:lang w:val="en-GB"/>
        </w:rPr>
      </w:pPr>
      <w:r w:rsidRPr="00734CAA">
        <w:rPr>
          <w:rStyle w:val="HideTWBExt"/>
          <w:color w:val="auto"/>
          <w:lang w:val="en-GB"/>
        </w:rPr>
        <w:t>&lt;Article&gt;</w:t>
      </w:r>
      <w:r w:rsidRPr="00734CAA">
        <w:rPr>
          <w:lang w:val="en-GB"/>
        </w:rPr>
        <w:t>Betragtning 27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F761BA"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0ACB5E90" w14:textId="77777777">
            <w:pPr>
              <w:rPr>
                <w:lang w:val="en-GB"/>
              </w:rPr>
            </w:pPr>
          </w:p>
        </w:tc>
      </w:tr>
      <w:tr w14:paraId="1947BFE7"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B6CE4E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B954A15" w14:textId="77777777">
            <w:pPr>
              <w:pStyle w:val="AmColumnHeading"/>
            </w:pPr>
            <w:r w:rsidRPr="00B16DFD">
              <w:t>Ændringsforslag</w:t>
            </w:r>
          </w:p>
        </w:tc>
      </w:tr>
      <w:tr w14:paraId="2D16082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099C433" w14:textId="77777777">
            <w:pPr>
              <w:pStyle w:val="Normal6a"/>
            </w:pPr>
          </w:p>
        </w:tc>
        <w:tc>
          <w:tcPr>
            <w:tcW w:w="4876" w:type="dxa"/>
            <w:tcBorders>
              <w:top w:val="nil"/>
              <w:left w:val="nil"/>
              <w:bottom w:val="nil"/>
              <w:right w:val="nil"/>
            </w:tcBorders>
            <w:hideMark/>
          </w:tcPr>
          <w:p w:rsidR="00365C9B" w:rsidRPr="00B16DFD" w:rsidP="00F61C80" w14:paraId="5608DD13" w14:textId="77777777">
            <w:pPr>
              <w:pStyle w:val="Normal6a"/>
            </w:pPr>
            <w:r w:rsidRPr="00B16DFD">
              <w:rPr>
                <w:b/>
                <w:i/>
              </w:rPr>
              <w:t>(27a)</w:t>
            </w:r>
            <w:r w:rsidRPr="00B16DFD">
              <w:tab/>
            </w:r>
            <w:r w:rsidRPr="00B16DFD">
              <w:rPr>
                <w:b/>
                <w:i/>
              </w:rPr>
              <w:t xml:space="preserve">Da der endnu ikke er nogen </w:t>
            </w:r>
            <w:r w:rsidRPr="00B16DFD">
              <w:rPr>
                <w:b/>
                <w:i/>
              </w:rPr>
              <w:t>operationel udbyder af konsolideret løbende handelsinformation, der er operationel, er det hensigtsmæssigt at vurdere den indledende gennemførelses funktion og indvirkning på markedet, før anvendelsesområdet udvides. ESMA bør derfor senest i juni 2028 rådgive Kommissionen om, hvorvidt en udvidelse af anvendelsesområdet for den konsoliderede løbende handelsinformation er berettiget i lyset af de operationelle erfaringer og målene i forordning (EU) nr. 600/2014. Kommissionen bør tage hensyn til denne rådgivning, når den træffer afgørelse om, hvorvidt den skal fortsætte med en sådan udvidelse. Hvis Kommissionen vedtager en positiv afgørelse, bør de relevante bestemmelser i denne forordning finde anvendelse 24 måneder efter vedtagelsen af denne afgørelse.</w:t>
            </w:r>
          </w:p>
        </w:tc>
      </w:tr>
    </w:tbl>
    <w:p w:rsidR="00365C9B" w:rsidRPr="00734CAA" w:rsidP="00365C9B" w14:paraId="4144A43A"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15D24E8" w14:textId="77777777">
      <w:pPr>
        <w:rPr>
          <w:lang w:val="en-GB"/>
        </w:rPr>
      </w:pPr>
      <w:r w:rsidRPr="00734CAA">
        <w:rPr>
          <w:rStyle w:val="HideTWBExt"/>
          <w:color w:val="auto"/>
          <w:lang w:val="en-GB"/>
        </w:rPr>
        <w:t>&lt;/Amend&gt;</w:t>
      </w:r>
    </w:p>
    <w:p w:rsidR="00365C9B" w:rsidRPr="00734CAA" w:rsidP="00365C9B" w14:paraId="0D76116A"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257</w:t>
      </w:r>
      <w:r w:rsidRPr="00734CAA">
        <w:rPr>
          <w:rStyle w:val="HideTWBExt"/>
          <w:color w:val="auto"/>
          <w:lang w:val="en-GB"/>
        </w:rPr>
        <w:t>&lt;/NumAm&gt;</w:t>
      </w:r>
    </w:p>
    <w:p w:rsidR="00365C9B" w:rsidRPr="00734CAA" w:rsidP="00365C9B" w14:paraId="0586DAE4" w14:textId="77777777">
      <w:pPr>
        <w:pStyle w:val="NormalBold"/>
        <w:rPr>
          <w:lang w:val="en-GB"/>
        </w:rPr>
      </w:pPr>
      <w:r w:rsidRPr="00734CAA">
        <w:rPr>
          <w:rStyle w:val="HideTWBExt"/>
          <w:b w:val="0"/>
          <w:color w:val="auto"/>
          <w:lang w:val="en-GB"/>
        </w:rPr>
        <w:t>&lt;RepeatBlock-By&gt;&lt;Members&gt;</w:t>
      </w:r>
      <w:r w:rsidRPr="00734CAA">
        <w:rPr>
          <w:lang w:val="en-GB"/>
        </w:rPr>
        <w:t>Janusz Lewandowski</w:t>
      </w:r>
      <w:r w:rsidRPr="00734CAA">
        <w:rPr>
          <w:rStyle w:val="HideTWBExt"/>
          <w:b w:val="0"/>
          <w:color w:val="auto"/>
          <w:lang w:val="en-GB"/>
        </w:rPr>
        <w:t>&lt;/Members&gt;</w:t>
      </w:r>
    </w:p>
    <w:p w:rsidR="00365C9B" w:rsidRPr="00B16DFD" w:rsidP="00365C9B" w14:paraId="218805F7" w14:textId="77777777">
      <w:pPr>
        <w:pStyle w:val="NormalBold"/>
      </w:pPr>
      <w:r w:rsidRPr="00B16DFD">
        <w:rPr>
          <w:rStyle w:val="HideTWBExt"/>
          <w:b w:val="0"/>
          <w:color w:val="auto"/>
        </w:rPr>
        <w:t>&lt;/RepeatBlock-By&gt;</w:t>
      </w:r>
    </w:p>
    <w:p w:rsidR="00365C9B" w:rsidRPr="00B16DFD" w:rsidP="00365C9B" w14:paraId="7A59A3DA"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5BEFDB34" w14:textId="77777777">
      <w:pPr>
        <w:pStyle w:val="NormalBold"/>
      </w:pPr>
      <w:r w:rsidRPr="00B16DFD">
        <w:rPr>
          <w:rStyle w:val="HideTWBExt"/>
          <w:color w:val="auto"/>
        </w:rPr>
        <w:t>&lt;Article&gt;</w:t>
      </w:r>
      <w:r w:rsidRPr="00B16DFD">
        <w:t>Betragtning 28</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07C754"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BB94138" w14:textId="77777777"/>
        </w:tc>
      </w:tr>
      <w:tr w14:paraId="4C4F35C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E76AE05"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9FEBAC0" w14:textId="77777777">
            <w:pPr>
              <w:pStyle w:val="AmColumnHeading"/>
            </w:pPr>
            <w:r w:rsidRPr="00B16DFD">
              <w:t>Ændringsforslag</w:t>
            </w:r>
          </w:p>
        </w:tc>
      </w:tr>
      <w:tr w14:paraId="5E9DB6E7"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5CF384A" w14:textId="3DF5DDED">
            <w:pPr>
              <w:pStyle w:val="Normal6a"/>
            </w:pPr>
            <w:r w:rsidRPr="00B16DFD">
              <w:rPr>
                <w:b/>
                <w:i/>
              </w:rPr>
              <w:t>(28)</w:t>
            </w:r>
            <w:r w:rsidRPr="00B16DFD">
              <w:tab/>
            </w:r>
            <w:r w:rsidRPr="00B16DFD">
              <w:rPr>
                <w:b/>
                <w:i/>
              </w:rPr>
              <w:t xml:space="preserve">Handelsdagens lukkepris er afgørende for aktiemarkederne, da den giver en central referencepris, der typisk anvendes til værdiansættelse af fonde, ETF'er og benchmarks. I de fleste tilfælde udledes lukkeprisen af den lukkeauktion, der finder sted på den markedsplads, hvor værdipapirerne første gang blev optaget til handel ("den primære børs"). Andelen af aktievolumen, der handles ved lukkeauktionen, er steget </w:t>
            </w:r>
            <w:r w:rsidR="00734CAA">
              <w:rPr>
                <w:b/>
                <w:i/>
              </w:rPr>
              <w:t>markant</w:t>
            </w:r>
            <w:r w:rsidRPr="00B16DFD">
              <w:rPr>
                <w:b/>
                <w:i/>
              </w:rPr>
              <w:t xml:space="preserve"> over tid. Konkurrencen i lukkeauktionssegmentet er dog fortsat begrænset, idet de primære børslukkeauktioner stadig tegner sig for </w:t>
            </w:r>
            <w:r w:rsidRPr="00B16DFD">
              <w:rPr>
                <w:b/>
                <w:i/>
              </w:rPr>
              <w:t>den største andel af handelen på lukkeauktionen. Denne situation giver desuden anledning til betænkeligheder med hensyn til modstandsdygtigheden, da hændelser, herunder afbrydelser, på de primære børser kan have en direkte indvirkning på markedsdeltagernes evne til at værdiansætte deres aktiver. For at fremme konkurrencen i lukkeprissegmentet og sikre, at markedsdeltagerne kan forlade sig på en lukkepris, der er et alternativ til lukkeauktionsprisen fra den primære børs, er det nødvendigt at kræve, at udbyderen af konsolideret løbende handelsinformation for aktier og ETF'er formidler en volumenvægtet lukkepris, der fremkommer på baggrund af alle lukkeauktioner, der drives af markedspladser, som er dataleverandører. ESMA bør udstede henstillinger med henblik på at præcisere den metode, som den konsoliderede løbende handelsinformation bør anvende til at fastsætte den volumenvægtede lukkepris.</w:t>
            </w:r>
          </w:p>
        </w:tc>
        <w:tc>
          <w:tcPr>
            <w:tcW w:w="4876" w:type="dxa"/>
            <w:tcBorders>
              <w:top w:val="nil"/>
              <w:left w:val="nil"/>
              <w:bottom w:val="nil"/>
              <w:right w:val="nil"/>
            </w:tcBorders>
            <w:hideMark/>
          </w:tcPr>
          <w:p w:rsidR="00365C9B" w:rsidRPr="00B16DFD" w:rsidP="00F61C80" w14:paraId="49AF214F" w14:textId="77777777">
            <w:pPr>
              <w:pStyle w:val="Normal6a"/>
            </w:pPr>
            <w:r w:rsidRPr="00B16DFD">
              <w:rPr>
                <w:b/>
                <w:i/>
              </w:rPr>
              <w:t>udgår</w:t>
            </w:r>
          </w:p>
        </w:tc>
      </w:tr>
    </w:tbl>
    <w:p w:rsidR="00365C9B" w:rsidRPr="00B16DFD" w:rsidP="00365C9B" w14:paraId="637EA8A3"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0D186490"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7BD698A3" w14:textId="77777777">
      <w:pPr>
        <w:pStyle w:val="AmJustText"/>
      </w:pPr>
      <w:r w:rsidRPr="00B16DFD">
        <w:t>Den sletning, som ordføreren har foreslået i sit udkast til betænkning, bør opretholdes, da en udvidelse af den konsoliderede løbende handelsinformation om aktier, før den bliver taget i brug, er for tidlig og uforholdsmæssig. Artikel 52, stk. 14, i MiFIR kræver allerede en evidensbaseret ESMA-gennemgang efterfulgt, hvor det er relevant, af et forslag fra Kommissionen. Denne proces bør være afsluttet, før det overvejes at ændre indholdet af den løbende handelsinformation.</w:t>
      </w:r>
    </w:p>
    <w:p w:rsidR="00365C9B" w:rsidRPr="00B16DFD" w:rsidP="00365C9B" w14:paraId="72AAAB7C" w14:textId="77777777">
      <w:r w:rsidRPr="00B16DFD">
        <w:rPr>
          <w:rStyle w:val="HideTWBExt"/>
          <w:color w:val="auto"/>
        </w:rPr>
        <w:t>&lt;/Amend&gt;</w:t>
      </w:r>
    </w:p>
    <w:p w:rsidR="00365C9B" w:rsidRPr="00B16DFD" w:rsidP="00365C9B" w14:paraId="5DE63A36"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258</w:t>
      </w:r>
      <w:r w:rsidRPr="00B16DFD">
        <w:rPr>
          <w:rStyle w:val="HideTWBExt"/>
          <w:color w:val="auto"/>
        </w:rPr>
        <w:t>&lt;/NumAm&gt;</w:t>
      </w:r>
    </w:p>
    <w:p w:rsidR="00365C9B" w:rsidRPr="00734CAA" w:rsidP="00365C9B" w14:paraId="645422B3" w14:textId="77777777">
      <w:pPr>
        <w:pStyle w:val="NormalBold"/>
        <w:rPr>
          <w:lang w:val="en-GB"/>
        </w:rPr>
      </w:pPr>
      <w:r w:rsidRPr="00734CAA">
        <w:rPr>
          <w:rStyle w:val="HideTWBExt"/>
          <w:b w:val="0"/>
          <w:color w:val="auto"/>
          <w:lang w:val="en-GB"/>
        </w:rPr>
        <w:t>&lt;RepeatBlock-By&gt;&lt;Members&gt;</w:t>
      </w:r>
      <w:r w:rsidRPr="00734CAA">
        <w:rPr>
          <w:lang w:val="en-GB"/>
        </w:rPr>
        <w:t>Fernando Navarrete Rojas, Isabel Benjumea Benjumea</w:t>
      </w:r>
      <w:r w:rsidRPr="00734CAA">
        <w:rPr>
          <w:rStyle w:val="HideTWBExt"/>
          <w:b w:val="0"/>
          <w:color w:val="auto"/>
          <w:lang w:val="en-GB"/>
        </w:rPr>
        <w:t>&lt;/Members&gt;</w:t>
      </w:r>
    </w:p>
    <w:p w:rsidR="00365C9B" w:rsidRPr="00B16DFD" w:rsidP="00365C9B" w14:paraId="0AC41B40" w14:textId="77777777">
      <w:pPr>
        <w:pStyle w:val="NormalBold"/>
      </w:pPr>
      <w:r w:rsidRPr="00B16DFD">
        <w:rPr>
          <w:rStyle w:val="HideTWBExt"/>
          <w:b w:val="0"/>
          <w:color w:val="auto"/>
        </w:rPr>
        <w:t>&lt;/RepeatBlock-By&gt;</w:t>
      </w:r>
    </w:p>
    <w:p w:rsidR="00365C9B" w:rsidRPr="00B16DFD" w:rsidP="00365C9B" w14:paraId="20562125"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23425971" w14:textId="77777777">
      <w:pPr>
        <w:pStyle w:val="NormalBold"/>
      </w:pPr>
      <w:r w:rsidRPr="00B16DFD">
        <w:rPr>
          <w:rStyle w:val="HideTWBExt"/>
          <w:color w:val="auto"/>
        </w:rPr>
        <w:t>&lt;Article&gt;</w:t>
      </w:r>
      <w:r w:rsidRPr="00B16DFD">
        <w:t>Betragtning 28</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C6104E"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36E0517" w14:textId="77777777"/>
        </w:tc>
      </w:tr>
      <w:tr w14:paraId="77D0BA70"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F6C6F15"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DEE3E16" w14:textId="77777777">
            <w:pPr>
              <w:pStyle w:val="AmColumnHeading"/>
            </w:pPr>
            <w:r w:rsidRPr="00B16DFD">
              <w:t>Ændringsforslag</w:t>
            </w:r>
          </w:p>
        </w:tc>
      </w:tr>
      <w:tr w14:paraId="5331F62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D8D62D6" w14:textId="7CBAD75A">
            <w:pPr>
              <w:pStyle w:val="Normal6a"/>
            </w:pPr>
            <w:r w:rsidRPr="00B16DFD">
              <w:rPr>
                <w:b/>
                <w:i/>
              </w:rPr>
              <w:t>(28)</w:t>
            </w:r>
            <w:r w:rsidRPr="00B16DFD">
              <w:tab/>
            </w:r>
            <w:r w:rsidRPr="00B16DFD">
              <w:rPr>
                <w:b/>
                <w:i/>
              </w:rPr>
              <w:t xml:space="preserve">Handelsdagens lukkepris er afgørende for aktiemarkederne, da den </w:t>
            </w:r>
            <w:r w:rsidRPr="00B16DFD">
              <w:rPr>
                <w:b/>
                <w:i/>
              </w:rPr>
              <w:t xml:space="preserve">giver en central referencepris, der typisk anvendes til værdiansættelse af fonde, ETF'er og benchmarks. I de fleste tilfælde udledes lukkeprisen af den lukkeauktion, der finder sted på den markedsplads, hvor værdipapirerne første gang blev optaget til handel ("den primære børs"). Andelen af aktievolumen, der handles ved lukkeauktionen, er steget </w:t>
            </w:r>
            <w:r w:rsidR="00734CAA">
              <w:rPr>
                <w:b/>
                <w:i/>
              </w:rPr>
              <w:t>markant</w:t>
            </w:r>
            <w:r w:rsidRPr="00B16DFD" w:rsidR="00734CAA">
              <w:rPr>
                <w:b/>
                <w:i/>
              </w:rPr>
              <w:t xml:space="preserve"> </w:t>
            </w:r>
            <w:r w:rsidRPr="00B16DFD">
              <w:rPr>
                <w:b/>
                <w:i/>
              </w:rPr>
              <w:t>over tid. Konkurrencen i lukkeauktionssegmentet er dog fortsat begrænset, idet de primære børslukkeauktioner stadig tegner sig for den største andel af handelen på lukkeauktionen. Denne situation giver desuden anledning til betænkeligheder med hensyn til modstandsdygtigheden, da hændelser, herunder afbrydelser, på de primære børser kan have en direkte indvirkning på markedsdeltagernes evne til at værdiansætte deres aktiver. For at fremme konkurrencen i lukkeprissegmentet og sikre, at markedsdeltagerne kan forlade sig på en lukkepris, der er et alternativ til lukkeauktionsprisen fra den primære børs, er det nødvendigt at kræve, at udbyderen af konsolideret løbende handelsinformation for aktier og ETF'er formidler en volumenvægtet lukkepris, der fremkommer på baggrund af alle lukkeauktioner, der drives af markedspladser, som er dataleverandører. ESMA bør udstede henstillinger med henblik på at præcisere den metode, som den konsoliderede løbende handelsinformation bør anvende til at fastsætte den volumenvægtede lukkepris.</w:t>
            </w:r>
          </w:p>
        </w:tc>
        <w:tc>
          <w:tcPr>
            <w:tcW w:w="4876" w:type="dxa"/>
            <w:tcBorders>
              <w:top w:val="nil"/>
              <w:left w:val="nil"/>
              <w:bottom w:val="nil"/>
              <w:right w:val="nil"/>
            </w:tcBorders>
            <w:hideMark/>
          </w:tcPr>
          <w:p w:rsidR="00365C9B" w:rsidRPr="00B16DFD" w:rsidP="00F61C80" w14:paraId="541560DE" w14:textId="77777777">
            <w:pPr>
              <w:pStyle w:val="Normal6a"/>
            </w:pPr>
            <w:r w:rsidRPr="00B16DFD">
              <w:rPr>
                <w:b/>
                <w:i/>
              </w:rPr>
              <w:t>udgår</w:t>
            </w:r>
          </w:p>
        </w:tc>
      </w:tr>
    </w:tbl>
    <w:p w:rsidR="00365C9B" w:rsidRPr="00B16DFD" w:rsidP="00365C9B" w14:paraId="3EBDC170"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10B2BC28" w14:textId="77777777">
      <w:r w:rsidRPr="00B16DFD">
        <w:rPr>
          <w:rStyle w:val="HideTWBExt"/>
          <w:color w:val="auto"/>
        </w:rPr>
        <w:t>&lt;/Amend&gt;</w:t>
      </w:r>
    </w:p>
    <w:p w:rsidR="00365C9B" w:rsidRPr="00B16DFD" w:rsidP="00365C9B" w14:paraId="7EFC22AB"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259</w:t>
      </w:r>
      <w:r w:rsidRPr="00B16DFD">
        <w:rPr>
          <w:rStyle w:val="HideTWBExt"/>
          <w:color w:val="auto"/>
        </w:rPr>
        <w:t>&lt;/NumAm&gt;</w:t>
      </w:r>
    </w:p>
    <w:p w:rsidR="00365C9B" w:rsidRPr="00734CAA" w:rsidP="00365C9B" w14:paraId="29CB02DE"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6C39C527" w14:textId="77777777">
      <w:pPr>
        <w:pStyle w:val="NormalBold"/>
      </w:pPr>
      <w:r w:rsidRPr="00B16DFD">
        <w:rPr>
          <w:rStyle w:val="HideTWBExt"/>
          <w:b w:val="0"/>
          <w:color w:val="auto"/>
        </w:rPr>
        <w:t>&lt;/RepeatBlock-By&gt;</w:t>
      </w:r>
    </w:p>
    <w:p w:rsidR="00365C9B" w:rsidRPr="00B16DFD" w:rsidP="00365C9B" w14:paraId="7F4D6672"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5760183A" w14:textId="77777777">
      <w:pPr>
        <w:pStyle w:val="NormalBold"/>
      </w:pPr>
      <w:r w:rsidRPr="00B16DFD">
        <w:rPr>
          <w:rStyle w:val="HideTWBExt"/>
          <w:color w:val="auto"/>
        </w:rPr>
        <w:t>&lt;Article&gt;</w:t>
      </w:r>
      <w:r w:rsidRPr="00B16DFD">
        <w:t>Betragtning 30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22A6C"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C8E49CE" w14:textId="77777777"/>
        </w:tc>
      </w:tr>
      <w:tr w14:paraId="38D213D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31228C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AB264CE" w14:textId="77777777">
            <w:pPr>
              <w:pStyle w:val="AmColumnHeading"/>
            </w:pPr>
            <w:r w:rsidRPr="00B16DFD">
              <w:t>Ændringsforslag</w:t>
            </w:r>
          </w:p>
        </w:tc>
      </w:tr>
      <w:tr w14:paraId="5763B685"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E510E1A" w14:textId="77777777">
            <w:pPr>
              <w:pStyle w:val="Normal6a"/>
            </w:pPr>
            <w:r w:rsidRPr="00B16DFD">
              <w:t>(30)</w:t>
            </w:r>
            <w:r w:rsidRPr="00B16DFD">
              <w:tab/>
              <w:t xml:space="preserve">I de organisatoriske krav i artikel 19, stk. 3, og artikel 47 i direktiv 2014/65/EU tages der ikke hensyn til, om en markedsoperatør eller et investeringsselskab, der driver en markedsplads, er en del af en koncern. Navnlig behandles en koncernintern ordning for ressource- eller funktionsfordeling mellem koncernenheder på samme måde som en outsourcingaftale indgået med enheder uden for koncernen. Med denne tilgang anerkendes fremkomsten af grænseoverskridende grupper af markedspladser ikke, og som følge heraf begrænses disse gruppers mulighed for at nyde godt af koncernsynergier og stordriftsfordele, hvilket skaber hindringer for den grænseoverskridende fordeling af ressourcer og funktioner inden for en koncern. Desuden indebærer allokering af ressourcer inden for en koncern, hvor alle enheder er underlagt de samme interne kontroller og procedurer, et lavere risikoniveau sammenlignet med outsourcing til eksterne parter. Med den nuværende tilgang skelnes der imidlertid ikke i tilstrækkelig grad mellem de risici, der er forbundet med koncernintern ressourceallokering og ekstern outsourcing. De organisatoriske krav til markedspladser bør derfor forenkles for markedspladser, der er en del af en koncern, og som har til hensigt at forlade sig på ressourcer eller udførelsen af en funktion fra en anden enhed, der er en del af samme koncern og er beliggende i Unionen. Sådanne koncernordninger bør ikke betragtes som outsourcing med henblik på forordning (EU) nr. 600/2014, forudsat at visse betingelser er opfyldt for at sikre et effektivt tilsyn. En markedsplads, der er afhængig af ressourcer fra eller udførelsen af en funktion af en anden enhed, der er en del af samme koncern, bør dog fortsat have det fulde ansvar for opfyldelsen af sine forpligtelser i henhold til forordning (EU) </w:t>
            </w:r>
            <w:r w:rsidRPr="00B16DFD">
              <w:t>nr. 600/2014. I betragtning af de øgede tilsynsmæssige risici bør en koncernintern ordning, der involverer en enhed, som er etableret uden for Unionen, stadig betragtes som outsourcing.</w:t>
            </w:r>
          </w:p>
        </w:tc>
        <w:tc>
          <w:tcPr>
            <w:tcW w:w="4876" w:type="dxa"/>
            <w:tcBorders>
              <w:top w:val="nil"/>
              <w:left w:val="nil"/>
              <w:bottom w:val="nil"/>
              <w:right w:val="nil"/>
            </w:tcBorders>
            <w:hideMark/>
          </w:tcPr>
          <w:p w:rsidR="00365C9B" w:rsidRPr="00B16DFD" w:rsidP="00F61C80" w14:paraId="3696EF36" w14:textId="77777777">
            <w:pPr>
              <w:pStyle w:val="Normal6a"/>
            </w:pPr>
            <w:r w:rsidRPr="00B16DFD">
              <w:t>(30)</w:t>
            </w:r>
            <w:r w:rsidRPr="00B16DFD">
              <w:tab/>
              <w:t>I de organisatoriske krav i artikel 19, stk. 3, og artikel 47 i direktiv 2014/65/EU tages der ikke hensyn til, om en markedsoperatør eller et investeringsselskab, der driver en markedsplads, er en del af en koncern. Navnlig behandles en koncernintern ordning for ressource- eller funktionsfordeling mellem koncernenheder på samme måde som en outsourcingaftale indgået med enheder uden for koncernen. Med denne tilgang anerkendes fremkomsten af grænseoverskridende grupper af markedspladser ikke, og som følge heraf begrænses disse gruppers mulighed for at nyde godt af koncernsynergier og stordriftsfordele, hvilket skaber hindringer for den grænseoverskridende fordeling af ressourcer og funktioner inden for en koncern. Desuden indebærer allokering af ressourcer inden for en koncern, hvor alle enheder er underlagt de samme interne kontroller og procedurer, et lavere risikoniveau sammenlignet med outsourcing til eksterne parter. Med den nuværende tilgang skelnes der imidlertid ikke i tilstrækkelig grad mellem de risici, der er forbundet med koncernintern ressourceallokering og ekstern outsourcing. De organisatoriske krav til markedspladser bør derfor forenkles for markedspladser, der er en del af en koncern, og som har til hensigt at forlade sig på ressourcer eller udførelsen af en funktion fra en anden enhed, der er en del af samme koncern og er beliggende i Unionen. Sådanne koncernordninger bør ikke betragtes som outsourcing med henblik på forordning (EU) nr. 600/2014, forudsat at visse betingelser er opfyldt for at sikre et effektivt tilsyn</w:t>
            </w:r>
            <w:r w:rsidRPr="00B16DFD">
              <w:rPr>
                <w:b/>
                <w:i/>
              </w:rPr>
              <w:t>, herunder en forpligtelse til at underrette den kompetente myndighed, efter at aftalen er indført</w:t>
            </w:r>
            <w:r w:rsidRPr="00B16DFD">
              <w:t xml:space="preserve">. En markedsplads, der er afhængig af ressourcer fra eller udførelsen af en funktion af en anden enhed, der er en del af </w:t>
            </w:r>
            <w:r w:rsidRPr="00B16DFD">
              <w:t>samme koncern, bør dog fortsat have det fulde ansvar for opfyldelsen af sine forpligtelser i henhold til forordning (EU) nr. 600/2014. I betragtning af de øgede tilsynsmæssige risici bør en koncernintern ordning, der involverer en enhed, som er etableret uden for Unionen, stadig betragtes som outsourcing.</w:t>
            </w:r>
          </w:p>
        </w:tc>
      </w:tr>
    </w:tbl>
    <w:p w:rsidR="00365C9B" w:rsidRPr="00734CAA" w:rsidP="00365C9B" w14:paraId="275DE63B"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8563E13" w14:textId="77777777">
      <w:pPr>
        <w:rPr>
          <w:lang w:val="en-GB"/>
        </w:rPr>
      </w:pPr>
      <w:r w:rsidRPr="00734CAA">
        <w:rPr>
          <w:rStyle w:val="HideTWBExt"/>
          <w:color w:val="auto"/>
          <w:lang w:val="en-GB"/>
        </w:rPr>
        <w:t>&lt;/Amend&gt;</w:t>
      </w:r>
    </w:p>
    <w:p w:rsidR="00365C9B" w:rsidRPr="00734CAA" w:rsidP="00365C9B" w14:paraId="35301453"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260</w:t>
      </w:r>
      <w:r w:rsidRPr="00734CAA">
        <w:rPr>
          <w:rStyle w:val="HideTWBExt"/>
          <w:color w:val="auto"/>
          <w:lang w:val="en-GB"/>
        </w:rPr>
        <w:t>&lt;/NumAm&gt;</w:t>
      </w:r>
    </w:p>
    <w:p w:rsidR="00365C9B" w:rsidRPr="00734CAA" w:rsidP="00365C9B" w14:paraId="108871AC" w14:textId="77777777">
      <w:pPr>
        <w:pStyle w:val="NormalBold"/>
        <w:rPr>
          <w:lang w:val="en-GB"/>
        </w:rPr>
      </w:pPr>
      <w:r w:rsidRPr="00734CAA">
        <w:rPr>
          <w:rStyle w:val="HideTWBExt"/>
          <w:b w:val="0"/>
          <w:color w:val="auto"/>
          <w:lang w:val="en-GB"/>
        </w:rPr>
        <w:t>&lt;RepeatBlock-By&gt;&lt;Members&gt;</w:t>
      </w:r>
      <w:r w:rsidRPr="00734CAA">
        <w:rPr>
          <w:lang w:val="en-GB"/>
        </w:rPr>
        <w:t>Marco Falcone</w:t>
      </w:r>
      <w:r w:rsidRPr="00734CAA">
        <w:rPr>
          <w:rStyle w:val="HideTWBExt"/>
          <w:b w:val="0"/>
          <w:color w:val="auto"/>
          <w:lang w:val="en-GB"/>
        </w:rPr>
        <w:t>&lt;/Members&gt;</w:t>
      </w:r>
    </w:p>
    <w:p w:rsidR="00365C9B" w:rsidRPr="00B16DFD" w:rsidP="00365C9B" w14:paraId="5D7D8BD4" w14:textId="77777777">
      <w:pPr>
        <w:pStyle w:val="NormalBold"/>
      </w:pPr>
      <w:r w:rsidRPr="00B16DFD">
        <w:rPr>
          <w:rStyle w:val="HideTWBExt"/>
          <w:b w:val="0"/>
          <w:color w:val="auto"/>
        </w:rPr>
        <w:t>&lt;/RepeatBlock-By&gt;</w:t>
      </w:r>
    </w:p>
    <w:p w:rsidR="00365C9B" w:rsidRPr="00B16DFD" w:rsidP="00365C9B" w14:paraId="346A34A2"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697204EA" w14:textId="77777777">
      <w:pPr>
        <w:pStyle w:val="NormalBold"/>
        <w:rPr>
          <w:lang w:val="en-GB"/>
        </w:rPr>
      </w:pPr>
      <w:r w:rsidRPr="00734CAA">
        <w:rPr>
          <w:rStyle w:val="HideTWBExt"/>
          <w:color w:val="auto"/>
          <w:lang w:val="en-GB"/>
        </w:rPr>
        <w:t>&lt;Article&gt;</w:t>
      </w:r>
      <w:r w:rsidRPr="00734CAA">
        <w:rPr>
          <w:lang w:val="en-GB"/>
        </w:rPr>
        <w:t>Betragtning 30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32686"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56336B95" w14:textId="77777777">
            <w:pPr>
              <w:rPr>
                <w:lang w:val="en-GB"/>
              </w:rPr>
            </w:pPr>
          </w:p>
        </w:tc>
      </w:tr>
      <w:tr w14:paraId="31DD1197"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CD98BAB"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0CFE04F" w14:textId="77777777">
            <w:pPr>
              <w:pStyle w:val="AmColumnHeading"/>
            </w:pPr>
            <w:r w:rsidRPr="00B16DFD">
              <w:t>Ændringsforslag</w:t>
            </w:r>
          </w:p>
        </w:tc>
      </w:tr>
      <w:tr w14:paraId="4C54C122"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8F88DFF" w14:textId="77777777">
            <w:pPr>
              <w:pStyle w:val="Normal6a"/>
            </w:pPr>
          </w:p>
        </w:tc>
        <w:tc>
          <w:tcPr>
            <w:tcW w:w="4876" w:type="dxa"/>
            <w:tcBorders>
              <w:top w:val="nil"/>
              <w:left w:val="nil"/>
              <w:bottom w:val="nil"/>
              <w:right w:val="nil"/>
            </w:tcBorders>
            <w:hideMark/>
          </w:tcPr>
          <w:p w:rsidR="00365C9B" w:rsidRPr="00B16DFD" w:rsidP="00F61C80" w14:paraId="426C35B2" w14:textId="77777777">
            <w:pPr>
              <w:pStyle w:val="Normal6a"/>
            </w:pPr>
            <w:r w:rsidRPr="00B16DFD">
              <w:rPr>
                <w:b/>
                <w:i/>
              </w:rPr>
              <w:t>(30a)</w:t>
            </w:r>
            <w:r w:rsidRPr="00B16DFD">
              <w:tab/>
            </w:r>
            <w:r w:rsidRPr="00B16DFD">
              <w:rPr>
                <w:b/>
                <w:i/>
              </w:rPr>
              <w:t>At engrosmarkederne for statsobligationer fungerer forsvarligt og velordnet, er tæt forbundet med de betingelser, hvorunder medlemsstaterne er i stand til at finansiere deres offentlige gæld, og har derfor direkte indflydelse på den finanspolitiske stilling i den medlemsstat, der udsteder disse værdipapirer. De nationale kompetente myndigheder er bedst i stand til at forstå de særlige forhold på deres nationale statsobligationsmarkeder, strukturen i deres primære forhandlernetværk og samspillet mellem gældsforvaltningstransaktioner og national finanspolitik. Da ansvaret for finanspolitikken og for forvaltningen af statsgæld i henhold til traktaterne fortsat henhører under medlemsstaternes kompetence og i overensstemmelse med nærhedsprincippet, bør tilsynet med operatører, der er aktive på engrosmarkederne for statsobligationer i en given medlemsstat, forblive forankret hos denne medlemsstats nationale kompetente myndighed.</w:t>
            </w:r>
          </w:p>
        </w:tc>
      </w:tr>
    </w:tbl>
    <w:p w:rsidR="00365C9B" w:rsidRPr="00734CAA" w:rsidP="00365C9B" w14:paraId="6A821C87"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C8D4575" w14:textId="77777777">
      <w:pPr>
        <w:pStyle w:val="AmJustTitle"/>
        <w:rPr>
          <w:lang w:val="en-GB"/>
        </w:rPr>
      </w:pPr>
      <w:r w:rsidRPr="00734CAA">
        <w:rPr>
          <w:rStyle w:val="HideTWBExt"/>
          <w:color w:val="auto"/>
          <w:lang w:val="en-GB"/>
        </w:rPr>
        <w:t>&lt;TitreJust&gt;</w:t>
      </w:r>
      <w:r w:rsidRPr="00734CAA">
        <w:rPr>
          <w:lang w:val="en-GB"/>
        </w:rPr>
        <w:t>Begrundelse</w:t>
      </w:r>
      <w:r w:rsidRPr="00734CAA">
        <w:rPr>
          <w:rStyle w:val="HideTWBExt"/>
          <w:color w:val="auto"/>
          <w:lang w:val="en-GB"/>
        </w:rPr>
        <w:t>&lt;/TitreJust&gt;</w:t>
      </w:r>
    </w:p>
    <w:p w:rsidR="00365C9B" w:rsidRPr="00734CAA" w:rsidP="00365C9B" w14:paraId="72AE47E2" w14:textId="77777777">
      <w:pPr>
        <w:pStyle w:val="AmJustText"/>
        <w:rPr>
          <w:lang w:val="en-GB"/>
        </w:rPr>
      </w:pPr>
      <w:r w:rsidRPr="00734CAA">
        <w:rPr>
          <w:lang w:val="en-GB"/>
        </w:rPr>
        <w:t>The amendment provides the rationale for keeping supervision of operators active in the wholesale government bond markets within the competence of national authorities. The reasoning rests on three elements: first, the direct link between the functioning of these markets and the fiscal position of the issuing Member State; second, the greater expertise of national authorities in understanding the specific features of their domestic markets, primary dealer networks, and the interaction between debt management and fiscal policy; and third, the principle of subsidiarity, reinforced by the fact that fiscal policy and sovereign debt management remain, under the Treaties, firmly within Member State competence.</w:t>
      </w:r>
    </w:p>
    <w:p w:rsidR="00365C9B" w:rsidRPr="00B16DFD" w:rsidP="00365C9B" w14:paraId="230893A7" w14:textId="77777777">
      <w:r w:rsidRPr="00B16DFD">
        <w:rPr>
          <w:rStyle w:val="HideTWBExt"/>
          <w:color w:val="auto"/>
        </w:rPr>
        <w:t>&lt;/Amend&gt;</w:t>
      </w:r>
    </w:p>
    <w:p w:rsidR="00365C9B" w:rsidRPr="00B16DFD" w:rsidP="00365C9B" w14:paraId="264A7A3E"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261</w:t>
      </w:r>
      <w:r w:rsidRPr="00B16DFD">
        <w:rPr>
          <w:rStyle w:val="HideTWBExt"/>
          <w:color w:val="auto"/>
        </w:rPr>
        <w:t>&lt;/NumAm&gt;</w:t>
      </w:r>
    </w:p>
    <w:p w:rsidR="00365C9B" w:rsidRPr="00734CAA" w:rsidP="00365C9B" w14:paraId="124071B8" w14:textId="77777777">
      <w:pPr>
        <w:pStyle w:val="NormalBold"/>
        <w:rPr>
          <w:lang w:val="it-IT"/>
        </w:rPr>
      </w:pPr>
      <w:r w:rsidRPr="00734CAA">
        <w:rPr>
          <w:rStyle w:val="HideTWBExt"/>
          <w:b w:val="0"/>
          <w:color w:val="auto"/>
          <w:lang w:val="it-IT"/>
        </w:rPr>
        <w:t>&lt;RepeatBlock-By&gt;&lt;Members&gt;</w:t>
      </w:r>
      <w:r w:rsidRPr="00734CAA">
        <w:rPr>
          <w:lang w:val="it-IT"/>
        </w:rPr>
        <w:t>Giovanni Crosetto, Francesco Ventola, Mariateresa Vivaldini, Marco Squarta, Denis Nesci</w:t>
      </w:r>
      <w:r w:rsidRPr="00734CAA">
        <w:rPr>
          <w:rStyle w:val="HideTWBExt"/>
          <w:b w:val="0"/>
          <w:color w:val="auto"/>
          <w:lang w:val="it-IT"/>
        </w:rPr>
        <w:t>&lt;/Members&gt;</w:t>
      </w:r>
    </w:p>
    <w:p w:rsidR="00365C9B" w:rsidRPr="00B16DFD" w:rsidP="00365C9B" w14:paraId="4D57677A" w14:textId="77777777">
      <w:pPr>
        <w:pStyle w:val="NormalBold"/>
      </w:pPr>
      <w:r w:rsidRPr="00B16DFD">
        <w:rPr>
          <w:rStyle w:val="HideTWBExt"/>
          <w:b w:val="0"/>
          <w:color w:val="auto"/>
        </w:rPr>
        <w:t>&lt;/RepeatBlock-By&gt;</w:t>
      </w:r>
    </w:p>
    <w:p w:rsidR="00365C9B" w:rsidRPr="00B16DFD" w:rsidP="00365C9B" w14:paraId="2D297FAC"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2C13C6D9" w14:textId="77777777">
      <w:pPr>
        <w:pStyle w:val="NormalBold"/>
        <w:rPr>
          <w:lang w:val="en-GB"/>
        </w:rPr>
      </w:pPr>
      <w:r w:rsidRPr="00734CAA">
        <w:rPr>
          <w:rStyle w:val="HideTWBExt"/>
          <w:color w:val="auto"/>
          <w:lang w:val="en-GB"/>
        </w:rPr>
        <w:t>&lt;Article&gt;</w:t>
      </w:r>
      <w:r w:rsidRPr="00734CAA">
        <w:rPr>
          <w:lang w:val="en-GB"/>
        </w:rPr>
        <w:t>Betragtning 30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67A0E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0DC032C0" w14:textId="77777777">
            <w:pPr>
              <w:rPr>
                <w:lang w:val="en-GB"/>
              </w:rPr>
            </w:pPr>
          </w:p>
        </w:tc>
      </w:tr>
      <w:tr w14:paraId="4F490572"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F949DC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374B4CE" w14:textId="77777777">
            <w:pPr>
              <w:pStyle w:val="AmColumnHeading"/>
            </w:pPr>
            <w:r w:rsidRPr="00B16DFD">
              <w:t>Ændringsforslag</w:t>
            </w:r>
          </w:p>
        </w:tc>
      </w:tr>
      <w:tr w14:paraId="412FD41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F62D29C" w14:textId="77777777">
            <w:pPr>
              <w:pStyle w:val="Normal6a"/>
            </w:pPr>
          </w:p>
        </w:tc>
        <w:tc>
          <w:tcPr>
            <w:tcW w:w="4876" w:type="dxa"/>
            <w:tcBorders>
              <w:top w:val="nil"/>
              <w:left w:val="nil"/>
              <w:bottom w:val="nil"/>
              <w:right w:val="nil"/>
            </w:tcBorders>
            <w:hideMark/>
          </w:tcPr>
          <w:p w:rsidR="00365C9B" w:rsidRPr="00B16DFD" w:rsidP="00F61C80" w14:paraId="4D368F9A" w14:textId="77777777">
            <w:pPr>
              <w:pStyle w:val="Normal6a"/>
            </w:pPr>
            <w:r w:rsidRPr="00B16DFD">
              <w:rPr>
                <w:b/>
                <w:i/>
              </w:rPr>
              <w:t>(30a)</w:t>
            </w:r>
            <w:r w:rsidRPr="00B16DFD">
              <w:tab/>
            </w:r>
            <w:r w:rsidRPr="00B16DFD">
              <w:rPr>
                <w:b/>
                <w:i/>
              </w:rPr>
              <w:t>Engrosmarkederne for statsobligationer spiller en vigtig rolle med hensyn til at støtte forvaltningen af den offentlige gæld. Gældsforvaltningskontorer i forskellige medlemsstater har udstedt nationale regler for primære forhandlere for at sikre, at primær- og sekundærmarkederne for statsobligationer fungerer godt. Denne forordning bør ikke berøre sådanne regler, stabiliteten på disse markeder eller gældsforvaltningskontorernes rolle på dette område. På grund af det strenge samspil mellem disse aspekter og reglerne for engrosmarkederne for statsobligationer kan medlemsstaterne kræve forudgående godkendelse fra de nationale myndigheder af eventuelle ændringer af reglerne på disse markeder.</w:t>
            </w:r>
          </w:p>
        </w:tc>
      </w:tr>
    </w:tbl>
    <w:p w:rsidR="00365C9B" w:rsidRPr="00734CAA" w:rsidP="00365C9B" w14:paraId="62E9868C"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3DB882B" w14:textId="77777777">
      <w:pPr>
        <w:rPr>
          <w:lang w:val="en-GB"/>
        </w:rPr>
      </w:pPr>
      <w:r w:rsidRPr="00734CAA">
        <w:rPr>
          <w:rStyle w:val="HideTWBExt"/>
          <w:color w:val="auto"/>
          <w:lang w:val="en-GB"/>
        </w:rPr>
        <w:t>&lt;/Amend&gt;</w:t>
      </w:r>
    </w:p>
    <w:p w:rsidR="00365C9B" w:rsidRPr="00734CAA" w:rsidP="00365C9B" w14:paraId="3FEF6F38"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262</w:t>
      </w:r>
      <w:r w:rsidRPr="00734CAA">
        <w:rPr>
          <w:rStyle w:val="HideTWBExt"/>
          <w:color w:val="auto"/>
          <w:lang w:val="en-GB"/>
        </w:rPr>
        <w:t>&lt;/NumAm&gt;</w:t>
      </w:r>
    </w:p>
    <w:p w:rsidR="00365C9B" w:rsidRPr="00734CAA" w:rsidP="00365C9B" w14:paraId="5F8A838B"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5FE56148" w14:textId="77777777">
      <w:pPr>
        <w:pStyle w:val="NormalBold"/>
      </w:pPr>
      <w:r w:rsidRPr="00B16DFD">
        <w:rPr>
          <w:rStyle w:val="HideTWBExt"/>
          <w:b w:val="0"/>
          <w:color w:val="auto"/>
        </w:rPr>
        <w:t>&lt;/RepeatBlock-By&gt;</w:t>
      </w:r>
    </w:p>
    <w:p w:rsidR="00365C9B" w:rsidRPr="00B16DFD" w:rsidP="00365C9B" w14:paraId="7DD1F5AC"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7ACAC49D" w14:textId="77777777">
      <w:pPr>
        <w:pStyle w:val="NormalBold"/>
      </w:pPr>
      <w:r w:rsidRPr="00B16DFD">
        <w:rPr>
          <w:rStyle w:val="HideTWBExt"/>
          <w:color w:val="auto"/>
        </w:rPr>
        <w:t>&lt;Article&gt;</w:t>
      </w:r>
      <w:r w:rsidRPr="00B16DFD">
        <w:t>Betragtning 32</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7105C"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FE5A210" w14:textId="77777777"/>
        </w:tc>
      </w:tr>
      <w:tr w14:paraId="57895AB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38B7D6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955B18E" w14:textId="77777777">
            <w:pPr>
              <w:pStyle w:val="AmColumnHeading"/>
            </w:pPr>
            <w:r w:rsidRPr="00B16DFD">
              <w:t>Ændringsforslag</w:t>
            </w:r>
          </w:p>
        </w:tc>
      </w:tr>
      <w:tr w14:paraId="26922667"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B6A1F48" w14:textId="77777777">
            <w:pPr>
              <w:pStyle w:val="Normal6a"/>
            </w:pPr>
            <w:r w:rsidRPr="00B16DFD">
              <w:t>(32)</w:t>
            </w:r>
            <w:r w:rsidRPr="00B16DFD">
              <w:tab/>
              <w:t xml:space="preserve">Direktiv 2014/65/EU kræver i øjeblikket, at hvert reguleret marked i Unionen er underlagt en individuel tilladelse. Det følger heraf, at markedsoperatører, der har til hensigt at drive regulerede markeder i forskellige medlemsstater, kun kan gøre dette ved for hvert enkelt reguleret marked, som de har til hensigt at drive, at ansøge om tilladelse fra den kompetente myndighed i hjemlandet, som også er ansvarlig for det løbende tilsyn med dette marked. Dette førte til en situation, hvor flere medlemsstater havde indført national lovgivning, hvori det som en betingelse for at opnå tilladelse til et reguleret marked blev krævet, at markedsoperatøren er en juridisk enhed, der er etableret i den medlemsstat, hvor et reguleret marked ansøger om tilladelse. Derfor kan koncerner, der driver regulerede markeder i flere medlemsstater, ikke strømline deres organisatoriske struktur og tilsynsforhold, da de er forpligtet til at opretholde flere tilsynsunderlagte enheder i forskellige medlemsstater. Dette øger omkostningerne og kompleksiteten ved at drive regulerede markeder på tværs af forskellige medlemsstater betydeligt. For at fjerne hindringer og reducere driftsomkostningerne for grænseoverskridende koncerner er det nødvendigt at fjerne medlemsstaternes mulighed for at kræve, at der oprettes en særskilt juridisk enhed på deres område som en betingelse for tilladelse til et reguleret marked. For yderligere at lette regulerede markeders grænseoverskridende drift indføres der desuden en ny ramme, der gør det muligt for juridiske personer, der ønsker at drive mere end én markedsplads i mere end én medlemsstat, </w:t>
            </w:r>
            <w:r w:rsidRPr="00B16DFD">
              <w:t>at gøre dette på grundlag af én enkelt tilladelse som paneuropæisk markedsoperatør ("PEMO"), der udstedes af ESMA. Denne nye ramme bør ikke erstatte den eksisterende tilladelses- og driftsordning for regulerede markeder. Den bør i stedet finde frivillig anvendelse på de enheder, der ønsker at operere under én enkelt tilladelse.</w:t>
            </w:r>
          </w:p>
        </w:tc>
        <w:tc>
          <w:tcPr>
            <w:tcW w:w="4876" w:type="dxa"/>
            <w:tcBorders>
              <w:top w:val="nil"/>
              <w:left w:val="nil"/>
              <w:bottom w:val="nil"/>
              <w:right w:val="nil"/>
            </w:tcBorders>
            <w:hideMark/>
          </w:tcPr>
          <w:p w:rsidR="00365C9B" w:rsidRPr="00B16DFD" w:rsidP="00F61C80" w14:paraId="413EF036" w14:textId="77777777">
            <w:pPr>
              <w:pStyle w:val="Normal6a"/>
            </w:pPr>
            <w:r w:rsidRPr="00B16DFD">
              <w:t>(32)</w:t>
            </w:r>
            <w:r w:rsidRPr="00B16DFD">
              <w:tab/>
              <w:t xml:space="preserve">Direktiv 2014/65/EU kræver i øjeblikket, at hvert reguleret marked i Unionen er underlagt en individuel tilladelse. Det følger heraf, at markedsoperatører, der har til hensigt at drive regulerede markeder i forskellige medlemsstater, kun kan gøre dette ved for hvert enkelt reguleret marked, som de har til hensigt at drive, at ansøge om tilladelse fra den kompetente myndighed i hjemlandet, som også er ansvarlig for det løbende tilsyn med dette marked. Dette førte til en situation, hvor flere medlemsstater havde indført national lovgivning, hvori det som en betingelse for at opnå tilladelse til et reguleret marked blev krævet, at markedsoperatøren er en juridisk enhed, der er etableret i den medlemsstat, hvor et reguleret marked ansøger om tilladelse. Derfor kan koncerner, der driver regulerede markeder i flere medlemsstater, ikke strømline deres organisatoriske struktur og tilsynsforhold, da de er forpligtet til at opretholde flere tilsynsunderlagte enheder i forskellige medlemsstater. Dette øger omkostningerne og kompleksiteten ved at drive regulerede markeder på tværs af forskellige medlemsstater betydeligt. For at fjerne hindringer og reducere driftsomkostningerne for grænseoverskridende koncerner er det nødvendigt at fjerne medlemsstaternes mulighed for at kræve, at der oprettes en særskilt juridisk enhed på deres område som en betingelse for tilladelse til et reguleret marked. For yderligere at lette regulerede markeders grænseoverskridende drift indføres der desuden en ny ramme, der gør det muligt for juridiske personer, der ønsker at drive mere end én markedsplads i mere end én medlemsstat </w:t>
            </w:r>
            <w:r w:rsidRPr="00B16DFD">
              <w:rPr>
                <w:b/>
                <w:i/>
              </w:rPr>
              <w:t>eller en markedsplads i én medlemsstat og en anden reguleret markedsinfrastruktur i en anden medlemsstat</w:t>
            </w:r>
            <w:r w:rsidRPr="00B16DFD">
              <w:t>, at gøre dette på grundlag af én enkelt tilladelse som paneuropæisk markedsoperatør ("PEMO"), der udstedes af ESMA. Denne nye ramme bør ikke erstatte den eksisterende tilladelses- og driftsordning for regulerede markeder. Den bør i stedet finde frivillig anvendelse på de enheder, der ønsker at operere under én enkelt tilladelse.</w:t>
            </w:r>
          </w:p>
        </w:tc>
      </w:tr>
    </w:tbl>
    <w:p w:rsidR="00365C9B" w:rsidRPr="00734CAA" w:rsidP="00365C9B" w14:paraId="4FD80EA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EB67F86" w14:textId="77777777">
      <w:pPr>
        <w:rPr>
          <w:lang w:val="en-GB"/>
        </w:rPr>
      </w:pPr>
      <w:r w:rsidRPr="00734CAA">
        <w:rPr>
          <w:rStyle w:val="HideTWBExt"/>
          <w:color w:val="auto"/>
          <w:lang w:val="en-GB"/>
        </w:rPr>
        <w:t>&lt;/Amend&gt;</w:t>
      </w:r>
    </w:p>
    <w:p w:rsidR="00365C9B" w:rsidRPr="00734CAA" w:rsidP="00365C9B" w14:paraId="7AD27ADB"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263</w:t>
      </w:r>
      <w:r w:rsidRPr="00734CAA">
        <w:rPr>
          <w:rStyle w:val="HideTWBExt"/>
          <w:color w:val="auto"/>
          <w:lang w:val="en-GB"/>
        </w:rPr>
        <w:t>&lt;/NumAm&gt;</w:t>
      </w:r>
    </w:p>
    <w:p w:rsidR="00365C9B" w:rsidRPr="00734CAA" w:rsidP="00365C9B" w14:paraId="77C01E10"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204E4B6B" w14:textId="77777777">
      <w:pPr>
        <w:pStyle w:val="NormalBold"/>
      </w:pPr>
      <w:r w:rsidRPr="00B16DFD">
        <w:rPr>
          <w:rStyle w:val="HideTWBExt"/>
          <w:b w:val="0"/>
          <w:color w:val="auto"/>
        </w:rPr>
        <w:t>&lt;/RepeatBlock-By&gt;</w:t>
      </w:r>
    </w:p>
    <w:p w:rsidR="00365C9B" w:rsidRPr="00B16DFD" w:rsidP="00365C9B" w14:paraId="76B0083B"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5A38C0C2" w14:textId="77777777">
      <w:pPr>
        <w:pStyle w:val="NormalBold"/>
      </w:pPr>
      <w:r w:rsidRPr="00B16DFD">
        <w:rPr>
          <w:rStyle w:val="HideTWBExt"/>
          <w:color w:val="auto"/>
        </w:rPr>
        <w:t>&lt;Article&gt;</w:t>
      </w:r>
      <w:r w:rsidRPr="00B16DFD">
        <w:t>Betragtning 33</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A14EF5"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E47C019" w14:textId="77777777"/>
        </w:tc>
      </w:tr>
      <w:tr w14:paraId="7FAAAD3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45ED89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5A896B7" w14:textId="77777777">
            <w:pPr>
              <w:pStyle w:val="AmColumnHeading"/>
            </w:pPr>
            <w:r w:rsidRPr="00B16DFD">
              <w:t>Ændringsforslag</w:t>
            </w:r>
          </w:p>
        </w:tc>
      </w:tr>
      <w:tr w14:paraId="6DAE627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1C4F74B" w14:textId="77777777">
            <w:pPr>
              <w:pStyle w:val="Normal6a"/>
            </w:pPr>
            <w:r w:rsidRPr="00B16DFD">
              <w:t>(33)</w:t>
            </w:r>
            <w:r w:rsidRPr="00B16DFD">
              <w:tab/>
              <w:t xml:space="preserve">Tilladelsen til en PEMO bør indeholde en liste over alle de markedspladser, som PEMO'en er meddelt tilladelse til at drive. En PEMO, der har til hensigt at drive yderligere markedspladser, bør anmode om en udvidelse af sin oprindelige tilladelse. For at sikre, at tilsynsordningerne for en PEMO forenkles effektivt, bør PEMO'en ikke være forpligtet til at ansøge om individuel tilladelse for de markedspladser, som den driver i de medlemsstater, hvor disse markedspladser er beliggende eller drives. Når en PEMO bliver operatør af en eksisterende markedsplads, anses den tilladelse, der er givet til det pågældende regulerede marked eller, i tilfælde af MHF'er eller OHF'er, til markedsoperatøren eller investeringsselskabet med henblik på at drive den pågældende markedsplads, for at være tilbagekaldt, når tilladelsen til PEMO'en eller den udvidede tilladelse, der indeholder den ændrede liste over de markedspladser, som den pågældende </w:t>
            </w:r>
            <w:r w:rsidRPr="00B16DFD">
              <w:t>PEMO driver, træder i kraft.</w:t>
            </w:r>
          </w:p>
        </w:tc>
        <w:tc>
          <w:tcPr>
            <w:tcW w:w="4876" w:type="dxa"/>
            <w:tcBorders>
              <w:top w:val="nil"/>
              <w:left w:val="nil"/>
              <w:bottom w:val="nil"/>
              <w:right w:val="nil"/>
            </w:tcBorders>
            <w:hideMark/>
          </w:tcPr>
          <w:p w:rsidR="00365C9B" w:rsidRPr="00B16DFD" w:rsidP="00F61C80" w14:paraId="0C4FD516" w14:textId="77777777">
            <w:pPr>
              <w:pStyle w:val="Normal6a"/>
            </w:pPr>
            <w:r w:rsidRPr="00B16DFD">
              <w:t>(33)</w:t>
            </w:r>
            <w:r w:rsidRPr="00B16DFD">
              <w:tab/>
              <w:t xml:space="preserve">Tilladelsen til en PEMO bør indeholde en liste over alle de markedspladser </w:t>
            </w:r>
            <w:r w:rsidRPr="00B16DFD">
              <w:rPr>
                <w:b/>
                <w:i/>
              </w:rPr>
              <w:t>og anden markedsinfrastruktur</w:t>
            </w:r>
            <w:r w:rsidRPr="00B16DFD">
              <w:t xml:space="preserve">, som PEMO'en er meddelt tilladelse til at drive. En PEMO, der har til hensigt at drive yderligere markedspladser, bør anmode om en udvidelse af sin oprindelige tilladelse. For at sikre, at tilsynsordningerne for en PEMO forenkles effektivt, bør PEMO'en ikke være forpligtet til at ansøge om individuel tilladelse for de markedspladser, som den driver i de medlemsstater, hvor disse markedspladser er beliggende eller drives. Når en PEMO bliver operatør af en eksisterende markedsplads, anses den tilladelse, der er givet til det pågældende regulerede marked eller, i tilfælde af MHF'er eller OHF'er, til markedsoperatøren eller investeringsselskabet med henblik på at drive den pågældende markedsplads, for at være tilbagekaldt, når tilladelsen til PEMO'en eller den udvidede tilladelse, der indeholder den ændrede liste over de </w:t>
            </w:r>
            <w:r w:rsidRPr="00B16DFD">
              <w:t>markedspladser, som den pågældende PEMO driver, træder i kraft.</w:t>
            </w:r>
          </w:p>
        </w:tc>
      </w:tr>
    </w:tbl>
    <w:p w:rsidR="00365C9B" w:rsidRPr="00734CAA" w:rsidP="00365C9B" w14:paraId="560549C6"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3EC0E38" w14:textId="77777777">
      <w:pPr>
        <w:rPr>
          <w:lang w:val="en-GB"/>
        </w:rPr>
      </w:pPr>
      <w:r w:rsidRPr="00734CAA">
        <w:rPr>
          <w:rStyle w:val="HideTWBExt"/>
          <w:color w:val="auto"/>
          <w:lang w:val="en-GB"/>
        </w:rPr>
        <w:t>&lt;/Amend&gt;</w:t>
      </w:r>
    </w:p>
    <w:p w:rsidR="00365C9B" w:rsidRPr="00734CAA" w:rsidP="00365C9B" w14:paraId="1DD9BA51"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264</w:t>
      </w:r>
      <w:r w:rsidRPr="00734CAA">
        <w:rPr>
          <w:rStyle w:val="HideTWBExt"/>
          <w:color w:val="auto"/>
          <w:lang w:val="en-GB"/>
        </w:rPr>
        <w:t>&lt;/NumAm&gt;</w:t>
      </w:r>
    </w:p>
    <w:p w:rsidR="00365C9B" w:rsidRPr="00734CAA" w:rsidP="00365C9B" w14:paraId="44CD6ADA"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1788F43B" w14:textId="77777777">
      <w:pPr>
        <w:pStyle w:val="NormalBold"/>
      </w:pPr>
      <w:r w:rsidRPr="00B16DFD">
        <w:rPr>
          <w:rStyle w:val="HideTWBExt"/>
          <w:b w:val="0"/>
          <w:color w:val="auto"/>
        </w:rPr>
        <w:t>&lt;/RepeatBlock-By&gt;</w:t>
      </w:r>
    </w:p>
    <w:p w:rsidR="00365C9B" w:rsidRPr="00B16DFD" w:rsidP="00365C9B" w14:paraId="7C0E3666"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4849E562" w14:textId="77777777">
      <w:pPr>
        <w:pStyle w:val="NormalBold"/>
        <w:rPr>
          <w:lang w:val="en-GB"/>
        </w:rPr>
      </w:pPr>
      <w:r w:rsidRPr="00734CAA">
        <w:rPr>
          <w:rStyle w:val="HideTWBExt"/>
          <w:color w:val="auto"/>
          <w:lang w:val="en-GB"/>
        </w:rPr>
        <w:t>&lt;Article&gt;</w:t>
      </w:r>
      <w:r w:rsidRPr="00734CAA">
        <w:rPr>
          <w:lang w:val="en-GB"/>
        </w:rPr>
        <w:t>Betragtning 34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FA422B"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55F1C408" w14:textId="77777777">
            <w:pPr>
              <w:rPr>
                <w:lang w:val="en-GB"/>
              </w:rPr>
            </w:pPr>
          </w:p>
        </w:tc>
      </w:tr>
      <w:tr w14:paraId="7BBCAB2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9C94E9A"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AD941C2" w14:textId="77777777">
            <w:pPr>
              <w:pStyle w:val="AmColumnHeading"/>
            </w:pPr>
            <w:r w:rsidRPr="00B16DFD">
              <w:t>Ændringsforslag</w:t>
            </w:r>
          </w:p>
        </w:tc>
      </w:tr>
      <w:tr w14:paraId="46ED179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FFFFFB8" w14:textId="77777777">
            <w:pPr>
              <w:pStyle w:val="Normal6a"/>
            </w:pPr>
          </w:p>
        </w:tc>
        <w:tc>
          <w:tcPr>
            <w:tcW w:w="4876" w:type="dxa"/>
            <w:tcBorders>
              <w:top w:val="nil"/>
              <w:left w:val="nil"/>
              <w:bottom w:val="nil"/>
              <w:right w:val="nil"/>
            </w:tcBorders>
            <w:hideMark/>
          </w:tcPr>
          <w:p w:rsidR="00365C9B" w:rsidRPr="00B16DFD" w:rsidP="00F61C80" w14:paraId="6B0200FF" w14:textId="4062338D">
            <w:pPr>
              <w:pStyle w:val="Normal6a"/>
            </w:pPr>
            <w:r w:rsidRPr="00B16DFD">
              <w:rPr>
                <w:b/>
                <w:i/>
              </w:rPr>
              <w:t>(34a)</w:t>
            </w:r>
            <w:r w:rsidRPr="00B16DFD">
              <w:tab/>
            </w:r>
            <w:r w:rsidRPr="00B16DFD">
              <w:rPr>
                <w:b/>
                <w:i/>
              </w:rPr>
              <w:t xml:space="preserve">I betragtning af likviditetstilførslens betydning for </w:t>
            </w:r>
            <w:r w:rsidR="00242139">
              <w:rPr>
                <w:b/>
                <w:i/>
              </w:rPr>
              <w:t>finansmarkederne</w:t>
            </w:r>
            <w:r w:rsidRPr="00B16DFD">
              <w:rPr>
                <w:b/>
                <w:i/>
              </w:rPr>
              <w:t xml:space="preserve">s </w:t>
            </w:r>
            <w:r w:rsidR="00CB6039">
              <w:rPr>
                <w:b/>
                <w:i/>
              </w:rPr>
              <w:t>vel</w:t>
            </w:r>
            <w:r w:rsidRPr="00B16DFD">
              <w:rPr>
                <w:b/>
                <w:i/>
              </w:rPr>
              <w:t>ordnede og effektive funktion bør multilaterale systemer, der drives som regulerede markeder, MHF'er eller OHF'er, gøre det lettere for en mangfoldighed af likviditetsudbydere at deltage. En mangfoldighed af likviditetsudbydere og prisstillere bidrager til effektiv prissætning, markedets modstandsdygtighed og tilgængeligheden af likviditet under forskellige markedsforhold. Markedspladser bør ikke indføre eller opretholde ordninger, der giver en enkelt likviditetsudbyder eller prisstiller enerettigheder, eller som giver præferencebehandling, der ikke er objektivt begrundet og forholdsmæssig, hvis sådanne ordninger har til formål eller til følge at begrænse effektiv konkurrence eller deltagelse i likviditetstilførsel.</w:t>
            </w:r>
          </w:p>
        </w:tc>
      </w:tr>
    </w:tbl>
    <w:p w:rsidR="00365C9B" w:rsidRPr="00734CAA" w:rsidP="00365C9B" w14:paraId="10AEFDDC"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44D9A05" w14:textId="77777777">
      <w:pPr>
        <w:rPr>
          <w:lang w:val="en-GB"/>
        </w:rPr>
      </w:pPr>
      <w:r w:rsidRPr="00734CAA">
        <w:rPr>
          <w:rStyle w:val="HideTWBExt"/>
          <w:color w:val="auto"/>
          <w:lang w:val="en-GB"/>
        </w:rPr>
        <w:t>&lt;/Amend&gt;</w:t>
      </w:r>
    </w:p>
    <w:p w:rsidR="00365C9B" w:rsidRPr="00734CAA" w:rsidP="00365C9B" w14:paraId="61BE9FAC"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265</w:t>
      </w:r>
      <w:r w:rsidRPr="00734CAA">
        <w:rPr>
          <w:rStyle w:val="HideTWBExt"/>
          <w:color w:val="auto"/>
          <w:lang w:val="en-GB"/>
        </w:rPr>
        <w:t>&lt;/NumAm&gt;</w:t>
      </w:r>
    </w:p>
    <w:p w:rsidR="00365C9B" w:rsidRPr="00734CAA" w:rsidP="00365C9B" w14:paraId="690069C4"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4FE66DB4"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560B62A3" w14:textId="77777777">
      <w:pPr>
        <w:pStyle w:val="NormalBold"/>
        <w:rPr>
          <w:lang w:val="en-GB"/>
        </w:rPr>
      </w:pPr>
      <w:r w:rsidRPr="00734CAA">
        <w:rPr>
          <w:rStyle w:val="HideTWBExt"/>
          <w:b w:val="0"/>
          <w:color w:val="auto"/>
          <w:lang w:val="en-GB"/>
        </w:rPr>
        <w:t>&lt;/RepeatBlock-By&gt;</w:t>
      </w:r>
    </w:p>
    <w:p w:rsidR="00365C9B" w:rsidRPr="00734CAA" w:rsidP="00365C9B" w14:paraId="0DD3F5AA"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734CAA" w:rsidP="00365C9B" w14:paraId="17842432" w14:textId="77777777">
      <w:pPr>
        <w:pStyle w:val="NormalBold"/>
        <w:rPr>
          <w:lang w:val="en-GB"/>
        </w:rPr>
      </w:pPr>
      <w:r w:rsidRPr="00734CAA">
        <w:rPr>
          <w:rStyle w:val="HideTWBExt"/>
          <w:color w:val="auto"/>
          <w:lang w:val="en-GB"/>
        </w:rPr>
        <w:t>&lt;Article&gt;</w:t>
      </w:r>
      <w:r w:rsidRPr="00734CAA">
        <w:rPr>
          <w:lang w:val="en-GB"/>
        </w:rPr>
        <w:t>Betragtning 35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A7B8A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436D56CC" w14:textId="77777777">
            <w:pPr>
              <w:rPr>
                <w:lang w:val="en-GB"/>
              </w:rPr>
            </w:pPr>
          </w:p>
        </w:tc>
      </w:tr>
      <w:tr w14:paraId="77EFCD16"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163079A"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F27763D" w14:textId="77777777">
            <w:pPr>
              <w:pStyle w:val="AmColumnHeading"/>
            </w:pPr>
            <w:r w:rsidRPr="00B16DFD">
              <w:t>Ændringsforslag</w:t>
            </w:r>
          </w:p>
        </w:tc>
      </w:tr>
      <w:tr w14:paraId="556D0F1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59BB768" w14:textId="77777777">
            <w:pPr>
              <w:pStyle w:val="Normal6a"/>
            </w:pPr>
          </w:p>
        </w:tc>
        <w:tc>
          <w:tcPr>
            <w:tcW w:w="4876" w:type="dxa"/>
            <w:tcBorders>
              <w:top w:val="nil"/>
              <w:left w:val="nil"/>
              <w:bottom w:val="nil"/>
              <w:right w:val="nil"/>
            </w:tcBorders>
            <w:hideMark/>
          </w:tcPr>
          <w:p w:rsidR="00365C9B" w:rsidRPr="00B16DFD" w:rsidP="00F61C80" w14:paraId="01D7F8B6" w14:textId="77777777">
            <w:pPr>
              <w:pStyle w:val="Normal6a"/>
            </w:pPr>
            <w:r w:rsidRPr="00B16DFD">
              <w:rPr>
                <w:b/>
                <w:i/>
              </w:rPr>
              <w:t>(35a)</w:t>
            </w:r>
            <w:r w:rsidRPr="00B16DFD">
              <w:tab/>
            </w:r>
            <w:r w:rsidRPr="00B16DFD">
              <w:rPr>
                <w:b/>
                <w:i/>
              </w:rPr>
              <w:t>For at sikre et smidigt prisdannelsessystem og markedets modstandsdygtighed er det afgørende at anvende kravene om førhandelsgennemsigtighed konsekvent, uanset handelssystemet. Navnlig bør gennemsigtighedsordningen for andre instrumenter end aktieinstrumenter ikke begrænses til visse handelssystemer såsom centrale limitordrebøger og periodiske auktionssystemer. Det er derfor nødvendigt at anvende krav om førhandelsgennemsigtighed på børshandlede derivaters blokhandelssystem.</w:t>
            </w:r>
          </w:p>
        </w:tc>
      </w:tr>
    </w:tbl>
    <w:p w:rsidR="00365C9B" w:rsidRPr="00734CAA" w:rsidP="00365C9B" w14:paraId="53E9EA29"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FC905D4" w14:textId="77777777">
      <w:pPr>
        <w:rPr>
          <w:lang w:val="en-GB"/>
        </w:rPr>
      </w:pPr>
      <w:r w:rsidRPr="00734CAA">
        <w:rPr>
          <w:rStyle w:val="HideTWBExt"/>
          <w:color w:val="auto"/>
          <w:lang w:val="en-GB"/>
        </w:rPr>
        <w:t>&lt;/Amend&gt;</w:t>
      </w:r>
    </w:p>
    <w:p w:rsidR="00365C9B" w:rsidRPr="00734CAA" w:rsidP="00365C9B" w14:paraId="63DF2A52"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266</w:t>
      </w:r>
      <w:r w:rsidRPr="00734CAA">
        <w:rPr>
          <w:rStyle w:val="HideTWBExt"/>
          <w:color w:val="auto"/>
          <w:lang w:val="en-GB"/>
        </w:rPr>
        <w:t>&lt;/NumAm&gt;</w:t>
      </w:r>
    </w:p>
    <w:p w:rsidR="00365C9B" w:rsidRPr="00734CAA" w:rsidP="00365C9B" w14:paraId="03677FDB" w14:textId="77777777">
      <w:pPr>
        <w:pStyle w:val="NormalBold"/>
        <w:rPr>
          <w:lang w:val="en-GB"/>
        </w:rPr>
      </w:pPr>
      <w:r w:rsidRPr="00734CAA">
        <w:rPr>
          <w:rStyle w:val="HideTWBExt"/>
          <w:b w:val="0"/>
          <w:color w:val="auto"/>
          <w:lang w:val="en-GB"/>
        </w:rPr>
        <w:t>&lt;RepeatBlock-By&gt;&lt;Members&gt;</w:t>
      </w:r>
      <w:r w:rsidRPr="00734CAA">
        <w:rPr>
          <w:lang w:val="en-GB"/>
        </w:rPr>
        <w:t>Fernando Navarrete Rojas, Isabel Benjumea Benjumea</w:t>
      </w:r>
      <w:r w:rsidRPr="00734CAA">
        <w:rPr>
          <w:rStyle w:val="HideTWBExt"/>
          <w:b w:val="0"/>
          <w:color w:val="auto"/>
          <w:lang w:val="en-GB"/>
        </w:rPr>
        <w:t>&lt;/Members&gt;</w:t>
      </w:r>
    </w:p>
    <w:p w:rsidR="00365C9B" w:rsidRPr="00734CAA" w:rsidP="00365C9B" w14:paraId="34A0B5E6" w14:textId="77777777">
      <w:pPr>
        <w:pStyle w:val="NormalBold"/>
        <w:rPr>
          <w:lang w:val="en-GB"/>
        </w:rPr>
      </w:pPr>
      <w:r w:rsidRPr="00734CAA">
        <w:rPr>
          <w:rStyle w:val="HideTWBExt"/>
          <w:b w:val="0"/>
          <w:color w:val="auto"/>
          <w:lang w:val="en-GB"/>
        </w:rPr>
        <w:t>&lt;/RepeatBlock-By&gt;</w:t>
      </w:r>
    </w:p>
    <w:p w:rsidR="00365C9B" w:rsidRPr="00B16DFD" w:rsidP="00365C9B" w14:paraId="146EFB05"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00A0A6B8" w14:textId="77777777">
      <w:pPr>
        <w:pStyle w:val="NormalBold"/>
      </w:pPr>
      <w:r w:rsidRPr="00B16DFD">
        <w:rPr>
          <w:rStyle w:val="HideTWBExt"/>
          <w:color w:val="auto"/>
        </w:rPr>
        <w:t>&lt;Article&gt;</w:t>
      </w:r>
      <w:r w:rsidRPr="00B16DFD">
        <w:t>Betragtning 36</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F4C04F"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E28814A" w14:textId="77777777"/>
        </w:tc>
      </w:tr>
      <w:tr w14:paraId="1206A21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2828687"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46FD9E3" w14:textId="77777777">
            <w:pPr>
              <w:pStyle w:val="AmColumnHeading"/>
            </w:pPr>
            <w:r w:rsidRPr="00B16DFD">
              <w:t>Ændringsforslag</w:t>
            </w:r>
          </w:p>
        </w:tc>
      </w:tr>
      <w:tr w14:paraId="671D9D7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38466C1" w14:textId="77777777">
            <w:pPr>
              <w:pStyle w:val="Normal6a"/>
            </w:pPr>
            <w:r w:rsidRPr="00B16DFD">
              <w:t>(36)</w:t>
            </w:r>
            <w:r w:rsidRPr="00B16DFD">
              <w:tab/>
              <w:t xml:space="preserve">I artikel 14 i forordning (EU) nr. 600/2014 pålægges systematiske internalisatorer, der handler i størrelser på op til og inklusive to gange den normale markedsstørrelse, at offentliggøre bindende prisstillelser regelmæssigt og løbende i normal handelstid for de aktier, depotbeviser, ETF'er, certifikater og andre lignende finansielle instrumenter, der handles på en markedsplads, for hvilke de er systematiske internalisatorer, og for hvilke der findes et likvidt marked. I artikel 15 i forordning (EU) nr. 600/2014 pålægges systematiske internalisatorer at udføre ordrer, som de modtager fra deres kunder vedrørende disse instrumenter, til de priser, der stilles på det tidspunkt, ordren modtages. Nævnte artikel giver </w:t>
            </w:r>
            <w:r w:rsidRPr="00B16DFD">
              <w:t xml:space="preserve">også systematiske internalisatorer mulighed for at udføre kunders ordrer til en bedre pris, forudsat at prisen ligger inden for et offentligt interval, som ligger tæt på markedsvilkårene. </w:t>
            </w:r>
            <w:r w:rsidRPr="00B16DFD">
              <w:rPr>
                <w:b/>
                <w:i/>
              </w:rPr>
              <w:t>For at styrke prisdannelsen for detailordrer er det nødvendigt at sikre, at når en systematisk internalisator udfører en detailkundes ordre, der specifikt er markeret som sådan, til en pris, der er bedre end den stillede pris, skal den systematiske internalisator straks og under alle omstændigheder inden udførelsen ajourføre den stillede pris for at afspejle denne prisforbedring. Systematiske internalisatorer bør desuden være forpligtet til at indberette de data, som de offentliggør i henhold til artikel 14 i forordning (EU) nr. 600/2014, til den konsoliderede løbende handelsinformation for aktier og ETF'er, for at gøre det muligt for den konsoliderede løbende handelsinformation for en given aktie eller ETF, ud over de bedste købs- og salgspriser på løbende ordrebøger, særskilt at formidle de fem bedste købs- og salgspriser i hele Unionen, offentliggjort af systematiske internalisatorer med angivelse af den enkelte systematiske internalisator, hvor disse tilbydes. Disse fem bedste købs- og salgspriser bør svare til de fem bedste købs- og salgspriser på tværs af alle prisstillelser for en given aktie eller ETF, der offentliggøres i Unionen af forskellige systematiske internalisatorer.</w:t>
            </w:r>
          </w:p>
        </w:tc>
        <w:tc>
          <w:tcPr>
            <w:tcW w:w="4876" w:type="dxa"/>
            <w:tcBorders>
              <w:top w:val="nil"/>
              <w:left w:val="nil"/>
              <w:bottom w:val="nil"/>
              <w:right w:val="nil"/>
            </w:tcBorders>
            <w:hideMark/>
          </w:tcPr>
          <w:p w:rsidR="00365C9B" w:rsidRPr="00B16DFD" w:rsidP="00F61C80" w14:paraId="2966C844" w14:textId="77777777">
            <w:pPr>
              <w:pStyle w:val="Normal6a"/>
            </w:pPr>
            <w:r w:rsidRPr="00B16DFD">
              <w:t>(36)</w:t>
            </w:r>
            <w:r w:rsidRPr="00B16DFD">
              <w:tab/>
              <w:t xml:space="preserve">I artikel 14 i forordning (EU) nr. 600/2014 pålægges systematiske internalisatorer, der handler i størrelser på op til og inklusive to gange den normale markedsstørrelse, at offentliggøre bindende prisstillelser regelmæssigt og løbende i normal handelstid for de aktier, depotbeviser, ETF'er, certifikater og andre lignende finansielle instrumenter, der handles på en markedsplads, for hvilke de er systematiske internalisatorer, og for hvilke der findes et likvidt marked. I artikel 15 i forordning (EU) nr. 600/2014 pålægges systematiske internalisatorer at udføre ordrer, som de modtager fra deres kunder vedrørende disse instrumenter, til de priser, der stilles på det tidspunkt, ordren modtages. Nævnte artikel giver </w:t>
            </w:r>
            <w:r w:rsidRPr="00B16DFD">
              <w:t>også systematiske internalisatorer mulighed for at udføre kunders ordrer til en bedre pris, forudsat at prisen ligger inden for et offentligt interval, som ligger tæt på markedsvilkårene.</w:t>
            </w:r>
          </w:p>
        </w:tc>
      </w:tr>
    </w:tbl>
    <w:p w:rsidR="00365C9B" w:rsidRPr="00734CAA" w:rsidP="00365C9B" w14:paraId="762F9481"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A611FBD" w14:textId="77777777">
      <w:pPr>
        <w:rPr>
          <w:lang w:val="en-GB"/>
        </w:rPr>
      </w:pPr>
      <w:r w:rsidRPr="00734CAA">
        <w:rPr>
          <w:rStyle w:val="HideTWBExt"/>
          <w:color w:val="auto"/>
          <w:lang w:val="en-GB"/>
        </w:rPr>
        <w:t>&lt;/Amend&gt;</w:t>
      </w:r>
    </w:p>
    <w:p w:rsidR="00365C9B" w:rsidRPr="00734CAA" w:rsidP="00365C9B" w14:paraId="78EB7321"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267</w:t>
      </w:r>
      <w:r w:rsidRPr="00734CAA">
        <w:rPr>
          <w:rStyle w:val="HideTWBExt"/>
          <w:color w:val="auto"/>
          <w:lang w:val="en-GB"/>
        </w:rPr>
        <w:t>&lt;/NumAm&gt;</w:t>
      </w:r>
    </w:p>
    <w:p w:rsidR="00365C9B" w:rsidRPr="00734CAA" w:rsidP="00365C9B" w14:paraId="7BACB571"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2BB9A504" w14:textId="77777777">
      <w:pPr>
        <w:pStyle w:val="NormalBold"/>
      </w:pPr>
      <w:r w:rsidRPr="00B16DFD">
        <w:rPr>
          <w:rStyle w:val="HideTWBExt"/>
          <w:b w:val="0"/>
          <w:color w:val="auto"/>
        </w:rPr>
        <w:t>&lt;/RepeatBlock-By&gt;</w:t>
      </w:r>
    </w:p>
    <w:p w:rsidR="00365C9B" w:rsidRPr="00B16DFD" w:rsidP="00365C9B" w14:paraId="0BFC52C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69FFC12E" w14:textId="77777777">
      <w:pPr>
        <w:pStyle w:val="NormalBold"/>
      </w:pPr>
      <w:r w:rsidRPr="00B16DFD">
        <w:rPr>
          <w:rStyle w:val="HideTWBExt"/>
          <w:color w:val="auto"/>
        </w:rPr>
        <w:t>&lt;Article&gt;</w:t>
      </w:r>
      <w:r w:rsidRPr="00B16DFD">
        <w:t>Betragtning 36</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85799E"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3A2E059" w14:textId="77777777"/>
        </w:tc>
      </w:tr>
      <w:tr w14:paraId="46F51F6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D97809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82CBA54" w14:textId="77777777">
            <w:pPr>
              <w:pStyle w:val="AmColumnHeading"/>
            </w:pPr>
            <w:r w:rsidRPr="00B16DFD">
              <w:t>Ændringsforslag</w:t>
            </w:r>
          </w:p>
        </w:tc>
      </w:tr>
      <w:tr w14:paraId="5777EE0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4C37C8D" w14:textId="77777777">
            <w:pPr>
              <w:pStyle w:val="Normal6a"/>
            </w:pPr>
            <w:r w:rsidRPr="00B16DFD">
              <w:t>(36)</w:t>
            </w:r>
            <w:r w:rsidRPr="00B16DFD">
              <w:tab/>
              <w:t xml:space="preserve">I artikel 14 i forordning (EU) nr. 600/2014 pålægges systematiske internalisatorer, der handler i størrelser på op til og inklusive to gange den normale markedsstørrelse, at offentliggøre bindende prisstillelser regelmæssigt og løbende i normal handelstid for de aktier, depotbeviser, ETF'er, certifikater og andre lignende finansielle instrumenter, der handles på en markedsplads, for hvilke de er systematiske internalisatorer, og for hvilke der findes et likvidt marked. I artikel 15 i forordning (EU) nr. 600/2014 pålægges systematiske internalisatorer at udføre ordrer, som de modtager fra deres kunder vedrørende disse instrumenter, til de priser, der stilles på det tidspunkt, ordren modtages. Nævnte artikel giver også systematiske internalisatorer mulighed for at udføre kunders ordrer til en bedre pris, forudsat at prisen ligger inden for et offentligt interval, som ligger tæt på markedsvilkårene. For at styrke prisdannelsen for detailordrer er det nødvendigt at sikre, at når en systematisk internalisator udfører en detailkundes ordre, der specifikt er markeret som sådan, til en pris, der er bedre end den stillede pris, skal den systematiske internalisator straks og under alle omstændigheder inden udførelsen ajourføre den stillede pris for at afspejle denne prisforbedring. Systematiske internalisatorer bør desuden være forpligtet til at indberette de data, som de offentliggør i henhold til artikel 14 i forordning (EU) nr. 600/2014, til den konsoliderede løbende handelsinformation for aktier og ETF'er, for at gøre det muligt for den konsoliderede løbende handelsinformation for en given aktie eller ETF, ud over de bedste købs- og salgspriser på løbende ordrebøger, særskilt at formidle de </w:t>
            </w:r>
            <w:r w:rsidRPr="00B16DFD">
              <w:rPr>
                <w:b/>
                <w:i/>
              </w:rPr>
              <w:t>fem bedste</w:t>
            </w:r>
            <w:r w:rsidRPr="00B16DFD">
              <w:t xml:space="preserve"> købs- og salgspriser i hele Unionen, offentliggjort af systematiske internalisatorer med angivelse af den enkelte systematiske internalisator, hvor disse tilbydes. Disse</w:t>
            </w:r>
            <w:r w:rsidRPr="00B16DFD">
              <w:rPr>
                <w:b/>
                <w:i/>
              </w:rPr>
              <w:t xml:space="preserve"> fem bedste</w:t>
            </w:r>
            <w:r w:rsidRPr="00B16DFD">
              <w:t xml:space="preserve"> købs- </w:t>
            </w:r>
            <w:r w:rsidRPr="00B16DFD">
              <w:t xml:space="preserve">og salgspriser bør svare til </w:t>
            </w:r>
            <w:r w:rsidRPr="00B16DFD">
              <w:rPr>
                <w:b/>
                <w:i/>
              </w:rPr>
              <w:t>de fem bedste</w:t>
            </w:r>
            <w:r w:rsidRPr="00B16DFD">
              <w:t xml:space="preserve"> købs- og salgspriser på tværs af alle prisstillelser for en given aktie eller ETF, der offentliggøres i Unionen af forskellige systematiske internalisatorer.</w:t>
            </w:r>
          </w:p>
        </w:tc>
        <w:tc>
          <w:tcPr>
            <w:tcW w:w="4876" w:type="dxa"/>
            <w:tcBorders>
              <w:top w:val="nil"/>
              <w:left w:val="nil"/>
              <w:bottom w:val="nil"/>
              <w:right w:val="nil"/>
            </w:tcBorders>
            <w:hideMark/>
          </w:tcPr>
          <w:p w:rsidR="00365C9B" w:rsidRPr="00B16DFD" w:rsidP="00F61C80" w14:paraId="1A8E12E7" w14:textId="77777777">
            <w:pPr>
              <w:pStyle w:val="Normal6a"/>
            </w:pPr>
            <w:r w:rsidRPr="00B16DFD">
              <w:t>(36)</w:t>
            </w:r>
            <w:r w:rsidRPr="00B16DFD">
              <w:tab/>
              <w:t xml:space="preserve">I artikel 14 i forordning (EU) nr. 600/2014 pålægges systematiske internalisatorer, der handler i størrelser på op til og inklusive to gange den normale markedsstørrelse, at offentliggøre bindende prisstillelser regelmæssigt og løbende i normal handelstid for de aktier, depotbeviser, ETF'er, certifikater og andre lignende finansielle instrumenter, der handles på en markedsplads, for hvilke de er systematiske internalisatorer, og for hvilke der findes et likvidt marked. I artikel 15 i forordning (EU) nr. 600/2014 pålægges systematiske internalisatorer at udføre ordrer, som de modtager fra deres kunder vedrørende disse instrumenter, til de priser, der stilles på det tidspunkt, ordren modtages. Nævnte artikel giver også systematiske internalisatorer mulighed for at udføre kunders ordrer til en bedre pris, forudsat at prisen ligger inden for et offentligt interval, som ligger tæt på markedsvilkårene. For at styrke prisdannelsen for detailordrer er det nødvendigt at sikre, at når en systematisk internalisator udfører en detailkundes ordre, der specifikt er markeret som sådan, til en pris, der er bedre end den stillede pris, skal den systematiske internalisator straks og under alle omstændigheder inden udførelsen ajourføre den stillede pris for at afspejle denne prisforbedring. Systematiske internalisatorer bør desuden være forpligtet til at indberette de data, som de offentliggør i henhold til artikel 14 i forordning (EU) nr. 600/2014, til den konsoliderede løbende handelsinformation for aktier og ETF'er, for at gøre det muligt for den konsoliderede løbende handelsinformation for en given aktie eller ETF, ud over de bedste købs- og salgspriser på løbende ordrebøger, særskilt at formidle </w:t>
            </w:r>
            <w:r w:rsidRPr="00B16DFD">
              <w:rPr>
                <w:b/>
                <w:i/>
              </w:rPr>
              <w:t>den fulde dybde af</w:t>
            </w:r>
            <w:r w:rsidRPr="00B16DFD">
              <w:t xml:space="preserve"> købs- og salgspriser i hele Unionen, offentliggjort af systematiske internalisatorer med angivelse af den enkelte systematiske internalisator, hvor disse tilbydes. Disse købs- og </w:t>
            </w:r>
            <w:r w:rsidRPr="00B16DFD">
              <w:t xml:space="preserve">salgspriser bør svare til </w:t>
            </w:r>
            <w:r w:rsidRPr="00B16DFD">
              <w:rPr>
                <w:b/>
                <w:i/>
              </w:rPr>
              <w:t>den fulde dybde af</w:t>
            </w:r>
            <w:r w:rsidRPr="00B16DFD">
              <w:t xml:space="preserve"> købs- og salgspriser på tværs af alle prisstillelser for en given aktie eller ETF, der offentliggøres i Unionen af forskellige systematiske internalisatorer.</w:t>
            </w:r>
          </w:p>
        </w:tc>
      </w:tr>
    </w:tbl>
    <w:p w:rsidR="00365C9B" w:rsidRPr="00734CAA" w:rsidP="00365C9B" w14:paraId="2EF4432A"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BC15EF3" w14:textId="77777777">
      <w:pPr>
        <w:rPr>
          <w:lang w:val="en-GB"/>
        </w:rPr>
      </w:pPr>
      <w:r w:rsidRPr="00734CAA">
        <w:rPr>
          <w:rStyle w:val="HideTWBExt"/>
          <w:color w:val="auto"/>
          <w:lang w:val="en-GB"/>
        </w:rPr>
        <w:t>&lt;/Amend&gt;</w:t>
      </w:r>
    </w:p>
    <w:p w:rsidR="00365C9B" w:rsidRPr="00734CAA" w:rsidP="00365C9B" w14:paraId="05CC51CB"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268</w:t>
      </w:r>
      <w:r w:rsidRPr="00734CAA">
        <w:rPr>
          <w:rStyle w:val="HideTWBExt"/>
          <w:color w:val="auto"/>
          <w:lang w:val="en-GB"/>
        </w:rPr>
        <w:t>&lt;/NumAm&gt;</w:t>
      </w:r>
    </w:p>
    <w:p w:rsidR="00365C9B" w:rsidRPr="00734CAA" w:rsidP="00365C9B" w14:paraId="0A6A7DC4" w14:textId="77777777">
      <w:pPr>
        <w:pStyle w:val="NormalBold"/>
        <w:rPr>
          <w:lang w:val="en-GB"/>
        </w:rPr>
      </w:pPr>
      <w:r w:rsidRPr="00734CAA">
        <w:rPr>
          <w:rStyle w:val="HideTWBExt"/>
          <w:b w:val="0"/>
          <w:color w:val="auto"/>
          <w:lang w:val="en-GB"/>
        </w:rPr>
        <w:t>&lt;RepeatBlock-By&gt;&lt;Members&gt;</w:t>
      </w:r>
      <w:r w:rsidRPr="00734CAA">
        <w:rPr>
          <w:lang w:val="en-GB"/>
        </w:rPr>
        <w:t>Christophe Gomart</w:t>
      </w:r>
      <w:r w:rsidRPr="00734CAA">
        <w:rPr>
          <w:rStyle w:val="HideTWBExt"/>
          <w:b w:val="0"/>
          <w:color w:val="auto"/>
          <w:lang w:val="en-GB"/>
        </w:rPr>
        <w:t>&lt;/Members&gt;</w:t>
      </w:r>
    </w:p>
    <w:p w:rsidR="00365C9B" w:rsidRPr="00B16DFD" w:rsidP="00365C9B" w14:paraId="32677157" w14:textId="77777777">
      <w:pPr>
        <w:pStyle w:val="NormalBold"/>
      </w:pPr>
      <w:r w:rsidRPr="00B16DFD">
        <w:rPr>
          <w:rStyle w:val="HideTWBExt"/>
          <w:b w:val="0"/>
          <w:color w:val="auto"/>
        </w:rPr>
        <w:t>&lt;/RepeatBlock-By&gt;</w:t>
      </w:r>
    </w:p>
    <w:p w:rsidR="00365C9B" w:rsidRPr="00B16DFD" w:rsidP="00365C9B" w14:paraId="4573E5BB"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0A410995" w14:textId="77777777">
      <w:pPr>
        <w:pStyle w:val="NormalBold"/>
      </w:pPr>
      <w:r w:rsidRPr="00B16DFD">
        <w:rPr>
          <w:rStyle w:val="HideTWBExt"/>
          <w:color w:val="auto"/>
        </w:rPr>
        <w:t>&lt;Article&gt;</w:t>
      </w:r>
      <w:r w:rsidRPr="00B16DFD">
        <w:t>Betragtning 36</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9F30D4"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C195A03" w14:textId="77777777"/>
        </w:tc>
      </w:tr>
      <w:tr w14:paraId="186E170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D212C14"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CA4C6DE" w14:textId="77777777">
            <w:pPr>
              <w:pStyle w:val="AmColumnHeading"/>
            </w:pPr>
            <w:r w:rsidRPr="00B16DFD">
              <w:t>Ændringsforslag</w:t>
            </w:r>
          </w:p>
        </w:tc>
      </w:tr>
      <w:tr w14:paraId="42244EA2"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27736D9" w14:textId="77777777">
            <w:pPr>
              <w:pStyle w:val="Normal6a"/>
            </w:pPr>
            <w:r w:rsidRPr="00B16DFD">
              <w:t>(36)</w:t>
            </w:r>
            <w:r w:rsidRPr="00B16DFD">
              <w:tab/>
              <w:t xml:space="preserve">I artikel 14 i forordning (EU) nr. 600/2014 pålægges systematiske internalisatorer, der handler i størrelser på op til og inklusive to gange den normale markedsstørrelse, at offentliggøre bindende prisstillelser regelmæssigt og løbende i normal handelstid for de aktier, depotbeviser, ETF'er, certifikater og andre lignende finansielle instrumenter, der handles på en markedsplads, for hvilke de er systematiske internalisatorer, og for hvilke der findes et likvidt marked. I artikel 15 i forordning (EU) nr. 600/2014 pålægges systematiske internalisatorer at udføre ordrer, som de modtager fra deres kunder vedrørende disse instrumenter, til de priser, der stilles på det tidspunkt, ordren modtages. Nævnte artikel giver også systematiske internalisatorer mulighed for at udføre kunders ordrer til en bedre pris, forudsat at prisen ligger inden for et offentligt interval, som ligger tæt på markedsvilkårene. For at styrke prisdannelsen for detailordrer er det nødvendigt at sikre, at når en systematisk internalisator udfører en detailkundes ordre, der specifikt er markeret som sådan, til en pris, der er bedre end den stillede pris, skal den systematiske internalisator straks og under alle omstændigheder inden udførelsen ajourføre den stillede pris for at </w:t>
            </w:r>
            <w:r w:rsidRPr="00B16DFD">
              <w:t>afspejle denne prisforbedring. Systematiske internalisatorer bør desuden være forpligtet til at indberette de data, som de offentliggør i henhold til artikel 14 i forordning (EU) nr. 600/2014, til den konsoliderede løbende handelsinformation for aktier og ETF'er, for at gøre det muligt for den konsoliderede løbende handelsinformation for en given aktie eller ETF, ud over de bedste købs- og salgspriser på løbende ordrebøger, særskilt at formidle de fem bedste købs- og salgspriser i hele Unionen, offentliggjort af systematiske internalisatorer med angivelse af den enkelte systematiske internalisator, hvor disse tilbydes. Disse fem bedste købs- og salgspriser bør svare til de fem bedste købs- og salgspriser på tværs af alle prisstillelser for en given aktie eller ETF, der offentliggøres i Unionen af forskellige systematiske internalisatorer.</w:t>
            </w:r>
          </w:p>
        </w:tc>
        <w:tc>
          <w:tcPr>
            <w:tcW w:w="4876" w:type="dxa"/>
            <w:tcBorders>
              <w:top w:val="nil"/>
              <w:left w:val="nil"/>
              <w:bottom w:val="nil"/>
              <w:right w:val="nil"/>
            </w:tcBorders>
            <w:hideMark/>
          </w:tcPr>
          <w:p w:rsidR="00365C9B" w:rsidRPr="00B16DFD" w:rsidP="00F61C80" w14:paraId="427FF69A" w14:textId="77777777">
            <w:pPr>
              <w:pStyle w:val="Normal6a"/>
            </w:pPr>
            <w:r w:rsidRPr="00B16DFD">
              <w:t>(36)</w:t>
            </w:r>
            <w:r w:rsidRPr="00B16DFD">
              <w:tab/>
              <w:t xml:space="preserve">I artikel 14 i forordning (EU) nr. 600/2014 pålægges systematiske internalisatorer, der handler i størrelser på op til og inklusive to gange den normale markedsstørrelse, at offentliggøre bindende prisstillelser regelmæssigt og løbende i normal handelstid for de aktier, depotbeviser, ETF'er, certifikater og andre lignende finansielle instrumenter, der handles på en markedsplads, for hvilke de er systematiske internalisatorer, og for hvilke der findes et likvidt marked. I artikel 15 i forordning (EU) nr. 600/2014 pålægges systematiske internalisatorer at udføre ordrer, som de modtager fra deres kunder vedrørende disse instrumenter, til de priser, der stilles på det tidspunkt, ordren modtages. Nævnte artikel giver også systematiske internalisatorer mulighed for at udføre kunders ordrer til en bedre pris, forudsat at prisen ligger inden for et offentligt interval, som ligger tæt på markedsvilkårene. For at styrke prisdannelsen for detailordrer er det nødvendigt at sikre, at når en systematisk internalisator udfører en detailkundes ordre, der specifikt er markeret som sådan, til en pris, der er bedre end den stillede pris, skal den systematiske internalisator straks og under alle omstændigheder inden udførelsen ajourføre den stillede pris for at </w:t>
            </w:r>
            <w:r w:rsidRPr="00B16DFD">
              <w:t xml:space="preserve">afspejle denne prisforbedring. </w:t>
            </w:r>
            <w:r w:rsidRPr="00B16DFD">
              <w:rPr>
                <w:b/>
                <w:i/>
              </w:rPr>
              <w:t>Med henblik herpå bør disse ajourføringer ikke undergives tick size-ordningen.</w:t>
            </w:r>
            <w:r w:rsidRPr="00B16DFD">
              <w:t xml:space="preserve"> Systematiske internalisatorer bør desuden være forpligtet til at indberette de data, som de offentliggør i henhold til artikel 14 i forordning (EU) nr. 600/2014, til den konsoliderede løbende handelsinformation for aktier og ETF'er, for at gøre det muligt for den konsoliderede løbende handelsinformation for en given aktie eller ETF, ud over de bedste købs- og salgspriser på løbende ordrebøger, særskilt at formidle de fem bedste købs- og salgspriser i hele Unionen, offentliggjort af systematiske internalisatorer med angivelse af den enkelte systematiske internalisator, hvor disse tilbydes. Disse fem bedste købs- og salgspriser bør svare til de fem bedste købs- og salgspriser på tværs af alle prisstillelser for en given aktie eller ETF, der offentliggøres i Unionen af forskellige systematiske internalisatorer.</w:t>
            </w:r>
          </w:p>
        </w:tc>
      </w:tr>
    </w:tbl>
    <w:p w:rsidR="00365C9B" w:rsidRPr="00734CAA" w:rsidP="00365C9B" w14:paraId="05E96AC8"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{FR}</w:t>
      </w:r>
      <w:r w:rsidRPr="00734CAA">
        <w:rPr>
          <w:lang w:val="en-GB"/>
        </w:rPr>
        <w:t>fr</w:t>
      </w:r>
      <w:r w:rsidRPr="00734CAA">
        <w:rPr>
          <w:rStyle w:val="HideTWBExt"/>
          <w:color w:val="auto"/>
          <w:lang w:val="en-GB"/>
        </w:rPr>
        <w:t>&lt;/Original&gt;</w:t>
      </w:r>
    </w:p>
    <w:p w:rsidR="00365C9B" w:rsidRPr="00734CAA" w:rsidP="00365C9B" w14:paraId="66B22A89" w14:textId="77777777">
      <w:pPr>
        <w:rPr>
          <w:lang w:val="en-GB"/>
        </w:rPr>
      </w:pPr>
      <w:r w:rsidRPr="00734CAA">
        <w:rPr>
          <w:rStyle w:val="HideTWBExt"/>
          <w:color w:val="auto"/>
          <w:lang w:val="en-GB"/>
        </w:rPr>
        <w:t>&lt;/Amend&gt;</w:t>
      </w:r>
    </w:p>
    <w:p w:rsidR="00365C9B" w:rsidRPr="00734CAA" w:rsidP="00365C9B" w14:paraId="2A9935DF"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269</w:t>
      </w:r>
      <w:r w:rsidRPr="00734CAA">
        <w:rPr>
          <w:rStyle w:val="HideTWBExt"/>
          <w:color w:val="auto"/>
          <w:lang w:val="en-GB"/>
        </w:rPr>
        <w:t>&lt;/NumAm&gt;</w:t>
      </w:r>
    </w:p>
    <w:p w:rsidR="00365C9B" w:rsidRPr="00734CAA" w:rsidP="00365C9B" w14:paraId="52B487A6" w14:textId="77777777">
      <w:pPr>
        <w:pStyle w:val="NormalBold"/>
        <w:rPr>
          <w:lang w:val="en-GB"/>
        </w:rPr>
      </w:pPr>
      <w:r w:rsidRPr="00734CAA">
        <w:rPr>
          <w:rStyle w:val="HideTWBExt"/>
          <w:b w:val="0"/>
          <w:color w:val="auto"/>
          <w:lang w:val="en-GB"/>
        </w:rPr>
        <w:t>&lt;RepeatBlock-By&gt;&lt;Members&gt;</w:t>
      </w:r>
      <w:r w:rsidRPr="00734CAA">
        <w:rPr>
          <w:lang w:val="en-GB"/>
        </w:rPr>
        <w:t>Regina Doherty</w:t>
      </w:r>
      <w:r w:rsidRPr="00734CAA">
        <w:rPr>
          <w:rStyle w:val="HideTWBExt"/>
          <w:b w:val="0"/>
          <w:color w:val="auto"/>
          <w:lang w:val="en-GB"/>
        </w:rPr>
        <w:t>&lt;/Members&gt;</w:t>
      </w:r>
    </w:p>
    <w:p w:rsidR="00365C9B" w:rsidRPr="00B16DFD" w:rsidP="00365C9B" w14:paraId="72C4CAC3" w14:textId="77777777">
      <w:pPr>
        <w:pStyle w:val="NormalBold"/>
      </w:pPr>
      <w:r w:rsidRPr="00B16DFD">
        <w:rPr>
          <w:rStyle w:val="HideTWBExt"/>
          <w:b w:val="0"/>
          <w:color w:val="auto"/>
        </w:rPr>
        <w:t>&lt;/RepeatBlock-By&gt;</w:t>
      </w:r>
    </w:p>
    <w:p w:rsidR="00365C9B" w:rsidRPr="00B16DFD" w:rsidP="00365C9B" w14:paraId="02A3846B"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561BADCC" w14:textId="77777777">
      <w:pPr>
        <w:pStyle w:val="NormalBold"/>
        <w:rPr>
          <w:lang w:val="en-GB"/>
        </w:rPr>
      </w:pPr>
      <w:r w:rsidRPr="00734CAA">
        <w:rPr>
          <w:rStyle w:val="HideTWBExt"/>
          <w:color w:val="auto"/>
          <w:lang w:val="en-GB"/>
        </w:rPr>
        <w:t>&lt;Article&gt;</w:t>
      </w:r>
      <w:r w:rsidRPr="00734CAA">
        <w:rPr>
          <w:lang w:val="en-GB"/>
        </w:rPr>
        <w:t>Betragtning 36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D0BE7A"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7EE75C66" w14:textId="77777777">
            <w:pPr>
              <w:rPr>
                <w:lang w:val="en-GB"/>
              </w:rPr>
            </w:pPr>
          </w:p>
        </w:tc>
      </w:tr>
      <w:tr w14:paraId="1379B29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F2806E4"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D9D37FC" w14:textId="77777777">
            <w:pPr>
              <w:pStyle w:val="AmColumnHeading"/>
            </w:pPr>
            <w:r w:rsidRPr="00B16DFD">
              <w:t>Ændringsforslag</w:t>
            </w:r>
          </w:p>
        </w:tc>
      </w:tr>
      <w:tr w14:paraId="64CF9E6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EC5F273" w14:textId="77777777">
            <w:pPr>
              <w:pStyle w:val="Normal6a"/>
            </w:pPr>
          </w:p>
        </w:tc>
        <w:tc>
          <w:tcPr>
            <w:tcW w:w="4876" w:type="dxa"/>
            <w:tcBorders>
              <w:top w:val="nil"/>
              <w:left w:val="nil"/>
              <w:bottom w:val="nil"/>
              <w:right w:val="nil"/>
            </w:tcBorders>
            <w:hideMark/>
          </w:tcPr>
          <w:p w:rsidR="00365C9B" w:rsidRPr="00B16DFD" w:rsidP="00F61C80" w14:paraId="4AF2EF35" w14:textId="77777777">
            <w:pPr>
              <w:pStyle w:val="Normal6a"/>
            </w:pPr>
            <w:r w:rsidRPr="00B16DFD">
              <w:rPr>
                <w:b/>
                <w:i/>
              </w:rPr>
              <w:t>(36a)</w:t>
            </w:r>
            <w:r w:rsidRPr="00B16DFD">
              <w:tab/>
            </w:r>
            <w:r w:rsidRPr="00B16DFD">
              <w:rPr>
                <w:b/>
                <w:i/>
              </w:rPr>
              <w:t xml:space="preserve">For at sikre en effektiv prisdannelse og opretholde et passende niveau af gennemsigtighed på børshandlede derivatmarkeder er det vigtigt, at handelssystemer, der letter indgåelsen af transaktioner på markedspladser, fortsat er underlagt krav om førhandelsgennemsigtighed. Nylige ændringer af gennemsigtighedsordningen for andre instrumenter end aktieinstrumenter har begrænset anvendelsen af forpligtelser vedrørende førhandelsgennemsigtighed til visse </w:t>
            </w:r>
            <w:r w:rsidRPr="00B16DFD">
              <w:rPr>
                <w:b/>
                <w:i/>
              </w:rPr>
              <w:t>handelssystemer såsom centrale limitordrebøger og periodiske auktionssystemer. Selv om disse ændringer har til formål at forenkle rammen, kan de have den utilsigtede virkning at udelukke visse handelssystemer, der formaliserer transaktioner uden at give mulighed for en meningsfuld multilateral interaktion, herunder såkaldte "blokeringssystemer" eller "krydsende" faciliteter, fra anvendelsesområdet. Hvis sådanne systemer falder uden for anvendelsesområdet for førhandelsgennemsigtighed, kan transaktioner udføres på markedspladsen uden forudgående eksponering for markedsinteraktion, herunder transaktioner under tærsklerne for store ordrer. Dette risikerer at undergrave effektiviteten af dispensationer fra gennemsigtighedskravene, svække prisdannelsen og mindske det samlede gennemsigtighedsniveau på markederne for børshandlede derivater. Det bør derfor sikres, at handelssystemer, der drives af markedspladser, som formaliserer transaktioner med børshandlede derivater, fortsat er underlagt krav om førhandelsgennemsigtighed, medmindre en undtagelse finder anvendelse i overensstemmelse med denne forordning.</w:t>
            </w:r>
          </w:p>
        </w:tc>
      </w:tr>
    </w:tbl>
    <w:p w:rsidR="00365C9B" w:rsidRPr="00734CAA" w:rsidP="00365C9B" w14:paraId="0BFC4FE0"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9910D47" w14:textId="77777777">
      <w:pPr>
        <w:rPr>
          <w:lang w:val="en-GB"/>
        </w:rPr>
      </w:pPr>
      <w:r w:rsidRPr="00734CAA">
        <w:rPr>
          <w:rStyle w:val="HideTWBExt"/>
          <w:color w:val="auto"/>
          <w:lang w:val="en-GB"/>
        </w:rPr>
        <w:t>&lt;/Amend&gt;</w:t>
      </w:r>
    </w:p>
    <w:p w:rsidR="00365C9B" w:rsidRPr="00734CAA" w:rsidP="00365C9B" w14:paraId="161C7800"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270</w:t>
      </w:r>
      <w:r w:rsidRPr="00734CAA">
        <w:rPr>
          <w:rStyle w:val="HideTWBExt"/>
          <w:color w:val="auto"/>
          <w:lang w:val="en-GB"/>
        </w:rPr>
        <w:t>&lt;/NumAm&gt;</w:t>
      </w:r>
    </w:p>
    <w:p w:rsidR="00365C9B" w:rsidRPr="00734CAA" w:rsidP="00365C9B" w14:paraId="5D344A47" w14:textId="77777777">
      <w:pPr>
        <w:pStyle w:val="NormalBold"/>
        <w:rPr>
          <w:lang w:val="en-GB"/>
        </w:rPr>
      </w:pPr>
      <w:r w:rsidRPr="00734CAA">
        <w:rPr>
          <w:rStyle w:val="HideTWBExt"/>
          <w:b w:val="0"/>
          <w:color w:val="auto"/>
          <w:lang w:val="en-GB"/>
        </w:rPr>
        <w:t>&lt;RepeatBlock-By&gt;&lt;Members&gt;</w:t>
      </w:r>
      <w:r w:rsidRPr="00734CAA">
        <w:rPr>
          <w:lang w:val="en-GB"/>
        </w:rPr>
        <w:t>Fernando Navarrete Rojas, Isabel Benjumea Benjumea</w:t>
      </w:r>
      <w:r w:rsidRPr="00734CAA">
        <w:rPr>
          <w:rStyle w:val="HideTWBExt"/>
          <w:b w:val="0"/>
          <w:color w:val="auto"/>
          <w:lang w:val="en-GB"/>
        </w:rPr>
        <w:t>&lt;/Members&gt;</w:t>
      </w:r>
    </w:p>
    <w:p w:rsidR="00365C9B" w:rsidRPr="00734CAA" w:rsidP="00365C9B" w14:paraId="3A126690" w14:textId="77777777">
      <w:pPr>
        <w:pStyle w:val="NormalBold"/>
        <w:rPr>
          <w:lang w:val="en-GB"/>
        </w:rPr>
      </w:pPr>
      <w:r w:rsidRPr="00734CAA">
        <w:rPr>
          <w:rStyle w:val="HideTWBExt"/>
          <w:b w:val="0"/>
          <w:color w:val="auto"/>
          <w:lang w:val="en-GB"/>
        </w:rPr>
        <w:t>&lt;/RepeatBlock-By&gt;</w:t>
      </w:r>
    </w:p>
    <w:p w:rsidR="00365C9B" w:rsidRPr="00B16DFD" w:rsidP="00365C9B" w14:paraId="6EF57F85"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5B2A1005" w14:textId="77777777">
      <w:pPr>
        <w:pStyle w:val="NormalBold"/>
        <w:rPr>
          <w:lang w:val="en-GB"/>
        </w:rPr>
      </w:pPr>
      <w:r w:rsidRPr="00734CAA">
        <w:rPr>
          <w:rStyle w:val="HideTWBExt"/>
          <w:color w:val="auto"/>
          <w:lang w:val="en-GB"/>
        </w:rPr>
        <w:t>&lt;Article&gt;</w:t>
      </w:r>
      <w:r w:rsidRPr="00734CAA">
        <w:rPr>
          <w:lang w:val="en-GB"/>
        </w:rPr>
        <w:t>Betragtning 36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9195C"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77B56FA6" w14:textId="77777777">
            <w:pPr>
              <w:rPr>
                <w:lang w:val="en-GB"/>
              </w:rPr>
            </w:pPr>
          </w:p>
        </w:tc>
      </w:tr>
      <w:tr w14:paraId="10C24A2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49EA12F"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49A5BD8" w14:textId="77777777">
            <w:pPr>
              <w:pStyle w:val="AmColumnHeading"/>
            </w:pPr>
            <w:r w:rsidRPr="00B16DFD">
              <w:t>Ændringsforslag</w:t>
            </w:r>
          </w:p>
        </w:tc>
      </w:tr>
      <w:tr w14:paraId="691F3FD9"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8A3AE76" w14:textId="77777777">
            <w:pPr>
              <w:pStyle w:val="Normal6a"/>
            </w:pPr>
          </w:p>
        </w:tc>
        <w:tc>
          <w:tcPr>
            <w:tcW w:w="4876" w:type="dxa"/>
            <w:tcBorders>
              <w:top w:val="nil"/>
              <w:left w:val="nil"/>
              <w:bottom w:val="nil"/>
              <w:right w:val="nil"/>
            </w:tcBorders>
            <w:hideMark/>
          </w:tcPr>
          <w:p w:rsidR="00365C9B" w:rsidRPr="00B16DFD" w:rsidP="00F61C80" w14:paraId="0A6894C0" w14:textId="77777777">
            <w:pPr>
              <w:pStyle w:val="Normal6a"/>
            </w:pPr>
            <w:r w:rsidRPr="00B16DFD">
              <w:rPr>
                <w:b/>
                <w:i/>
              </w:rPr>
              <w:t>(36a)</w:t>
            </w:r>
            <w:r w:rsidRPr="00B16DFD">
              <w:tab/>
            </w:r>
            <w:r w:rsidRPr="00B16DFD">
              <w:rPr>
                <w:b/>
                <w:i/>
              </w:rPr>
              <w:t xml:space="preserve">Markedspladser og systematiske internalisatorer udfører særskilte funktioner på Unionens finansielle markeder. Markedspladser fremmer </w:t>
            </w:r>
            <w:r w:rsidRPr="00B16DFD">
              <w:rPr>
                <w:b/>
                <w:i/>
              </w:rPr>
              <w:t>multilateral interaktion mellem flere købs- og salgsinteresser, mens systematiske internalisatorer leverer bilateral handel ved at handle for egen regning med kunder. Den differentierede ramme for gennemsigtighed, der er fastsat i denne forordning, afspejler disse forskelle i handelsmodeller og sikrer, at gennemsigtighedsforpligtelserne fortsat står i et rimeligt forhold til arten af den udførte aktivitet. Den anerkender navnlig, at prisstillelser, der leveres af systematiske internalisatorer, er skræddersyet til specifikke kundeinteraktioner, afspejler modpartsspecifikke betingelser; de er generelt ikke reproducerbare og bidrager derfor ikke til den offentlige prisdannelse på samme måde som priser fastsat på markedspladser.</w:t>
            </w:r>
          </w:p>
        </w:tc>
      </w:tr>
    </w:tbl>
    <w:p w:rsidR="00365C9B" w:rsidRPr="00734CAA" w:rsidP="00365C9B" w14:paraId="6EE14737"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375EB96" w14:textId="77777777">
      <w:pPr>
        <w:rPr>
          <w:lang w:val="en-GB"/>
        </w:rPr>
      </w:pPr>
      <w:r w:rsidRPr="00734CAA">
        <w:rPr>
          <w:rStyle w:val="HideTWBExt"/>
          <w:color w:val="auto"/>
          <w:lang w:val="en-GB"/>
        </w:rPr>
        <w:t>&lt;/Amend&gt;</w:t>
      </w:r>
    </w:p>
    <w:p w:rsidR="00365C9B" w:rsidRPr="00734CAA" w:rsidP="00365C9B" w14:paraId="73C87C3B"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271</w:t>
      </w:r>
      <w:r w:rsidRPr="00734CAA">
        <w:rPr>
          <w:rStyle w:val="HideTWBExt"/>
          <w:color w:val="auto"/>
          <w:lang w:val="en-GB"/>
        </w:rPr>
        <w:t>&lt;/NumAm&gt;</w:t>
      </w:r>
    </w:p>
    <w:p w:rsidR="00365C9B" w:rsidRPr="00734CAA" w:rsidP="00365C9B" w14:paraId="6D52DF5D" w14:textId="77777777">
      <w:pPr>
        <w:pStyle w:val="NormalBold"/>
        <w:rPr>
          <w:lang w:val="en-GB"/>
        </w:rPr>
      </w:pPr>
      <w:r w:rsidRPr="00734CAA">
        <w:rPr>
          <w:rStyle w:val="HideTWBExt"/>
          <w:b w:val="0"/>
          <w:color w:val="auto"/>
          <w:lang w:val="en-GB"/>
        </w:rPr>
        <w:t>&lt;RepeatBlock-By&gt;&lt;Members&gt;</w:t>
      </w:r>
      <w:r w:rsidRPr="00734CAA">
        <w:rPr>
          <w:lang w:val="en-GB"/>
        </w:rPr>
        <w:t>Sirpa Pietikäinen</w:t>
      </w:r>
      <w:r w:rsidRPr="00734CAA">
        <w:rPr>
          <w:rStyle w:val="HideTWBExt"/>
          <w:b w:val="0"/>
          <w:color w:val="auto"/>
          <w:lang w:val="en-GB"/>
        </w:rPr>
        <w:t>&lt;/Members&gt;</w:t>
      </w:r>
    </w:p>
    <w:p w:rsidR="00365C9B" w:rsidRPr="00B16DFD" w:rsidP="00365C9B" w14:paraId="1F4FDD69" w14:textId="77777777">
      <w:pPr>
        <w:pStyle w:val="NormalBold"/>
      </w:pPr>
      <w:r w:rsidRPr="00B16DFD">
        <w:rPr>
          <w:rStyle w:val="HideTWBExt"/>
          <w:b w:val="0"/>
          <w:color w:val="auto"/>
        </w:rPr>
        <w:t>&lt;/RepeatBlock-By&gt;</w:t>
      </w:r>
    </w:p>
    <w:p w:rsidR="00365C9B" w:rsidRPr="00B16DFD" w:rsidP="00365C9B" w14:paraId="55EDCAE7"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1E8DDDE1" w14:textId="77777777">
      <w:pPr>
        <w:pStyle w:val="NormalBold"/>
        <w:rPr>
          <w:lang w:val="en-GB"/>
        </w:rPr>
      </w:pPr>
      <w:r w:rsidRPr="00734CAA">
        <w:rPr>
          <w:rStyle w:val="HideTWBExt"/>
          <w:color w:val="auto"/>
          <w:lang w:val="en-GB"/>
        </w:rPr>
        <w:t>&lt;Article&gt;</w:t>
      </w:r>
      <w:r w:rsidRPr="00734CAA">
        <w:rPr>
          <w:lang w:val="en-GB"/>
        </w:rPr>
        <w:t>Betragtning 36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D7802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4385D209" w14:textId="77777777">
            <w:pPr>
              <w:rPr>
                <w:lang w:val="en-GB"/>
              </w:rPr>
            </w:pPr>
          </w:p>
        </w:tc>
      </w:tr>
      <w:tr w14:paraId="24704555"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95D478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A8E6973" w14:textId="77777777">
            <w:pPr>
              <w:pStyle w:val="AmColumnHeading"/>
            </w:pPr>
            <w:r w:rsidRPr="00B16DFD">
              <w:t>Ændringsforslag</w:t>
            </w:r>
          </w:p>
        </w:tc>
      </w:tr>
      <w:tr w14:paraId="4A049DA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2209E95" w14:textId="77777777">
            <w:pPr>
              <w:pStyle w:val="Normal6a"/>
            </w:pPr>
          </w:p>
        </w:tc>
        <w:tc>
          <w:tcPr>
            <w:tcW w:w="4876" w:type="dxa"/>
            <w:tcBorders>
              <w:top w:val="nil"/>
              <w:left w:val="nil"/>
              <w:bottom w:val="nil"/>
              <w:right w:val="nil"/>
            </w:tcBorders>
            <w:hideMark/>
          </w:tcPr>
          <w:p w:rsidR="00365C9B" w:rsidRPr="00B16DFD" w:rsidP="00F61C80" w14:paraId="38705F4B" w14:textId="77777777">
            <w:pPr>
              <w:pStyle w:val="Normal6a"/>
            </w:pPr>
            <w:r w:rsidRPr="00B16DFD">
              <w:rPr>
                <w:b/>
                <w:i/>
              </w:rPr>
              <w:t>(36a)</w:t>
            </w:r>
            <w:r w:rsidRPr="00B16DFD">
              <w:tab/>
            </w:r>
            <w:r w:rsidRPr="00B16DFD">
              <w:rPr>
                <w:b/>
                <w:i/>
              </w:rPr>
              <w:t>For at gøre efterhandelsgennemsigtigheden i Unionen mere fuldstændig offentliggør systematiske internalisatorer, så tæt på realtid som teknisk muligt og gennem en godkendt offentliggørelsesordning, oplysninger om transaktioner, der er indgået under tærsklen for store ordrer. Sådanne oplysninger skal omfatte identifikation af den systematiske internalisator, der er ansvarlig for udførelsen.</w:t>
            </w:r>
          </w:p>
        </w:tc>
      </w:tr>
    </w:tbl>
    <w:p w:rsidR="00365C9B" w:rsidRPr="00734CAA" w:rsidP="00365C9B" w14:paraId="2E222076"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E441932" w14:textId="77777777">
      <w:pPr>
        <w:rPr>
          <w:lang w:val="en-GB"/>
        </w:rPr>
      </w:pPr>
      <w:r w:rsidRPr="00734CAA">
        <w:rPr>
          <w:rStyle w:val="HideTWBExt"/>
          <w:color w:val="auto"/>
          <w:lang w:val="en-GB"/>
        </w:rPr>
        <w:t>&lt;/Amend&gt;</w:t>
      </w:r>
    </w:p>
    <w:p w:rsidR="00365C9B" w:rsidRPr="00734CAA" w:rsidP="00365C9B" w14:paraId="76D1E598"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272</w:t>
      </w:r>
      <w:r w:rsidRPr="00734CAA">
        <w:rPr>
          <w:rStyle w:val="HideTWBExt"/>
          <w:color w:val="auto"/>
          <w:lang w:val="en-GB"/>
        </w:rPr>
        <w:t>&lt;/NumAm&gt;</w:t>
      </w:r>
    </w:p>
    <w:p w:rsidR="00365C9B" w:rsidRPr="00734CAA" w:rsidP="00365C9B" w14:paraId="6D61E9F5" w14:textId="77777777">
      <w:pPr>
        <w:pStyle w:val="NormalBold"/>
        <w:rPr>
          <w:lang w:val="en-GB"/>
        </w:rPr>
      </w:pPr>
      <w:r w:rsidRPr="00734CAA">
        <w:rPr>
          <w:rStyle w:val="HideTWBExt"/>
          <w:b w:val="0"/>
          <w:color w:val="auto"/>
          <w:lang w:val="en-GB"/>
        </w:rPr>
        <w:t>&lt;RepeatBlock-By&gt;&lt;Members&gt;</w:t>
      </w:r>
      <w:r w:rsidRPr="00734CAA">
        <w:rPr>
          <w:lang w:val="en-GB"/>
        </w:rPr>
        <w:t>Giovanni Crosetto, Francesco Ventola, Mariateresa Vivaldini, Marco Squarta, Denis Nesci</w:t>
      </w:r>
      <w:r w:rsidRPr="00734CAA">
        <w:rPr>
          <w:rStyle w:val="HideTWBExt"/>
          <w:b w:val="0"/>
          <w:color w:val="auto"/>
          <w:lang w:val="en-GB"/>
        </w:rPr>
        <w:t>&lt;/Members&gt;</w:t>
      </w:r>
    </w:p>
    <w:p w:rsidR="00365C9B" w:rsidRPr="00B16DFD" w:rsidP="00365C9B" w14:paraId="60595204" w14:textId="77777777">
      <w:pPr>
        <w:pStyle w:val="NormalBold"/>
      </w:pPr>
      <w:r w:rsidRPr="00B16DFD">
        <w:rPr>
          <w:rStyle w:val="HideTWBExt"/>
          <w:b w:val="0"/>
          <w:color w:val="auto"/>
        </w:rPr>
        <w:t>&lt;/RepeatBlock-By&gt;</w:t>
      </w:r>
    </w:p>
    <w:p w:rsidR="00365C9B" w:rsidRPr="00B16DFD" w:rsidP="00365C9B" w14:paraId="5DAC4096"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3436B23B" w14:textId="77777777">
      <w:pPr>
        <w:pStyle w:val="NormalBold"/>
      </w:pPr>
      <w:r w:rsidRPr="00B16DFD">
        <w:rPr>
          <w:rStyle w:val="HideTWBExt"/>
          <w:color w:val="auto"/>
        </w:rPr>
        <w:t>&lt;Article&gt;</w:t>
      </w:r>
      <w:r w:rsidRPr="00B16DFD">
        <w:t>Betragtning 37</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5BCEFC"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1603EF3" w14:textId="77777777"/>
        </w:tc>
      </w:tr>
      <w:tr w14:paraId="06F9FB5F"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1208A2A"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8614753" w14:textId="77777777">
            <w:pPr>
              <w:pStyle w:val="AmColumnHeading"/>
            </w:pPr>
            <w:r w:rsidRPr="00B16DFD">
              <w:t>Ændringsforslag</w:t>
            </w:r>
          </w:p>
        </w:tc>
      </w:tr>
      <w:tr w14:paraId="26DCEF3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3F2D122D" w14:textId="77777777">
            <w:pPr>
              <w:pStyle w:val="Normal6a"/>
            </w:pPr>
            <w:r w:rsidRPr="00B16DFD">
              <w:t>(37)</w:t>
            </w:r>
            <w:r w:rsidRPr="00B16DFD">
              <w:tab/>
              <w:t xml:space="preserve">Artikel 21, stk. 1, i forordning (EU) nr. 600/2014 pålægger investeringsselskaber, som enten for egen eller for kunders regning gennemfører transaktioner </w:t>
            </w:r>
            <w:r w:rsidRPr="00B16DFD">
              <w:rPr>
                <w:b/>
                <w:i/>
              </w:rPr>
              <w:t>i OTC-derivater som omhandlet i artikel 8a, stk. 2, i nævnte forordning</w:t>
            </w:r>
            <w:r w:rsidRPr="00B16DFD">
              <w:t xml:space="preserve">, at offentliggøre disse transaktioners volumen og pris og det tidspunkt, de blev indgået, gennem en godkendt offentliggørelsesordning ("APA"). For at minimere byrden for investeringsselskaber og undgå offentliggørelse af vildledende oplysninger bør investeringsselskaber ikke være forpligtet til at offentliggøre de transaktioner </w:t>
            </w:r>
            <w:r w:rsidRPr="00B16DFD">
              <w:rPr>
                <w:b/>
                <w:i/>
              </w:rPr>
              <w:t>med OTC-derivater</w:t>
            </w:r>
            <w:r w:rsidRPr="00B16DFD">
              <w:t>, som de indgår på en tredjelandsmarkedsplads,</w:t>
            </w:r>
            <w:r w:rsidRPr="00B16DFD">
              <w:rPr>
                <w:b/>
                <w:i/>
              </w:rPr>
              <w:t xml:space="preserve"> gennem en APA, forudsat at tredjelandsmarkedspladsen i) driver et multilateralt system, ii) er underlagt tilladelse, løbende tilsyn og håndhævelse i overensstemmelse med det pågældende tredjelands retlige og tilsynsmæssige rammer og iii) er omfattet af bestemmelser om efterhandelsgennemsigtighed, hvorefter transaktioner indgået på den pågældende markedsplads offentliggøres så hurtigt som muligt efter transaktionens gennemførelse eller, i klart definerede situationer, efter en udsættelsesperiode. For at sikre retssikkerhed og en høj grad af tilsynsmæssig konvergens i Unionen bør ESMA offentliggøre og regelmæssigt ajourføre en liste over tredjelandsmarkedspladser, der anses for at opfylde alle kriterier.</w:t>
            </w:r>
            <w:r w:rsidRPr="00B16DFD">
              <w:t xml:space="preserve"> Investeringsselskaber</w:t>
            </w:r>
            <w:r w:rsidRPr="00B16DFD">
              <w:rPr>
                <w:b/>
                <w:i/>
              </w:rPr>
              <w:t xml:space="preserve">, der indgår transaktioner med OTC-derivater på tredjelandsmarkedspladser, som ikke </w:t>
            </w:r>
            <w:r w:rsidRPr="00B16DFD">
              <w:rPr>
                <w:b/>
                <w:i/>
              </w:rPr>
              <w:t>opfylder alle kriterier, bør være forpligtet til at offentliggøre disse transaktioner i Unionen gennem en APA</w:t>
            </w:r>
            <w:r w:rsidRPr="00B16DFD">
              <w:t>.</w:t>
            </w:r>
          </w:p>
        </w:tc>
        <w:tc>
          <w:tcPr>
            <w:tcW w:w="4876" w:type="dxa"/>
            <w:tcBorders>
              <w:top w:val="nil"/>
              <w:left w:val="nil"/>
              <w:bottom w:val="nil"/>
              <w:right w:val="nil"/>
            </w:tcBorders>
            <w:hideMark/>
          </w:tcPr>
          <w:p w:rsidR="00365C9B" w:rsidRPr="00B16DFD" w:rsidP="00F61C80" w14:paraId="3F1F17B2" w14:textId="438453FA">
            <w:pPr>
              <w:pStyle w:val="Normal6a"/>
            </w:pPr>
            <w:r w:rsidRPr="00B16DFD">
              <w:t>(37)</w:t>
            </w:r>
            <w:r w:rsidRPr="00B16DFD">
              <w:tab/>
              <w:t xml:space="preserve">Artikel </w:t>
            </w:r>
            <w:r w:rsidRPr="00B16DFD">
              <w:rPr>
                <w:b/>
                <w:i/>
              </w:rPr>
              <w:t>20, stk. 1, o</w:t>
            </w:r>
            <w:r w:rsidRPr="00B16DFD" w:rsidR="0041392E">
              <w:rPr>
                <w:b/>
                <w:i/>
              </w:rPr>
              <w:t>g artikel</w:t>
            </w:r>
            <w:r w:rsidRPr="00B16DFD">
              <w:rPr>
                <w:b/>
                <w:i/>
              </w:rPr>
              <w:t xml:space="preserve"> </w:t>
            </w:r>
            <w:r w:rsidRPr="00B16DFD">
              <w:t xml:space="preserve">21, stk. 1, i forordning (EU) nr. 600/2014 pålægger investeringsselskaber, som enten for egen eller for kunders regning gennemfører transaktioner </w:t>
            </w:r>
            <w:r w:rsidRPr="00B16DFD">
              <w:rPr>
                <w:b/>
                <w:i/>
              </w:rPr>
              <w:t>uden for en markedsplads</w:t>
            </w:r>
            <w:r w:rsidRPr="00B16DFD">
              <w:t>, at offentliggøre disse transaktioners volumen og pris og det tidspunkt, de blev indgået, gennem en godkendt offentliggørelsesordning ("APA"). For at minimere byrden for investeringsselskaber og undgå offentliggørelse af vildledende oplysninger bør investeringsselskaber ikke være forpligtet til at offentliggøre de transaktioner, som de indgår på en tredjelandsmarkedsplads,</w:t>
            </w:r>
            <w:r w:rsidRPr="00B16DFD">
              <w:rPr>
                <w:b/>
                <w:i/>
              </w:rPr>
              <w:t xml:space="preserve"> der er underlagt lignende efterhandelsgennemsigtighedskrav som markedspladser i EØS. Tilsvarende bør ikke-EØS-investeringsselskabers filialer uden for EØS ikke være forpligtet til gennem en APA at offentliggøre de transaktioner, som de indgår uden for en markedsplads med en modpart uden for EØS, og som de gør gennemsigtige gennem en tredjelandsgodkendt offentliggørelsesordning, hvor tredjelandsordningen pålægger </w:t>
            </w:r>
            <w:r w:rsidRPr="00B16DFD">
              <w:t xml:space="preserve">investeringsselskaber </w:t>
            </w:r>
            <w:r w:rsidRPr="00B16DFD">
              <w:rPr>
                <w:b/>
                <w:i/>
              </w:rPr>
              <w:t>bestemmelser om gennemsigtighed, der svarer til dem, der gælder for EØS-investeringsselskaber i henhold til MiFID II/MIFIR-rammen</w:t>
            </w:r>
            <w:r w:rsidRPr="00B16DFD">
              <w:t>.</w:t>
            </w:r>
          </w:p>
        </w:tc>
      </w:tr>
    </w:tbl>
    <w:p w:rsidR="00365C9B" w:rsidRPr="00734CAA" w:rsidP="00365C9B" w14:paraId="04D1EBDF"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4528A28" w14:textId="77777777">
      <w:pPr>
        <w:rPr>
          <w:lang w:val="en-GB"/>
        </w:rPr>
      </w:pPr>
      <w:r w:rsidRPr="00734CAA">
        <w:rPr>
          <w:rStyle w:val="HideTWBExt"/>
          <w:color w:val="auto"/>
          <w:lang w:val="en-GB"/>
        </w:rPr>
        <w:t>&lt;/Amend&gt;</w:t>
      </w:r>
    </w:p>
    <w:p w:rsidR="00365C9B" w:rsidRPr="00734CAA" w:rsidP="00365C9B" w14:paraId="4A793396"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273</w:t>
      </w:r>
      <w:r w:rsidRPr="00734CAA">
        <w:rPr>
          <w:rStyle w:val="HideTWBExt"/>
          <w:color w:val="auto"/>
          <w:lang w:val="en-GB"/>
        </w:rPr>
        <w:t>&lt;/NumAm&gt;</w:t>
      </w:r>
    </w:p>
    <w:p w:rsidR="00365C9B" w:rsidRPr="00734CAA" w:rsidP="00365C9B" w14:paraId="26BCD663" w14:textId="77777777">
      <w:pPr>
        <w:pStyle w:val="NormalBold"/>
        <w:rPr>
          <w:lang w:val="en-GB"/>
        </w:rPr>
      </w:pPr>
      <w:r w:rsidRPr="00734CAA">
        <w:rPr>
          <w:rStyle w:val="HideTWBExt"/>
          <w:b w:val="0"/>
          <w:color w:val="auto"/>
          <w:lang w:val="en-GB"/>
        </w:rPr>
        <w:t>&lt;RepeatBlock-By&gt;&lt;Members&gt;</w:t>
      </w:r>
      <w:r w:rsidRPr="00734CAA">
        <w:rPr>
          <w:lang w:val="en-GB"/>
        </w:rPr>
        <w:t>Fernando Navarrete Rojas, Isabel Benjumea Benjumea</w:t>
      </w:r>
      <w:r w:rsidRPr="00734CAA">
        <w:rPr>
          <w:rStyle w:val="HideTWBExt"/>
          <w:b w:val="0"/>
          <w:color w:val="auto"/>
          <w:lang w:val="en-GB"/>
        </w:rPr>
        <w:t>&lt;/Members&gt;</w:t>
      </w:r>
    </w:p>
    <w:p w:rsidR="00365C9B" w:rsidRPr="00734CAA" w:rsidP="00365C9B" w14:paraId="35796616" w14:textId="77777777">
      <w:pPr>
        <w:pStyle w:val="NormalBold"/>
        <w:rPr>
          <w:lang w:val="en-GB"/>
        </w:rPr>
      </w:pPr>
      <w:r w:rsidRPr="00734CAA">
        <w:rPr>
          <w:rStyle w:val="HideTWBExt"/>
          <w:b w:val="0"/>
          <w:color w:val="auto"/>
          <w:lang w:val="en-GB"/>
        </w:rPr>
        <w:t>&lt;/RepeatBlock-By&gt;</w:t>
      </w:r>
    </w:p>
    <w:p w:rsidR="00365C9B" w:rsidRPr="00B16DFD" w:rsidP="00365C9B" w14:paraId="0D4E36D5"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C9A3EE2" w14:textId="77777777">
      <w:pPr>
        <w:pStyle w:val="NormalBold"/>
        <w:rPr>
          <w:lang w:val="en-GB"/>
        </w:rPr>
      </w:pPr>
      <w:r w:rsidRPr="00734CAA">
        <w:rPr>
          <w:rStyle w:val="HideTWBExt"/>
          <w:color w:val="auto"/>
          <w:lang w:val="en-GB"/>
        </w:rPr>
        <w:t>&lt;Article&gt;</w:t>
      </w:r>
      <w:r w:rsidRPr="00734CAA">
        <w:rPr>
          <w:lang w:val="en-GB"/>
        </w:rPr>
        <w:t>Betragtning 37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E2EDE"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146B0BBE" w14:textId="77777777">
            <w:pPr>
              <w:rPr>
                <w:lang w:val="en-GB"/>
              </w:rPr>
            </w:pPr>
          </w:p>
        </w:tc>
      </w:tr>
      <w:tr w14:paraId="677A2E3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A48F95A"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C92D174" w14:textId="77777777">
            <w:pPr>
              <w:pStyle w:val="AmColumnHeading"/>
            </w:pPr>
            <w:r w:rsidRPr="00B16DFD">
              <w:t>Ændringsforslag</w:t>
            </w:r>
          </w:p>
        </w:tc>
      </w:tr>
      <w:tr w14:paraId="3D530EB2"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54C2DCD" w14:textId="77777777">
            <w:pPr>
              <w:pStyle w:val="Normal6a"/>
            </w:pPr>
          </w:p>
        </w:tc>
        <w:tc>
          <w:tcPr>
            <w:tcW w:w="4876" w:type="dxa"/>
            <w:tcBorders>
              <w:top w:val="nil"/>
              <w:left w:val="nil"/>
              <w:bottom w:val="nil"/>
              <w:right w:val="nil"/>
            </w:tcBorders>
            <w:hideMark/>
          </w:tcPr>
          <w:p w:rsidR="00365C9B" w:rsidRPr="00B16DFD" w:rsidP="00F61C80" w14:paraId="6685FD4B" w14:textId="77777777">
            <w:pPr>
              <w:pStyle w:val="Normal6a"/>
            </w:pPr>
            <w:r w:rsidRPr="00B16DFD">
              <w:rPr>
                <w:b/>
                <w:i/>
              </w:rPr>
              <w:t>(37a)</w:t>
            </w:r>
            <w:r w:rsidRPr="00B16DFD">
              <w:tab/>
            </w:r>
            <w:r w:rsidRPr="00B16DFD">
              <w:rPr>
                <w:b/>
                <w:i/>
              </w:rPr>
              <w:t>Systematiske internalisatorer leverer likviditet til kunder ved at binde deres egen kapital og påtage sig lagerrisiko. Gennemsigtighedsrammen bør ikke udsætte likviditetsudbydere for unødig risiko. Derfor må enhver offentliggørelse af transaktionsoplysninger eller prisstillelser gennem godkendte offentliggørelsesordninger (APA'er) eller den konsoliderede løbende handelsinformation under ingen omstændigheder oplyse om retningen af handelen (dvs. om den systematiske internalisator handlede som køber eller sælger) eller identiteten af den involverede individuelle systematiske internalisator. Offentliggørelse af sådanne oplysninger kan udsætte systematiske internalisatorers lagerpositioner og kommercielle strategier for aggressiv handel og derved underminere deres evne til at levere konkurrencedygtig prisfastsættelse og skræddersyet likviditet til investorerne.</w:t>
            </w:r>
          </w:p>
        </w:tc>
      </w:tr>
    </w:tbl>
    <w:p w:rsidR="00365C9B" w:rsidRPr="00734CAA" w:rsidP="00365C9B" w14:paraId="3667A472"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11C84D4" w14:textId="77777777">
      <w:pPr>
        <w:rPr>
          <w:lang w:val="en-GB"/>
        </w:rPr>
      </w:pPr>
      <w:r w:rsidRPr="00734CAA">
        <w:rPr>
          <w:rStyle w:val="HideTWBExt"/>
          <w:color w:val="auto"/>
          <w:lang w:val="en-GB"/>
        </w:rPr>
        <w:t>&lt;/Amend&gt;</w:t>
      </w:r>
    </w:p>
    <w:p w:rsidR="00365C9B" w:rsidRPr="00734CAA" w:rsidP="00365C9B" w14:paraId="5020C7BB"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274</w:t>
      </w:r>
      <w:r w:rsidRPr="00734CAA">
        <w:rPr>
          <w:rStyle w:val="HideTWBExt"/>
          <w:color w:val="auto"/>
          <w:lang w:val="en-GB"/>
        </w:rPr>
        <w:t>&lt;/NumAm&gt;</w:t>
      </w:r>
    </w:p>
    <w:p w:rsidR="00365C9B" w:rsidRPr="00734CAA" w:rsidP="00365C9B" w14:paraId="149B236F"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1EAB0C47"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2302C70D" w14:textId="77777777">
      <w:pPr>
        <w:pStyle w:val="NormalBold"/>
        <w:rPr>
          <w:lang w:val="en-GB"/>
        </w:rPr>
      </w:pPr>
      <w:r w:rsidRPr="00734CAA">
        <w:rPr>
          <w:rStyle w:val="HideTWBExt"/>
          <w:b w:val="0"/>
          <w:color w:val="auto"/>
          <w:lang w:val="en-GB"/>
        </w:rPr>
        <w:t>&lt;/RepeatBlock-By&gt;</w:t>
      </w:r>
    </w:p>
    <w:p w:rsidR="00365C9B" w:rsidRPr="00734CAA" w:rsidP="00365C9B" w14:paraId="3C9B0D99"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23657230" w14:textId="77777777">
      <w:pPr>
        <w:pStyle w:val="NormalBold"/>
      </w:pPr>
      <w:r w:rsidRPr="00B16DFD">
        <w:rPr>
          <w:rStyle w:val="HideTWBExt"/>
          <w:color w:val="auto"/>
        </w:rPr>
        <w:t>&lt;Article&gt;</w:t>
      </w:r>
      <w:r w:rsidRPr="00B16DFD">
        <w:t>Betragtning 40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A7867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5DA597B" w14:textId="77777777"/>
        </w:tc>
      </w:tr>
      <w:tr w14:paraId="262580C4"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9DD972F"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4FDC2C2" w14:textId="77777777">
            <w:pPr>
              <w:pStyle w:val="AmColumnHeading"/>
            </w:pPr>
            <w:r w:rsidRPr="00B16DFD">
              <w:t>Ændringsforslag</w:t>
            </w:r>
          </w:p>
        </w:tc>
      </w:tr>
      <w:tr w14:paraId="79D51AC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7C9B573" w14:textId="77777777">
            <w:pPr>
              <w:pStyle w:val="Normal6a"/>
            </w:pPr>
            <w:r w:rsidRPr="00B16DFD">
              <w:t>(40)</w:t>
            </w:r>
            <w:r w:rsidRPr="00B16DFD">
              <w:tab/>
              <w:t>I henhold til afsnit VI i direktiv 2014/65/EU er de nationale kompetente myndigheder i øjeblikket ansvarlige for tilsynet med markedspladser i Unionen. Den 20. marts 2025</w:t>
            </w:r>
            <w:r w:rsidRPr="00B16DFD">
              <w:rPr>
                <w:vertAlign w:val="superscript"/>
              </w:rPr>
              <w:t>22</w:t>
            </w:r>
            <w:r w:rsidRPr="00B16DFD">
              <w:t xml:space="preserve"> vedtog Det Europæiske Råd konklusioner, hvori det opfordrede til at forbedre effektiviteten af tilsynet med Unionens kapitalmarkeder og mindske fragmenteringen heraf. Desuden opfordrede Draghi og Letta i deres rapporter</w:t>
            </w:r>
            <w:r w:rsidRPr="00B16DFD">
              <w:rPr>
                <w:vertAlign w:val="superscript"/>
              </w:rPr>
              <w:t>23</w:t>
            </w:r>
            <w:r w:rsidRPr="00B16DFD">
              <w:t xml:space="preserve"> til et mere integreret tilsyn på EU-plan. For at mindske fragmenteringen og fremme konsekvens i tilsynsresultaterne til støtte for oprettelsen af en opsparings- og investeringsunion bør ESMA tillægges direkte tilsynsbeføjelser for </w:t>
            </w:r>
            <w:r w:rsidRPr="00B16DFD">
              <w:rPr>
                <w:b/>
                <w:i/>
              </w:rPr>
              <w:t>signifikante</w:t>
            </w:r>
            <w:r w:rsidRPr="00B16DFD">
              <w:t xml:space="preserve"> markedspladser </w:t>
            </w:r>
            <w:r w:rsidRPr="00B16DFD">
              <w:rPr>
                <w:b/>
                <w:i/>
              </w:rPr>
              <w:t>med en vigtig grænseoverskridende dimension</w:t>
            </w:r>
            <w:r w:rsidRPr="00B16DFD">
              <w:t xml:space="preserve">. ESMA bør også have direkte tilsynsbeføjelser over for PEMO'er. </w:t>
            </w:r>
            <w:r w:rsidRPr="00B16DFD">
              <w:rPr>
                <w:b/>
                <w:i/>
              </w:rPr>
              <w:t>For at afgøre, hvad der skal forstås ved "signifikante markedspladser", er det nødvendigt at fastsætte specifikke betingelser. For at undgå flere tilsynsmyndigheder for enheder inden for samme koncern er det også nødvendigt at sikre, at alle enheder, der driver markedspladser inden for samme koncern, bliver underlagt ESMA's tilsyn, når en enhed i den pågældende koncern opfylder betingelserne for at være en signifikant markedsplads. Tilsvarende bør alle enheder, der driver markedspladser i koncernen, hvor mindst én CCP eller CSD er underlagt ESMA's tilsyn, også være underlagt ESMA's tilsyn.</w:t>
            </w:r>
          </w:p>
        </w:tc>
        <w:tc>
          <w:tcPr>
            <w:tcW w:w="4876" w:type="dxa"/>
            <w:tcBorders>
              <w:top w:val="nil"/>
              <w:left w:val="nil"/>
              <w:bottom w:val="nil"/>
              <w:right w:val="nil"/>
            </w:tcBorders>
            <w:hideMark/>
          </w:tcPr>
          <w:p w:rsidR="00365C9B" w:rsidRPr="00B16DFD" w:rsidP="00F61C80" w14:paraId="6042B2E0" w14:textId="77777777">
            <w:pPr>
              <w:pStyle w:val="Normal6a"/>
            </w:pPr>
            <w:r w:rsidRPr="00B16DFD">
              <w:t>(40)</w:t>
            </w:r>
            <w:r w:rsidRPr="00B16DFD">
              <w:tab/>
              <w:t>I henhold til afsnit VI i direktiv 2014/65/EU er de nationale kompetente myndigheder i øjeblikket ansvarlige for tilsynet med markedspladser i Unionen. Den 20. marts 2025</w:t>
            </w:r>
            <w:r w:rsidRPr="00B16DFD">
              <w:rPr>
                <w:vertAlign w:val="superscript"/>
              </w:rPr>
              <w:t>22</w:t>
            </w:r>
            <w:r w:rsidRPr="00B16DFD">
              <w:t xml:space="preserve"> vedtog Det Europæiske Råd konklusioner, hvori det opfordrede til at forbedre effektiviteten af tilsynet med Unionens kapitalmarkeder og mindske fragmenteringen heraf. Desuden opfordrede Draghi og Letta i deres rapporter</w:t>
            </w:r>
            <w:r w:rsidRPr="00B16DFD">
              <w:rPr>
                <w:vertAlign w:val="superscript"/>
              </w:rPr>
              <w:t>23</w:t>
            </w:r>
            <w:r w:rsidRPr="00B16DFD">
              <w:t xml:space="preserve"> til et mere integreret tilsyn på EU-plan. For at mindske fragmenteringen og fremme konsekvens i tilsynsresultaterne til støtte for oprettelsen af en opsparings- og investeringsunion bør ESMA tillægges direkte tilsynsbeføjelser for markedspladser. ESMA bør også have direkte tilsynsbeføjelser over for PEMO'er.</w:t>
            </w:r>
          </w:p>
        </w:tc>
      </w:tr>
      <w:tr w14:paraId="344DCCC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F706714" w14:textId="77777777">
            <w:pPr>
              <w:pStyle w:val="Normal6a"/>
            </w:pPr>
            <w:r w:rsidRPr="00B16DFD">
              <w:rPr>
                <w:b/>
                <w:i/>
              </w:rPr>
              <w:t>_________________</w:t>
            </w:r>
          </w:p>
        </w:tc>
        <w:tc>
          <w:tcPr>
            <w:tcW w:w="4876" w:type="dxa"/>
            <w:tcBorders>
              <w:top w:val="nil"/>
              <w:left w:val="nil"/>
              <w:bottom w:val="nil"/>
              <w:right w:val="nil"/>
            </w:tcBorders>
            <w:hideMark/>
          </w:tcPr>
          <w:p w:rsidR="00365C9B" w:rsidRPr="00B16DFD" w:rsidP="00F61C80" w14:paraId="162F6BF8" w14:textId="77777777">
            <w:pPr>
              <w:pStyle w:val="Normal6a"/>
            </w:pPr>
            <w:r w:rsidRPr="00B16DFD">
              <w:rPr>
                <w:b/>
                <w:i/>
              </w:rPr>
              <w:t>_________________</w:t>
            </w:r>
          </w:p>
        </w:tc>
      </w:tr>
      <w:tr w14:paraId="23BDA64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7B4E2C7" w14:textId="77777777">
            <w:pPr>
              <w:pStyle w:val="Normal6a"/>
            </w:pPr>
            <w:r w:rsidRPr="00B16DFD">
              <w:rPr>
                <w:vertAlign w:val="superscript"/>
              </w:rPr>
              <w:t>22</w:t>
            </w:r>
            <w:r w:rsidRPr="00B16DFD">
              <w:t xml:space="preserve"> Det Europæiske Råds møde (20. marts 2025) – konklusioner.</w:t>
            </w:r>
          </w:p>
        </w:tc>
        <w:tc>
          <w:tcPr>
            <w:tcW w:w="4876" w:type="dxa"/>
            <w:tcBorders>
              <w:top w:val="nil"/>
              <w:left w:val="nil"/>
              <w:bottom w:val="nil"/>
              <w:right w:val="nil"/>
            </w:tcBorders>
            <w:hideMark/>
          </w:tcPr>
          <w:p w:rsidR="00365C9B" w:rsidRPr="00B16DFD" w:rsidP="00F61C80" w14:paraId="616CBDE3" w14:textId="77777777">
            <w:pPr>
              <w:pStyle w:val="Normal6a"/>
            </w:pPr>
            <w:r w:rsidRPr="00B16DFD">
              <w:rPr>
                <w:vertAlign w:val="superscript"/>
              </w:rPr>
              <w:t>22</w:t>
            </w:r>
            <w:r w:rsidRPr="00B16DFD">
              <w:t xml:space="preserve"> Det Europæiske Råds møde (20. marts 2025) – konklusioner.</w:t>
            </w:r>
          </w:p>
        </w:tc>
      </w:tr>
      <w:tr w14:paraId="19FD33D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734CAA" w:rsidP="00F61C80" w14:paraId="3D9FB799" w14:textId="77777777">
            <w:pPr>
              <w:pStyle w:val="Normal6a"/>
              <w:rPr>
                <w:lang w:val="en-GB"/>
              </w:rPr>
            </w:pPr>
            <w:r w:rsidRPr="00734CAA">
              <w:rPr>
                <w:vertAlign w:val="superscript"/>
                <w:lang w:val="en-GB"/>
              </w:rPr>
              <w:t>23</w:t>
            </w:r>
            <w:r w:rsidRPr="00734CAA">
              <w:rPr>
                <w:lang w:val="en-GB"/>
              </w:rPr>
              <w:t xml:space="preserve"> The Draghi Report on Competitiveness, September 2024Enrico Letta – Much more </w:t>
            </w:r>
            <w:r w:rsidRPr="00734CAA">
              <w:rPr>
                <w:lang w:val="en-GB"/>
              </w:rPr>
              <w:t>than a market, April 2024</w:t>
            </w:r>
          </w:p>
        </w:tc>
        <w:tc>
          <w:tcPr>
            <w:tcW w:w="4876" w:type="dxa"/>
            <w:tcBorders>
              <w:top w:val="nil"/>
              <w:left w:val="nil"/>
              <w:bottom w:val="nil"/>
              <w:right w:val="nil"/>
            </w:tcBorders>
            <w:hideMark/>
          </w:tcPr>
          <w:p w:rsidR="00365C9B" w:rsidRPr="00734CAA" w:rsidP="00F61C80" w14:paraId="335333F6" w14:textId="77777777">
            <w:pPr>
              <w:pStyle w:val="Normal6a"/>
              <w:rPr>
                <w:lang w:val="en-GB"/>
              </w:rPr>
            </w:pPr>
            <w:r w:rsidRPr="00734CAA">
              <w:rPr>
                <w:vertAlign w:val="superscript"/>
                <w:lang w:val="en-GB"/>
              </w:rPr>
              <w:t>23</w:t>
            </w:r>
            <w:r w:rsidRPr="00734CAA">
              <w:rPr>
                <w:lang w:val="en-GB"/>
              </w:rPr>
              <w:t xml:space="preserve"> The Draghi Report on Competitiveness, September 2024Enrico Letta – Much more </w:t>
            </w:r>
            <w:r w:rsidRPr="00734CAA">
              <w:rPr>
                <w:lang w:val="en-GB"/>
              </w:rPr>
              <w:t>than a market, April 2024</w:t>
            </w:r>
          </w:p>
        </w:tc>
      </w:tr>
    </w:tbl>
    <w:p w:rsidR="00365C9B" w:rsidRPr="00734CAA" w:rsidP="00365C9B" w14:paraId="21BB9AC6"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52D7094" w14:textId="77777777">
      <w:pPr>
        <w:rPr>
          <w:lang w:val="en-GB"/>
        </w:rPr>
      </w:pPr>
      <w:r w:rsidRPr="00734CAA">
        <w:rPr>
          <w:rStyle w:val="HideTWBExt"/>
          <w:color w:val="auto"/>
          <w:lang w:val="en-GB"/>
        </w:rPr>
        <w:t>&lt;/Amend&gt;</w:t>
      </w:r>
    </w:p>
    <w:p w:rsidR="00365C9B" w:rsidRPr="00734CAA" w:rsidP="00365C9B" w14:paraId="429393F6"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275</w:t>
      </w:r>
      <w:r w:rsidRPr="00734CAA">
        <w:rPr>
          <w:rStyle w:val="HideTWBExt"/>
          <w:color w:val="auto"/>
          <w:lang w:val="en-GB"/>
        </w:rPr>
        <w:t>&lt;/NumAm&gt;</w:t>
      </w:r>
    </w:p>
    <w:p w:rsidR="00365C9B" w:rsidRPr="00734CAA" w:rsidP="00365C9B" w14:paraId="32A029BF"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456E5502" w14:textId="77777777">
      <w:pPr>
        <w:pStyle w:val="NormalBold"/>
      </w:pPr>
      <w:r w:rsidRPr="00B16DFD">
        <w:rPr>
          <w:rStyle w:val="HideTWBExt"/>
          <w:b w:val="0"/>
          <w:color w:val="auto"/>
        </w:rPr>
        <w:t>&lt;/RepeatBlock-By&gt;</w:t>
      </w:r>
    </w:p>
    <w:p w:rsidR="00365C9B" w:rsidRPr="00B16DFD" w:rsidP="00365C9B" w14:paraId="34C018A6"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487E79DC" w14:textId="77777777">
      <w:pPr>
        <w:pStyle w:val="NormalBold"/>
      </w:pPr>
      <w:r w:rsidRPr="00B16DFD">
        <w:rPr>
          <w:rStyle w:val="HideTWBExt"/>
          <w:color w:val="auto"/>
        </w:rPr>
        <w:t>&lt;Article&gt;</w:t>
      </w:r>
      <w:r w:rsidRPr="00B16DFD">
        <w:t>Betragtning 41</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5117A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715D9CB" w14:textId="77777777"/>
        </w:tc>
      </w:tr>
      <w:tr w14:paraId="7189B89F"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E05A33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95308EA" w14:textId="77777777">
            <w:pPr>
              <w:pStyle w:val="AmColumnHeading"/>
            </w:pPr>
            <w:r w:rsidRPr="00B16DFD">
              <w:t>Ændringsforslag</w:t>
            </w:r>
          </w:p>
        </w:tc>
      </w:tr>
      <w:tr w14:paraId="2D1D3AD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B7C8DC4" w14:textId="77777777">
            <w:pPr>
              <w:pStyle w:val="Normal6a"/>
            </w:pPr>
            <w:r w:rsidRPr="00B16DFD">
              <w:t>(41)</w:t>
            </w:r>
            <w:r w:rsidRPr="00B16DFD">
              <w:tab/>
              <w:t xml:space="preserve">For at ESMA kan sikre et effektivt tilsyn med PEMO'er og signifikante markedspladser, bør ESMA have de nødvendige tilsynsbeføjelser, herunder beføjelser til at foretage undersøgelser og kontrolbesøg på stedet, pålægge bøder eller tvangsbøder for at bringe en overtrædelse af forordning (EU) nr. 600/2014 til ophør og anmode om de nødvendige oplysninger. </w:t>
            </w:r>
            <w:r w:rsidRPr="00B16DFD">
              <w:rPr>
                <w:b/>
                <w:i/>
              </w:rPr>
              <w:t>For at sikre, at ESMA på passende vis udfører sine tilsynsopgaver over for PEMO'er og signifikante markedspladser, er det vigtigt, at ESMA udfører sådanne opgaver i tæt samarbejde med de nationale tilsynsmyndigheder. For at undgå ineffektive tilsynsmetoder som følge af dobbelttilsyn bør inddragelsen af de nationale tilsynsmyndigheder begrænses til de beføjelser og opgaver, som de udtrykkeligt er tillagt ved forordning (EU) nr. 600/2014 og direktiv 2014/65/EU.</w:t>
            </w:r>
          </w:p>
        </w:tc>
        <w:tc>
          <w:tcPr>
            <w:tcW w:w="4876" w:type="dxa"/>
            <w:tcBorders>
              <w:top w:val="nil"/>
              <w:left w:val="nil"/>
              <w:bottom w:val="nil"/>
              <w:right w:val="nil"/>
            </w:tcBorders>
            <w:hideMark/>
          </w:tcPr>
          <w:p w:rsidR="00365C9B" w:rsidRPr="00B16DFD" w:rsidP="00F61C80" w14:paraId="04578886" w14:textId="77777777">
            <w:pPr>
              <w:pStyle w:val="Normal6a"/>
            </w:pPr>
            <w:r w:rsidRPr="00B16DFD">
              <w:t>(41)</w:t>
            </w:r>
            <w:r w:rsidRPr="00B16DFD">
              <w:tab/>
              <w:t>For at ESMA kan sikre et effektivt tilsyn med PEMO'er og signifikante markedspladser, bør ESMA have de nødvendige tilsynsbeføjelser, herunder beføjelser til at foretage undersøgelser og kontrolbesøg på stedet, pålægge bøder eller tvangsbøder for at bringe en overtrædelse af forordning (EU) nr. 600/2014 til ophør og anmode om de nødvendige oplysninger.</w:t>
            </w:r>
          </w:p>
        </w:tc>
      </w:tr>
    </w:tbl>
    <w:p w:rsidR="00365C9B" w:rsidRPr="00734CAA" w:rsidP="00365C9B" w14:paraId="55684DB5"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D7A0AA6" w14:textId="77777777">
      <w:pPr>
        <w:rPr>
          <w:lang w:val="en-GB"/>
        </w:rPr>
      </w:pPr>
      <w:r w:rsidRPr="00734CAA">
        <w:rPr>
          <w:rStyle w:val="HideTWBExt"/>
          <w:color w:val="auto"/>
          <w:lang w:val="en-GB"/>
        </w:rPr>
        <w:t>&lt;/Amend&gt;</w:t>
      </w:r>
    </w:p>
    <w:p w:rsidR="00365C9B" w:rsidRPr="00734CAA" w:rsidP="00365C9B" w14:paraId="0AEFBF1D"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276</w:t>
      </w:r>
      <w:r w:rsidRPr="00734CAA">
        <w:rPr>
          <w:rStyle w:val="HideTWBExt"/>
          <w:color w:val="auto"/>
          <w:lang w:val="en-GB"/>
        </w:rPr>
        <w:t>&lt;/NumAm&gt;</w:t>
      </w:r>
    </w:p>
    <w:p w:rsidR="00365C9B" w:rsidRPr="00734CAA" w:rsidP="00365C9B" w14:paraId="2A83759B" w14:textId="77777777">
      <w:pPr>
        <w:pStyle w:val="NormalBold"/>
        <w:rPr>
          <w:lang w:val="en-GB"/>
        </w:rPr>
      </w:pPr>
      <w:r w:rsidRPr="00734CAA">
        <w:rPr>
          <w:rStyle w:val="HideTWBExt"/>
          <w:b w:val="0"/>
          <w:color w:val="auto"/>
          <w:lang w:val="en-GB"/>
        </w:rPr>
        <w:t>&lt;RepeatBlock-By&gt;&lt;Members&gt;</w:t>
      </w:r>
      <w:r w:rsidRPr="00734CAA">
        <w:rPr>
          <w:lang w:val="en-GB"/>
        </w:rPr>
        <w:t>Giovanni Crosetto, Francesco Ventola, Mariateresa Vivaldini, Marco Squarta, Denis Nesci</w:t>
      </w:r>
      <w:r w:rsidRPr="00734CAA">
        <w:rPr>
          <w:rStyle w:val="HideTWBExt"/>
          <w:b w:val="0"/>
          <w:color w:val="auto"/>
          <w:lang w:val="en-GB"/>
        </w:rPr>
        <w:t>&lt;/Members&gt;</w:t>
      </w:r>
    </w:p>
    <w:p w:rsidR="00365C9B" w:rsidRPr="00B16DFD" w:rsidP="00365C9B" w14:paraId="10438C62" w14:textId="77777777">
      <w:pPr>
        <w:pStyle w:val="NormalBold"/>
      </w:pPr>
      <w:r w:rsidRPr="00B16DFD">
        <w:rPr>
          <w:rStyle w:val="HideTWBExt"/>
          <w:b w:val="0"/>
          <w:color w:val="auto"/>
        </w:rPr>
        <w:t>&lt;/RepeatBlock-By&gt;</w:t>
      </w:r>
    </w:p>
    <w:p w:rsidR="00365C9B" w:rsidRPr="00B16DFD" w:rsidP="00365C9B" w14:paraId="0A6D539C"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1F2D5081" w14:textId="77777777">
      <w:pPr>
        <w:pStyle w:val="NormalBold"/>
      </w:pPr>
      <w:r w:rsidRPr="00B16DFD">
        <w:rPr>
          <w:rStyle w:val="HideTWBExt"/>
          <w:color w:val="auto"/>
        </w:rPr>
        <w:t>&lt;Article&gt;</w:t>
      </w:r>
      <w:r w:rsidRPr="00B16DFD">
        <w:t>Betragtning 41</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C0EE8C"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8762D9F" w14:textId="77777777"/>
        </w:tc>
      </w:tr>
      <w:tr w14:paraId="65581B85"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C8C5D2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FDDA6E3" w14:textId="77777777">
            <w:pPr>
              <w:pStyle w:val="AmColumnHeading"/>
            </w:pPr>
            <w:r w:rsidRPr="00B16DFD">
              <w:t>Ændringsforslag</w:t>
            </w:r>
          </w:p>
        </w:tc>
      </w:tr>
      <w:tr w14:paraId="7D06DBB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0249AFB" w14:textId="77777777">
            <w:pPr>
              <w:pStyle w:val="Normal6a"/>
            </w:pPr>
            <w:r w:rsidRPr="00B16DFD">
              <w:t>(41)</w:t>
            </w:r>
            <w:r w:rsidRPr="00B16DFD">
              <w:tab/>
              <w:t>For at ESMA kan sikre et effektivt tilsyn med PEMO'er og signifikante markedspladser, bør ESMA have de nødvendige tilsynsbeføjelser, herunder beføjelser til at foretage undersøgelser og kontrolbesøg på stedet, pålægge bøder eller tvangsbøder for at bringe en overtrædelse af forordning (EU) nr. 600/2014 til ophør og anmode om de nødvendige oplysninger. For at sikre, at ESMA på passende vis udfører sine tilsynsopgaver over for PEMO'er og signifikante markedspladser, er det vigtigt, at ESMA udfører sådanne opgaver i tæt samarbejde med de nationale tilsynsmyndigheder. For at undgå ineffektive tilsynsmetoder som følge af dobbelttilsyn bør inddragelsen af de nationale tilsynsmyndigheder begrænses til de beføjelser og opgaver, som de udtrykkeligt er tillagt ved forordning (EU) nr. 600/2014</w:t>
            </w:r>
            <w:r w:rsidRPr="00B16DFD">
              <w:rPr>
                <w:b/>
                <w:i/>
              </w:rPr>
              <w:t xml:space="preserve"> og</w:t>
            </w:r>
            <w:r w:rsidRPr="00B16DFD">
              <w:t xml:space="preserve"> direktiv 2014/65/EU.</w:t>
            </w:r>
          </w:p>
        </w:tc>
        <w:tc>
          <w:tcPr>
            <w:tcW w:w="4876" w:type="dxa"/>
            <w:tcBorders>
              <w:top w:val="nil"/>
              <w:left w:val="nil"/>
              <w:bottom w:val="nil"/>
              <w:right w:val="nil"/>
            </w:tcBorders>
            <w:hideMark/>
          </w:tcPr>
          <w:p w:rsidR="00365C9B" w:rsidRPr="00B16DFD" w:rsidP="00F61C80" w14:paraId="175A449C" w14:textId="5609616C">
            <w:pPr>
              <w:pStyle w:val="Normal6a"/>
            </w:pPr>
            <w:r w:rsidRPr="00B16DFD">
              <w:t>(41)</w:t>
            </w:r>
            <w:r w:rsidRPr="00B16DFD">
              <w:tab/>
              <w:t xml:space="preserve">For at ESMA kan sikre et effektivt tilsyn med PEMO'er og signifikante markedspladser, bør ESMA have de nødvendige tilsynsbeføjelser, herunder beføjelser til at foretage undersøgelser og kontrolbesøg på stedet, pålægge bøder eller tvangsbøder for at bringe en overtrædelse af forordning (EU) nr. 600/2014 til ophør og anmode om de nødvendige oplysninger. For at sikre, at ESMA på passende vis udfører sine tilsynsopgaver over for PEMO'er og signifikante markedspladser, er det vigtigt, at ESMA udfører sådanne opgaver i tæt samarbejde med de nationale tilsynsmyndigheder. </w:t>
            </w:r>
            <w:r w:rsidRPr="00B16DFD">
              <w:rPr>
                <w:b/>
                <w:i/>
              </w:rPr>
              <w:t>Markedsoperatører, herunder PEMO'er, spiller en central rolle med hensyn til at sikre</w:t>
            </w:r>
            <w:r w:rsidR="00CB6039">
              <w:rPr>
                <w:b/>
                <w:i/>
              </w:rPr>
              <w:t xml:space="preserve"> velordnet</w:t>
            </w:r>
            <w:r w:rsidRPr="00B16DFD">
              <w:rPr>
                <w:b/>
                <w:i/>
              </w:rPr>
              <w:t xml:space="preserve"> handel og markedsintegritet og forebygge og afsløre markedsmisbrug i henhold til forordning (EU) nr. 596/2014. De overvåges derfor af de nationale tilsynsmyndigheder i overensstemmelse med nævnte forordning.</w:t>
            </w:r>
            <w:r w:rsidRPr="00B16DFD">
              <w:t xml:space="preserve"> For at undgå ineffektive tilsynsmetoder som følge af dobbelttilsyn bør inddragelsen af de nationale tilsynsmyndigheder begrænses til de beføjelser og opgaver, som de udtrykkeligt er tillagt ved forordning (EU) nr. 600/2014</w:t>
            </w:r>
            <w:r w:rsidRPr="00B16DFD">
              <w:rPr>
                <w:b/>
                <w:i/>
              </w:rPr>
              <w:t>,</w:t>
            </w:r>
            <w:r w:rsidRPr="00B16DFD">
              <w:t xml:space="preserve"> direktiv 2014/65/EU </w:t>
            </w:r>
            <w:r w:rsidRPr="00B16DFD">
              <w:rPr>
                <w:b/>
                <w:i/>
              </w:rPr>
              <w:t>og forordning (EU) nr. 596/2014</w:t>
            </w:r>
            <w:r w:rsidRPr="00B16DFD">
              <w:t>.</w:t>
            </w:r>
          </w:p>
        </w:tc>
      </w:tr>
    </w:tbl>
    <w:p w:rsidR="00365C9B" w:rsidRPr="00734CAA" w:rsidP="00365C9B" w14:paraId="0B277818"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436E566" w14:textId="77777777">
      <w:pPr>
        <w:rPr>
          <w:lang w:val="en-GB"/>
        </w:rPr>
      </w:pPr>
      <w:r w:rsidRPr="00734CAA">
        <w:rPr>
          <w:rStyle w:val="HideTWBExt"/>
          <w:color w:val="auto"/>
          <w:lang w:val="en-GB"/>
        </w:rPr>
        <w:t>&lt;/Amend&gt;</w:t>
      </w:r>
    </w:p>
    <w:p w:rsidR="00365C9B" w:rsidRPr="00734CAA" w:rsidP="00365C9B" w14:paraId="251B7F4A"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277</w:t>
      </w:r>
      <w:r w:rsidRPr="00734CAA">
        <w:rPr>
          <w:rStyle w:val="HideTWBExt"/>
          <w:color w:val="auto"/>
          <w:lang w:val="en-GB"/>
        </w:rPr>
        <w:t>&lt;/NumAm&gt;</w:t>
      </w:r>
    </w:p>
    <w:p w:rsidR="00365C9B" w:rsidRPr="00734CAA" w:rsidP="00365C9B" w14:paraId="2AEEF78D"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2C9BA282"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69B6173C" w14:textId="77777777">
      <w:pPr>
        <w:pStyle w:val="NormalBold"/>
        <w:rPr>
          <w:lang w:val="en-GB"/>
        </w:rPr>
      </w:pPr>
      <w:r w:rsidRPr="00734CAA">
        <w:rPr>
          <w:rStyle w:val="HideTWBExt"/>
          <w:b w:val="0"/>
          <w:color w:val="auto"/>
          <w:lang w:val="en-GB"/>
        </w:rPr>
        <w:t>&lt;/RepeatBlock-By&gt;</w:t>
      </w:r>
    </w:p>
    <w:p w:rsidR="00365C9B" w:rsidRPr="00734CAA" w:rsidP="00365C9B" w14:paraId="09A659FA"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4DD684FD" w14:textId="77777777">
      <w:pPr>
        <w:pStyle w:val="NormalBold"/>
      </w:pPr>
      <w:r w:rsidRPr="00B16DFD">
        <w:rPr>
          <w:rStyle w:val="HideTWBExt"/>
          <w:color w:val="auto"/>
        </w:rPr>
        <w:t>&lt;Article&gt;</w:t>
      </w:r>
      <w:r w:rsidRPr="00B16DFD">
        <w:t>Betragtning 41</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D50B3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9B8CE74" w14:textId="77777777"/>
        </w:tc>
      </w:tr>
      <w:tr w14:paraId="426F9242"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51CE77E"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0E9BFCB" w14:textId="77777777">
            <w:pPr>
              <w:pStyle w:val="AmColumnHeading"/>
            </w:pPr>
            <w:r w:rsidRPr="00B16DFD">
              <w:t>Ændringsforslag</w:t>
            </w:r>
          </w:p>
        </w:tc>
      </w:tr>
      <w:tr w14:paraId="02DD5A1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D4ABAB4" w14:textId="77777777">
            <w:pPr>
              <w:pStyle w:val="Normal6a"/>
            </w:pPr>
            <w:r w:rsidRPr="00B16DFD">
              <w:t>(41)</w:t>
            </w:r>
            <w:r w:rsidRPr="00B16DFD">
              <w:tab/>
              <w:t>For at ESMA kan sikre et effektivt tilsyn med</w:t>
            </w:r>
            <w:r w:rsidRPr="00B16DFD">
              <w:rPr>
                <w:b/>
                <w:i/>
              </w:rPr>
              <w:t xml:space="preserve"> PEMO'er og signifikante</w:t>
            </w:r>
            <w:r w:rsidRPr="00B16DFD">
              <w:t xml:space="preserve"> markedspladser, bør ESMA have de </w:t>
            </w:r>
            <w:r w:rsidRPr="00B16DFD">
              <w:t xml:space="preserve">nødvendige tilsynsbeføjelser, herunder beføjelser til at foretage undersøgelser og kontrolbesøg på stedet, pålægge bøder eller tvangsbøder for at bringe en overtrædelse af forordning (EU) nr. 600/2014 til ophør og anmode om de nødvendige oplysninger. For at sikre, at ESMA på passende vis udfører sine tilsynsopgaver over for </w:t>
            </w:r>
            <w:r w:rsidRPr="00B16DFD">
              <w:rPr>
                <w:b/>
                <w:i/>
              </w:rPr>
              <w:t>PEMO'er og signifikante markedspladser, er det vigtigt,</w:t>
            </w:r>
            <w:r w:rsidRPr="00B16DFD">
              <w:t xml:space="preserve"> at ESMA udfører sådanne opgaver i tæt samarbejde med de nationale tilsynsmyndigheder. For at undgå ineffektive tilsynsmetoder som følge af dobbelttilsyn bør inddragelsen af de nationale tilsynsmyndigheder begrænses til de beføjelser og opgaver, som de udtrykkeligt er tillagt ved forordning (EU) nr. 600/2014 og direktiv 2014/65/EU.</w:t>
            </w:r>
          </w:p>
        </w:tc>
        <w:tc>
          <w:tcPr>
            <w:tcW w:w="4876" w:type="dxa"/>
            <w:tcBorders>
              <w:top w:val="nil"/>
              <w:left w:val="nil"/>
              <w:bottom w:val="nil"/>
              <w:right w:val="nil"/>
            </w:tcBorders>
            <w:hideMark/>
          </w:tcPr>
          <w:p w:rsidR="00365C9B" w:rsidRPr="00B16DFD" w:rsidP="00F61C80" w14:paraId="46E9653B" w14:textId="77777777">
            <w:pPr>
              <w:pStyle w:val="Normal6a"/>
            </w:pPr>
            <w:r w:rsidRPr="00B16DFD">
              <w:t>(41)</w:t>
            </w:r>
            <w:r w:rsidRPr="00B16DFD">
              <w:tab/>
              <w:t xml:space="preserve">For at ESMA kan sikre et effektivt tilsyn med markedspladser, bør ESMA have de nødvendige tilsynsbeføjelser, </w:t>
            </w:r>
            <w:r w:rsidRPr="00B16DFD">
              <w:t>herunder beføjelser til at foretage undersøgelser og kontrolbesøg på stedet, pålægge bøder eller tvangsbøder for at bringe en overtrædelse af forordning (EU) nr. 600/2014 til ophør og anmode om de nødvendige oplysninger. For at sikre, at ESMA på passende vis udfører sine tilsynsopgaver over for markedspladser, er det vigtigt, at ESMA udfører sådanne opgaver i tæt samarbejde med de nationale tilsynsmyndigheder. For at undgå ineffektive tilsynsmetoder som følge af dobbelttilsyn bør inddragelsen af de nationale tilsynsmyndigheder begrænses til de beføjelser og opgaver, som de udtrykkeligt er tillagt ved forordning (EU) nr. 600/2014 og direktiv 2014/65/EU.</w:t>
            </w:r>
          </w:p>
        </w:tc>
      </w:tr>
    </w:tbl>
    <w:p w:rsidR="00365C9B" w:rsidRPr="00734CAA" w:rsidP="00365C9B" w14:paraId="00D6973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3734DC1" w14:textId="77777777">
      <w:pPr>
        <w:rPr>
          <w:lang w:val="en-GB"/>
        </w:rPr>
      </w:pPr>
      <w:r w:rsidRPr="00734CAA">
        <w:rPr>
          <w:rStyle w:val="HideTWBExt"/>
          <w:color w:val="auto"/>
          <w:lang w:val="en-GB"/>
        </w:rPr>
        <w:t>&lt;/Amend&gt;</w:t>
      </w:r>
    </w:p>
    <w:p w:rsidR="00365C9B" w:rsidRPr="00734CAA" w:rsidP="00365C9B" w14:paraId="36E1BB4F"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278</w:t>
      </w:r>
      <w:r w:rsidRPr="00734CAA">
        <w:rPr>
          <w:rStyle w:val="HideTWBExt"/>
          <w:color w:val="auto"/>
          <w:lang w:val="en-GB"/>
        </w:rPr>
        <w:t>&lt;/NumAm&gt;</w:t>
      </w:r>
    </w:p>
    <w:p w:rsidR="00365C9B" w:rsidRPr="00734CAA" w:rsidP="00365C9B" w14:paraId="0CDB9CC5"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6019E797" w14:textId="77777777">
      <w:pPr>
        <w:pStyle w:val="NormalBold"/>
      </w:pPr>
      <w:r w:rsidRPr="00B16DFD">
        <w:rPr>
          <w:rStyle w:val="HideTWBExt"/>
          <w:b w:val="0"/>
          <w:color w:val="auto"/>
        </w:rPr>
        <w:t>&lt;/RepeatBlock-By&gt;</w:t>
      </w:r>
    </w:p>
    <w:p w:rsidR="00365C9B" w:rsidRPr="00B16DFD" w:rsidP="00365C9B" w14:paraId="5CD66445"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27D191CB" w14:textId="77777777">
      <w:pPr>
        <w:pStyle w:val="NormalBold"/>
      </w:pPr>
      <w:r w:rsidRPr="00B16DFD">
        <w:rPr>
          <w:rStyle w:val="HideTWBExt"/>
          <w:color w:val="auto"/>
        </w:rPr>
        <w:t>&lt;Article&gt;</w:t>
      </w:r>
      <w:r w:rsidRPr="00B16DFD">
        <w:t>Betragtning 42</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DC543A"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DD2F3B6" w14:textId="77777777"/>
        </w:tc>
      </w:tr>
      <w:tr w14:paraId="7A5353C4"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F97F70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3EBDB93" w14:textId="77777777">
            <w:pPr>
              <w:pStyle w:val="AmColumnHeading"/>
            </w:pPr>
            <w:r w:rsidRPr="00B16DFD">
              <w:t>Ændringsforslag</w:t>
            </w:r>
          </w:p>
        </w:tc>
      </w:tr>
      <w:tr w14:paraId="6F578F8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9C17D56" w14:textId="77777777">
            <w:pPr>
              <w:pStyle w:val="Normal6a"/>
            </w:pPr>
            <w:r w:rsidRPr="00B16DFD">
              <w:rPr>
                <w:b/>
                <w:i/>
              </w:rPr>
              <w:t>(42)</w:t>
            </w:r>
            <w:r w:rsidRPr="00B16DFD">
              <w:tab/>
            </w:r>
            <w:r w:rsidRPr="00B16DFD">
              <w:rPr>
                <w:b/>
                <w:i/>
              </w:rPr>
              <w:t xml:space="preserve">I betragtning af de nationale tilsynsmyndigheders geografiske nærhed til de lokale økosystemer er det for signifikante markedspladser og PEMO'er nødvendigt, at ansvaret for markedsovervågning og tilsyn med udstedere forbliver hos de myndigheder, der er kompetente på nationalt plan. Selv om ESMA bør være ansvarlig for at håndhæve de regler, der er fastsat i forordning (EU) nr. 600/2014 over for signifikante markedspladser og PEMO'er og, hvor det er relevant, de regler, der er fastsat i direktiv 2014/65/EU, herunder med hensyn til vurderingen af effektive systemer og kontroller, der har til formål at forebygge og opdage markedsmisbrug, </w:t>
            </w:r>
            <w:r w:rsidRPr="00B16DFD">
              <w:rPr>
                <w:b/>
                <w:i/>
              </w:rPr>
              <w:t>eller vurderingen af parametre for at standse handelen, bør de nationale overvågningsmyndigheder derfor bevare visse beføjelser for at sætte disse myndigheder i stand til at udføre markedsovervågningsopgaver eller udføre opgaver, der er nødvendige for at bevare markedets integritet. Disse beføjelser bør omfatte modtagelse af transaktionsdata, mulighed for at anmode om ordrebogsdata eller vedtagelse af hasteforanstaltninger med henblik på at indføre midlertidige handelsstop i nødsituationer eller suspendere finansielle instrumenter fra handel. De nationale overvågningsmyndigheder bør under udøvelsen af deres beføjelser samarbejde tæt med ESMA.</w:t>
            </w:r>
          </w:p>
        </w:tc>
        <w:tc>
          <w:tcPr>
            <w:tcW w:w="4876" w:type="dxa"/>
            <w:tcBorders>
              <w:top w:val="nil"/>
              <w:left w:val="nil"/>
              <w:bottom w:val="nil"/>
              <w:right w:val="nil"/>
            </w:tcBorders>
            <w:hideMark/>
          </w:tcPr>
          <w:p w:rsidR="00365C9B" w:rsidRPr="00B16DFD" w:rsidP="00F61C80" w14:paraId="3EF24540" w14:textId="77777777">
            <w:pPr>
              <w:pStyle w:val="Normal6a"/>
            </w:pPr>
            <w:r w:rsidRPr="00B16DFD">
              <w:rPr>
                <w:b/>
                <w:i/>
              </w:rPr>
              <w:t>udgår</w:t>
            </w:r>
          </w:p>
        </w:tc>
      </w:tr>
    </w:tbl>
    <w:p w:rsidR="00365C9B" w:rsidRPr="00B16DFD" w:rsidP="00365C9B" w14:paraId="0D2906E2"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79F9B66F" w14:textId="77777777">
      <w:r w:rsidRPr="00B16DFD">
        <w:rPr>
          <w:rStyle w:val="HideTWBExt"/>
          <w:color w:val="auto"/>
        </w:rPr>
        <w:t>&lt;/Amend&gt;</w:t>
      </w:r>
    </w:p>
    <w:p w:rsidR="00365C9B" w:rsidRPr="00B16DFD" w:rsidP="00365C9B" w14:paraId="2BD33B66"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279</w:t>
      </w:r>
      <w:r w:rsidRPr="00B16DFD">
        <w:rPr>
          <w:rStyle w:val="HideTWBExt"/>
          <w:color w:val="auto"/>
        </w:rPr>
        <w:t>&lt;/NumAm&gt;</w:t>
      </w:r>
    </w:p>
    <w:p w:rsidR="00365C9B" w:rsidRPr="00734CAA" w:rsidP="00365C9B" w14:paraId="619A8F45" w14:textId="77777777">
      <w:pPr>
        <w:pStyle w:val="NormalBold"/>
        <w:rPr>
          <w:lang w:val="it-IT"/>
        </w:rPr>
      </w:pPr>
      <w:r w:rsidRPr="00734CAA">
        <w:rPr>
          <w:rStyle w:val="HideTWBExt"/>
          <w:b w:val="0"/>
          <w:color w:val="auto"/>
          <w:lang w:val="it-IT"/>
        </w:rPr>
        <w:t>&lt;RepeatBlock-By&gt;&lt;Members&gt;</w:t>
      </w:r>
      <w:r w:rsidRPr="00734CAA">
        <w:rPr>
          <w:lang w:val="it-IT"/>
        </w:rPr>
        <w:t>Giovanni Crosetto, Francesco Ventola, Mariateresa Vivaldini, Marco Squarta, Denis Nesci</w:t>
      </w:r>
      <w:r w:rsidRPr="00734CAA">
        <w:rPr>
          <w:rStyle w:val="HideTWBExt"/>
          <w:b w:val="0"/>
          <w:color w:val="auto"/>
          <w:lang w:val="it-IT"/>
        </w:rPr>
        <w:t>&lt;/Members&gt;</w:t>
      </w:r>
    </w:p>
    <w:p w:rsidR="00365C9B" w:rsidRPr="00B16DFD" w:rsidP="00365C9B" w14:paraId="01773465" w14:textId="77777777">
      <w:pPr>
        <w:pStyle w:val="NormalBold"/>
      </w:pPr>
      <w:r w:rsidRPr="00B16DFD">
        <w:rPr>
          <w:rStyle w:val="HideTWBExt"/>
          <w:b w:val="0"/>
          <w:color w:val="auto"/>
        </w:rPr>
        <w:t>&lt;/RepeatBlock-By&gt;</w:t>
      </w:r>
    </w:p>
    <w:p w:rsidR="00365C9B" w:rsidRPr="00B16DFD" w:rsidP="00365C9B" w14:paraId="5521B080"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087D05FB" w14:textId="77777777">
      <w:pPr>
        <w:pStyle w:val="NormalBold"/>
      </w:pPr>
      <w:r w:rsidRPr="00B16DFD">
        <w:rPr>
          <w:rStyle w:val="HideTWBExt"/>
          <w:color w:val="auto"/>
        </w:rPr>
        <w:t>&lt;Article&gt;</w:t>
      </w:r>
      <w:r w:rsidRPr="00B16DFD">
        <w:t>Betragtning 42</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FBD880"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F5B2734" w14:textId="77777777"/>
        </w:tc>
      </w:tr>
      <w:tr w14:paraId="506409FA"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6AD5B7A"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39B1AE7" w14:textId="77777777">
            <w:pPr>
              <w:pStyle w:val="AmColumnHeading"/>
            </w:pPr>
            <w:r w:rsidRPr="00B16DFD">
              <w:t>Ændringsforslag</w:t>
            </w:r>
          </w:p>
        </w:tc>
      </w:tr>
      <w:tr w14:paraId="43D5139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8DF918A" w14:textId="77777777">
            <w:pPr>
              <w:pStyle w:val="Normal6a"/>
            </w:pPr>
            <w:r w:rsidRPr="00B16DFD">
              <w:t>(42)</w:t>
            </w:r>
            <w:r w:rsidRPr="00B16DFD">
              <w:tab/>
              <w:t xml:space="preserve">I betragtning af de nationale tilsynsmyndigheders geografiske nærhed til de lokale økosystemer er det for signifikante markedspladser og PEMO'er nødvendigt, at ansvaret for markedsovervågning og tilsyn med udstedere forbliver hos de myndigheder, der er kompetente på nationalt plan. Selv om ESMA bør være ansvarlig for at håndhæve de regler, der er fastsat i forordning (EU) nr. 600/2014 over for signifikante markedspladser og PEMO'er og, hvor det er relevant, de regler, der er fastsat i direktiv 2014/65/EU, herunder med hensyn til vurderingen af effektive systemer og kontroller, der har til formål at forebygge og opdage markedsmisbrug, </w:t>
            </w:r>
            <w:r w:rsidRPr="00B16DFD">
              <w:t>eller vurderingen af parametre for at standse handelen, bør de nationale overvågningsmyndigheder derfor bevare visse beføjelser for at sætte disse myndigheder i stand til at udføre markedsovervågningsopgaver eller udføre opgaver, der er nødvendige for at bevare markedets integritet. Disse beføjelser bør omfatte modtagelse af transaktionsdata, mulighed for at anmode om ordrebogsdata eller vedtagelse af hasteforanstaltninger med henblik på at indføre midlertidige handelsstop i nødsituationer eller suspendere finansielle instrumenter fra handel. De nationale overvågningsmyndigheder bør under udøvelsen af deres beføjelser samarbejde tæt med ESMA.</w:t>
            </w:r>
          </w:p>
        </w:tc>
        <w:tc>
          <w:tcPr>
            <w:tcW w:w="4876" w:type="dxa"/>
            <w:tcBorders>
              <w:top w:val="nil"/>
              <w:left w:val="nil"/>
              <w:bottom w:val="nil"/>
              <w:right w:val="nil"/>
            </w:tcBorders>
            <w:hideMark/>
          </w:tcPr>
          <w:p w:rsidR="00365C9B" w:rsidRPr="00B16DFD" w:rsidP="00F61C80" w14:paraId="23DF2D2E" w14:textId="18767380">
            <w:pPr>
              <w:pStyle w:val="Normal6a"/>
            </w:pPr>
            <w:r w:rsidRPr="00B16DFD">
              <w:t>(42)</w:t>
            </w:r>
            <w:r w:rsidRPr="00B16DFD">
              <w:tab/>
              <w:t xml:space="preserve">I betragtning af de nationale tilsynsmyndigheders geografiske nærhed til de lokale økosystemer </w:t>
            </w:r>
            <w:r w:rsidRPr="00B16DFD">
              <w:rPr>
                <w:b/>
                <w:i/>
              </w:rPr>
              <w:t xml:space="preserve">og deres mandat til at sikre markedsintegritet i henhold til forordning (EU) nr. 596/2014 </w:t>
            </w:r>
            <w:r w:rsidRPr="00B16DFD">
              <w:t xml:space="preserve">er det for signifikante markedspladser og PEMO'er nødvendigt, at ansvaret for markedsovervågning og tilsyn med udstedere forbliver hos de myndigheder, der er kompetente på nationalt plan. Selv om ESMA bør være ansvarlig for at håndhæve de regler, der er fastsat i forordning (EU) nr. 600/2014 over for signifikante markedspladser og PEMO'er og, hvor det er relevant, de regler, der er fastsat i direktiv 2014/65/EU, herunder med hensyn til vurderingen af effektive </w:t>
            </w:r>
            <w:r w:rsidRPr="00B16DFD">
              <w:t>systemer og kontroller, der har til formål at forebygge og opdage markedsmisbrug, eller vurderingen af parametre for at standse handelen, bør de nationale overvågningsmyndigheder derfor bevare visse beføjelser for at sætte disse myndigheder i stand til at udføre markedsovervågningsopgaver eller udføre opgaver, der er nødvendige for at bevare markedets integritet</w:t>
            </w:r>
            <w:r w:rsidRPr="00B16DFD">
              <w:rPr>
                <w:b/>
                <w:i/>
              </w:rPr>
              <w:t>, også i henhold til forordning (EU) nr. 600/2014</w:t>
            </w:r>
            <w:r w:rsidRPr="00B16DFD">
              <w:t xml:space="preserve">. Disse beføjelser bør omfatte modtagelse af transaktionsdata, mulighed for at anmode om ordrebogsdata eller vedtagelse af hasteforanstaltninger med henblik på at indføre midlertidige handelsstop i nødsituationer eller suspendere finansielle instrumenter fra handel. </w:t>
            </w:r>
            <w:r w:rsidRPr="00B16DFD">
              <w:rPr>
                <w:b/>
                <w:i/>
              </w:rPr>
              <w:t>Desuden bør de nationale tilsynsmyndigheder inddrages i tilstrækkelig grad i tilsynet med de organisatoriske ordninger, systemer, kontroller og funktioner, der er direkte relevante for opdagelse, forebyggelse og efterforskning af markedsmisbrug og opretholdelse af</w:t>
            </w:r>
            <w:r w:rsidR="00CB6039">
              <w:rPr>
                <w:b/>
                <w:i/>
              </w:rPr>
              <w:t xml:space="preserve"> velordnede</w:t>
            </w:r>
            <w:r w:rsidRPr="00B16DFD">
              <w:rPr>
                <w:b/>
                <w:i/>
              </w:rPr>
              <w:t xml:space="preserve"> handelsvilkår.</w:t>
            </w:r>
            <w:r w:rsidRPr="00B16DFD">
              <w:t xml:space="preserve"> De nationale overvågningsmyndigheder bør under udøvelsen af deres beføjelser samarbejde tæt med ESMA.</w:t>
            </w:r>
          </w:p>
        </w:tc>
      </w:tr>
    </w:tbl>
    <w:p w:rsidR="00365C9B" w:rsidRPr="00734CAA" w:rsidP="00365C9B" w14:paraId="605CF4BF"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9263760" w14:textId="77777777">
      <w:pPr>
        <w:rPr>
          <w:lang w:val="en-GB"/>
        </w:rPr>
      </w:pPr>
      <w:r w:rsidRPr="00734CAA">
        <w:rPr>
          <w:rStyle w:val="HideTWBExt"/>
          <w:color w:val="auto"/>
          <w:lang w:val="en-GB"/>
        </w:rPr>
        <w:t>&lt;/Amend&gt;</w:t>
      </w:r>
    </w:p>
    <w:p w:rsidR="00365C9B" w:rsidRPr="00734CAA" w:rsidP="00365C9B" w14:paraId="3F660BF8"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280</w:t>
      </w:r>
      <w:r w:rsidRPr="00734CAA">
        <w:rPr>
          <w:rStyle w:val="HideTWBExt"/>
          <w:color w:val="auto"/>
          <w:lang w:val="en-GB"/>
        </w:rPr>
        <w:t>&lt;/NumAm&gt;</w:t>
      </w:r>
    </w:p>
    <w:p w:rsidR="00365C9B" w:rsidRPr="00734CAA" w:rsidP="00365C9B" w14:paraId="48E6051B"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3B5EC722"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3E0A3386" w14:textId="77777777">
      <w:pPr>
        <w:pStyle w:val="NormalBold"/>
        <w:rPr>
          <w:lang w:val="en-GB"/>
        </w:rPr>
      </w:pPr>
      <w:r w:rsidRPr="00734CAA">
        <w:rPr>
          <w:rStyle w:val="HideTWBExt"/>
          <w:b w:val="0"/>
          <w:color w:val="auto"/>
          <w:lang w:val="en-GB"/>
        </w:rPr>
        <w:t>&lt;/RepeatBlock-By&gt;</w:t>
      </w:r>
    </w:p>
    <w:p w:rsidR="00365C9B" w:rsidRPr="00734CAA" w:rsidP="00365C9B" w14:paraId="28678328"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261F6974" w14:textId="77777777">
      <w:pPr>
        <w:pStyle w:val="NormalBold"/>
      </w:pPr>
      <w:r w:rsidRPr="00B16DFD">
        <w:rPr>
          <w:rStyle w:val="HideTWBExt"/>
          <w:color w:val="auto"/>
        </w:rPr>
        <w:t>&lt;Article&gt;</w:t>
      </w:r>
      <w:r w:rsidRPr="00B16DFD">
        <w:t>Betragtning 42</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E2741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E1D4B67" w14:textId="77777777"/>
        </w:tc>
      </w:tr>
      <w:tr w14:paraId="38432E5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E8CE06F"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D8AFE1B" w14:textId="77777777">
            <w:pPr>
              <w:pStyle w:val="AmColumnHeading"/>
            </w:pPr>
            <w:r w:rsidRPr="00B16DFD">
              <w:t>Ændringsforslag</w:t>
            </w:r>
          </w:p>
        </w:tc>
      </w:tr>
      <w:tr w14:paraId="22240D25"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455CC53" w14:textId="77777777">
            <w:pPr>
              <w:pStyle w:val="Normal6a"/>
            </w:pPr>
            <w:r w:rsidRPr="00B16DFD">
              <w:t>(42)</w:t>
            </w:r>
            <w:r w:rsidRPr="00B16DFD">
              <w:tab/>
              <w:t xml:space="preserve">I betragtning af de nationale tilsynsmyndigheders geografiske nærhed til de lokale økosystemer er det </w:t>
            </w:r>
            <w:r w:rsidRPr="00B16DFD">
              <w:rPr>
                <w:b/>
                <w:i/>
              </w:rPr>
              <w:t>for signifikante markedspladser og PEMO'er</w:t>
            </w:r>
            <w:r w:rsidRPr="00B16DFD">
              <w:t xml:space="preserve"> nødvendigt, at ansvaret for markedsovervågning og tilsyn med udstedere forbliver hos de myndigheder, </w:t>
            </w:r>
            <w:r w:rsidRPr="00B16DFD">
              <w:t xml:space="preserve">der er kompetente på nationalt plan. Selv om ESMA bør være ansvarlig for at håndhæve de regler, der er fastsat i forordning (EU) nr. 600/2014 over for </w:t>
            </w:r>
            <w:r w:rsidRPr="00B16DFD">
              <w:rPr>
                <w:b/>
                <w:i/>
              </w:rPr>
              <w:t>signifikante</w:t>
            </w:r>
            <w:r w:rsidRPr="00B16DFD">
              <w:t xml:space="preserve"> markedspladser </w:t>
            </w:r>
            <w:r w:rsidRPr="00B16DFD">
              <w:rPr>
                <w:b/>
                <w:i/>
              </w:rPr>
              <w:t>og PEMO'er</w:t>
            </w:r>
            <w:r w:rsidRPr="00B16DFD">
              <w:t xml:space="preserve"> og, hvor det er relevant, de regler, der er fastsat i direktiv 2014/65/EU, herunder med hensyn til vurderingen af effektive systemer og kontroller, der har til formål at forebygge og opdage markedsmisbrug, eller vurderingen af parametre for at standse handelen, bør de nationale overvågningsmyndigheder derfor bevare visse beføjelser for at sætte disse myndigheder i stand til at udføre markedsovervågningsopgaver eller udføre opgaver, der er nødvendige for at bevare markedets integritet. Disse beføjelser bør omfatte modtagelse af transaktionsdata, mulighed for at anmode om ordrebogsdata eller vedtagelse af hasteforanstaltninger med henblik på at indføre midlertidige handelsstop i nødsituationer eller suspendere finansielle instrumenter fra handel. De nationale overvågningsmyndigheder bør under udøvelsen af deres beføjelser samarbejde tæt med ESMA.</w:t>
            </w:r>
          </w:p>
        </w:tc>
        <w:tc>
          <w:tcPr>
            <w:tcW w:w="4876" w:type="dxa"/>
            <w:tcBorders>
              <w:top w:val="nil"/>
              <w:left w:val="nil"/>
              <w:bottom w:val="nil"/>
              <w:right w:val="nil"/>
            </w:tcBorders>
            <w:hideMark/>
          </w:tcPr>
          <w:p w:rsidR="00365C9B" w:rsidRPr="00B16DFD" w:rsidP="00F61C80" w14:paraId="6A8C4445" w14:textId="77777777">
            <w:pPr>
              <w:pStyle w:val="Normal6a"/>
            </w:pPr>
            <w:r w:rsidRPr="00B16DFD">
              <w:t>(42)</w:t>
            </w:r>
            <w:r w:rsidRPr="00B16DFD">
              <w:tab/>
              <w:t xml:space="preserve">I betragtning af de nationale tilsynsmyndigheders geografiske nærhed til de lokale økosystemer er det nødvendigt, at ansvaret for markedsovervågning og tilsyn med udstedere forbliver hos de myndigheder, der er kompetente på nationalt plan. Selv om ESMA bør være </w:t>
            </w:r>
            <w:r w:rsidRPr="00B16DFD">
              <w:t>ansvarlig for at håndhæve de regler, der er fastsat i forordning (EU) nr. 600/2014 over for markedspladser og, hvor det er relevant, de regler, der er fastsat i direktiv 2014/65/EU, herunder med hensyn til vurderingen af effektive systemer og kontroller, der har til formål at forebygge og opdage markedsmisbrug, eller vurderingen af parametre for at standse handelen, bør de nationale overvågningsmyndigheder derfor bevare visse beføjelser for at sætte disse myndigheder i stand til at udføre markedsovervågningsopgaver eller udføre opgaver, der er nødvendige for at bevare markedets integritet. Disse beføjelser bør omfatte modtagelse af transaktionsdata, mulighed for at anmode om ordrebogsdata eller vedtagelse af hasteforanstaltninger med henblik på at indføre midlertidige handelsstop i nødsituationer eller suspendere finansielle instrumenter fra handel. De nationale overvågningsmyndigheder bør under udøvelsen af deres beføjelser samarbejde tæt med ESMA.</w:t>
            </w:r>
          </w:p>
        </w:tc>
      </w:tr>
    </w:tbl>
    <w:p w:rsidR="00365C9B" w:rsidRPr="00734CAA" w:rsidP="00365C9B" w14:paraId="5C190481"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6CEAE51" w14:textId="77777777">
      <w:pPr>
        <w:rPr>
          <w:lang w:val="en-GB"/>
        </w:rPr>
      </w:pPr>
      <w:r w:rsidRPr="00734CAA">
        <w:rPr>
          <w:rStyle w:val="HideTWBExt"/>
          <w:color w:val="auto"/>
          <w:lang w:val="en-GB"/>
        </w:rPr>
        <w:t>&lt;/Amend&gt;</w:t>
      </w:r>
    </w:p>
    <w:p w:rsidR="00365C9B" w:rsidRPr="00734CAA" w:rsidP="00365C9B" w14:paraId="518702DC"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281</w:t>
      </w:r>
      <w:r w:rsidRPr="00734CAA">
        <w:rPr>
          <w:rStyle w:val="HideTWBExt"/>
          <w:color w:val="auto"/>
          <w:lang w:val="en-GB"/>
        </w:rPr>
        <w:t>&lt;/NumAm&gt;</w:t>
      </w:r>
    </w:p>
    <w:p w:rsidR="00365C9B" w:rsidRPr="00734CAA" w:rsidP="00365C9B" w14:paraId="43858A30" w14:textId="77777777">
      <w:pPr>
        <w:pStyle w:val="NormalBold"/>
        <w:rPr>
          <w:lang w:val="en-GB"/>
        </w:rPr>
      </w:pPr>
      <w:r w:rsidRPr="00734CAA">
        <w:rPr>
          <w:rStyle w:val="HideTWBExt"/>
          <w:b w:val="0"/>
          <w:color w:val="auto"/>
          <w:lang w:val="en-GB"/>
        </w:rPr>
        <w:t>&lt;RepeatBlock-By&gt;&lt;Members&gt;</w:t>
      </w:r>
      <w:r w:rsidRPr="00734CAA">
        <w:rPr>
          <w:lang w:val="en-GB"/>
        </w:rPr>
        <w:t>Gaetano Pedulla'</w:t>
      </w:r>
      <w:r w:rsidRPr="00734CAA">
        <w:rPr>
          <w:rStyle w:val="HideTWBExt"/>
          <w:b w:val="0"/>
          <w:color w:val="auto"/>
          <w:lang w:val="en-GB"/>
        </w:rPr>
        <w:t>&lt;/Members&gt;</w:t>
      </w:r>
    </w:p>
    <w:p w:rsidR="00365C9B" w:rsidRPr="00B16DFD" w:rsidP="00365C9B" w14:paraId="75132C3A" w14:textId="77777777">
      <w:pPr>
        <w:pStyle w:val="NormalBold"/>
      </w:pPr>
      <w:r w:rsidRPr="00B16DFD">
        <w:rPr>
          <w:rStyle w:val="HideTWBExt"/>
          <w:b w:val="0"/>
          <w:color w:val="auto"/>
        </w:rPr>
        <w:t>&lt;/RepeatBlock-By&gt;</w:t>
      </w:r>
    </w:p>
    <w:p w:rsidR="00365C9B" w:rsidRPr="00B16DFD" w:rsidP="00365C9B" w14:paraId="7B949046"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0D6FBA27" w14:textId="77777777">
      <w:pPr>
        <w:pStyle w:val="NormalBold"/>
      </w:pPr>
      <w:r w:rsidRPr="00B16DFD">
        <w:rPr>
          <w:rStyle w:val="HideTWBExt"/>
          <w:color w:val="auto"/>
        </w:rPr>
        <w:t>&lt;Article&gt;</w:t>
      </w:r>
      <w:r w:rsidRPr="00B16DFD">
        <w:t>Betragtning 42</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AEF5F"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245333A" w14:textId="77777777"/>
        </w:tc>
      </w:tr>
      <w:tr w14:paraId="4DC12FA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B4DC4F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188F239" w14:textId="77777777">
            <w:pPr>
              <w:pStyle w:val="AmColumnHeading"/>
            </w:pPr>
            <w:r w:rsidRPr="00B16DFD">
              <w:t>Ændringsforslag</w:t>
            </w:r>
          </w:p>
        </w:tc>
      </w:tr>
      <w:tr w14:paraId="5EE410C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74ED7D1" w14:textId="77777777">
            <w:pPr>
              <w:pStyle w:val="Normal6a"/>
            </w:pPr>
            <w:r w:rsidRPr="00B16DFD">
              <w:t>(42)</w:t>
            </w:r>
            <w:r w:rsidRPr="00B16DFD">
              <w:tab/>
            </w:r>
            <w:r w:rsidRPr="00B16DFD">
              <w:rPr>
                <w:b/>
                <w:i/>
              </w:rPr>
              <w:t xml:space="preserve">I betragtning af de nationale tilsynsmyndigheders geografiske nærhed til de lokale økosystemer er det for </w:t>
            </w:r>
            <w:r w:rsidRPr="00B16DFD">
              <w:t xml:space="preserve">signifikante markedspladser </w:t>
            </w:r>
            <w:r w:rsidRPr="00B16DFD">
              <w:rPr>
                <w:b/>
                <w:i/>
              </w:rPr>
              <w:t xml:space="preserve">og PEMO'er nødvendigt, at ansvaret for markedsovervågning og tilsyn med udstedere forbliver hos de myndigheder, der er kompetente på nationalt plan. Selv </w:t>
            </w:r>
            <w:r w:rsidRPr="00B16DFD">
              <w:rPr>
                <w:b/>
                <w:i/>
              </w:rPr>
              <w:t xml:space="preserve">om ESMA bør være ansvarlig for at håndhæve de regler, der er fastsat i </w:t>
            </w:r>
            <w:r w:rsidRPr="00B16DFD">
              <w:t xml:space="preserve">forordning (EU) nr. 600/2014 </w:t>
            </w:r>
            <w:r w:rsidRPr="00B16DFD">
              <w:rPr>
                <w:b/>
                <w:i/>
              </w:rPr>
              <w:t xml:space="preserve">over for </w:t>
            </w:r>
            <w:r w:rsidRPr="00B16DFD">
              <w:t xml:space="preserve">signifikante markedspladser </w:t>
            </w:r>
            <w:r w:rsidRPr="00B16DFD">
              <w:rPr>
                <w:b/>
                <w:i/>
              </w:rPr>
              <w:t xml:space="preserve">og PEMO'er og, hvor det er relevant, de regler, der er fastsat i direktiv 2014/65/EU, herunder med hensyn til vurderingen af effektive systemer og kontroller, der har til formål at forebygge og opdage markedsmisbrug, eller vurderingen af parametre for at standse handelen, bør de </w:t>
            </w:r>
            <w:r w:rsidRPr="00B16DFD">
              <w:t>nationale overvågningsmyndigheder</w:t>
            </w:r>
            <w:r w:rsidRPr="00B16DFD">
              <w:rPr>
                <w:b/>
                <w:i/>
              </w:rPr>
              <w:t xml:space="preserve"> derfor bevare visse beføjelser for at sætte disse myndigheder i stand til at udføre markedsovervågningsopgaver eller udføre opgaver, der er nødvendige for at bevare </w:t>
            </w:r>
            <w:r w:rsidRPr="00B16DFD">
              <w:t>markedets integritet</w:t>
            </w:r>
            <w:r w:rsidRPr="00B16DFD">
              <w:rPr>
                <w:b/>
                <w:i/>
              </w:rPr>
              <w:t xml:space="preserve">. Disse beføjelser bør omfatte modtagelse af transaktionsdata, mulighed for at anmode om ordrebogsdata eller vedtagelse af hasteforanstaltninger med henblik på at indføre midlertidige handelsstop i nødsituationer eller suspendere finansielle instrumenter fra handel. </w:t>
            </w:r>
            <w:r w:rsidRPr="00B16DFD">
              <w:t xml:space="preserve">De nationale overvågningsmyndigheder </w:t>
            </w:r>
            <w:r w:rsidRPr="00B16DFD">
              <w:rPr>
                <w:b/>
                <w:i/>
              </w:rPr>
              <w:t>bør under udøvelsen af deres beføjelser samarbejde tæt med ESMA</w:t>
            </w:r>
            <w:r w:rsidRPr="00B16DFD">
              <w:t>.</w:t>
            </w:r>
          </w:p>
        </w:tc>
        <w:tc>
          <w:tcPr>
            <w:tcW w:w="4876" w:type="dxa"/>
            <w:tcBorders>
              <w:top w:val="nil"/>
              <w:left w:val="nil"/>
              <w:bottom w:val="nil"/>
              <w:right w:val="nil"/>
            </w:tcBorders>
            <w:hideMark/>
          </w:tcPr>
          <w:p w:rsidR="00365C9B" w:rsidRPr="00B16DFD" w:rsidP="00F61C80" w14:paraId="76BA29D7" w14:textId="1EE601D1">
            <w:pPr>
              <w:pStyle w:val="Normal6a"/>
            </w:pPr>
            <w:r w:rsidRPr="00B16DFD">
              <w:t>(42)</w:t>
            </w:r>
            <w:r w:rsidRPr="00B16DFD">
              <w:tab/>
            </w:r>
            <w:r w:rsidRPr="00B16DFD">
              <w:rPr>
                <w:b/>
                <w:i/>
              </w:rPr>
              <w:t xml:space="preserve">For at ESMA kan sikre et effektivt tilsyn med PEMO'er og </w:t>
            </w:r>
            <w:r w:rsidRPr="00B16DFD">
              <w:t>signifikante markedspladser</w:t>
            </w:r>
            <w:r w:rsidRPr="00B16DFD">
              <w:rPr>
                <w:b/>
                <w:i/>
              </w:rPr>
              <w:t xml:space="preserve">, bør ESMA have de nødvendige tilsynsbeføjelser, herunder beføjelser til at foretage undersøgelser og kontrolbesøg på stedet, pålægge bøder eller tvangsbøder for at bringe en overtrædelse af </w:t>
            </w:r>
            <w:r w:rsidRPr="00B16DFD">
              <w:t xml:space="preserve">forordning (EU) nr. </w:t>
            </w:r>
            <w:r w:rsidRPr="00B16DFD">
              <w:t xml:space="preserve">600/2014 </w:t>
            </w:r>
            <w:r w:rsidRPr="00B16DFD">
              <w:rPr>
                <w:b/>
                <w:i/>
              </w:rPr>
              <w:t xml:space="preserve">til ophør og anmode om de nødvendige oplysninger. For at sikre, at ESMA på passende vis udfører sine tilsynsopgaver over for PEMO'er og </w:t>
            </w:r>
            <w:r w:rsidRPr="00B16DFD">
              <w:t>signifikante markedspladser</w:t>
            </w:r>
            <w:r w:rsidRPr="00B16DFD">
              <w:rPr>
                <w:b/>
                <w:i/>
              </w:rPr>
              <w:t xml:space="preserve">, er det vigtigt, at ESMA udfører sådanne opgaver i tæt samarbejde med de </w:t>
            </w:r>
            <w:r w:rsidRPr="00B16DFD">
              <w:t>nationale overvågningsmyndigheder</w:t>
            </w:r>
            <w:r w:rsidRPr="00B16DFD">
              <w:rPr>
                <w:b/>
                <w:i/>
              </w:rPr>
              <w:t>.</w:t>
            </w:r>
            <w:r w:rsidRPr="00B16DFD">
              <w:t xml:space="preserve"> </w:t>
            </w:r>
            <w:r w:rsidRPr="00B16DFD">
              <w:rPr>
                <w:b/>
                <w:i/>
              </w:rPr>
              <w:t>Markedsoperatører, herunder PEMO'er, spiller en central rolle som første forsvarslinje med hensyn til at sikre</w:t>
            </w:r>
            <w:r w:rsidR="00CB6039">
              <w:rPr>
                <w:b/>
                <w:i/>
              </w:rPr>
              <w:t xml:space="preserve"> velordnet</w:t>
            </w:r>
            <w:r w:rsidRPr="00B16DFD">
              <w:rPr>
                <w:b/>
                <w:i/>
              </w:rPr>
              <w:t xml:space="preserve"> handel og </w:t>
            </w:r>
            <w:r w:rsidRPr="00B16DFD">
              <w:t xml:space="preserve">markedets integritet </w:t>
            </w:r>
            <w:r w:rsidRPr="00B16DFD">
              <w:rPr>
                <w:b/>
                <w:i/>
              </w:rPr>
              <w:t xml:space="preserve">og forebygge og afsløre markedsmisbrug i henhold til forordning (EU) nr. 596/2014. Med henblik herpå overvåges de af de nationale tilsynsmyndigheder i overensstemmelse med nævnte forordning. For at undgå ineffektive tilsynsmetoder som følge af dobbelttilsyn bør inddragelsen af </w:t>
            </w:r>
            <w:r w:rsidRPr="00B16DFD">
              <w:t xml:space="preserve">de nationale tilsynsmyndigheder </w:t>
            </w:r>
            <w:r w:rsidRPr="00B16DFD">
              <w:rPr>
                <w:b/>
                <w:i/>
              </w:rPr>
              <w:t>begrænses til de beføjelser og opgaver, som de udtrykkeligt er tillagt ved forordning (EU) nr. 600/2014, direktiv 2014/65/EU og forordning (EU) nr. 596/2014</w:t>
            </w:r>
            <w:r w:rsidRPr="00B16DFD">
              <w:t>.</w:t>
            </w:r>
          </w:p>
        </w:tc>
      </w:tr>
    </w:tbl>
    <w:p w:rsidR="00365C9B" w:rsidRPr="00734CAA" w:rsidP="00365C9B" w14:paraId="6E6526F7"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994CF29" w14:textId="77777777">
      <w:pPr>
        <w:pStyle w:val="AmJustTitle"/>
        <w:rPr>
          <w:lang w:val="en-GB"/>
        </w:rPr>
      </w:pPr>
      <w:r w:rsidRPr="00734CAA">
        <w:rPr>
          <w:rStyle w:val="HideTWBExt"/>
          <w:color w:val="auto"/>
          <w:lang w:val="en-GB"/>
        </w:rPr>
        <w:t>&lt;TitreJust&gt;</w:t>
      </w:r>
      <w:r w:rsidRPr="00734CAA">
        <w:rPr>
          <w:lang w:val="en-GB"/>
        </w:rPr>
        <w:t>Begrundelse</w:t>
      </w:r>
      <w:r w:rsidRPr="00734CAA">
        <w:rPr>
          <w:rStyle w:val="HideTWBExt"/>
          <w:color w:val="auto"/>
          <w:lang w:val="en-GB"/>
        </w:rPr>
        <w:t>&lt;/TitreJust&gt;</w:t>
      </w:r>
    </w:p>
    <w:p w:rsidR="00365C9B" w:rsidRPr="00734CAA" w:rsidP="00365C9B" w14:paraId="1CDC346F" w14:textId="77777777">
      <w:pPr>
        <w:pStyle w:val="AmJustText"/>
        <w:rPr>
          <w:lang w:val="en-GB"/>
        </w:rPr>
      </w:pPr>
      <w:r w:rsidRPr="00734CAA">
        <w:rPr>
          <w:lang w:val="en-GB"/>
        </w:rPr>
        <w:t>Preserving orderly trading and market integrity is key to maintaining trust in the market, which is a necessary precondition for investors’ participation. The EU regulatory framework includes extensive provisions in this regard, both in MiFIR as well as in Regulation (EU) No 596/2014. Under the latter Regulation, market operators and investment firms operating trading venues play a central role as the first line of defence, alongside investment firms, and are therefore subject to the supervision of national authorities designated in accordance with that Regulation.</w:t>
      </w:r>
    </w:p>
    <w:p w:rsidR="00365C9B" w:rsidRPr="00734CAA" w:rsidP="00365C9B" w14:paraId="46D44650" w14:textId="77777777">
      <w:pPr>
        <w:pStyle w:val="AmJustText"/>
        <w:rPr>
          <w:lang w:val="en-GB"/>
        </w:rPr>
      </w:pPr>
      <w:r w:rsidRPr="00734CAA">
        <w:rPr>
          <w:lang w:val="en-GB"/>
        </w:rPr>
        <w:t>For this reason, national competent authorities are also entrusted with supervisory powers under MiFIR, including the receipt of transaction data, the ability to request order book data, and the power to adopt urgent measures, such as imposing temporary trading halts in emergency situations or suspending financial instruments from trading.</w:t>
      </w:r>
    </w:p>
    <w:p w:rsidR="00365C9B" w:rsidRPr="00734CAA" w:rsidP="00365C9B" w14:paraId="589A498C" w14:textId="77777777">
      <w:pPr>
        <w:pStyle w:val="AmJustText"/>
        <w:rPr>
          <w:lang w:val="en-GB"/>
        </w:rPr>
      </w:pPr>
      <w:r w:rsidRPr="00734CAA">
        <w:rPr>
          <w:lang w:val="en-GB"/>
        </w:rPr>
        <w:t>At the same time, market operators and investment firms operating trading venues are subject to organisational requirements under Regulation (EU) No 600/2014 that are closely linked to the obligations applicable to them under Regulation (EU) No 596/2014.</w:t>
      </w:r>
    </w:p>
    <w:p w:rsidR="00365C9B" w:rsidRPr="00B16DFD" w:rsidP="00365C9B" w14:paraId="32045B93" w14:textId="77777777">
      <w:r w:rsidRPr="00B16DFD">
        <w:rPr>
          <w:rStyle w:val="HideTWBExt"/>
          <w:color w:val="auto"/>
        </w:rPr>
        <w:t>&lt;/Amend&gt;</w:t>
      </w:r>
    </w:p>
    <w:p w:rsidR="00365C9B" w:rsidRPr="00B16DFD" w:rsidP="00365C9B" w14:paraId="0BCB2861"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282</w:t>
      </w:r>
      <w:r w:rsidRPr="00B16DFD">
        <w:rPr>
          <w:rStyle w:val="HideTWBExt"/>
          <w:color w:val="auto"/>
        </w:rPr>
        <w:t>&lt;/NumAm&gt;</w:t>
      </w:r>
    </w:p>
    <w:p w:rsidR="00365C9B" w:rsidRPr="00734CAA" w:rsidP="00365C9B" w14:paraId="0BD8D820" w14:textId="77777777">
      <w:pPr>
        <w:pStyle w:val="NormalBold"/>
        <w:rPr>
          <w:lang w:val="en-GB"/>
        </w:rPr>
      </w:pPr>
      <w:r w:rsidRPr="00734CAA">
        <w:rPr>
          <w:rStyle w:val="HideTWBExt"/>
          <w:b w:val="0"/>
          <w:color w:val="auto"/>
          <w:lang w:val="en-GB"/>
        </w:rPr>
        <w:t>&lt;RepeatBlock-By&gt;&lt;Members&gt;</w:t>
      </w:r>
      <w:r w:rsidRPr="00734CAA">
        <w:rPr>
          <w:lang w:val="en-GB"/>
        </w:rPr>
        <w:t>Markus Ferber</w:t>
      </w:r>
      <w:r w:rsidRPr="00734CAA">
        <w:rPr>
          <w:rStyle w:val="HideTWBExt"/>
          <w:b w:val="0"/>
          <w:color w:val="auto"/>
          <w:lang w:val="en-GB"/>
        </w:rPr>
        <w:t>&lt;/Members&gt;</w:t>
      </w:r>
    </w:p>
    <w:p w:rsidR="00365C9B" w:rsidRPr="00B16DFD" w:rsidP="00365C9B" w14:paraId="18E7F0A9" w14:textId="77777777">
      <w:pPr>
        <w:pStyle w:val="NormalBold"/>
      </w:pPr>
      <w:r w:rsidRPr="00B16DFD">
        <w:rPr>
          <w:rStyle w:val="HideTWBExt"/>
          <w:b w:val="0"/>
          <w:color w:val="auto"/>
        </w:rPr>
        <w:t>&lt;/RepeatBlock-By&gt;</w:t>
      </w:r>
    </w:p>
    <w:p w:rsidR="00365C9B" w:rsidRPr="00B16DFD" w:rsidP="00365C9B" w14:paraId="15083D3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78222FB0" w14:textId="77777777">
      <w:pPr>
        <w:pStyle w:val="NormalBold"/>
        <w:rPr>
          <w:lang w:val="en-GB"/>
        </w:rPr>
      </w:pPr>
      <w:r w:rsidRPr="00734CAA">
        <w:rPr>
          <w:rStyle w:val="HideTWBExt"/>
          <w:color w:val="auto"/>
          <w:lang w:val="en-GB"/>
        </w:rPr>
        <w:t>&lt;Article&gt;</w:t>
      </w:r>
      <w:r w:rsidRPr="00734CAA">
        <w:rPr>
          <w:lang w:val="en-GB"/>
        </w:rPr>
        <w:t>Betragtning 42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582757"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528C6DAB" w14:textId="77777777">
            <w:pPr>
              <w:rPr>
                <w:lang w:val="en-GB"/>
              </w:rPr>
            </w:pPr>
          </w:p>
        </w:tc>
      </w:tr>
      <w:tr w14:paraId="0092C14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0EA15DE"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F55906F" w14:textId="77777777">
            <w:pPr>
              <w:pStyle w:val="AmColumnHeading"/>
            </w:pPr>
            <w:r w:rsidRPr="00B16DFD">
              <w:t>Ændringsforslag</w:t>
            </w:r>
          </w:p>
        </w:tc>
      </w:tr>
      <w:tr w14:paraId="082924B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190E7730" w14:textId="77777777">
            <w:pPr>
              <w:pStyle w:val="Normal6a"/>
            </w:pPr>
          </w:p>
        </w:tc>
        <w:tc>
          <w:tcPr>
            <w:tcW w:w="4876" w:type="dxa"/>
            <w:tcBorders>
              <w:top w:val="nil"/>
              <w:left w:val="nil"/>
              <w:bottom w:val="nil"/>
              <w:right w:val="nil"/>
            </w:tcBorders>
            <w:hideMark/>
          </w:tcPr>
          <w:p w:rsidR="00365C9B" w:rsidRPr="00B16DFD" w:rsidP="00F61C80" w14:paraId="5AFF1DDA" w14:textId="77777777">
            <w:pPr>
              <w:pStyle w:val="Normal6a"/>
            </w:pPr>
            <w:r w:rsidRPr="00B16DFD">
              <w:rPr>
                <w:b/>
                <w:i/>
              </w:rPr>
              <w:t>(42a)</w:t>
            </w:r>
            <w:r w:rsidRPr="00B16DFD">
              <w:tab/>
            </w:r>
            <w:r w:rsidRPr="00B16DFD">
              <w:rPr>
                <w:b/>
                <w:i/>
              </w:rPr>
              <w:t>Når denne forordning tillægger Den Europæiske Værdipapir- og Markedstilsynsmyndighed direkte tilsynsbeføjelser over for signifikante markedspladser, paneuropæiske markedsoperatører, centrale modparter eller værdipapircentraler, bør denne kompetence også fastlægge ansvaret for at føre tilsyn med disse enheders digitale operationelle modstandsdygtighed. En enkelt tilsynsmyndighed sikrer, at overførslen af kompetence til Den Europæiske Værdipapir- og Markedstilsynsmyndighed er fuldstændig, og undgår en opdeling mellem markedstilsyn og tilsyn med den operationelle modstandsdygtighed, der ville genindføre den fragmentering, som denne forordning søger at fjerne.</w:t>
            </w:r>
          </w:p>
        </w:tc>
      </w:tr>
    </w:tbl>
    <w:p w:rsidR="00365C9B" w:rsidRPr="00B16DFD" w:rsidP="00365C9B" w14:paraId="2D7339C2"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387B8BD0"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76AF7736" w14:textId="77777777">
      <w:pPr>
        <w:pStyle w:val="AmJustText"/>
      </w:pPr>
      <w:r w:rsidRPr="00B16DFD">
        <w:t>Direkte ESMA-tilsyn med signifikante markedspladser, PEMO'er, CCP'er og CSD'er bør omfatte tilsyn med digital operationel modstandsdygtighed. Hvis dette ikke afklares, er der risiko for, at en national myndighed bevarer DORA-tilsynet med en enhed, som ESMA ellers fører fuldt tilsyn med, opsplitter ansvarligheden og underminerer modellen med en enkelt tilsynsmyndighed. Denne betragtning bekræfter, at overførslen af kompetence er omfattende og i overensstemmelse med forordningens mål om at reducere fragmenteringen.</w:t>
      </w:r>
    </w:p>
    <w:p w:rsidR="00365C9B" w:rsidRPr="00B16DFD" w:rsidP="00365C9B" w14:paraId="447D4BDA" w14:textId="77777777">
      <w:r w:rsidRPr="00B16DFD">
        <w:rPr>
          <w:rStyle w:val="HideTWBExt"/>
          <w:color w:val="auto"/>
        </w:rPr>
        <w:t>&lt;/Amend&gt;</w:t>
      </w:r>
    </w:p>
    <w:p w:rsidR="00365C9B" w:rsidRPr="00B16DFD" w:rsidP="00365C9B" w14:paraId="16C26F05"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283</w:t>
      </w:r>
      <w:r w:rsidRPr="00B16DFD">
        <w:rPr>
          <w:rStyle w:val="HideTWBExt"/>
          <w:color w:val="auto"/>
        </w:rPr>
        <w:t>&lt;/NumAm&gt;</w:t>
      </w:r>
    </w:p>
    <w:p w:rsidR="00365C9B" w:rsidRPr="00734CAA" w:rsidP="00365C9B" w14:paraId="3C29CD43" w14:textId="77777777">
      <w:pPr>
        <w:pStyle w:val="NormalBold"/>
        <w:rPr>
          <w:lang w:val="en-GB"/>
        </w:rPr>
      </w:pPr>
      <w:r w:rsidRPr="00734CAA">
        <w:rPr>
          <w:rStyle w:val="HideTWBExt"/>
          <w:b w:val="0"/>
          <w:color w:val="auto"/>
          <w:lang w:val="en-GB"/>
        </w:rPr>
        <w:t>&lt;RepeatBlock-By&gt;&lt;Members&gt;</w:t>
      </w:r>
      <w:r w:rsidRPr="00734CAA">
        <w:rPr>
          <w:lang w:val="en-GB"/>
        </w:rPr>
        <w:t>Gaetano Pedulla'</w:t>
      </w:r>
      <w:r w:rsidRPr="00734CAA">
        <w:rPr>
          <w:rStyle w:val="HideTWBExt"/>
          <w:b w:val="0"/>
          <w:color w:val="auto"/>
          <w:lang w:val="en-GB"/>
        </w:rPr>
        <w:t>&lt;/Members&gt;</w:t>
      </w:r>
    </w:p>
    <w:p w:rsidR="00365C9B" w:rsidRPr="00B16DFD" w:rsidP="00365C9B" w14:paraId="2AB450E4" w14:textId="77777777">
      <w:pPr>
        <w:pStyle w:val="NormalBold"/>
      </w:pPr>
      <w:r w:rsidRPr="00B16DFD">
        <w:rPr>
          <w:rStyle w:val="HideTWBExt"/>
          <w:b w:val="0"/>
          <w:color w:val="auto"/>
        </w:rPr>
        <w:t>&lt;/RepeatBlock-By&gt;</w:t>
      </w:r>
    </w:p>
    <w:p w:rsidR="00365C9B" w:rsidRPr="00B16DFD" w:rsidP="00365C9B" w14:paraId="62901497"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4C72D5EC" w14:textId="77777777">
      <w:pPr>
        <w:pStyle w:val="NormalBold"/>
        <w:rPr>
          <w:lang w:val="en-GB"/>
        </w:rPr>
      </w:pPr>
      <w:r w:rsidRPr="00734CAA">
        <w:rPr>
          <w:rStyle w:val="HideTWBExt"/>
          <w:color w:val="auto"/>
          <w:lang w:val="en-GB"/>
        </w:rPr>
        <w:t>&lt;Article&gt;</w:t>
      </w:r>
      <w:r w:rsidRPr="00734CAA">
        <w:rPr>
          <w:lang w:val="en-GB"/>
        </w:rPr>
        <w:t>Betragtning 42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C7EABC"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6C859C3E" w14:textId="77777777">
            <w:pPr>
              <w:rPr>
                <w:lang w:val="en-GB"/>
              </w:rPr>
            </w:pPr>
          </w:p>
        </w:tc>
      </w:tr>
      <w:tr w14:paraId="50B8A6D5"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C85240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AC34848" w14:textId="77777777">
            <w:pPr>
              <w:pStyle w:val="AmColumnHeading"/>
            </w:pPr>
            <w:r w:rsidRPr="00B16DFD">
              <w:t>Ændringsforslag</w:t>
            </w:r>
          </w:p>
        </w:tc>
      </w:tr>
      <w:tr w14:paraId="7C7A0B0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6E50774" w14:textId="77777777">
            <w:pPr>
              <w:pStyle w:val="Normal6a"/>
            </w:pPr>
          </w:p>
        </w:tc>
        <w:tc>
          <w:tcPr>
            <w:tcW w:w="4876" w:type="dxa"/>
            <w:tcBorders>
              <w:top w:val="nil"/>
              <w:left w:val="nil"/>
              <w:bottom w:val="nil"/>
              <w:right w:val="nil"/>
            </w:tcBorders>
            <w:hideMark/>
          </w:tcPr>
          <w:p w:rsidR="00365C9B" w:rsidRPr="00B16DFD" w:rsidP="00F61C80" w14:paraId="2B5BD152" w14:textId="77777777">
            <w:pPr>
              <w:pStyle w:val="Normal6a"/>
            </w:pPr>
            <w:r w:rsidRPr="00B16DFD">
              <w:rPr>
                <w:b/>
                <w:i/>
              </w:rPr>
              <w:t>(42a)</w:t>
            </w:r>
            <w:r w:rsidRPr="00B16DFD">
              <w:tab/>
            </w:r>
            <w:r w:rsidRPr="00B16DFD">
              <w:rPr>
                <w:b/>
                <w:i/>
              </w:rPr>
              <w:t>I betragtning af det strenge samspil mellem ESMA's tilsynsopgaver for signifikante markedspladser og PEMO'er, navnlig for så vidt angår organisatoriske krav, og de nationale kompetente myndigheders tilsynsopgaver med hensyn til at sikre markedets integritet, både i henhold til forordning (EU) nr. 596/2014 og forordning (EU) nr. 600/2014, når de udfører deres aktiviteter, bør ESMA og de nationale myndigheder samarbejde tæt.</w:t>
            </w:r>
          </w:p>
        </w:tc>
      </w:tr>
    </w:tbl>
    <w:p w:rsidR="00365C9B" w:rsidRPr="00734CAA" w:rsidP="00365C9B" w14:paraId="71052BDB"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E70728F" w14:textId="77777777">
      <w:pPr>
        <w:pStyle w:val="AmJustTitle"/>
        <w:rPr>
          <w:lang w:val="en-GB"/>
        </w:rPr>
      </w:pPr>
      <w:r w:rsidRPr="00734CAA">
        <w:rPr>
          <w:rStyle w:val="HideTWBExt"/>
          <w:color w:val="auto"/>
          <w:lang w:val="en-GB"/>
        </w:rPr>
        <w:t>&lt;TitreJust&gt;</w:t>
      </w:r>
      <w:r w:rsidRPr="00734CAA">
        <w:rPr>
          <w:lang w:val="en-GB"/>
        </w:rPr>
        <w:t>Begrundelse</w:t>
      </w:r>
      <w:r w:rsidRPr="00734CAA">
        <w:rPr>
          <w:rStyle w:val="HideTWBExt"/>
          <w:color w:val="auto"/>
          <w:lang w:val="en-GB"/>
        </w:rPr>
        <w:t>&lt;/TitreJust&gt;</w:t>
      </w:r>
    </w:p>
    <w:p w:rsidR="00365C9B" w:rsidRPr="00734CAA" w:rsidP="00365C9B" w14:paraId="6AE7B77B" w14:textId="77777777">
      <w:pPr>
        <w:pStyle w:val="AmJustText"/>
        <w:rPr>
          <w:lang w:val="en-GB"/>
        </w:rPr>
      </w:pPr>
      <w:r w:rsidRPr="00734CAA">
        <w:rPr>
          <w:lang w:val="en-GB"/>
        </w:rPr>
        <w:t>Preserving orderly trading and market integrity is key to maintaining trust in the market, which is a necessary precondition for investors’ participation. The EU regulatory framework includes extensive provisions in this regard, primarily in MiFIR and Regulation (EU) No 596/2014. Under the latter Regulation, market operators and investment firms operating trading venues play a central role as the first line of defence, alongside investment firms, and are therefore subject to the supervision of national authorities designated in accordance with that Regulation.</w:t>
      </w:r>
    </w:p>
    <w:p w:rsidR="00365C9B" w:rsidRPr="00734CAA" w:rsidP="00365C9B" w14:paraId="5676DA4D" w14:textId="77777777">
      <w:pPr>
        <w:pStyle w:val="AmJustText"/>
        <w:rPr>
          <w:lang w:val="en-GB"/>
        </w:rPr>
      </w:pPr>
      <w:r w:rsidRPr="00734CAA">
        <w:rPr>
          <w:lang w:val="en-GB"/>
        </w:rPr>
        <w:t>For this reason, national competent authorities are also entrusted with supervisory powers under MiFIR, including the receipt of transaction data, the ability to request order book data, and the power to adopt urgent measures, such as imposing temporary trading halts in emergency situations or suspending financial instruments from trading.</w:t>
      </w:r>
    </w:p>
    <w:p w:rsidR="00365C9B" w:rsidRPr="00734CAA" w:rsidP="00365C9B" w14:paraId="28A1961D" w14:textId="77777777">
      <w:pPr>
        <w:pStyle w:val="AmJustText"/>
        <w:rPr>
          <w:lang w:val="en-GB"/>
        </w:rPr>
      </w:pPr>
      <w:r w:rsidRPr="00734CAA">
        <w:rPr>
          <w:lang w:val="en-GB"/>
        </w:rPr>
        <w:t>At the same time, market operators and investment firms operating trading venues are subject to organisational requirements under Regulation (EU) No 600/2014 that are closely linked to the obligations applicable to them under Regulation (EU) No 596/2014. These requirements should be supervised by ESMA, which acts as the competent authority pursuant to MiFIR, and national authorities in close cooperation.</w:t>
      </w:r>
    </w:p>
    <w:p w:rsidR="00365C9B" w:rsidRPr="00B16DFD" w:rsidP="00365C9B" w14:paraId="5A089DB7" w14:textId="77777777">
      <w:r w:rsidRPr="00B16DFD">
        <w:rPr>
          <w:rStyle w:val="HideTWBExt"/>
          <w:color w:val="auto"/>
        </w:rPr>
        <w:t>&lt;/Amend&gt;</w:t>
      </w:r>
    </w:p>
    <w:p w:rsidR="00365C9B" w:rsidRPr="00B16DFD" w:rsidP="00365C9B" w14:paraId="7FA698B7"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284</w:t>
      </w:r>
      <w:r w:rsidRPr="00B16DFD">
        <w:rPr>
          <w:rStyle w:val="HideTWBExt"/>
          <w:color w:val="auto"/>
        </w:rPr>
        <w:t>&lt;/NumAm&gt;</w:t>
      </w:r>
    </w:p>
    <w:p w:rsidR="00365C9B" w:rsidRPr="00734CAA" w:rsidP="00365C9B" w14:paraId="353DA8BB" w14:textId="77777777">
      <w:pPr>
        <w:pStyle w:val="NormalBold"/>
        <w:rPr>
          <w:lang w:val="it-IT"/>
        </w:rPr>
      </w:pPr>
      <w:r w:rsidRPr="00734CAA">
        <w:rPr>
          <w:rStyle w:val="HideTWBExt"/>
          <w:b w:val="0"/>
          <w:color w:val="auto"/>
          <w:lang w:val="it-IT"/>
        </w:rPr>
        <w:t>&lt;RepeatBlock-By&gt;&lt;Members&gt;</w:t>
      </w:r>
      <w:r w:rsidRPr="00734CAA">
        <w:rPr>
          <w:lang w:val="it-IT"/>
        </w:rPr>
        <w:t>Giovanni Crosetto, Francesco Ventola, Mariateresa Vivaldini, Marco Squarta, Denis Nesci</w:t>
      </w:r>
      <w:r w:rsidRPr="00734CAA">
        <w:rPr>
          <w:rStyle w:val="HideTWBExt"/>
          <w:b w:val="0"/>
          <w:color w:val="auto"/>
          <w:lang w:val="it-IT"/>
        </w:rPr>
        <w:t>&lt;/Members&gt;</w:t>
      </w:r>
    </w:p>
    <w:p w:rsidR="00365C9B" w:rsidRPr="00B16DFD" w:rsidP="00365C9B" w14:paraId="197ED857" w14:textId="77777777">
      <w:pPr>
        <w:pStyle w:val="NormalBold"/>
      </w:pPr>
      <w:r w:rsidRPr="00B16DFD">
        <w:rPr>
          <w:rStyle w:val="HideTWBExt"/>
          <w:b w:val="0"/>
          <w:color w:val="auto"/>
        </w:rPr>
        <w:t>&lt;/RepeatBlock-By&gt;</w:t>
      </w:r>
    </w:p>
    <w:p w:rsidR="00365C9B" w:rsidRPr="00B16DFD" w:rsidP="00365C9B" w14:paraId="323E433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19A67FDC" w14:textId="77777777">
      <w:pPr>
        <w:pStyle w:val="NormalBold"/>
        <w:rPr>
          <w:lang w:val="en-GB"/>
        </w:rPr>
      </w:pPr>
      <w:r w:rsidRPr="00734CAA">
        <w:rPr>
          <w:rStyle w:val="HideTWBExt"/>
          <w:color w:val="auto"/>
          <w:lang w:val="en-GB"/>
        </w:rPr>
        <w:t>&lt;Article&gt;</w:t>
      </w:r>
      <w:r w:rsidRPr="00734CAA">
        <w:rPr>
          <w:lang w:val="en-GB"/>
        </w:rPr>
        <w:t>Betragtning 42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82E356"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2383E8B3" w14:textId="77777777">
            <w:pPr>
              <w:rPr>
                <w:lang w:val="en-GB"/>
              </w:rPr>
            </w:pPr>
          </w:p>
        </w:tc>
      </w:tr>
      <w:tr w14:paraId="4D42247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6581895"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CB3EAC3" w14:textId="77777777">
            <w:pPr>
              <w:pStyle w:val="AmColumnHeading"/>
            </w:pPr>
            <w:r w:rsidRPr="00B16DFD">
              <w:t>Ændringsforslag</w:t>
            </w:r>
          </w:p>
        </w:tc>
      </w:tr>
      <w:tr w14:paraId="407C81B7"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D7EADBE" w14:textId="77777777">
            <w:pPr>
              <w:pStyle w:val="Normal6a"/>
            </w:pPr>
          </w:p>
        </w:tc>
        <w:tc>
          <w:tcPr>
            <w:tcW w:w="4876" w:type="dxa"/>
            <w:tcBorders>
              <w:top w:val="nil"/>
              <w:left w:val="nil"/>
              <w:bottom w:val="nil"/>
              <w:right w:val="nil"/>
            </w:tcBorders>
            <w:hideMark/>
          </w:tcPr>
          <w:p w:rsidR="00365C9B" w:rsidRPr="00B16DFD" w:rsidP="00F61C80" w14:paraId="7FDC4629" w14:textId="77777777">
            <w:pPr>
              <w:pStyle w:val="Normal6a"/>
            </w:pPr>
            <w:r w:rsidRPr="00B16DFD">
              <w:rPr>
                <w:b/>
                <w:i/>
              </w:rPr>
              <w:t>(42a)</w:t>
            </w:r>
            <w:r w:rsidRPr="00B16DFD">
              <w:tab/>
            </w:r>
            <w:r w:rsidRPr="00B16DFD">
              <w:rPr>
                <w:b/>
                <w:i/>
              </w:rPr>
              <w:t>ESMA og de nationale myndigheder bør samarbejde tæt i lyset af det strenge samspil mellem ESMA's tilsynsopgaver for signifikante markedspladser og PEMO'er, navnlig med hensyn til organisatoriske krav, og de nationale kompetente myndigheders tilsynsopgaver med hensyn til at sikre markedsintegritet i henhold til forordning (EU) nr. 596/2014 og forordning (EU) nr. 600/2014.</w:t>
            </w:r>
          </w:p>
        </w:tc>
      </w:tr>
    </w:tbl>
    <w:p w:rsidR="00365C9B" w:rsidRPr="00734CAA" w:rsidP="00365C9B" w14:paraId="038915D6"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D1769BD" w14:textId="77777777">
      <w:pPr>
        <w:rPr>
          <w:lang w:val="en-GB"/>
        </w:rPr>
      </w:pPr>
      <w:r w:rsidRPr="00734CAA">
        <w:rPr>
          <w:rStyle w:val="HideTWBExt"/>
          <w:color w:val="auto"/>
          <w:lang w:val="en-GB"/>
        </w:rPr>
        <w:t>&lt;/Amend&gt;</w:t>
      </w:r>
    </w:p>
    <w:p w:rsidR="00365C9B" w:rsidRPr="00734CAA" w:rsidP="00365C9B" w14:paraId="7D43C474"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285</w:t>
      </w:r>
      <w:r w:rsidRPr="00734CAA">
        <w:rPr>
          <w:rStyle w:val="HideTWBExt"/>
          <w:color w:val="auto"/>
          <w:lang w:val="en-GB"/>
        </w:rPr>
        <w:t>&lt;/NumAm&gt;</w:t>
      </w:r>
    </w:p>
    <w:p w:rsidR="00365C9B" w:rsidRPr="00734CAA" w:rsidP="00365C9B" w14:paraId="2BD4942C" w14:textId="77777777">
      <w:pPr>
        <w:pStyle w:val="NormalBold"/>
        <w:rPr>
          <w:lang w:val="en-GB"/>
        </w:rPr>
      </w:pPr>
      <w:r w:rsidRPr="00734CAA">
        <w:rPr>
          <w:rStyle w:val="HideTWBExt"/>
          <w:b w:val="0"/>
          <w:color w:val="auto"/>
          <w:lang w:val="en-GB"/>
        </w:rPr>
        <w:t>&lt;RepeatBlock-By&gt;&lt;Members&gt;</w:t>
      </w:r>
      <w:r w:rsidRPr="00734CAA">
        <w:rPr>
          <w:lang w:val="en-GB"/>
        </w:rPr>
        <w:t>Giovanni Crosetto, Francesco Ventola, Mariateresa Vivaldini, Marco Squarta, Denis Nesci</w:t>
      </w:r>
      <w:r w:rsidRPr="00734CAA">
        <w:rPr>
          <w:rStyle w:val="HideTWBExt"/>
          <w:b w:val="0"/>
          <w:color w:val="auto"/>
          <w:lang w:val="en-GB"/>
        </w:rPr>
        <w:t>&lt;/Members&gt;</w:t>
      </w:r>
    </w:p>
    <w:p w:rsidR="00365C9B" w:rsidRPr="00B16DFD" w:rsidP="00365C9B" w14:paraId="1545238B" w14:textId="77777777">
      <w:pPr>
        <w:pStyle w:val="NormalBold"/>
      </w:pPr>
      <w:r w:rsidRPr="00B16DFD">
        <w:rPr>
          <w:rStyle w:val="HideTWBExt"/>
          <w:b w:val="0"/>
          <w:color w:val="auto"/>
        </w:rPr>
        <w:t>&lt;/RepeatBlock-By&gt;</w:t>
      </w:r>
    </w:p>
    <w:p w:rsidR="00365C9B" w:rsidRPr="00B16DFD" w:rsidP="00365C9B" w14:paraId="187150E2"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4E38A938" w14:textId="77777777">
      <w:pPr>
        <w:pStyle w:val="NormalBold"/>
      </w:pPr>
      <w:r w:rsidRPr="00B16DFD">
        <w:rPr>
          <w:rStyle w:val="HideTWBExt"/>
          <w:color w:val="auto"/>
        </w:rPr>
        <w:t>&lt;Article&gt;</w:t>
      </w:r>
      <w:r w:rsidRPr="00B16DFD">
        <w:t>Betragtning 42 b (ny)</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0FDEEC"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EC0AF3E" w14:textId="77777777"/>
        </w:tc>
      </w:tr>
      <w:tr w14:paraId="0C122D3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8E7F84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62B741C" w14:textId="77777777">
            <w:pPr>
              <w:pStyle w:val="AmColumnHeading"/>
            </w:pPr>
            <w:r w:rsidRPr="00B16DFD">
              <w:t>Ændringsforslag</w:t>
            </w:r>
          </w:p>
        </w:tc>
      </w:tr>
      <w:tr w14:paraId="047BEC29"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05E598C" w14:textId="77777777">
            <w:pPr>
              <w:pStyle w:val="Normal6a"/>
            </w:pPr>
          </w:p>
        </w:tc>
        <w:tc>
          <w:tcPr>
            <w:tcW w:w="4876" w:type="dxa"/>
            <w:tcBorders>
              <w:top w:val="nil"/>
              <w:left w:val="nil"/>
              <w:bottom w:val="nil"/>
              <w:right w:val="nil"/>
            </w:tcBorders>
            <w:hideMark/>
          </w:tcPr>
          <w:p w:rsidR="00365C9B" w:rsidRPr="00B16DFD" w:rsidP="00F61C80" w14:paraId="2E9E2847" w14:textId="77777777">
            <w:pPr>
              <w:pStyle w:val="Normal6a"/>
            </w:pPr>
            <w:r w:rsidRPr="00B16DFD">
              <w:rPr>
                <w:b/>
                <w:i/>
              </w:rPr>
              <w:t>(42b)</w:t>
            </w:r>
            <w:r w:rsidRPr="00B16DFD">
              <w:tab/>
            </w:r>
            <w:r w:rsidRPr="00B16DFD">
              <w:rPr>
                <w:b/>
                <w:i/>
              </w:rPr>
              <w:t>De nationale overvågningsmyndigheder udfører en kritisk funktion med hensyn til at beskytte markedets integritet og har ansvaret for tilsynet med markedspladser og deres operatører i den henseende samt for tilsynet med udstedere og investeringsselskaber. For at sikre at ESMA råder over alle de oplysninger, der er nødvendige for dens tilsynsafgørelser, bør de nationale overvågningsmyndigheder inddrages i de processer, der kan føre til meddelelse eller tilbagekaldelse af tilladelse til regulerede markeder og PEMO'er, samt til registrering af SMV-vækstmarkeder.</w:t>
            </w:r>
          </w:p>
        </w:tc>
      </w:tr>
    </w:tbl>
    <w:p w:rsidR="00365C9B" w:rsidRPr="00734CAA" w:rsidP="00365C9B" w14:paraId="211F957F"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3B6F03E" w14:textId="77777777">
      <w:pPr>
        <w:rPr>
          <w:lang w:val="en-GB"/>
        </w:rPr>
      </w:pPr>
      <w:r w:rsidRPr="00734CAA">
        <w:rPr>
          <w:rStyle w:val="HideTWBExt"/>
          <w:color w:val="auto"/>
          <w:lang w:val="en-GB"/>
        </w:rPr>
        <w:t>&lt;/Amend&gt;</w:t>
      </w:r>
    </w:p>
    <w:p w:rsidR="00365C9B" w:rsidRPr="00734CAA" w:rsidP="00365C9B" w14:paraId="04F73FB9"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286</w:t>
      </w:r>
      <w:r w:rsidRPr="00734CAA">
        <w:rPr>
          <w:rStyle w:val="HideTWBExt"/>
          <w:color w:val="auto"/>
          <w:lang w:val="en-GB"/>
        </w:rPr>
        <w:t>&lt;/NumAm&gt;</w:t>
      </w:r>
    </w:p>
    <w:p w:rsidR="00365C9B" w:rsidRPr="00734CAA" w:rsidP="00365C9B" w14:paraId="1C544F16" w14:textId="77777777">
      <w:pPr>
        <w:pStyle w:val="NormalBold"/>
        <w:rPr>
          <w:lang w:val="en-GB"/>
        </w:rPr>
      </w:pPr>
      <w:r w:rsidRPr="00734CAA">
        <w:rPr>
          <w:rStyle w:val="HideTWBExt"/>
          <w:b w:val="0"/>
          <w:color w:val="auto"/>
          <w:lang w:val="en-GB"/>
        </w:rPr>
        <w:t>&lt;RepeatBlock-By&gt;&lt;Members&gt;</w:t>
      </w:r>
      <w:r w:rsidRPr="00734CAA">
        <w:rPr>
          <w:lang w:val="en-GB"/>
        </w:rPr>
        <w:t>Gaetano Pedulla'</w:t>
      </w:r>
      <w:r w:rsidRPr="00734CAA">
        <w:rPr>
          <w:rStyle w:val="HideTWBExt"/>
          <w:b w:val="0"/>
          <w:color w:val="auto"/>
          <w:lang w:val="en-GB"/>
        </w:rPr>
        <w:t>&lt;/Members&gt;</w:t>
      </w:r>
    </w:p>
    <w:p w:rsidR="00365C9B" w:rsidRPr="00B16DFD" w:rsidP="00365C9B" w14:paraId="696ABF47" w14:textId="77777777">
      <w:pPr>
        <w:pStyle w:val="NormalBold"/>
      </w:pPr>
      <w:r w:rsidRPr="00B16DFD">
        <w:rPr>
          <w:rStyle w:val="HideTWBExt"/>
          <w:b w:val="0"/>
          <w:color w:val="auto"/>
        </w:rPr>
        <w:t>&lt;/RepeatBlock-By&gt;</w:t>
      </w:r>
    </w:p>
    <w:p w:rsidR="00365C9B" w:rsidRPr="00B16DFD" w:rsidP="00365C9B" w14:paraId="3F390127"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08EE0066" w14:textId="77777777">
      <w:pPr>
        <w:pStyle w:val="NormalBold"/>
      </w:pPr>
      <w:r w:rsidRPr="00B16DFD">
        <w:rPr>
          <w:rStyle w:val="HideTWBExt"/>
          <w:color w:val="auto"/>
        </w:rPr>
        <w:t>&lt;Article&gt;</w:t>
      </w:r>
      <w:r w:rsidRPr="00B16DFD">
        <w:t>Betragtning 42 b (ny)</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AE26C4"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D920A9E" w14:textId="77777777"/>
        </w:tc>
      </w:tr>
      <w:tr w14:paraId="043C5B1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211FF19"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7745061" w14:textId="77777777">
            <w:pPr>
              <w:pStyle w:val="AmColumnHeading"/>
            </w:pPr>
            <w:r w:rsidRPr="00B16DFD">
              <w:t>Ændringsforslag</w:t>
            </w:r>
          </w:p>
        </w:tc>
      </w:tr>
      <w:tr w14:paraId="4F5ADA1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1A7FC153" w14:textId="77777777">
            <w:pPr>
              <w:pStyle w:val="Normal6a"/>
            </w:pPr>
          </w:p>
        </w:tc>
        <w:tc>
          <w:tcPr>
            <w:tcW w:w="4876" w:type="dxa"/>
            <w:tcBorders>
              <w:top w:val="nil"/>
              <w:left w:val="nil"/>
              <w:bottom w:val="nil"/>
              <w:right w:val="nil"/>
            </w:tcBorders>
            <w:hideMark/>
          </w:tcPr>
          <w:p w:rsidR="00365C9B" w:rsidRPr="00B16DFD" w:rsidP="00F61C80" w14:paraId="32284E91" w14:textId="77777777">
            <w:pPr>
              <w:pStyle w:val="Normal6a"/>
            </w:pPr>
            <w:r w:rsidRPr="00B16DFD">
              <w:rPr>
                <w:b/>
                <w:i/>
              </w:rPr>
              <w:t>(42b)</w:t>
            </w:r>
            <w:r w:rsidRPr="00B16DFD">
              <w:tab/>
            </w:r>
            <w:r w:rsidRPr="00B16DFD">
              <w:rPr>
                <w:b/>
                <w:i/>
              </w:rPr>
              <w:t>De nationale overvågningsmyndigheder spiller en afgørende rolle med hensyn til at sikre markedets integritet og er ansvarlige for tilsynet med markedspladser og deres operatører på dette område. Desuden fører de tilsyn med udstedere og investeringsselskaber. For at sikre at ESMA har adgang til alle de nødvendige oplysninger til at træffe informerede beslutninger, bør de nationale overvågningsmyndigheder inddrages i processer, der kan føre til tilladelse eller tilbagekaldelse af tilladelse til regulerede markeder og PEMO'er, samt til registrering af SMV-vækstmarkeder.</w:t>
            </w:r>
          </w:p>
        </w:tc>
      </w:tr>
    </w:tbl>
    <w:p w:rsidR="00365C9B" w:rsidRPr="00734CAA" w:rsidP="00365C9B" w14:paraId="6B6E17F2"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9998C75" w14:textId="77777777">
      <w:pPr>
        <w:pStyle w:val="AmJustTitle"/>
        <w:rPr>
          <w:lang w:val="en-GB"/>
        </w:rPr>
      </w:pPr>
      <w:r w:rsidRPr="00734CAA">
        <w:rPr>
          <w:rStyle w:val="HideTWBExt"/>
          <w:color w:val="auto"/>
          <w:lang w:val="en-GB"/>
        </w:rPr>
        <w:t>&lt;TitreJust&gt;</w:t>
      </w:r>
      <w:r w:rsidRPr="00734CAA">
        <w:rPr>
          <w:lang w:val="en-GB"/>
        </w:rPr>
        <w:t>Begrundelse</w:t>
      </w:r>
      <w:r w:rsidRPr="00734CAA">
        <w:rPr>
          <w:rStyle w:val="HideTWBExt"/>
          <w:color w:val="auto"/>
          <w:lang w:val="en-GB"/>
        </w:rPr>
        <w:t>&lt;/TitreJust&gt;</w:t>
      </w:r>
    </w:p>
    <w:p w:rsidR="00365C9B" w:rsidRPr="00734CAA" w:rsidP="00365C9B" w14:paraId="12AE53ED" w14:textId="77777777">
      <w:pPr>
        <w:pStyle w:val="AmJustText"/>
        <w:rPr>
          <w:lang w:val="en-GB"/>
        </w:rPr>
      </w:pPr>
      <w:r w:rsidRPr="00734CAA">
        <w:rPr>
          <w:lang w:val="en-GB"/>
        </w:rPr>
        <w:t>The involvement of national surveillance authorities is essential to support ESMA in its supervisory activities, because they possess direct oversight of trading venues, issuers and investment firms, and have a thorough understanding of how markets operate at national level. Their proximity to market participants allows them to identify specific risks and market features that may not be fully visible at EU level. By contributing to authorisation, withdrawal and registration processes, they help ensure that ESMA’s decisions are based on complete, accurate and context-specific information, thereby strengthening the quality and effectiveness of supervisory outcomes.</w:t>
      </w:r>
    </w:p>
    <w:p w:rsidR="00365C9B" w:rsidRPr="00B16DFD" w:rsidP="00365C9B" w14:paraId="44D66278" w14:textId="77777777">
      <w:r w:rsidRPr="00B16DFD">
        <w:rPr>
          <w:rStyle w:val="HideTWBExt"/>
          <w:color w:val="auto"/>
        </w:rPr>
        <w:t>&lt;/Amend&gt;</w:t>
      </w:r>
    </w:p>
    <w:p w:rsidR="00365C9B" w:rsidRPr="00B16DFD" w:rsidP="00365C9B" w14:paraId="4ABC8F6E"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287</w:t>
      </w:r>
      <w:r w:rsidRPr="00B16DFD">
        <w:rPr>
          <w:rStyle w:val="HideTWBExt"/>
          <w:color w:val="auto"/>
        </w:rPr>
        <w:t>&lt;/NumAm&gt;</w:t>
      </w:r>
    </w:p>
    <w:p w:rsidR="00365C9B" w:rsidRPr="00734CAA" w:rsidP="00365C9B" w14:paraId="3ED73DDC" w14:textId="77777777">
      <w:pPr>
        <w:pStyle w:val="NormalBold"/>
        <w:rPr>
          <w:lang w:val="en-GB"/>
        </w:rPr>
      </w:pPr>
      <w:r w:rsidRPr="00734CAA">
        <w:rPr>
          <w:rStyle w:val="HideTWBExt"/>
          <w:b w:val="0"/>
          <w:color w:val="auto"/>
          <w:lang w:val="en-GB"/>
        </w:rPr>
        <w:t>&lt;RepeatBlock-By&gt;&lt;Members&gt;</w:t>
      </w:r>
      <w:r w:rsidRPr="00734CAA">
        <w:rPr>
          <w:lang w:val="en-GB"/>
        </w:rPr>
        <w:t>Gaetano Pedulla', Pasquale Tridico</w:t>
      </w:r>
      <w:r w:rsidRPr="00734CAA">
        <w:rPr>
          <w:rStyle w:val="HideTWBExt"/>
          <w:b w:val="0"/>
          <w:color w:val="auto"/>
          <w:lang w:val="en-GB"/>
        </w:rPr>
        <w:t>&lt;/Members&gt;</w:t>
      </w:r>
    </w:p>
    <w:p w:rsidR="00365C9B" w:rsidRPr="00B16DFD" w:rsidP="00365C9B" w14:paraId="626D0506" w14:textId="77777777">
      <w:pPr>
        <w:pStyle w:val="NormalBold"/>
      </w:pPr>
      <w:r w:rsidRPr="00B16DFD">
        <w:rPr>
          <w:rStyle w:val="HideTWBExt"/>
          <w:b w:val="0"/>
          <w:color w:val="auto"/>
        </w:rPr>
        <w:t>&lt;/RepeatBlock-By&gt;</w:t>
      </w:r>
    </w:p>
    <w:p w:rsidR="00365C9B" w:rsidRPr="00B16DFD" w:rsidP="00365C9B" w14:paraId="0B66AACC"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7CB311FF" w14:textId="77777777">
      <w:pPr>
        <w:pStyle w:val="NormalBold"/>
      </w:pPr>
      <w:r w:rsidRPr="00B16DFD">
        <w:rPr>
          <w:rStyle w:val="HideTWBExt"/>
          <w:color w:val="auto"/>
        </w:rPr>
        <w:t>&lt;Article&gt;</w:t>
      </w:r>
      <w:r w:rsidRPr="00B16DFD">
        <w:t>Betragtning 43</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24BE86"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CC6652F" w14:textId="77777777"/>
        </w:tc>
      </w:tr>
      <w:tr w14:paraId="47B930F6"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6ADFDA9"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BE91436" w14:textId="77777777">
            <w:pPr>
              <w:pStyle w:val="AmColumnHeading"/>
            </w:pPr>
            <w:r w:rsidRPr="00B16DFD">
              <w:t>Ændringsforslag</w:t>
            </w:r>
          </w:p>
        </w:tc>
      </w:tr>
      <w:tr w14:paraId="341AE2B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69822F0" w14:textId="77777777">
            <w:pPr>
              <w:pStyle w:val="Normal6a"/>
            </w:pPr>
            <w:r w:rsidRPr="00B16DFD">
              <w:t>(43)</w:t>
            </w:r>
            <w:r w:rsidRPr="00B16DFD">
              <w:tab/>
            </w:r>
            <w:r w:rsidRPr="00B16DFD">
              <w:rPr>
                <w:b/>
                <w:i/>
              </w:rPr>
              <w:t xml:space="preserve">For at sikre ligebehandling med hensyn til tilsyn med operatører af markedspladser bør ESMA blive den </w:t>
            </w:r>
            <w:r w:rsidRPr="00B16DFD">
              <w:t xml:space="preserve">kompetente </w:t>
            </w:r>
            <w:r w:rsidRPr="00B16DFD">
              <w:rPr>
                <w:b/>
                <w:i/>
              </w:rPr>
              <w:t xml:space="preserve">myndighed for alle relevante </w:t>
            </w:r>
            <w:r w:rsidRPr="00B16DFD">
              <w:rPr>
                <w:b/>
                <w:i/>
              </w:rPr>
              <w:t>markedspladser, herunder dem, der drives af investeringsselskaber</w:t>
            </w:r>
            <w:r w:rsidRPr="00B16DFD">
              <w:t>.</w:t>
            </w:r>
            <w:r w:rsidRPr="00B16DFD">
              <w:rPr>
                <w:b/>
                <w:i/>
              </w:rPr>
              <w:t xml:space="preserve"> Det følger heraf, at ESMA bør have til opgave at meddele tilladelse til og føre tilsyn med investeringsselskaber, hvis de ønsker udelukkende at få tilladelse til at drive relevante MHF'er eller OHF'er. Investeringsselskaber, der samtidig driver MHF'er eller OHF'er, som er underlagt ESMA's tilsyn, og som udfører andre investeringsaktiviteter eller yder anden investeringsservice, bør forblive under nationalt tilsyn for så vidt angår denne anden investeringsservice og disse andre investeringsaktiviteter. For at sikre, at disse investeringsselskaber har ét kontaktpunkt og én enkelt tilsynsmyndighed, når de ansøger om tilladelse, er det nødvendigt at indføre en særlig ramme for meddelelse af tilladelse til disse investeringsselskaber. Hvis disse investeringsselskaber ønsker oprindeligt at få tilladelse til at yde anden investeringsservice sammen med driften af MHF'er eller OHF'er, </w:t>
            </w:r>
            <w:r w:rsidRPr="00B16DFD">
              <w:t xml:space="preserve">bør </w:t>
            </w:r>
            <w:r w:rsidRPr="00B16DFD">
              <w:rPr>
                <w:b/>
                <w:i/>
              </w:rPr>
              <w:t>den nationale kompetente myndighed i den medlemsstat, hvor disse ansøgende investeringsselskaber har hjemsted, have ansvaret for at meddele tilladelsen, idet deres tilladelse også omfatter andre tjenesteydelser, der ikke er under ESMA's tilsyn</w:t>
            </w:r>
            <w:r w:rsidRPr="00B16DFD">
              <w:t>.</w:t>
            </w:r>
            <w:r w:rsidRPr="00B16DFD">
              <w:rPr>
                <w:b/>
                <w:i/>
              </w:rPr>
              <w:t xml:space="preserve"> For at sikre, at ESMA kan udføre sine opgaver som kompetent myndighed for relevante markedspladser, bør den ikke desto mindre i disse tilfælde afgive en bindende udtalelse til den nationale kompetente myndighed om markedspladsernes tilladelse. Den berørte nationale kompetente myndighed bør ikke give de ansøgende investeringsselskaber tilladelse til at drive MHF'er eller OHF'er i tilfælde af en negativ udtalelse fra ESMA. Den samme tilgang bør følges, hvis et investeringsselskab, der oprindeligt havde tilladelse til at yde anden investeringsservice, ønsker at udvide sin tilladelse til at drive MHF'er eller OHF'er, der er underlagt ESMA's tilsyn</w:t>
            </w:r>
            <w:r w:rsidRPr="00B16DFD">
              <w:t>.</w:t>
            </w:r>
            <w:r w:rsidRPr="00B16DFD">
              <w:rPr>
                <w:b/>
                <w:i/>
              </w:rPr>
              <w:t xml:space="preserve"> I tilfælde af en negativ udtalelse fra </w:t>
            </w:r>
            <w:r w:rsidRPr="00B16DFD">
              <w:rPr>
                <w:b/>
                <w:i/>
              </w:rPr>
              <w:t>ESMA bør udvidelsen af tilladelsen ikke meddeles af den nationale kompetente myndighed</w:t>
            </w:r>
            <w:r w:rsidRPr="00B16DFD">
              <w:t>.</w:t>
            </w:r>
            <w:r w:rsidRPr="00B16DFD">
              <w:rPr>
                <w:b/>
                <w:i/>
              </w:rPr>
              <w:t xml:space="preserve"> Hvis et investeringsselskab, der er meddelt tilladelse af ESMA til udelukkende at drive MHF'er eller OHF'er, søger at udvide sin tilladelse til at omfatte anden investeringsservice, bør den nationale kompetente myndighed i den medlemsstat, hvor investeringsselskabet har hjemsted, afgive en bindende udtalelse til ESMA om leveringen af den supplerende investeringsservice</w:t>
            </w:r>
            <w:r w:rsidRPr="00B16DFD">
              <w:t xml:space="preserve">. </w:t>
            </w:r>
            <w:r w:rsidRPr="00B16DFD">
              <w:rPr>
                <w:b/>
                <w:i/>
              </w:rPr>
              <w:t>I tilfælde af en negativ udtalelse bør ESMA ikke udvide tilladelsen.</w:t>
            </w:r>
          </w:p>
        </w:tc>
        <w:tc>
          <w:tcPr>
            <w:tcW w:w="4876" w:type="dxa"/>
            <w:tcBorders>
              <w:top w:val="nil"/>
              <w:left w:val="nil"/>
              <w:bottom w:val="nil"/>
              <w:right w:val="nil"/>
            </w:tcBorders>
            <w:hideMark/>
          </w:tcPr>
          <w:p w:rsidR="00365C9B" w:rsidRPr="00B16DFD" w:rsidP="00F61C80" w14:paraId="3581154C" w14:textId="2775E096">
            <w:pPr>
              <w:pStyle w:val="Normal6a"/>
            </w:pPr>
            <w:r w:rsidRPr="00B16DFD">
              <w:t>(43)</w:t>
            </w:r>
            <w:r w:rsidRPr="00B16DFD">
              <w:tab/>
            </w:r>
            <w:r w:rsidRPr="00B16DFD">
              <w:rPr>
                <w:b/>
                <w:i/>
              </w:rPr>
              <w:t xml:space="preserve">I betragtning af de nationale tilsynsmyndigheders geografiske nærhed til de lokale økosystemer samt deres tilsynsansvar for at sikre </w:t>
            </w:r>
            <w:r w:rsidRPr="00B16DFD">
              <w:rPr>
                <w:b/>
                <w:i/>
              </w:rPr>
              <w:t xml:space="preserve">markedsintegriteten i henhold til forordning (EU) nr. 596/2014 er det for signifikante markedspladser og PEMO'er nødvendigt, at ansvaret for markedsovervågning og tilsyn med udstedere forbliver hos de myndigheder, der er </w:t>
            </w:r>
            <w:r w:rsidRPr="00B16DFD">
              <w:t xml:space="preserve">kompetente </w:t>
            </w:r>
            <w:r w:rsidRPr="00B16DFD">
              <w:rPr>
                <w:b/>
                <w:i/>
              </w:rPr>
              <w:t>på nationalt plan</w:t>
            </w:r>
            <w:r w:rsidRPr="00B16DFD">
              <w:t>.</w:t>
            </w:r>
            <w:r w:rsidRPr="00B16DFD">
              <w:rPr>
                <w:b/>
                <w:i/>
              </w:rPr>
              <w:t xml:space="preserve"> Selv om ESMA </w:t>
            </w:r>
            <w:r w:rsidRPr="00B16DFD">
              <w:t xml:space="preserve">bør </w:t>
            </w:r>
            <w:r w:rsidRPr="00B16DFD">
              <w:rPr>
                <w:b/>
                <w:i/>
              </w:rPr>
              <w:t>være ansvarlig for at håndhæve de regler, der er fastsat i forordning (EU) nr. 600/2014 over for signifikante markedspladser og PEMO'er og, hvor det er relevant, de regler, der er fastsat i direktiv 2014/65/EU, herunder med hensyn til vurderingen af effektive systemer og kontroller, der har til formål at forebygge og opdage markedsmisbrug, eller vurderingen af parametre for at standse handelen, bør de nationale overvågningsmyndigheder derfor bevare visse beføjelser for at sætte disse myndigheder i stand til at udføre markedsovervågningsopgaver eller udføre opgaver, der er nødvendige for at bevare markedets integritet, også i henhold til forordning (EU) nr. 600/2014</w:t>
            </w:r>
            <w:r w:rsidRPr="00B16DFD">
              <w:t>.</w:t>
            </w:r>
            <w:r w:rsidRPr="00B16DFD">
              <w:rPr>
                <w:b/>
                <w:i/>
              </w:rPr>
              <w:t xml:space="preserve"> Disse beføjelser bør omfatte modtagelse af transaktionsdata, mulighed for at anmode om ordrebogsdata eller vedtagelse af hasteforanstaltninger med henblik på at indføre midlertidige handelsstop i nødsituationer eller suspendere finansielle instrumenter fra handel</w:t>
            </w:r>
            <w:r w:rsidRPr="00B16DFD">
              <w:t>.</w:t>
            </w:r>
            <w:r w:rsidRPr="00B16DFD">
              <w:rPr>
                <w:b/>
                <w:i/>
              </w:rPr>
              <w:t xml:space="preserve"> Desuden bør de nationale tilsynsmyndigheder, der allerede er ansvarlige for tilsynet med krav i henhold til national lovgivning, såsom dem, der vedrører børsnotering, inddrages i tilstrækkelig grad i tilsynet med de organisatoriske ordninger, systemer, kontroller og funktioner, der er direkte relevante for opdagelse, forebyggelse og efterforskning af markedsmisbrug og opretholdelse af</w:t>
            </w:r>
            <w:r w:rsidR="00CB6039">
              <w:rPr>
                <w:b/>
                <w:i/>
              </w:rPr>
              <w:t xml:space="preserve"> velordnede</w:t>
            </w:r>
            <w:r w:rsidRPr="00B16DFD">
              <w:rPr>
                <w:b/>
                <w:i/>
              </w:rPr>
              <w:t xml:space="preserve"> handelsvilkår</w:t>
            </w:r>
            <w:r w:rsidRPr="00B16DFD">
              <w:t>.</w:t>
            </w:r>
            <w:r w:rsidRPr="00B16DFD">
              <w:rPr>
                <w:b/>
                <w:i/>
              </w:rPr>
              <w:t xml:space="preserve"> De nationale overvågningsmyndigheder bør under udøvelsen af deres beføjelser samarbejde tæt med ESMA</w:t>
            </w:r>
            <w:r w:rsidRPr="00B16DFD">
              <w:t>.</w:t>
            </w:r>
          </w:p>
        </w:tc>
      </w:tr>
    </w:tbl>
    <w:p w:rsidR="00365C9B" w:rsidRPr="00734CAA" w:rsidP="00365C9B" w14:paraId="06788C15"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9A2AFEF" w14:textId="77777777">
      <w:pPr>
        <w:pStyle w:val="AmJustTitle"/>
        <w:rPr>
          <w:lang w:val="en-GB"/>
        </w:rPr>
      </w:pPr>
      <w:r w:rsidRPr="00734CAA">
        <w:rPr>
          <w:rStyle w:val="HideTWBExt"/>
          <w:color w:val="auto"/>
          <w:lang w:val="en-GB"/>
        </w:rPr>
        <w:t>&lt;TitreJust&gt;</w:t>
      </w:r>
      <w:r w:rsidRPr="00734CAA">
        <w:rPr>
          <w:lang w:val="en-GB"/>
        </w:rPr>
        <w:t>Begrundelse</w:t>
      </w:r>
      <w:r w:rsidRPr="00734CAA">
        <w:rPr>
          <w:rStyle w:val="HideTWBExt"/>
          <w:color w:val="auto"/>
          <w:lang w:val="en-GB"/>
        </w:rPr>
        <w:t>&lt;/TitreJust&gt;</w:t>
      </w:r>
    </w:p>
    <w:p w:rsidR="00365C9B" w:rsidRPr="00734CAA" w:rsidP="00365C9B" w14:paraId="51444767" w14:textId="77777777">
      <w:pPr>
        <w:pStyle w:val="AmJustText"/>
        <w:rPr>
          <w:lang w:val="en-GB"/>
        </w:rPr>
      </w:pPr>
      <w:r w:rsidRPr="00734CAA">
        <w:rPr>
          <w:lang w:val="en-GB"/>
        </w:rPr>
        <w:t>Preserving orderly trading and market integrity is key to maintaining trust in the market, which is a necessary precondition for investors’ participation. The EU regulatory framework includes extensive provisions in this regard, primarily in MiFIR and Regulation (EU) No 596/2014. Under the latter Regulation, market operators and investment firms operating trading venues play a central role as the first line of defense, alongside investment firms, and are therefore subject to the supervision of national authorities designated in accordance with that Regulation.</w:t>
      </w:r>
    </w:p>
    <w:p w:rsidR="00365C9B" w:rsidRPr="00734CAA" w:rsidP="00365C9B" w14:paraId="4374239E" w14:textId="77777777">
      <w:pPr>
        <w:pStyle w:val="AmJustText"/>
        <w:rPr>
          <w:lang w:val="en-GB"/>
        </w:rPr>
      </w:pPr>
      <w:r w:rsidRPr="00734CAA">
        <w:rPr>
          <w:lang w:val="en-GB"/>
        </w:rPr>
        <w:t>For this reason, national competent authorities are also entrusted with supervisory powers under MiFIR, including the receipt of transaction data, the ability to request order book data, and the power to adopt urgent measures, such as imposing temporary trading halts in emergency situations or suspending financial instruments from trading.</w:t>
      </w:r>
    </w:p>
    <w:p w:rsidR="00365C9B" w:rsidRPr="00734CAA" w:rsidP="00365C9B" w14:paraId="59873F23" w14:textId="77777777">
      <w:pPr>
        <w:pStyle w:val="AmJustText"/>
        <w:rPr>
          <w:lang w:val="en-GB"/>
        </w:rPr>
      </w:pPr>
      <w:r w:rsidRPr="00734CAA">
        <w:rPr>
          <w:lang w:val="en-GB"/>
        </w:rPr>
        <w:t>At the same time, market operators and investment firms operating trading venues are subject to organisational requirements under Regulation (EU) No 600/2014 that are closely linked to the obligations applicable to them under Regulation (EU) No 596/2014. These requirements would be transferred to the ESMA direct supervision, which will act as the competent authority pursuant to MiFIR. Therefore, it is necessary to ensure that national surveillance authorities are adequately involved in the supervision of these requirements in close cooperation with ESMA.</w:t>
      </w:r>
    </w:p>
    <w:p w:rsidR="00365C9B" w:rsidRPr="00B16DFD" w:rsidP="00365C9B" w14:paraId="348DFA48" w14:textId="77777777">
      <w:r w:rsidRPr="00B16DFD">
        <w:rPr>
          <w:rStyle w:val="HideTWBExt"/>
          <w:color w:val="auto"/>
        </w:rPr>
        <w:t>&lt;/Amend&gt;</w:t>
      </w:r>
    </w:p>
    <w:p w:rsidR="00365C9B" w:rsidRPr="00B16DFD" w:rsidP="00365C9B" w14:paraId="7890E887"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288</w:t>
      </w:r>
      <w:r w:rsidRPr="00B16DFD">
        <w:rPr>
          <w:rStyle w:val="HideTWBExt"/>
          <w:color w:val="auto"/>
        </w:rPr>
        <w:t>&lt;/NumAm&gt;</w:t>
      </w:r>
    </w:p>
    <w:p w:rsidR="00365C9B" w:rsidRPr="00734CAA" w:rsidP="00365C9B" w14:paraId="6A35717C"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1F4F985C"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4B94D3FE" w14:textId="77777777">
      <w:pPr>
        <w:pStyle w:val="NormalBold"/>
        <w:rPr>
          <w:lang w:val="en-GB"/>
        </w:rPr>
      </w:pPr>
      <w:r w:rsidRPr="00734CAA">
        <w:rPr>
          <w:rStyle w:val="HideTWBExt"/>
          <w:b w:val="0"/>
          <w:color w:val="auto"/>
          <w:lang w:val="en-GB"/>
        </w:rPr>
        <w:t>&lt;/RepeatBlock-By&gt;</w:t>
      </w:r>
    </w:p>
    <w:p w:rsidR="00365C9B" w:rsidRPr="00734CAA" w:rsidP="00365C9B" w14:paraId="2795978F"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30E40C16" w14:textId="77777777">
      <w:pPr>
        <w:pStyle w:val="NormalBold"/>
      </w:pPr>
      <w:r w:rsidRPr="00B16DFD">
        <w:rPr>
          <w:rStyle w:val="HideTWBExt"/>
          <w:color w:val="auto"/>
        </w:rPr>
        <w:t>&lt;Article&gt;</w:t>
      </w:r>
      <w:r w:rsidRPr="00B16DFD">
        <w:t>Betragtning 44</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1AA9C"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7B0783E" w14:textId="77777777"/>
        </w:tc>
      </w:tr>
      <w:tr w14:paraId="685F515C"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2FACC1B"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A7512CF" w14:textId="77777777">
            <w:pPr>
              <w:pStyle w:val="AmColumnHeading"/>
            </w:pPr>
            <w:r w:rsidRPr="00B16DFD">
              <w:t>Ændringsforslag</w:t>
            </w:r>
          </w:p>
        </w:tc>
      </w:tr>
      <w:tr w14:paraId="632518B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BC11F2C" w14:textId="77777777">
            <w:pPr>
              <w:pStyle w:val="Normal6a"/>
            </w:pPr>
            <w:r w:rsidRPr="00B16DFD">
              <w:rPr>
                <w:b/>
                <w:i/>
              </w:rPr>
              <w:t>(44)</w:t>
            </w:r>
            <w:r w:rsidRPr="00B16DFD">
              <w:tab/>
            </w:r>
            <w:r w:rsidRPr="00B16DFD">
              <w:rPr>
                <w:b/>
                <w:i/>
              </w:rPr>
              <w:t>For at sikre, at markedspladser er underlagt den mest hensigtsmæssige tilsynsmodel, er det vigtigt at indføre en proces, hvor markedspladser, der anses for at være signifikante, placeres under ESMA's tilsyn, samtidig med at der indføres mulighed for, at markedspladser, der ikke længere opfylder betingelserne for at være "signifikante", kan vende tilbage til nationalt tilsyn. I den forbindelse bør ESMA afdække, hvilke markedspladser der opfylder betingelserne for at blive betragtet som signifikante, og regelmæssigt overvåge, om markedspladserne fortsat opfylder disse betingelser over tid. For at sikre, at ændringen af en tilsynsmodel sker gnidningsløst og uden at pålægge markedspladserne en unødig byrde, er det vigtigt at fastlægge en passende tidsplan og en tilsynsmæssig overgangsplan, der udarbejdes gennem et grundigt samarbejde mellem ESMA og den berørte nationale tilsynsmyndighed. For at skabe klarhed for markedsdeltagerne bør ESMA også udarbejde og regelmæssigt ajourføre en liste over alle signifikante markedspladser under dens tilsyn og offentliggøre den på sit websted.</w:t>
            </w:r>
          </w:p>
        </w:tc>
        <w:tc>
          <w:tcPr>
            <w:tcW w:w="4876" w:type="dxa"/>
            <w:tcBorders>
              <w:top w:val="nil"/>
              <w:left w:val="nil"/>
              <w:bottom w:val="nil"/>
              <w:right w:val="nil"/>
            </w:tcBorders>
            <w:hideMark/>
          </w:tcPr>
          <w:p w:rsidR="00365C9B" w:rsidRPr="00B16DFD" w:rsidP="00F61C80" w14:paraId="2AD5B247" w14:textId="77777777">
            <w:pPr>
              <w:pStyle w:val="Normal6a"/>
            </w:pPr>
            <w:r w:rsidRPr="00B16DFD">
              <w:rPr>
                <w:b/>
                <w:i/>
              </w:rPr>
              <w:t>udgår</w:t>
            </w:r>
          </w:p>
        </w:tc>
      </w:tr>
    </w:tbl>
    <w:p w:rsidR="00365C9B" w:rsidRPr="00B16DFD" w:rsidP="00365C9B" w14:paraId="21323D43"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1F64F4D4" w14:textId="77777777">
      <w:r w:rsidRPr="00B16DFD">
        <w:rPr>
          <w:rStyle w:val="HideTWBExt"/>
          <w:color w:val="auto"/>
        </w:rPr>
        <w:t>&lt;/Amend&gt;</w:t>
      </w:r>
    </w:p>
    <w:p w:rsidR="00365C9B" w:rsidRPr="00B16DFD" w:rsidP="00365C9B" w14:paraId="6028FB21"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289</w:t>
      </w:r>
      <w:r w:rsidRPr="00B16DFD">
        <w:rPr>
          <w:rStyle w:val="HideTWBExt"/>
          <w:color w:val="auto"/>
        </w:rPr>
        <w:t>&lt;/NumAm&gt;</w:t>
      </w:r>
    </w:p>
    <w:p w:rsidR="00365C9B" w:rsidRPr="00734CAA" w:rsidP="00365C9B" w14:paraId="1F370E3C" w14:textId="77777777">
      <w:pPr>
        <w:pStyle w:val="NormalBold"/>
        <w:rPr>
          <w:lang w:val="en-GB"/>
        </w:rPr>
      </w:pPr>
      <w:r w:rsidRPr="00734CAA">
        <w:rPr>
          <w:rStyle w:val="HideTWBExt"/>
          <w:b w:val="0"/>
          <w:color w:val="auto"/>
          <w:lang w:val="en-GB"/>
        </w:rPr>
        <w:t>&lt;RepeatBlock-By&gt;&lt;Members&gt;</w:t>
      </w:r>
      <w:r w:rsidRPr="00734CAA">
        <w:rPr>
          <w:lang w:val="en-GB"/>
        </w:rPr>
        <w:t>Sirpa Pietikäinen</w:t>
      </w:r>
      <w:r w:rsidRPr="00734CAA">
        <w:rPr>
          <w:rStyle w:val="HideTWBExt"/>
          <w:b w:val="0"/>
          <w:color w:val="auto"/>
          <w:lang w:val="en-GB"/>
        </w:rPr>
        <w:t>&lt;/Members&gt;</w:t>
      </w:r>
    </w:p>
    <w:p w:rsidR="00365C9B" w:rsidRPr="00B16DFD" w:rsidP="00365C9B" w14:paraId="1E29E732" w14:textId="77777777">
      <w:pPr>
        <w:pStyle w:val="NormalBold"/>
      </w:pPr>
      <w:r w:rsidRPr="00B16DFD">
        <w:rPr>
          <w:rStyle w:val="HideTWBExt"/>
          <w:b w:val="0"/>
          <w:color w:val="auto"/>
        </w:rPr>
        <w:t>&lt;/RepeatBlock-By&gt;</w:t>
      </w:r>
    </w:p>
    <w:p w:rsidR="00365C9B" w:rsidRPr="00B16DFD" w:rsidP="00365C9B" w14:paraId="48972302"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6926E641" w14:textId="77777777">
      <w:pPr>
        <w:pStyle w:val="NormalBold"/>
        <w:rPr>
          <w:lang w:val="en-GB"/>
        </w:rPr>
      </w:pPr>
      <w:r w:rsidRPr="00734CAA">
        <w:rPr>
          <w:rStyle w:val="HideTWBExt"/>
          <w:color w:val="auto"/>
          <w:lang w:val="en-GB"/>
        </w:rPr>
        <w:t>&lt;Article&gt;</w:t>
      </w:r>
      <w:r w:rsidRPr="00734CAA">
        <w:rPr>
          <w:lang w:val="en-GB"/>
        </w:rPr>
        <w:t>Betragtning 46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38C0A"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145C4659" w14:textId="77777777">
            <w:pPr>
              <w:rPr>
                <w:lang w:val="en-GB"/>
              </w:rPr>
            </w:pPr>
          </w:p>
        </w:tc>
      </w:tr>
      <w:tr w14:paraId="78F1E16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A202EF4"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FB61FE2" w14:textId="77777777">
            <w:pPr>
              <w:pStyle w:val="AmColumnHeading"/>
            </w:pPr>
            <w:r w:rsidRPr="00B16DFD">
              <w:t>Ændringsforslag</w:t>
            </w:r>
          </w:p>
        </w:tc>
      </w:tr>
      <w:tr w14:paraId="7AF2751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2608D52" w14:textId="77777777">
            <w:pPr>
              <w:pStyle w:val="Normal6a"/>
            </w:pPr>
          </w:p>
        </w:tc>
        <w:tc>
          <w:tcPr>
            <w:tcW w:w="4876" w:type="dxa"/>
            <w:tcBorders>
              <w:top w:val="nil"/>
              <w:left w:val="nil"/>
              <w:bottom w:val="nil"/>
              <w:right w:val="nil"/>
            </w:tcBorders>
            <w:hideMark/>
          </w:tcPr>
          <w:p w:rsidR="00365C9B" w:rsidRPr="00B16DFD" w:rsidP="00F61C80" w14:paraId="7D1A7474" w14:textId="77777777">
            <w:pPr>
              <w:pStyle w:val="Normal6a"/>
            </w:pPr>
            <w:r w:rsidRPr="00B16DFD">
              <w:rPr>
                <w:b/>
                <w:i/>
              </w:rPr>
              <w:t>(46a)</w:t>
            </w:r>
            <w:r w:rsidRPr="00B16DFD">
              <w:tab/>
            </w:r>
            <w:r w:rsidRPr="00B16DFD">
              <w:rPr>
                <w:b/>
                <w:i/>
              </w:rPr>
              <w:t xml:space="preserve">I overensstemmelse med artikel 4, stk. 2, i traktaten om Den Europæiske Union og med forbehold af Domstolens prøvelse bør denne forordning ikke berøre </w:t>
            </w:r>
            <w:r w:rsidRPr="00B16DFD">
              <w:rPr>
                <w:b/>
                <w:i/>
              </w:rPr>
              <w:t>medlemsstaternes ansvar for så vidt angår centrale statslige funktioner vedrørende offentlig sikkerhed, forsvar og beskyttelse af den nationale sikkerhed, f.eks. i forbindelse med forelæggelse af oplysninger, der ville være i strid med beskyttelsen af den nationale sikkerhed.</w:t>
            </w:r>
          </w:p>
        </w:tc>
      </w:tr>
    </w:tbl>
    <w:p w:rsidR="00365C9B" w:rsidRPr="00734CAA" w:rsidP="00365C9B" w14:paraId="42838D76"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BD6BD0F" w14:textId="77777777">
      <w:pPr>
        <w:rPr>
          <w:lang w:val="en-GB"/>
        </w:rPr>
      </w:pPr>
      <w:r w:rsidRPr="00734CAA">
        <w:rPr>
          <w:rStyle w:val="HideTWBExt"/>
          <w:color w:val="auto"/>
          <w:lang w:val="en-GB"/>
        </w:rPr>
        <w:t>&lt;/Amend&gt;</w:t>
      </w:r>
    </w:p>
    <w:p w:rsidR="00365C9B" w:rsidRPr="00734CAA" w:rsidP="00365C9B" w14:paraId="68D7D1AE"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290</w:t>
      </w:r>
      <w:r w:rsidRPr="00734CAA">
        <w:rPr>
          <w:rStyle w:val="HideTWBExt"/>
          <w:color w:val="auto"/>
          <w:lang w:val="en-GB"/>
        </w:rPr>
        <w:t>&lt;/NumAm&gt;</w:t>
      </w:r>
    </w:p>
    <w:p w:rsidR="00365C9B" w:rsidRPr="00734CAA" w:rsidP="00365C9B" w14:paraId="3A93DCD3" w14:textId="77777777">
      <w:pPr>
        <w:pStyle w:val="NormalBold"/>
        <w:rPr>
          <w:lang w:val="en-GB"/>
        </w:rPr>
      </w:pPr>
      <w:r w:rsidRPr="00734CAA">
        <w:rPr>
          <w:rStyle w:val="HideTWBExt"/>
          <w:b w:val="0"/>
          <w:color w:val="auto"/>
          <w:lang w:val="en-GB"/>
        </w:rPr>
        <w:t>&lt;RepeatBlock-By&gt;&lt;Members&gt;</w:t>
      </w:r>
      <w:r w:rsidRPr="00734CAA">
        <w:rPr>
          <w:lang w:val="en-GB"/>
        </w:rPr>
        <w:t>Katri Kulmuni</w:t>
      </w:r>
      <w:r w:rsidRPr="00734CAA">
        <w:rPr>
          <w:rStyle w:val="HideTWBExt"/>
          <w:b w:val="0"/>
          <w:color w:val="auto"/>
          <w:lang w:val="en-GB"/>
        </w:rPr>
        <w:t>&lt;/Members&gt;</w:t>
      </w:r>
    </w:p>
    <w:p w:rsidR="00365C9B" w:rsidRPr="00B16DFD" w:rsidP="00365C9B" w14:paraId="558B519C" w14:textId="77777777">
      <w:pPr>
        <w:pStyle w:val="NormalBold"/>
      </w:pPr>
      <w:r w:rsidRPr="00B16DFD">
        <w:rPr>
          <w:rStyle w:val="HideTWBExt"/>
          <w:b w:val="0"/>
          <w:color w:val="auto"/>
        </w:rPr>
        <w:t>&lt;/RepeatBlock-By&gt;</w:t>
      </w:r>
    </w:p>
    <w:p w:rsidR="00365C9B" w:rsidRPr="00B16DFD" w:rsidP="00365C9B" w14:paraId="5CC6A809"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4C293D5B" w14:textId="77777777">
      <w:pPr>
        <w:pStyle w:val="NormalBold"/>
        <w:rPr>
          <w:lang w:val="en-GB"/>
        </w:rPr>
      </w:pPr>
      <w:r w:rsidRPr="00734CAA">
        <w:rPr>
          <w:rStyle w:val="HideTWBExt"/>
          <w:color w:val="auto"/>
          <w:lang w:val="en-GB"/>
        </w:rPr>
        <w:t>&lt;Article&gt;</w:t>
      </w:r>
      <w:r w:rsidRPr="00734CAA">
        <w:rPr>
          <w:lang w:val="en-GB"/>
        </w:rPr>
        <w:t>Betragtning 46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C0A94"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6523AEF6" w14:textId="77777777">
            <w:pPr>
              <w:rPr>
                <w:lang w:val="en-GB"/>
              </w:rPr>
            </w:pPr>
          </w:p>
        </w:tc>
      </w:tr>
      <w:tr w14:paraId="6BF41531"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42EA93A"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D1F11A1" w14:textId="77777777">
            <w:pPr>
              <w:pStyle w:val="AmColumnHeading"/>
            </w:pPr>
            <w:r w:rsidRPr="00B16DFD">
              <w:t>Ændringsforslag</w:t>
            </w:r>
          </w:p>
        </w:tc>
      </w:tr>
      <w:tr w14:paraId="6CC3CF2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DDDF27D" w14:textId="77777777">
            <w:pPr>
              <w:pStyle w:val="Normal6a"/>
            </w:pPr>
          </w:p>
        </w:tc>
        <w:tc>
          <w:tcPr>
            <w:tcW w:w="4876" w:type="dxa"/>
            <w:tcBorders>
              <w:top w:val="nil"/>
              <w:left w:val="nil"/>
              <w:bottom w:val="nil"/>
              <w:right w:val="nil"/>
            </w:tcBorders>
            <w:hideMark/>
          </w:tcPr>
          <w:p w:rsidR="00365C9B" w:rsidRPr="00B16DFD" w:rsidP="00F61C80" w14:paraId="16AC584A" w14:textId="77777777">
            <w:pPr>
              <w:pStyle w:val="Normal6a"/>
            </w:pPr>
            <w:r w:rsidRPr="00B16DFD">
              <w:rPr>
                <w:b/>
                <w:i/>
              </w:rPr>
              <w:t>(46a)</w:t>
            </w:r>
            <w:r w:rsidRPr="00B16DFD">
              <w:tab/>
            </w:r>
            <w:r w:rsidRPr="00B16DFD">
              <w:rPr>
                <w:b/>
                <w:i/>
              </w:rPr>
              <w:t>I overensstemmelse med artikel 4, stk. 2, i traktaten om Den Europæiske Union og med forbehold af Domstolens prøvelse bør denne forordning ikke berøre medlemsstaternes ansvar for så vidt angår centrale statslige funktioner vedrørende offentlig sikkerhed, forsvar og beskyttelse af den nationale sikkerhed, f.eks. i forbindelse med forelæggelse af oplysninger, der ville være i strid med beskyttelsen af den nationale sikkerhed.</w:t>
            </w:r>
          </w:p>
        </w:tc>
      </w:tr>
    </w:tbl>
    <w:p w:rsidR="00365C9B" w:rsidRPr="00734CAA" w:rsidP="00365C9B" w14:paraId="2EEF9EFB"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9B2CE7D" w14:textId="77777777">
      <w:pPr>
        <w:pStyle w:val="AmJustTitle"/>
        <w:rPr>
          <w:lang w:val="en-GB"/>
        </w:rPr>
      </w:pPr>
      <w:r w:rsidRPr="00734CAA">
        <w:rPr>
          <w:rStyle w:val="HideTWBExt"/>
          <w:color w:val="auto"/>
          <w:lang w:val="en-GB"/>
        </w:rPr>
        <w:t>&lt;TitreJust&gt;</w:t>
      </w:r>
      <w:r w:rsidRPr="00734CAA">
        <w:rPr>
          <w:lang w:val="en-GB"/>
        </w:rPr>
        <w:t>Begrundelse</w:t>
      </w:r>
      <w:r w:rsidRPr="00734CAA">
        <w:rPr>
          <w:rStyle w:val="HideTWBExt"/>
          <w:color w:val="auto"/>
          <w:lang w:val="en-GB"/>
        </w:rPr>
        <w:t>&lt;/TitreJust&gt;</w:t>
      </w:r>
    </w:p>
    <w:p w:rsidR="00365C9B" w:rsidRPr="00734CAA" w:rsidP="00365C9B" w14:paraId="1BA859F1" w14:textId="77777777">
      <w:pPr>
        <w:pStyle w:val="AmJustText"/>
        <w:rPr>
          <w:lang w:val="en-GB"/>
        </w:rPr>
      </w:pPr>
      <w:r w:rsidRPr="00734CAA">
        <w:rPr>
          <w:lang w:val="en-GB"/>
        </w:rPr>
        <w:t>CSDs are systemically important entities providing critical services for European societies and citizens. CSDs ensure the integrity of an issue, secure collateral for monetary policy operations between credit institutions and hold records of the citizens’ holdings. Europe’s security environment is changing and ensuring the continuity of critical infrastructures like CSDs in all circumstances is becoming more important. A simple clarifying addition to the CSDR reiterates the existing division of legislative powers between the EU Treaties and Member States. EU treaties vest the legislative powers concerning national defense and security frameworks specifically to Member States. The amendment clarifies the coexistence of national preparedness frameworks and CSDR.</w:t>
      </w:r>
    </w:p>
    <w:p w:rsidR="00365C9B" w:rsidRPr="00B16DFD" w:rsidP="00365C9B" w14:paraId="248F45CC" w14:textId="77777777">
      <w:r w:rsidRPr="00B16DFD">
        <w:rPr>
          <w:rStyle w:val="HideTWBExt"/>
          <w:color w:val="auto"/>
        </w:rPr>
        <w:t>&lt;/Amend&gt;</w:t>
      </w:r>
    </w:p>
    <w:p w:rsidR="00365C9B" w:rsidRPr="00B16DFD" w:rsidP="00365C9B" w14:paraId="19E227BC"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291</w:t>
      </w:r>
      <w:r w:rsidRPr="00B16DFD">
        <w:rPr>
          <w:rStyle w:val="HideTWBExt"/>
          <w:color w:val="auto"/>
        </w:rPr>
        <w:t>&lt;/NumAm&gt;</w:t>
      </w:r>
    </w:p>
    <w:p w:rsidR="00365C9B" w:rsidRPr="00B16DFD" w:rsidP="00365C9B" w14:paraId="141B0921" w14:textId="77777777">
      <w:pPr>
        <w:pStyle w:val="NormalBold"/>
      </w:pPr>
      <w:r w:rsidRPr="00B16DFD">
        <w:rPr>
          <w:rStyle w:val="HideTWBExt"/>
          <w:b w:val="0"/>
          <w:color w:val="auto"/>
        </w:rPr>
        <w:t>&lt;RepeatBlock-By&gt;&lt;Members&gt;</w:t>
      </w:r>
      <w:r w:rsidRPr="00B16DFD">
        <w:t>Aurore Lalucq, Evelyn Regner, Nikos Papandreou, Claire Fita</w:t>
      </w:r>
      <w:r w:rsidRPr="00B16DFD">
        <w:rPr>
          <w:rStyle w:val="HideTWBExt"/>
          <w:b w:val="0"/>
          <w:color w:val="auto"/>
        </w:rPr>
        <w:t>&lt;/Members&gt;</w:t>
      </w:r>
    </w:p>
    <w:p w:rsidR="00365C9B" w:rsidRPr="00B16DFD" w:rsidP="00365C9B" w14:paraId="6C39E272" w14:textId="77777777">
      <w:pPr>
        <w:pStyle w:val="NormalBold"/>
      </w:pPr>
      <w:r w:rsidRPr="00B16DFD">
        <w:rPr>
          <w:rStyle w:val="HideTWBExt"/>
          <w:b w:val="0"/>
          <w:color w:val="auto"/>
        </w:rPr>
        <w:t>&lt;/RepeatBlock-By&gt;</w:t>
      </w:r>
    </w:p>
    <w:p w:rsidR="00365C9B" w:rsidRPr="00B16DFD" w:rsidP="00365C9B" w14:paraId="03B116B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3BC23D15" w14:textId="77777777">
      <w:pPr>
        <w:pStyle w:val="NormalBold"/>
      </w:pPr>
      <w:r w:rsidRPr="00B16DFD">
        <w:rPr>
          <w:rStyle w:val="HideTWBExt"/>
          <w:color w:val="auto"/>
        </w:rPr>
        <w:t>&lt;Article&gt;</w:t>
      </w:r>
      <w:r w:rsidRPr="00B16DFD">
        <w:t>Betragtning 47</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5F0043"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5AE221A" w14:textId="77777777"/>
        </w:tc>
      </w:tr>
      <w:tr w14:paraId="4D641E60"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B99C262"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4C324B6" w14:textId="77777777">
            <w:pPr>
              <w:pStyle w:val="AmColumnHeading"/>
            </w:pPr>
            <w:r w:rsidRPr="00B16DFD">
              <w:t>Ændringsforslag</w:t>
            </w:r>
          </w:p>
        </w:tc>
      </w:tr>
      <w:tr w14:paraId="3ACE6CF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4EE34ED" w14:textId="77777777">
            <w:pPr>
              <w:pStyle w:val="Normal6a"/>
            </w:pPr>
            <w:r w:rsidRPr="00B16DFD">
              <w:t>(47)</w:t>
            </w:r>
            <w:r w:rsidRPr="00B16DFD">
              <w:tab/>
              <w:t>De anvendte begreber og de regler, der er fastsat i forordning (EU) nr. 909/2014, bør ikke hindre brugen af nogen bestemt teknologi, herunder distributed ledger-teknologi (DLT). For at tage højde for innovation og anvendelse af nye teknologier i leveringen af CSD-tjenesteydelser, navnlig når disse tjenesteydelser leveres ved hjælp af DLT, bør forordning (EU) nr. 909/2014 ændres for at sikre, at alle definitioner, begreber og krav ajourføres, så de kan anvendes i situationer, hvor en CSD leverer sine tjenesteydelser ved hjælp af DLT. Det er ligeledes nødvendigt at sikre, at visse tokeniserede aktiver</w:t>
            </w:r>
            <w:r w:rsidRPr="00B16DFD">
              <w:rPr>
                <w:b/>
                <w:i/>
              </w:rPr>
              <w:t>, herunder e-pengetokens,</w:t>
            </w:r>
            <w:r w:rsidRPr="00B16DFD">
              <w:t xml:space="preserve"> kan anvendes som betalingsmiddel ved afvikling af værdipapirtransaktioner eller til betaling af bøder for afviklingsfejl.</w:t>
            </w:r>
          </w:p>
        </w:tc>
        <w:tc>
          <w:tcPr>
            <w:tcW w:w="4876" w:type="dxa"/>
            <w:tcBorders>
              <w:top w:val="nil"/>
              <w:left w:val="nil"/>
              <w:bottom w:val="nil"/>
              <w:right w:val="nil"/>
            </w:tcBorders>
            <w:hideMark/>
          </w:tcPr>
          <w:p w:rsidR="00365C9B" w:rsidRPr="00B16DFD" w:rsidP="00F61C80" w14:paraId="117118BB" w14:textId="77777777">
            <w:pPr>
              <w:pStyle w:val="Normal6a"/>
            </w:pPr>
            <w:r w:rsidRPr="00B16DFD">
              <w:t>(47)</w:t>
            </w:r>
            <w:r w:rsidRPr="00B16DFD">
              <w:tab/>
              <w:t>De anvendte begreber og de regler, der er fastsat i forordning (EU) nr. 909/2014, bør ikke hindre brugen af nogen bestemt teknologi, herunder distributed ledger-teknologi (DLT). For at tage højde for innovation og anvendelse af nye teknologier i leveringen af CSD-tjenesteydelser, navnlig når disse tjenesteydelser leveres ved hjælp af DLT, bør forordning (EU) nr. 909/2014 ændres for at sikre, at alle definitioner, begreber og krav ajourføres, så de kan anvendes i situationer, hvor en CSD leverer sine tjenesteydelser ved hjælp af DLT. Det er ligeledes nødvendigt at sikre, at visse tokeniserede aktiver</w:t>
            </w:r>
            <w:r w:rsidRPr="00B16DFD">
              <w:rPr>
                <w:b/>
                <w:i/>
              </w:rPr>
              <w:t xml:space="preserve"> såsom tokeniserede indskud</w:t>
            </w:r>
            <w:r w:rsidRPr="00B16DFD">
              <w:t xml:space="preserve"> kan anvendes som betalingsmiddel ved afvikling af værdipapirtransaktioner eller til betaling af bøder for afviklingsfejl.</w:t>
            </w:r>
          </w:p>
        </w:tc>
      </w:tr>
    </w:tbl>
    <w:p w:rsidR="00365C9B" w:rsidRPr="00734CAA" w:rsidP="00365C9B" w14:paraId="1C380273"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BC2B5C5" w14:textId="77777777">
      <w:pPr>
        <w:rPr>
          <w:lang w:val="en-GB"/>
        </w:rPr>
      </w:pPr>
      <w:r w:rsidRPr="00734CAA">
        <w:rPr>
          <w:rStyle w:val="HideTWBExt"/>
          <w:color w:val="auto"/>
          <w:lang w:val="en-GB"/>
        </w:rPr>
        <w:t>&lt;/Amend&gt;</w:t>
      </w:r>
    </w:p>
    <w:p w:rsidR="00365C9B" w:rsidRPr="00734CAA" w:rsidP="00365C9B" w14:paraId="5A479ECB"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292</w:t>
      </w:r>
      <w:r w:rsidRPr="00734CAA">
        <w:rPr>
          <w:rStyle w:val="HideTWBExt"/>
          <w:color w:val="auto"/>
          <w:lang w:val="en-GB"/>
        </w:rPr>
        <w:t>&lt;/NumAm&gt;</w:t>
      </w:r>
    </w:p>
    <w:p w:rsidR="00365C9B" w:rsidRPr="00734CAA" w:rsidP="00365C9B" w14:paraId="08A3B1BC" w14:textId="77777777">
      <w:pPr>
        <w:pStyle w:val="NormalBold"/>
        <w:rPr>
          <w:lang w:val="en-GB"/>
        </w:rPr>
      </w:pPr>
      <w:r w:rsidRPr="00734CAA">
        <w:rPr>
          <w:rStyle w:val="HideTWBExt"/>
          <w:b w:val="0"/>
          <w:color w:val="auto"/>
          <w:lang w:val="en-GB"/>
        </w:rPr>
        <w:t>&lt;RepeatBlock-By&gt;&lt;Members&gt;</w:t>
      </w:r>
      <w:r w:rsidRPr="00734CAA">
        <w:rPr>
          <w:lang w:val="en-GB"/>
        </w:rPr>
        <w:t>Markus Ferber</w:t>
      </w:r>
      <w:r w:rsidRPr="00734CAA">
        <w:rPr>
          <w:rStyle w:val="HideTWBExt"/>
          <w:b w:val="0"/>
          <w:color w:val="auto"/>
          <w:lang w:val="en-GB"/>
        </w:rPr>
        <w:t>&lt;/Members&gt;</w:t>
      </w:r>
    </w:p>
    <w:p w:rsidR="00365C9B" w:rsidRPr="00734CAA" w:rsidP="00365C9B" w14:paraId="0AE62090" w14:textId="77777777">
      <w:pPr>
        <w:pStyle w:val="NormalBold"/>
        <w:rPr>
          <w:lang w:val="en-GB"/>
        </w:rPr>
      </w:pPr>
      <w:r w:rsidRPr="00734CAA">
        <w:rPr>
          <w:rStyle w:val="HideTWBExt"/>
          <w:b w:val="0"/>
          <w:color w:val="auto"/>
          <w:lang w:val="en-GB"/>
        </w:rPr>
        <w:t>&lt;/RepeatBlock-By&gt;</w:t>
      </w:r>
    </w:p>
    <w:p w:rsidR="00365C9B" w:rsidRPr="00B16DFD" w:rsidP="00365C9B" w14:paraId="397BEEA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62807628" w14:textId="77777777">
      <w:pPr>
        <w:pStyle w:val="NormalBold"/>
        <w:rPr>
          <w:lang w:val="en-GB"/>
        </w:rPr>
      </w:pPr>
      <w:r w:rsidRPr="00734CAA">
        <w:rPr>
          <w:rStyle w:val="HideTWBExt"/>
          <w:color w:val="auto"/>
          <w:lang w:val="en-GB"/>
        </w:rPr>
        <w:t>&lt;Article&gt;</w:t>
      </w:r>
      <w:r w:rsidRPr="00734CAA">
        <w:rPr>
          <w:lang w:val="en-GB"/>
        </w:rPr>
        <w:t>Betragtning 48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99653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7541BA6A" w14:textId="77777777">
            <w:pPr>
              <w:rPr>
                <w:lang w:val="en-GB"/>
              </w:rPr>
            </w:pPr>
          </w:p>
        </w:tc>
      </w:tr>
      <w:tr w14:paraId="14AAB90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8CC369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D55EE7A" w14:textId="77777777">
            <w:pPr>
              <w:pStyle w:val="AmColumnHeading"/>
            </w:pPr>
            <w:r w:rsidRPr="00B16DFD">
              <w:t>Ændringsforslag</w:t>
            </w:r>
          </w:p>
        </w:tc>
      </w:tr>
      <w:tr w14:paraId="5E97995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48A15F0" w14:textId="77777777">
            <w:pPr>
              <w:pStyle w:val="Normal6a"/>
            </w:pPr>
          </w:p>
        </w:tc>
        <w:tc>
          <w:tcPr>
            <w:tcW w:w="4876" w:type="dxa"/>
            <w:tcBorders>
              <w:top w:val="nil"/>
              <w:left w:val="nil"/>
              <w:bottom w:val="nil"/>
              <w:right w:val="nil"/>
            </w:tcBorders>
            <w:hideMark/>
          </w:tcPr>
          <w:p w:rsidR="00365C9B" w:rsidRPr="00B16DFD" w:rsidP="00F61C80" w14:paraId="70789FCE" w14:textId="77777777">
            <w:pPr>
              <w:pStyle w:val="Normal6a"/>
            </w:pPr>
            <w:r w:rsidRPr="00B16DFD">
              <w:rPr>
                <w:b/>
                <w:i/>
              </w:rPr>
              <w:t>(48a)</w:t>
            </w:r>
            <w:r w:rsidRPr="00B16DFD">
              <w:tab/>
            </w:r>
            <w:r w:rsidRPr="00B16DFD">
              <w:rPr>
                <w:b/>
                <w:i/>
              </w:rPr>
              <w:t xml:space="preserve">Operatører af DLT-handels- og afviklingssystemer og DLT-afviklingssystemer, der allerede har fået en særlig tilladelse i henhold til forordning (EU) 2022/858 sammen med en tilladelse i henhold til direktiv 2014/65/EU eller forordning (EU) nr. 909/2014, alt efter hvad der er relevant, har allerede påvist overholdelse af en </w:t>
            </w:r>
            <w:r w:rsidRPr="00B16DFD">
              <w:rPr>
                <w:b/>
                <w:i/>
              </w:rPr>
              <w:t>væsentlig del af de krav, der er nødvendige for at fungere som en fuldt autoriseret værdipapircentral. At kræve, at sådanne operatører skal gennemgå den samme vurdering som en førstegangsansøger, når de overgår til fuld overensstemmelse, ville kræve en dobbelt tilsynsindsats uden en tilsvarende fordel for investorbeskyttelsen eller den finansielle stabilitet og ville skabe et afskrækkende incitament for udviklingen af infrastrukturmarkedet for distributed ledger-teknologi i Unionen. De kompetente myndigheder og Den Europæiske Værdipapir- og Markedstilsynsmyndighed bør derfor begrænse deres vurdering til de krav, som operatøren tidligere var fritaget for, og vedtage deres afgørelser inden for tidsfrister, der afspejler det mere begrænsede omfang af denne vurdering.</w:t>
            </w:r>
          </w:p>
        </w:tc>
      </w:tr>
    </w:tbl>
    <w:p w:rsidR="00365C9B" w:rsidRPr="00B16DFD" w:rsidP="00365C9B" w14:paraId="78E2BA61"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2D150D48"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1BAB4851" w14:textId="77777777">
      <w:pPr>
        <w:pStyle w:val="AmJustText"/>
      </w:pPr>
      <w:r w:rsidRPr="00B16DFD">
        <w:t>Der bør indføres en forenklet CSDR-godkendelsesvej for kandidater fra DLT-ordningen. En sådan ordning bør undgå overlappende tilsynsmæssig revurdering af forhold, der allerede er verificeret.</w:t>
      </w:r>
    </w:p>
    <w:p w:rsidR="00365C9B" w:rsidRPr="00B16DFD" w:rsidP="00365C9B" w14:paraId="15021801" w14:textId="77777777">
      <w:r w:rsidRPr="00B16DFD">
        <w:rPr>
          <w:rStyle w:val="HideTWBExt"/>
          <w:color w:val="auto"/>
        </w:rPr>
        <w:t>&lt;/Amend&gt;</w:t>
      </w:r>
    </w:p>
    <w:p w:rsidR="00365C9B" w:rsidRPr="00B16DFD" w:rsidP="00365C9B" w14:paraId="0DE16E9B"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293</w:t>
      </w:r>
      <w:r w:rsidRPr="00B16DFD">
        <w:rPr>
          <w:rStyle w:val="HideTWBExt"/>
          <w:color w:val="auto"/>
        </w:rPr>
        <w:t>&lt;/NumAm&gt;</w:t>
      </w:r>
    </w:p>
    <w:p w:rsidR="00365C9B" w:rsidRPr="00734CAA" w:rsidP="00365C9B" w14:paraId="1C5CD999"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31147948"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797D898F" w14:textId="77777777">
      <w:pPr>
        <w:pStyle w:val="NormalBold"/>
        <w:rPr>
          <w:lang w:val="en-GB"/>
        </w:rPr>
      </w:pPr>
      <w:r w:rsidRPr="00734CAA">
        <w:rPr>
          <w:rStyle w:val="HideTWBExt"/>
          <w:b w:val="0"/>
          <w:color w:val="auto"/>
          <w:lang w:val="en-GB"/>
        </w:rPr>
        <w:t>&lt;/RepeatBlock-By&gt;</w:t>
      </w:r>
    </w:p>
    <w:p w:rsidR="00365C9B" w:rsidRPr="00734CAA" w:rsidP="00365C9B" w14:paraId="60131AF3"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57FDBA9C" w14:textId="77777777">
      <w:pPr>
        <w:pStyle w:val="NormalBold"/>
      </w:pPr>
      <w:r w:rsidRPr="00B16DFD">
        <w:rPr>
          <w:rStyle w:val="HideTWBExt"/>
          <w:color w:val="auto"/>
        </w:rPr>
        <w:t>&lt;Article&gt;</w:t>
      </w:r>
      <w:r w:rsidRPr="00B16DFD">
        <w:t>Betragtning 50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5F81DF"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BECE6D0" w14:textId="77777777"/>
        </w:tc>
      </w:tr>
      <w:tr w14:paraId="0357452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D06065B"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B2E8955" w14:textId="77777777">
            <w:pPr>
              <w:pStyle w:val="AmColumnHeading"/>
            </w:pPr>
            <w:r w:rsidRPr="00B16DFD">
              <w:t>Ændringsforslag</w:t>
            </w:r>
          </w:p>
        </w:tc>
      </w:tr>
      <w:tr w14:paraId="7E77792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6053A71" w14:textId="77777777">
            <w:pPr>
              <w:pStyle w:val="Normal6a"/>
            </w:pPr>
            <w:r w:rsidRPr="00B16DFD">
              <w:t>(50)</w:t>
            </w:r>
            <w:r w:rsidRPr="00B16DFD">
              <w:tab/>
              <w:t xml:space="preserve">CSD'er i Unionen er meddelt tilladelse og underlagt tilsyn af de kompetente myndigheder i de medlemsstater, hvor de er etableret, i samarbejde med et tilsynskollegium, hvis disse CSD'er tilbyder tjenesteydelser af væsentlig betydning i to eller flere værtsmedlemsstater. På trods af de </w:t>
            </w:r>
            <w:r w:rsidRPr="00B16DFD">
              <w:t xml:space="preserve">hidtidige fremskridt er der fortsat forskellige tilsynspraksisser for CSD'er blandt disse nationale myndigheder, hvilket skaber ulige vilkår for CSD'er i Unionen og øger omkostningerne og byrden for CSD'er og grupper af CSD'er, der opererer og ønsker at operere på tværs af grænserne. Med udviklingen af dybere og mere likvide kapitalmarkeder i Unionen under opsparings- og investeringsunionen øger disse ulige vilkår risikoen for tilsynsarbitrage, hvilket kan føre til problemer med den finansielle stabilitet. For at sikre, at de tilsynsmæssige, organisatoriske og adfærdsmæssige krav til CSD'er, der er etableret i Unionen, anvendes på en ensartet måde, </w:t>
            </w:r>
            <w:r w:rsidRPr="00B16DFD">
              <w:rPr>
                <w:b/>
                <w:i/>
              </w:rPr>
              <w:t>navnlig for CSD'er med betydelige afviklingsaktiviteter, CSD'er med en væsentlig grænseoverskridende dimension og CSD'er, der indgår i en koncern, som omfatter andre markedsinfrastrukturer, der er underlagt ESMA's tilsyn,</w:t>
            </w:r>
            <w:r w:rsidRPr="00B16DFD">
              <w:t xml:space="preserve"> bør </w:t>
            </w:r>
            <w:r w:rsidRPr="00B16DFD">
              <w:rPr>
                <w:b/>
                <w:i/>
              </w:rPr>
              <w:t>disse</w:t>
            </w:r>
            <w:r w:rsidRPr="00B16DFD">
              <w:t xml:space="preserve"> CSD'er være underlagt ESMA's tilsyn på grundlag af ESMA's ekspertise og erfaring med anvendelsen af forordning (EU) nr. 909/2014.</w:t>
            </w:r>
          </w:p>
        </w:tc>
        <w:tc>
          <w:tcPr>
            <w:tcW w:w="4876" w:type="dxa"/>
            <w:tcBorders>
              <w:top w:val="nil"/>
              <w:left w:val="nil"/>
              <w:bottom w:val="nil"/>
              <w:right w:val="nil"/>
            </w:tcBorders>
            <w:hideMark/>
          </w:tcPr>
          <w:p w:rsidR="00365C9B" w:rsidRPr="00B16DFD" w:rsidP="00F61C80" w14:paraId="519FE741" w14:textId="77777777">
            <w:pPr>
              <w:pStyle w:val="Normal6a"/>
            </w:pPr>
            <w:r w:rsidRPr="00B16DFD">
              <w:t>(50)</w:t>
            </w:r>
            <w:r w:rsidRPr="00B16DFD">
              <w:tab/>
              <w:t xml:space="preserve">CSD'er i Unionen er meddelt tilladelse og underlagt tilsyn af de kompetente myndigheder i de medlemsstater, hvor de er etableret, i samarbejde med et tilsynskollegium, hvis disse CSD'er tilbyder tjenesteydelser af væsentlig betydning i to eller flere værtsmedlemsstater. På trods af de </w:t>
            </w:r>
            <w:r w:rsidRPr="00B16DFD">
              <w:t>hidtidige fremskridt er der fortsat forskellige tilsynspraksisser for CSD'er blandt disse nationale myndigheder, hvilket skaber ulige vilkår for CSD'er i Unionen og øger omkostningerne og byrden for CSD'er og grupper af CSD'er, der opererer og ønsker at operere på tværs af grænserne. Med udviklingen af dybere og mere likvide kapitalmarkeder i Unionen under opsparings- og investeringsunionen øger disse ulige vilkår risikoen for tilsynsarbitrage, hvilket kan føre til problemer med den finansielle stabilitet. For at sikre, at de tilsynsmæssige, organisatoriske og adfærdsmæssige krav til CSD'er, der er etableret i Unionen, anvendes på en ensartet måde, bør CSD'er være underlagt ESMA's tilsyn på grundlag af ESMA's ekspertise og erfaring med anvendelsen af forordning (EU) nr. 909/2014.</w:t>
            </w:r>
          </w:p>
        </w:tc>
      </w:tr>
    </w:tbl>
    <w:p w:rsidR="00365C9B" w:rsidRPr="00734CAA" w:rsidP="00365C9B" w14:paraId="486FFDD9"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B6A53AA" w14:textId="77777777">
      <w:pPr>
        <w:rPr>
          <w:lang w:val="en-GB"/>
        </w:rPr>
      </w:pPr>
      <w:r w:rsidRPr="00734CAA">
        <w:rPr>
          <w:rStyle w:val="HideTWBExt"/>
          <w:color w:val="auto"/>
          <w:lang w:val="en-GB"/>
        </w:rPr>
        <w:t>&lt;/Amend&gt;</w:t>
      </w:r>
    </w:p>
    <w:p w:rsidR="00365C9B" w:rsidRPr="00734CAA" w:rsidP="00365C9B" w14:paraId="12D2CDFB"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294</w:t>
      </w:r>
      <w:r w:rsidRPr="00734CAA">
        <w:rPr>
          <w:rStyle w:val="HideTWBExt"/>
          <w:color w:val="auto"/>
          <w:lang w:val="en-GB"/>
        </w:rPr>
        <w:t>&lt;/NumAm&gt;</w:t>
      </w:r>
    </w:p>
    <w:p w:rsidR="00365C9B" w:rsidRPr="00734CAA" w:rsidP="00365C9B" w14:paraId="3C34CB29" w14:textId="77777777">
      <w:pPr>
        <w:pStyle w:val="NormalBold"/>
        <w:rPr>
          <w:lang w:val="en-GB"/>
        </w:rPr>
      </w:pPr>
      <w:r w:rsidRPr="00734CAA">
        <w:rPr>
          <w:rStyle w:val="HideTWBExt"/>
          <w:b w:val="0"/>
          <w:color w:val="auto"/>
          <w:lang w:val="en-GB"/>
        </w:rPr>
        <w:t>&lt;RepeatBlock-By&gt;&lt;Members&gt;</w:t>
      </w:r>
      <w:r w:rsidRPr="00734CAA">
        <w:rPr>
          <w:lang w:val="en-GB"/>
        </w:rPr>
        <w:t>Aurore Lalucq, Evelyn Regner, Nikos Papandreou, Claire Fita</w:t>
      </w:r>
      <w:r w:rsidRPr="00734CAA">
        <w:rPr>
          <w:rStyle w:val="HideTWBExt"/>
          <w:b w:val="0"/>
          <w:color w:val="auto"/>
          <w:lang w:val="en-GB"/>
        </w:rPr>
        <w:t>&lt;/Members&gt;</w:t>
      </w:r>
    </w:p>
    <w:p w:rsidR="00365C9B" w:rsidRPr="00B16DFD" w:rsidP="00365C9B" w14:paraId="5062A77B" w14:textId="77777777">
      <w:pPr>
        <w:pStyle w:val="NormalBold"/>
      </w:pPr>
      <w:r w:rsidRPr="00B16DFD">
        <w:rPr>
          <w:rStyle w:val="HideTWBExt"/>
          <w:b w:val="0"/>
          <w:color w:val="auto"/>
        </w:rPr>
        <w:t>&lt;/RepeatBlock-By&gt;</w:t>
      </w:r>
    </w:p>
    <w:p w:rsidR="00365C9B" w:rsidRPr="00B16DFD" w:rsidP="00365C9B" w14:paraId="73BFED60"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250277F5" w14:textId="77777777">
      <w:pPr>
        <w:pStyle w:val="NormalBold"/>
      </w:pPr>
      <w:r w:rsidRPr="00B16DFD">
        <w:rPr>
          <w:rStyle w:val="HideTWBExt"/>
          <w:color w:val="auto"/>
        </w:rPr>
        <w:t>&lt;Article&gt;</w:t>
      </w:r>
      <w:r w:rsidRPr="00B16DFD">
        <w:t>Betragtning 50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2DFC9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AC0C40C" w14:textId="77777777"/>
        </w:tc>
      </w:tr>
      <w:tr w14:paraId="4F67320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F400CD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73961BB" w14:textId="77777777">
            <w:pPr>
              <w:pStyle w:val="AmColumnHeading"/>
            </w:pPr>
            <w:r w:rsidRPr="00B16DFD">
              <w:t>Ændringsforslag</w:t>
            </w:r>
          </w:p>
        </w:tc>
      </w:tr>
      <w:tr w14:paraId="1986750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4F804DF" w14:textId="77777777">
            <w:pPr>
              <w:pStyle w:val="Normal6a"/>
            </w:pPr>
            <w:r w:rsidRPr="00B16DFD">
              <w:t>(50)</w:t>
            </w:r>
            <w:r w:rsidRPr="00B16DFD">
              <w:tab/>
              <w:t xml:space="preserve">CSD'er i Unionen er meddelt tilladelse og underlagt tilsyn af de kompetente myndigheder i de medlemsstater, hvor de er etableret, i samarbejde med et tilsynskollegium, hvis disse CSD'er tilbyder tjenesteydelser af væsentlig betydning i to eller flere værtsmedlemsstater. På trods af de hidtidige fremskridt er der fortsat </w:t>
            </w:r>
            <w:r w:rsidRPr="00B16DFD">
              <w:t xml:space="preserve">forskellige tilsynspraksisser for CSD'er blandt disse nationale myndigheder, hvilket skaber ulige vilkår for CSD'er i Unionen og øger omkostningerne og byrden for CSD'er og grupper af CSD'er, der opererer og ønsker at operere på tværs af grænserne. Med udviklingen af dybere og mere likvide kapitalmarkeder i Unionen under opsparings- og investeringsunionen øger disse ulige vilkår risikoen for tilsynsarbitrage, hvilket kan føre til problemer med den finansielle stabilitet. For at sikre, at de tilsynsmæssige, organisatoriske og adfærdsmæssige krav til CSD'er, der er etableret i Unionen, anvendes på en ensartet måde, </w:t>
            </w:r>
            <w:r w:rsidRPr="00B16DFD">
              <w:rPr>
                <w:b/>
                <w:i/>
              </w:rPr>
              <w:t>navnlig for CSD'er med betydelige afviklingsaktiviteter, CSD'er med en væsentlig grænseoverskridende dimension og CSD'er, der indgår i en koncern, som omfatter andre markedsinfrastrukturer, der er underlagt ESMA's tilsyn,</w:t>
            </w:r>
            <w:r w:rsidRPr="00B16DFD">
              <w:t xml:space="preserve"> bør </w:t>
            </w:r>
            <w:r w:rsidRPr="00B16DFD">
              <w:rPr>
                <w:b/>
                <w:i/>
              </w:rPr>
              <w:t>disse</w:t>
            </w:r>
            <w:r w:rsidRPr="00B16DFD">
              <w:t xml:space="preserve"> CSD'er være underlagt ESMA's tilsyn på grundlag af ESMA's ekspertise og erfaring med anvendelsen af forordning (EU) nr. 909/2014.</w:t>
            </w:r>
          </w:p>
        </w:tc>
        <w:tc>
          <w:tcPr>
            <w:tcW w:w="4876" w:type="dxa"/>
            <w:tcBorders>
              <w:top w:val="nil"/>
              <w:left w:val="nil"/>
              <w:bottom w:val="nil"/>
              <w:right w:val="nil"/>
            </w:tcBorders>
            <w:hideMark/>
          </w:tcPr>
          <w:p w:rsidR="00365C9B" w:rsidRPr="00B16DFD" w:rsidP="00F61C80" w14:paraId="79DFCB48" w14:textId="77777777">
            <w:pPr>
              <w:pStyle w:val="Normal6a"/>
            </w:pPr>
            <w:r w:rsidRPr="00B16DFD">
              <w:t>(50)</w:t>
            </w:r>
            <w:r w:rsidRPr="00B16DFD">
              <w:tab/>
              <w:t xml:space="preserve">CSD'er i Unionen er meddelt tilladelse og underlagt tilsyn af de kompetente myndigheder i de medlemsstater, hvor de er etableret, i samarbejde med et tilsynskollegium, hvis disse CSD'er tilbyder tjenesteydelser af væsentlig betydning i to eller flere værtsmedlemsstater. På trods af de hidtidige fremskridt er der fortsat </w:t>
            </w:r>
            <w:r w:rsidRPr="00B16DFD">
              <w:t>forskellige tilsynspraksisser for CSD'er blandt disse nationale myndigheder, hvilket skaber ulige vilkår for CSD'er i Unionen og øger omkostningerne og byrden for CSD'er og grupper af CSD'er, der opererer og ønsker at operere på tværs af grænserne. Med udviklingen af dybere og mere likvide kapitalmarkeder i Unionen under opsparings- og investeringsunionen øger disse ulige vilkår risikoen for tilsynsarbitrage, hvilket kan føre til problemer med den finansielle stabilitet. For at sikre, at de tilsynsmæssige, organisatoriske og adfærdsmæssige krav til CSD'er, der er etableret i Unionen, anvendes på en ensartet måde, bør CSD'er være underlagt ESMA's tilsyn på grundlag af ESMA's ekspertise og erfaring med anvendelsen af forordning (EU) nr. 909/2014.</w:t>
            </w:r>
          </w:p>
        </w:tc>
      </w:tr>
    </w:tbl>
    <w:p w:rsidR="00365C9B" w:rsidRPr="00734CAA" w:rsidP="00365C9B" w14:paraId="5645632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EF939BD" w14:textId="77777777">
      <w:pPr>
        <w:rPr>
          <w:lang w:val="en-GB"/>
        </w:rPr>
      </w:pPr>
      <w:r w:rsidRPr="00734CAA">
        <w:rPr>
          <w:rStyle w:val="HideTWBExt"/>
          <w:color w:val="auto"/>
          <w:lang w:val="en-GB"/>
        </w:rPr>
        <w:t>&lt;/Amend&gt;</w:t>
      </w:r>
    </w:p>
    <w:p w:rsidR="00365C9B" w:rsidRPr="00734CAA" w:rsidP="00365C9B" w14:paraId="68145074"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295</w:t>
      </w:r>
      <w:r w:rsidRPr="00734CAA">
        <w:rPr>
          <w:rStyle w:val="HideTWBExt"/>
          <w:color w:val="auto"/>
          <w:lang w:val="en-GB"/>
        </w:rPr>
        <w:t>&lt;/NumAm&gt;</w:t>
      </w:r>
    </w:p>
    <w:p w:rsidR="00365C9B" w:rsidRPr="00734CAA" w:rsidP="00365C9B" w14:paraId="6E5F63BB"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5C81E4DC"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7E35A35C" w14:textId="77777777">
      <w:pPr>
        <w:pStyle w:val="NormalBold"/>
        <w:rPr>
          <w:lang w:val="en-GB"/>
        </w:rPr>
      </w:pPr>
      <w:r w:rsidRPr="00734CAA">
        <w:rPr>
          <w:rStyle w:val="HideTWBExt"/>
          <w:b w:val="0"/>
          <w:color w:val="auto"/>
          <w:lang w:val="en-GB"/>
        </w:rPr>
        <w:t>&lt;/RepeatBlock-By&gt;</w:t>
      </w:r>
    </w:p>
    <w:p w:rsidR="00365C9B" w:rsidRPr="00734CAA" w:rsidP="00365C9B" w14:paraId="6AC8FFA6"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3C046DA1" w14:textId="77777777">
      <w:pPr>
        <w:pStyle w:val="NormalBold"/>
      </w:pPr>
      <w:r w:rsidRPr="00B16DFD">
        <w:rPr>
          <w:rStyle w:val="HideTWBExt"/>
          <w:color w:val="auto"/>
        </w:rPr>
        <w:t>&lt;Article&gt;</w:t>
      </w:r>
      <w:r w:rsidRPr="00B16DFD">
        <w:t>Betragtning 51</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6DFBE"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0EE89BD" w14:textId="77777777"/>
        </w:tc>
      </w:tr>
      <w:tr w14:paraId="1475B30C"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0624BD3"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603A249" w14:textId="77777777">
            <w:pPr>
              <w:pStyle w:val="AmColumnHeading"/>
            </w:pPr>
            <w:r w:rsidRPr="00B16DFD">
              <w:t>Ændringsforslag</w:t>
            </w:r>
          </w:p>
        </w:tc>
      </w:tr>
      <w:tr w14:paraId="7322B92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26295C0" w14:textId="435641F9">
            <w:pPr>
              <w:pStyle w:val="Normal6a"/>
            </w:pPr>
            <w:r w:rsidRPr="00B16DFD">
              <w:rPr>
                <w:b/>
                <w:i/>
              </w:rPr>
              <w:t>(51)</w:t>
            </w:r>
            <w:r w:rsidRPr="00B16DFD">
              <w:tab/>
            </w:r>
            <w:r w:rsidRPr="00B16DFD">
              <w:rPr>
                <w:b/>
                <w:i/>
              </w:rPr>
              <w:t xml:space="preserve">For at afgøre, hvilke af de CSD'er, der er meddelt tilladelse i henhold til forordning (EU) nr. 909/2014, der bør være underlagt ESMA's tilsyn, er det nødvendigt at fastsætte klare og objektive kriterier for deres identifikation, herunder kriterier baseret på størrelse og grænseoverskridende aktivitet. Med henblik på forenkling og for at undgå </w:t>
            </w:r>
            <w:r w:rsidR="00AA1655">
              <w:rPr>
                <w:b/>
                <w:i/>
              </w:rPr>
              <w:t>unødig</w:t>
            </w:r>
            <w:r w:rsidRPr="00B16DFD">
              <w:rPr>
                <w:b/>
                <w:i/>
              </w:rPr>
              <w:t>e administrative byrder bør en CSD, der allerede er blevet meddelt tilladelse, ikke meddeles tilladelse på ny af ESMA, når den bliver signifikant.</w:t>
            </w:r>
          </w:p>
        </w:tc>
        <w:tc>
          <w:tcPr>
            <w:tcW w:w="4876" w:type="dxa"/>
            <w:tcBorders>
              <w:top w:val="nil"/>
              <w:left w:val="nil"/>
              <w:bottom w:val="nil"/>
              <w:right w:val="nil"/>
            </w:tcBorders>
            <w:hideMark/>
          </w:tcPr>
          <w:p w:rsidR="00365C9B" w:rsidRPr="00B16DFD" w:rsidP="00F61C80" w14:paraId="1B1797AE" w14:textId="77777777">
            <w:pPr>
              <w:pStyle w:val="Normal6a"/>
            </w:pPr>
            <w:r w:rsidRPr="00B16DFD">
              <w:rPr>
                <w:b/>
                <w:i/>
              </w:rPr>
              <w:t>udgår</w:t>
            </w:r>
          </w:p>
        </w:tc>
      </w:tr>
    </w:tbl>
    <w:p w:rsidR="00365C9B" w:rsidRPr="00B16DFD" w:rsidP="00365C9B" w14:paraId="16257D23"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373E6049" w14:textId="77777777">
      <w:r w:rsidRPr="00B16DFD">
        <w:rPr>
          <w:rStyle w:val="HideTWBExt"/>
          <w:color w:val="auto"/>
        </w:rPr>
        <w:t>&lt;/Amend&gt;</w:t>
      </w:r>
    </w:p>
    <w:p w:rsidR="00365C9B" w:rsidRPr="00B16DFD" w:rsidP="00365C9B" w14:paraId="21BAF88A"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296</w:t>
      </w:r>
      <w:r w:rsidRPr="00B16DFD">
        <w:rPr>
          <w:rStyle w:val="HideTWBExt"/>
          <w:color w:val="auto"/>
        </w:rPr>
        <w:t>&lt;/NumAm&gt;</w:t>
      </w:r>
    </w:p>
    <w:p w:rsidR="00365C9B" w:rsidRPr="00B16DFD" w:rsidP="00365C9B" w14:paraId="1CDD7EEE" w14:textId="77777777">
      <w:pPr>
        <w:pStyle w:val="NormalBold"/>
      </w:pPr>
      <w:r w:rsidRPr="00B16DFD">
        <w:rPr>
          <w:rStyle w:val="HideTWBExt"/>
          <w:b w:val="0"/>
          <w:color w:val="auto"/>
        </w:rPr>
        <w:t>&lt;RepeatBlock-By&gt;&lt;Members&gt;</w:t>
      </w:r>
      <w:r w:rsidRPr="00B16DFD">
        <w:t>Aurore Lalucq, Evelyn Regner, Nikos Papandreou, Claire Fita</w:t>
      </w:r>
      <w:r w:rsidRPr="00B16DFD">
        <w:rPr>
          <w:rStyle w:val="HideTWBExt"/>
          <w:b w:val="0"/>
          <w:color w:val="auto"/>
        </w:rPr>
        <w:t>&lt;/Members&gt;</w:t>
      </w:r>
    </w:p>
    <w:p w:rsidR="00365C9B" w:rsidRPr="00B16DFD" w:rsidP="00365C9B" w14:paraId="785B3E29" w14:textId="77777777">
      <w:pPr>
        <w:pStyle w:val="NormalBold"/>
      </w:pPr>
      <w:r w:rsidRPr="00B16DFD">
        <w:rPr>
          <w:rStyle w:val="HideTWBExt"/>
          <w:b w:val="0"/>
          <w:color w:val="auto"/>
        </w:rPr>
        <w:t>&lt;/RepeatBlock-By&gt;</w:t>
      </w:r>
    </w:p>
    <w:p w:rsidR="00365C9B" w:rsidRPr="00B16DFD" w:rsidP="00365C9B" w14:paraId="5F6C9298"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6340BA0B" w14:textId="77777777">
      <w:pPr>
        <w:pStyle w:val="NormalBold"/>
      </w:pPr>
      <w:r w:rsidRPr="00B16DFD">
        <w:rPr>
          <w:rStyle w:val="HideTWBExt"/>
          <w:color w:val="auto"/>
        </w:rPr>
        <w:t>&lt;Article&gt;</w:t>
      </w:r>
      <w:r w:rsidRPr="00B16DFD">
        <w:t>Betragtning 51</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18A8C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52E1642" w14:textId="77777777"/>
        </w:tc>
      </w:tr>
      <w:tr w14:paraId="60EF9B2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10FF373"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BFB40BF" w14:textId="77777777">
            <w:pPr>
              <w:pStyle w:val="AmColumnHeading"/>
            </w:pPr>
            <w:r w:rsidRPr="00B16DFD">
              <w:t>Ændringsforslag</w:t>
            </w:r>
          </w:p>
        </w:tc>
      </w:tr>
      <w:tr w14:paraId="3BD5886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3210B9A" w14:textId="780D39C1">
            <w:pPr>
              <w:pStyle w:val="Normal6a"/>
            </w:pPr>
            <w:r w:rsidRPr="00B16DFD">
              <w:rPr>
                <w:b/>
                <w:i/>
              </w:rPr>
              <w:t>(51)</w:t>
            </w:r>
            <w:r w:rsidRPr="00B16DFD">
              <w:tab/>
            </w:r>
            <w:r w:rsidRPr="00B16DFD">
              <w:rPr>
                <w:b/>
                <w:i/>
              </w:rPr>
              <w:t xml:space="preserve">For at afgøre, hvilke af de CSD'er, der er meddelt tilladelse i henhold til forordning (EU) nr. 909/2014, der bør være underlagt ESMA's tilsyn, er det nødvendigt at fastsætte klare og objektive kriterier for deres identifikation, herunder kriterier baseret på størrelse og grænseoverskridende aktivitet. Med henblik på forenkling og for at undgå </w:t>
            </w:r>
            <w:r w:rsidR="00AA1655">
              <w:rPr>
                <w:b/>
                <w:i/>
              </w:rPr>
              <w:t>unødig</w:t>
            </w:r>
            <w:r w:rsidRPr="00B16DFD">
              <w:rPr>
                <w:b/>
                <w:i/>
              </w:rPr>
              <w:t>e administrative byrder bør en CSD, der allerede er blevet meddelt tilladelse, ikke meddeles tilladelse på ny af ESMA, når den bliver signifikant.</w:t>
            </w:r>
          </w:p>
        </w:tc>
        <w:tc>
          <w:tcPr>
            <w:tcW w:w="4876" w:type="dxa"/>
            <w:tcBorders>
              <w:top w:val="nil"/>
              <w:left w:val="nil"/>
              <w:bottom w:val="nil"/>
              <w:right w:val="nil"/>
            </w:tcBorders>
            <w:hideMark/>
          </w:tcPr>
          <w:p w:rsidR="00365C9B" w:rsidRPr="00B16DFD" w:rsidP="00F61C80" w14:paraId="05C6EF43" w14:textId="77777777">
            <w:pPr>
              <w:pStyle w:val="Normal6a"/>
            </w:pPr>
            <w:r w:rsidRPr="00B16DFD">
              <w:rPr>
                <w:b/>
                <w:i/>
              </w:rPr>
              <w:t>udgår</w:t>
            </w:r>
          </w:p>
        </w:tc>
      </w:tr>
    </w:tbl>
    <w:p w:rsidR="00365C9B" w:rsidRPr="00B16DFD" w:rsidP="00365C9B" w14:paraId="09DF8216"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5E8E3A37" w14:textId="77777777">
      <w:r w:rsidRPr="00B16DFD">
        <w:rPr>
          <w:rStyle w:val="HideTWBExt"/>
          <w:color w:val="auto"/>
        </w:rPr>
        <w:t>&lt;/Amend&gt;</w:t>
      </w:r>
    </w:p>
    <w:p w:rsidR="00365C9B" w:rsidRPr="00B16DFD" w:rsidP="00365C9B" w14:paraId="088AC182"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297</w:t>
      </w:r>
      <w:r w:rsidRPr="00B16DFD">
        <w:rPr>
          <w:rStyle w:val="HideTWBExt"/>
          <w:color w:val="auto"/>
        </w:rPr>
        <w:t>&lt;/NumAm&gt;</w:t>
      </w:r>
    </w:p>
    <w:p w:rsidR="00365C9B" w:rsidRPr="00734CAA" w:rsidP="00365C9B" w14:paraId="4E2E5C1C"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63908DBD"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3B9A7742" w14:textId="77777777">
      <w:pPr>
        <w:pStyle w:val="NormalBold"/>
        <w:rPr>
          <w:lang w:val="en-GB"/>
        </w:rPr>
      </w:pPr>
      <w:r w:rsidRPr="00734CAA">
        <w:rPr>
          <w:rStyle w:val="HideTWBExt"/>
          <w:b w:val="0"/>
          <w:color w:val="auto"/>
          <w:lang w:val="en-GB"/>
        </w:rPr>
        <w:t>&lt;/RepeatBlock-By&gt;</w:t>
      </w:r>
    </w:p>
    <w:p w:rsidR="00365C9B" w:rsidRPr="00734CAA" w:rsidP="00365C9B" w14:paraId="2FDDF286"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70ADC675" w14:textId="77777777">
      <w:pPr>
        <w:pStyle w:val="NormalBold"/>
      </w:pPr>
      <w:r w:rsidRPr="00B16DFD">
        <w:rPr>
          <w:rStyle w:val="HideTWBExt"/>
          <w:color w:val="auto"/>
        </w:rPr>
        <w:t>&lt;Article&gt;</w:t>
      </w:r>
      <w:r w:rsidRPr="00B16DFD">
        <w:t>Betragtning 52</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1F0EB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5A37728" w14:textId="77777777"/>
        </w:tc>
      </w:tr>
      <w:tr w14:paraId="23BC67F6"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184BD33"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C5B403F" w14:textId="77777777">
            <w:pPr>
              <w:pStyle w:val="AmColumnHeading"/>
            </w:pPr>
            <w:r w:rsidRPr="00B16DFD">
              <w:t>Ændringsforslag</w:t>
            </w:r>
          </w:p>
        </w:tc>
      </w:tr>
      <w:tr w14:paraId="6A39E32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DED0F41" w14:textId="77777777">
            <w:pPr>
              <w:pStyle w:val="Normal6a"/>
            </w:pPr>
            <w:r w:rsidRPr="00B16DFD">
              <w:t>(52)</w:t>
            </w:r>
            <w:r w:rsidRPr="00B16DFD">
              <w:tab/>
              <w:t xml:space="preserve">I betragtning af CSD'ers centrale rolle på værdipapirmarkederne, deres forbindelse til andre finansielle markedsinfrastrukturer og det forhold, at størstedelen af afviklingstransaktionerne i </w:t>
            </w:r>
            <w:r w:rsidRPr="00B16DFD">
              <w:t xml:space="preserve">CSD'er i Unionen sker i centralbankpenge, bør ESMA udvikle dybtgående og omfattende samarbejdsordninger med andre myndigheder, navnlig ECB og de centralbanker, der udsteder de mest relevante EU-valutaer, som CSD'erne afvikler i. Sådanne samarbejdsordninger bør omfatte tæt inddragelse af disse andre myndigheder i det daglige tilsyn med </w:t>
            </w:r>
            <w:r w:rsidRPr="00B16DFD">
              <w:rPr>
                <w:b/>
                <w:i/>
              </w:rPr>
              <w:t>signifikante</w:t>
            </w:r>
            <w:r w:rsidRPr="00B16DFD">
              <w:t xml:space="preserve"> CSD'er og bør omfatte ordninger for regelmæssige begivenheder, såsom kontrolbesøg på stedet, og ad hoc-begivenheder, såsom nødsituationer.</w:t>
            </w:r>
          </w:p>
        </w:tc>
        <w:tc>
          <w:tcPr>
            <w:tcW w:w="4876" w:type="dxa"/>
            <w:tcBorders>
              <w:top w:val="nil"/>
              <w:left w:val="nil"/>
              <w:bottom w:val="nil"/>
              <w:right w:val="nil"/>
            </w:tcBorders>
            <w:hideMark/>
          </w:tcPr>
          <w:p w:rsidR="00365C9B" w:rsidRPr="00B16DFD" w:rsidP="00F61C80" w14:paraId="5A6EDDA5" w14:textId="77777777">
            <w:pPr>
              <w:pStyle w:val="Normal6a"/>
            </w:pPr>
            <w:r w:rsidRPr="00B16DFD">
              <w:t>(52)</w:t>
            </w:r>
            <w:r w:rsidRPr="00B16DFD">
              <w:tab/>
              <w:t xml:space="preserve">I betragtning af CSD'ers centrale rolle på værdipapirmarkederne, deres forbindelse til andre finansielle markedsinfrastrukturer og det forhold, at størstedelen af afviklingstransaktionerne i </w:t>
            </w:r>
            <w:r w:rsidRPr="00B16DFD">
              <w:t>CSD'er i Unionen sker i centralbankpenge, bør ESMA udvikle dybtgående og omfattende samarbejdsordninger med andre myndigheder, navnlig ECB og de centralbanker, der udsteder de mest relevante EU-valutaer, som CSD'erne afvikler i. Sådanne samarbejdsordninger bør omfatte tæt inddragelse af disse andre myndigheder i det daglige tilsyn med CSD'er og bør omfatte ordninger for regelmæssige begivenheder, såsom kontrolbesøg på stedet, og ad hoc-begivenheder, såsom nødsituationer.</w:t>
            </w:r>
          </w:p>
        </w:tc>
      </w:tr>
    </w:tbl>
    <w:p w:rsidR="00365C9B" w:rsidRPr="00734CAA" w:rsidP="00365C9B" w14:paraId="49CC0B56"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3DBB69D" w14:textId="77777777">
      <w:pPr>
        <w:rPr>
          <w:lang w:val="en-GB"/>
        </w:rPr>
      </w:pPr>
      <w:r w:rsidRPr="00734CAA">
        <w:rPr>
          <w:rStyle w:val="HideTWBExt"/>
          <w:color w:val="auto"/>
          <w:lang w:val="en-GB"/>
        </w:rPr>
        <w:t>&lt;/Amend&gt;</w:t>
      </w:r>
    </w:p>
    <w:p w:rsidR="00365C9B" w:rsidRPr="00734CAA" w:rsidP="00365C9B" w14:paraId="5339B0CC"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298</w:t>
      </w:r>
      <w:r w:rsidRPr="00734CAA">
        <w:rPr>
          <w:rStyle w:val="HideTWBExt"/>
          <w:color w:val="auto"/>
          <w:lang w:val="en-GB"/>
        </w:rPr>
        <w:t>&lt;/NumAm&gt;</w:t>
      </w:r>
    </w:p>
    <w:p w:rsidR="00365C9B" w:rsidRPr="00734CAA" w:rsidP="00365C9B" w14:paraId="67406098"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2BC682EF"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7999CAE2" w14:textId="77777777">
      <w:pPr>
        <w:pStyle w:val="NormalBold"/>
        <w:rPr>
          <w:lang w:val="en-GB"/>
        </w:rPr>
      </w:pPr>
      <w:r w:rsidRPr="00734CAA">
        <w:rPr>
          <w:rStyle w:val="HideTWBExt"/>
          <w:b w:val="0"/>
          <w:color w:val="auto"/>
          <w:lang w:val="en-GB"/>
        </w:rPr>
        <w:t>&lt;/RepeatBlock-By&gt;</w:t>
      </w:r>
    </w:p>
    <w:p w:rsidR="00365C9B" w:rsidRPr="00734CAA" w:rsidP="00365C9B" w14:paraId="1C094BEC"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2BB24E1D" w14:textId="77777777">
      <w:pPr>
        <w:pStyle w:val="NormalBold"/>
      </w:pPr>
      <w:r w:rsidRPr="00B16DFD">
        <w:rPr>
          <w:rStyle w:val="HideTWBExt"/>
          <w:color w:val="auto"/>
        </w:rPr>
        <w:t>&lt;Article&gt;</w:t>
      </w:r>
      <w:r w:rsidRPr="00B16DFD">
        <w:t>Betragtning 53</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A3D056"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26B7CE8" w14:textId="77777777"/>
        </w:tc>
      </w:tr>
      <w:tr w14:paraId="0222F78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77C370D"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358D654" w14:textId="77777777">
            <w:pPr>
              <w:pStyle w:val="AmColumnHeading"/>
            </w:pPr>
            <w:r w:rsidRPr="00B16DFD">
              <w:t>Ændringsforslag</w:t>
            </w:r>
          </w:p>
        </w:tc>
      </w:tr>
      <w:tr w14:paraId="67DFFDF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27E0966" w14:textId="77777777">
            <w:pPr>
              <w:pStyle w:val="Normal6a"/>
            </w:pPr>
            <w:r w:rsidRPr="00B16DFD">
              <w:t>(53)</w:t>
            </w:r>
            <w:r w:rsidRPr="00B16DFD">
              <w:tab/>
              <w:t xml:space="preserve">Ændringerne af forordning (EU) nr. 1095/2010, navnlig ændringerne af ESMA's interne organisationsstruktur og overgangen i tilsynsansvar, bør afspejles i forordning (EU) nr. 909/2014. Derudover bør </w:t>
            </w:r>
            <w:r w:rsidRPr="00B16DFD">
              <w:rPr>
                <w:b/>
                <w:i/>
              </w:rPr>
              <w:t>signifikante</w:t>
            </w:r>
            <w:r w:rsidRPr="00B16DFD">
              <w:t xml:space="preserve"> CSD'er, under hensyntagen til ændringen i tilsynsansvaret </w:t>
            </w:r>
            <w:r w:rsidRPr="00B16DFD">
              <w:rPr>
                <w:b/>
                <w:i/>
              </w:rPr>
              <w:t>og inddragelsen af de nationale kompetente myndigheder i ESMA's forvaltningsstruktur og for at undgå dobbeltarbejde mellem ESMA og tilsynskollegiet</w:t>
            </w:r>
            <w:r w:rsidRPr="00B16DFD">
              <w:t>, ikke længere være forpligtet til at have et tilsynskollegium.</w:t>
            </w:r>
          </w:p>
        </w:tc>
        <w:tc>
          <w:tcPr>
            <w:tcW w:w="4876" w:type="dxa"/>
            <w:tcBorders>
              <w:top w:val="nil"/>
              <w:left w:val="nil"/>
              <w:bottom w:val="nil"/>
              <w:right w:val="nil"/>
            </w:tcBorders>
            <w:hideMark/>
          </w:tcPr>
          <w:p w:rsidR="00365C9B" w:rsidRPr="00B16DFD" w:rsidP="00F61C80" w14:paraId="083B595D" w14:textId="77777777">
            <w:pPr>
              <w:pStyle w:val="Normal6a"/>
            </w:pPr>
            <w:r w:rsidRPr="00B16DFD">
              <w:t>(53)</w:t>
            </w:r>
            <w:r w:rsidRPr="00B16DFD">
              <w:tab/>
              <w:t>Ændringerne af forordning (EU) nr. 1095/2010, navnlig ændringerne af ESMA's interne organisationsstruktur og overgangen i tilsynsansvar, bør afspejles i forordning (EU) nr. 909/2014. Derudover bør CSD'er, under hensyntagen til ændringen i tilsynsansvaret, ikke længere være forpligtet til at have et tilsynskollegium.</w:t>
            </w:r>
          </w:p>
        </w:tc>
      </w:tr>
    </w:tbl>
    <w:p w:rsidR="00365C9B" w:rsidRPr="00734CAA" w:rsidP="00365C9B" w14:paraId="171E6A30"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4DC602C" w14:textId="77777777">
      <w:pPr>
        <w:rPr>
          <w:lang w:val="en-GB"/>
        </w:rPr>
      </w:pPr>
      <w:r w:rsidRPr="00734CAA">
        <w:rPr>
          <w:rStyle w:val="HideTWBExt"/>
          <w:color w:val="auto"/>
          <w:lang w:val="en-GB"/>
        </w:rPr>
        <w:t>&lt;/Amend&gt;</w:t>
      </w:r>
    </w:p>
    <w:p w:rsidR="00365C9B" w:rsidRPr="00734CAA" w:rsidP="00365C9B" w14:paraId="575F6805"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299</w:t>
      </w:r>
      <w:r w:rsidRPr="00734CAA">
        <w:rPr>
          <w:rStyle w:val="HideTWBExt"/>
          <w:color w:val="auto"/>
          <w:lang w:val="en-GB"/>
        </w:rPr>
        <w:t>&lt;/NumAm&gt;</w:t>
      </w:r>
    </w:p>
    <w:p w:rsidR="00365C9B" w:rsidRPr="00734CAA" w:rsidP="00365C9B" w14:paraId="022660C3"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155ABD42"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551B4B18" w14:textId="77777777">
      <w:pPr>
        <w:pStyle w:val="NormalBold"/>
        <w:rPr>
          <w:lang w:val="en-GB"/>
        </w:rPr>
      </w:pPr>
      <w:r w:rsidRPr="00734CAA">
        <w:rPr>
          <w:rStyle w:val="HideTWBExt"/>
          <w:b w:val="0"/>
          <w:color w:val="auto"/>
          <w:lang w:val="en-GB"/>
        </w:rPr>
        <w:t>&lt;/RepeatBlock-By&gt;</w:t>
      </w:r>
    </w:p>
    <w:p w:rsidR="00365C9B" w:rsidRPr="00734CAA" w:rsidP="00365C9B" w14:paraId="131CB874"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4FDD00B9" w14:textId="77777777">
      <w:pPr>
        <w:pStyle w:val="NormalBold"/>
      </w:pPr>
      <w:r w:rsidRPr="00B16DFD">
        <w:rPr>
          <w:rStyle w:val="HideTWBExt"/>
          <w:color w:val="auto"/>
        </w:rPr>
        <w:t>&lt;Article&gt;</w:t>
      </w:r>
      <w:r w:rsidRPr="00B16DFD">
        <w:t>Betragtning 54</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E3E0C"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C719717" w14:textId="77777777"/>
        </w:tc>
      </w:tr>
      <w:tr w14:paraId="48A49D6C"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95F3365"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44365C9" w14:textId="77777777">
            <w:pPr>
              <w:pStyle w:val="AmColumnHeading"/>
            </w:pPr>
            <w:r w:rsidRPr="00B16DFD">
              <w:t>Ændringsforslag</w:t>
            </w:r>
          </w:p>
        </w:tc>
      </w:tr>
      <w:tr w14:paraId="12F06B5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E38040F" w14:textId="77777777">
            <w:pPr>
              <w:pStyle w:val="Normal6a"/>
            </w:pPr>
            <w:r w:rsidRPr="00B16DFD">
              <w:rPr>
                <w:b/>
                <w:i/>
              </w:rPr>
              <w:t>(54)</w:t>
            </w:r>
            <w:r w:rsidRPr="00B16DFD">
              <w:tab/>
            </w:r>
            <w:r w:rsidRPr="00B16DFD">
              <w:rPr>
                <w:b/>
                <w:i/>
              </w:rPr>
              <w:t>I modsætning til signifikante CSD'er har mindre signifikante CSD'er ikke væsentlige grænseoverskridende aktiviteter. De bør derfor forblive under tilsyn af deres nationale kompetente myndigheder. Tilsynsordninger for mindre signifikante CSD'er bør stort set forblive, som de var. For at sikre en konsekvent tilsynsmæssig tilgang for disse CSD'er er det imidlertid nødvendigt at sikre et stærkere samarbejde mellem disse nationale kompetente myndigheder og ESMA. Hvis medlemsstaterne ønsker det, bør de have mulighed for at udpege ESMA som den kompetente myndighed for mindre signifikante CSD'er, der er etableret i deres jurisdiktioner. Hvis en tidligere signifikant CSD ikke længere opfylder betingelserne for at blive betragtet som sådan, bør den nationale kompetente myndighed desuden tildeles en tilstrækkelig overgangsperiode, så den kan forberede sig, inden den formelt overtager tilsynsansvaret for den pågældende CSD. Alternativt bør den nationale kompetente myndighed kunne overlade tilsynet med denne tidligere signifikante CSD til ESMA. For at sikre konsekvens og lige vilkår mellem signifikante og mindre signifikante CSD'er bør ESMA desuden også være den myndighed, der er ansvarlig for at godkende interoperabilitetsordninger såsom interoperable links i forbindelse med CSD-tjenesteydelser. Med henblik herpå bør ESMA også være ansvarlig for at lede tilsynskollegierne for mindre signifikante CSD'er.</w:t>
            </w:r>
          </w:p>
        </w:tc>
        <w:tc>
          <w:tcPr>
            <w:tcW w:w="4876" w:type="dxa"/>
            <w:tcBorders>
              <w:top w:val="nil"/>
              <w:left w:val="nil"/>
              <w:bottom w:val="nil"/>
              <w:right w:val="nil"/>
            </w:tcBorders>
            <w:hideMark/>
          </w:tcPr>
          <w:p w:rsidR="00365C9B" w:rsidRPr="00B16DFD" w:rsidP="00F61C80" w14:paraId="7600ACC1" w14:textId="77777777">
            <w:pPr>
              <w:pStyle w:val="Normal6a"/>
            </w:pPr>
            <w:r w:rsidRPr="00B16DFD">
              <w:rPr>
                <w:b/>
                <w:i/>
              </w:rPr>
              <w:t>udgår</w:t>
            </w:r>
          </w:p>
        </w:tc>
      </w:tr>
    </w:tbl>
    <w:p w:rsidR="00365C9B" w:rsidRPr="00B16DFD" w:rsidP="00365C9B" w14:paraId="2C51B800"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560CACF8" w14:textId="77777777">
      <w:r w:rsidRPr="00B16DFD">
        <w:rPr>
          <w:rStyle w:val="HideTWBExt"/>
          <w:color w:val="auto"/>
        </w:rPr>
        <w:t>&lt;/Amend&gt;</w:t>
      </w:r>
    </w:p>
    <w:p w:rsidR="00365C9B" w:rsidRPr="00B16DFD" w:rsidP="00365C9B" w14:paraId="76E8EEE4"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300</w:t>
      </w:r>
      <w:r w:rsidRPr="00B16DFD">
        <w:rPr>
          <w:rStyle w:val="HideTWBExt"/>
          <w:color w:val="auto"/>
        </w:rPr>
        <w:t>&lt;/NumAm&gt;</w:t>
      </w:r>
    </w:p>
    <w:p w:rsidR="00365C9B" w:rsidRPr="00734CAA" w:rsidP="00365C9B" w14:paraId="612186BB"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5E3A8EF8" w14:textId="77777777">
      <w:pPr>
        <w:pStyle w:val="NormalBold"/>
      </w:pPr>
      <w:r w:rsidRPr="00B16DFD">
        <w:rPr>
          <w:rStyle w:val="HideTWBExt"/>
          <w:b w:val="0"/>
          <w:color w:val="auto"/>
        </w:rPr>
        <w:t>&lt;/RepeatBlock-By&gt;</w:t>
      </w:r>
    </w:p>
    <w:p w:rsidR="00365C9B" w:rsidRPr="00B16DFD" w:rsidP="00365C9B" w14:paraId="078BB489"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1599A997" w14:textId="77777777">
      <w:pPr>
        <w:pStyle w:val="NormalBold"/>
      </w:pPr>
      <w:r w:rsidRPr="00B16DFD">
        <w:rPr>
          <w:rStyle w:val="HideTWBExt"/>
          <w:color w:val="auto"/>
        </w:rPr>
        <w:t>&lt;Article&gt;</w:t>
      </w:r>
      <w:r w:rsidRPr="00B16DFD">
        <w:t>Betragtning 54</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FA2D40"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30BB3B6" w14:textId="77777777"/>
        </w:tc>
      </w:tr>
      <w:tr w14:paraId="7078B76A"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2A6CBD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3E5C30E" w14:textId="77777777">
            <w:pPr>
              <w:pStyle w:val="AmColumnHeading"/>
            </w:pPr>
            <w:r w:rsidRPr="00B16DFD">
              <w:t>Ændringsforslag</w:t>
            </w:r>
          </w:p>
        </w:tc>
      </w:tr>
      <w:tr w14:paraId="4202D30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2215AB6" w14:textId="77777777">
            <w:pPr>
              <w:pStyle w:val="Normal6a"/>
            </w:pPr>
            <w:r w:rsidRPr="00B16DFD">
              <w:t>(54)</w:t>
            </w:r>
            <w:r w:rsidRPr="00B16DFD">
              <w:tab/>
              <w:t xml:space="preserve">I modsætning til signifikante CSD'er har mindre signifikante CSD'er ikke væsentlige grænseoverskridende aktiviteter. De bør derfor forblive under tilsyn af deres nationale kompetente myndigheder. Tilsynsordninger for mindre signifikante CSD'er bør stort set forblive, som de var. For at sikre en konsekvent tilsynsmæssig tilgang for disse CSD'er er det imidlertid nødvendigt at sikre et stærkere samarbejde mellem disse nationale kompetente myndigheder og ESMA. Hvis medlemsstaterne ønsker det, bør de have mulighed for at udpege ESMA som den kompetente myndighed for mindre signifikante CSD'er, der er etableret i deres jurisdiktioner. Hvis en tidligere signifikant CSD ikke længere opfylder betingelserne for at blive betragtet som sådan, bør den nationale kompetente myndighed desuden tildeles en tilstrækkelig overgangsperiode, så den kan forberede sig, inden den formelt overtager tilsynsansvaret for den pågældende CSD. Alternativt bør den nationale kompetente myndighed kunne overlade tilsynet med denne tidligere signifikante CSD til ESMA. For at sikre konsekvens og lige vilkår mellem signifikante og mindre signifikante CSD'er bør ESMA desuden også være den myndighed, der er ansvarlig for at godkende interoperabilitetsordninger såsom interoperable links i forbindelse med CSD-tjenesteydelser. </w:t>
            </w:r>
            <w:r w:rsidRPr="00B16DFD">
              <w:rPr>
                <w:b/>
                <w:i/>
              </w:rPr>
              <w:t>Med henblik herpå bør ESMA også være ansvarlig for at lede tilsynskollegierne for mindre signifikante CSD'er.</w:t>
            </w:r>
          </w:p>
        </w:tc>
        <w:tc>
          <w:tcPr>
            <w:tcW w:w="4876" w:type="dxa"/>
            <w:tcBorders>
              <w:top w:val="nil"/>
              <w:left w:val="nil"/>
              <w:bottom w:val="nil"/>
              <w:right w:val="nil"/>
            </w:tcBorders>
            <w:hideMark/>
          </w:tcPr>
          <w:p w:rsidR="00365C9B" w:rsidRPr="00B16DFD" w:rsidP="00F61C80" w14:paraId="34A1E60A" w14:textId="77777777">
            <w:pPr>
              <w:pStyle w:val="Normal6a"/>
            </w:pPr>
            <w:r w:rsidRPr="00B16DFD">
              <w:t>(54)</w:t>
            </w:r>
            <w:r w:rsidRPr="00B16DFD">
              <w:tab/>
              <w:t>I modsætning til signifikante CSD'er har mindre signifikante CSD'er ikke væsentlige grænseoverskridende aktiviteter. De bør derfor forblive under tilsyn af deres nationale kompetente myndigheder. Tilsynsordninger for mindre signifikante CSD'er bør stort set forblive, som de var. For at sikre en konsekvent tilsynsmæssig tilgang for disse CSD'er er det imidlertid nødvendigt at sikre et stærkere samarbejde mellem disse nationale kompetente myndigheder og ESMA. Hvis medlemsstaterne ønsker det, bør de have mulighed for at udpege ESMA som den kompetente myndighed for mindre signifikante CSD'er, der er etableret i deres jurisdiktioner. Hvis en tidligere signifikant CSD ikke længere opfylder betingelserne for at blive betragtet som sådan, bør den nationale kompetente myndighed desuden tildeles en tilstrækkelig overgangsperiode, så den kan forberede sig, inden den formelt overtager tilsynsansvaret for den pågældende CSD. Alternativt bør den nationale kompetente myndighed kunne overlade tilsynet med denne tidligere signifikante CSD til ESMA. For at sikre konsekvens og lige vilkår mellem signifikante og mindre signifikante CSD'er bør ESMA desuden også være den myndighed, der er ansvarlig for at godkende interoperabilitetsordninger såsom interoperable links i forbindelse med CSD-tjenesteydelser.</w:t>
            </w:r>
          </w:p>
        </w:tc>
      </w:tr>
    </w:tbl>
    <w:p w:rsidR="00365C9B" w:rsidRPr="00734CAA" w:rsidP="00365C9B" w14:paraId="016621F0"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630B3BA" w14:textId="77777777">
      <w:pPr>
        <w:rPr>
          <w:lang w:val="en-GB"/>
        </w:rPr>
      </w:pPr>
      <w:r w:rsidRPr="00734CAA">
        <w:rPr>
          <w:rStyle w:val="HideTWBExt"/>
          <w:color w:val="auto"/>
          <w:lang w:val="en-GB"/>
        </w:rPr>
        <w:t>&lt;/Amend&gt;</w:t>
      </w:r>
    </w:p>
    <w:p w:rsidR="00365C9B" w:rsidRPr="00734CAA" w:rsidP="00365C9B" w14:paraId="2CAD94A3"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301</w:t>
      </w:r>
      <w:r w:rsidRPr="00734CAA">
        <w:rPr>
          <w:rStyle w:val="HideTWBExt"/>
          <w:color w:val="auto"/>
          <w:lang w:val="en-GB"/>
        </w:rPr>
        <w:t>&lt;/NumAm&gt;</w:t>
      </w:r>
    </w:p>
    <w:p w:rsidR="00365C9B" w:rsidRPr="00734CAA" w:rsidP="00365C9B" w14:paraId="1A2BFDF2"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24B9E064" w14:textId="77777777">
      <w:pPr>
        <w:pStyle w:val="NormalBold"/>
      </w:pPr>
      <w:r w:rsidRPr="00B16DFD">
        <w:rPr>
          <w:rStyle w:val="HideTWBExt"/>
          <w:b w:val="0"/>
          <w:color w:val="auto"/>
        </w:rPr>
        <w:t>&lt;/RepeatBlock-By&gt;</w:t>
      </w:r>
    </w:p>
    <w:p w:rsidR="00365C9B" w:rsidRPr="00B16DFD" w:rsidP="00365C9B" w14:paraId="09E22E01"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450B8F64" w14:textId="77777777">
      <w:pPr>
        <w:pStyle w:val="NormalBold"/>
      </w:pPr>
      <w:r w:rsidRPr="00B16DFD">
        <w:rPr>
          <w:rStyle w:val="HideTWBExt"/>
          <w:color w:val="auto"/>
        </w:rPr>
        <w:t>&lt;Article&gt;</w:t>
      </w:r>
      <w:r w:rsidRPr="00B16DFD">
        <w:t>Betragtning 54</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DCBC5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788BD8D" w14:textId="77777777"/>
        </w:tc>
      </w:tr>
      <w:tr w14:paraId="6F6E719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6322195"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C3F3204" w14:textId="77777777">
            <w:pPr>
              <w:pStyle w:val="AmColumnHeading"/>
            </w:pPr>
            <w:r w:rsidRPr="00B16DFD">
              <w:t>Ændringsforslag</w:t>
            </w:r>
          </w:p>
        </w:tc>
      </w:tr>
      <w:tr w14:paraId="14421FC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B094350" w14:textId="77777777">
            <w:pPr>
              <w:pStyle w:val="Normal6a"/>
            </w:pPr>
            <w:r w:rsidRPr="00B16DFD">
              <w:t>(54)</w:t>
            </w:r>
            <w:r w:rsidRPr="00B16DFD">
              <w:tab/>
              <w:t>I modsætning til signifikante CSD'er har mindre signifikante CSD'er ikke væsentlige grænseoverskridende aktiviteter. De bør derfor forblive under tilsyn af deres nationale kompetente myndigheder. Tilsynsordninger for mindre signifikante CSD'er bør stort set forblive, som de var. For at sikre en konsekvent tilsynsmæssig tilgang for disse CSD'er er det imidlertid nødvendigt at sikre et stærkere samarbejde mellem disse nationale kompetente myndigheder og ESMA. Hvis medlemsstaterne ønsker det, bør de have mulighed for at udpege ESMA som den kompetente myndighed for mindre signifikante CSD'er, der er etableret i deres jurisdiktioner. Hvis en tidligere signifikant CSD ikke længere opfylder betingelserne for at blive betragtet som sådan, bør den nationale kompetente myndighed desuden tildeles en tilstrækkelig overgangsperiode, så den kan forberede sig, inden den formelt overtager tilsynsansvaret for den pågældende CSD. Alternativt bør den nationale kompetente myndighed kunne overlade tilsynet med denne tidligere signifikante CSD til ESMA. For at sikre konsekvens og lige vilkår mellem signifikante og mindre signifikante CSD'er bør ESMA desuden også være den myndighed, der er ansvarlig for at godkende interoperabilitetsordninger såsom interoperable links i forbindelse med CSD-tjenesteydelser. Med henblik herpå bør ESMA også være ansvarlig for at lede tilsynskollegierne for mindre signifikante CSD'er.</w:t>
            </w:r>
          </w:p>
        </w:tc>
        <w:tc>
          <w:tcPr>
            <w:tcW w:w="4876" w:type="dxa"/>
            <w:tcBorders>
              <w:top w:val="nil"/>
              <w:left w:val="nil"/>
              <w:bottom w:val="nil"/>
              <w:right w:val="nil"/>
            </w:tcBorders>
            <w:hideMark/>
          </w:tcPr>
          <w:p w:rsidR="00365C9B" w:rsidRPr="00B16DFD" w:rsidP="00F61C80" w14:paraId="2D684595" w14:textId="77777777">
            <w:pPr>
              <w:pStyle w:val="Normal6a"/>
            </w:pPr>
            <w:r w:rsidRPr="00B16DFD">
              <w:t>(54)</w:t>
            </w:r>
            <w:r w:rsidRPr="00B16DFD">
              <w:tab/>
              <w:t xml:space="preserve">I modsætning til signifikante CSD'er har mindre signifikante CSD'er ikke væsentlige grænseoverskridende aktiviteter. De bør derfor forblive under tilsyn af deres nationale kompetente myndigheder. Tilsynsordninger for mindre signifikante CSD'er bør stort set forblive, som de var. For at sikre en konsekvent tilsynsmæssig tilgang for disse CSD'er er det imidlertid nødvendigt at sikre et stærkere samarbejde mellem disse nationale kompetente myndigheder og ESMA. Hvis medlemsstaterne ønsker det, bør de </w:t>
            </w:r>
            <w:r w:rsidRPr="00B16DFD">
              <w:rPr>
                <w:b/>
                <w:i/>
              </w:rPr>
              <w:t xml:space="preserve">og mindre signifikante CSD'er </w:t>
            </w:r>
            <w:r w:rsidRPr="00B16DFD">
              <w:t>have mulighed for at udpege ESMA som den kompetente myndighed for mindre signifikante CSD'er, der er etableret i deres jurisdiktioner. Hvis en tidligere signifikant CSD ikke længere opfylder betingelserne for at blive betragtet som sådan, bør den nationale kompetente myndighed desuden tildeles en tilstrækkelig overgangsperiode, så den kan forberede sig, inden den formelt overtager tilsynsansvaret for den pågældende CSD. Alternativt bør den nationale kompetente myndighed kunne overlade tilsynet med denne tidligere signifikante CSD til ESMA. For at sikre konsekvens og lige vilkår mellem signifikante og mindre signifikante CSD'er bør ESMA desuden også være den myndighed, der er ansvarlig for at godkende interoperabilitetsordninger såsom interoperable links i forbindelse med CSD-tjenesteydelser. Med henblik herpå bør ESMA også være ansvarlig for at lede tilsynskollegierne for mindre signifikante CSD'er.</w:t>
            </w:r>
          </w:p>
        </w:tc>
      </w:tr>
    </w:tbl>
    <w:p w:rsidR="00365C9B" w:rsidRPr="00734CAA" w:rsidP="00365C9B" w14:paraId="47CAB791"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6F10314" w14:textId="77777777">
      <w:pPr>
        <w:rPr>
          <w:lang w:val="en-GB"/>
        </w:rPr>
      </w:pPr>
      <w:r w:rsidRPr="00734CAA">
        <w:rPr>
          <w:rStyle w:val="HideTWBExt"/>
          <w:color w:val="auto"/>
          <w:lang w:val="en-GB"/>
        </w:rPr>
        <w:t>&lt;/Amend&gt;</w:t>
      </w:r>
    </w:p>
    <w:p w:rsidR="00365C9B" w:rsidRPr="00734CAA" w:rsidP="00365C9B" w14:paraId="4D5D61B9"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302</w:t>
      </w:r>
      <w:r w:rsidRPr="00734CAA">
        <w:rPr>
          <w:rStyle w:val="HideTWBExt"/>
          <w:color w:val="auto"/>
          <w:lang w:val="en-GB"/>
        </w:rPr>
        <w:t>&lt;/NumAm&gt;</w:t>
      </w:r>
    </w:p>
    <w:p w:rsidR="00365C9B" w:rsidRPr="00734CAA" w:rsidP="00365C9B" w14:paraId="127AD5F8"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0D6F43D1" w14:textId="77777777">
      <w:pPr>
        <w:pStyle w:val="NormalBold"/>
      </w:pPr>
      <w:r w:rsidRPr="00B16DFD">
        <w:rPr>
          <w:rStyle w:val="HideTWBExt"/>
          <w:b w:val="0"/>
          <w:color w:val="auto"/>
        </w:rPr>
        <w:t>&lt;/RepeatBlock-By&gt;</w:t>
      </w:r>
    </w:p>
    <w:p w:rsidR="00365C9B" w:rsidRPr="00B16DFD" w:rsidP="00365C9B" w14:paraId="00896FAA"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338D6BDB" w14:textId="77777777">
      <w:pPr>
        <w:pStyle w:val="NormalBold"/>
        <w:rPr>
          <w:lang w:val="en-GB"/>
        </w:rPr>
      </w:pPr>
      <w:r w:rsidRPr="00734CAA">
        <w:rPr>
          <w:rStyle w:val="HideTWBExt"/>
          <w:color w:val="auto"/>
          <w:lang w:val="en-GB"/>
        </w:rPr>
        <w:t>&lt;Article&gt;</w:t>
      </w:r>
      <w:r w:rsidRPr="00734CAA">
        <w:rPr>
          <w:lang w:val="en-GB"/>
        </w:rPr>
        <w:t>Betragtning 54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8E113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536F72A5" w14:textId="77777777">
            <w:pPr>
              <w:rPr>
                <w:lang w:val="en-GB"/>
              </w:rPr>
            </w:pPr>
          </w:p>
        </w:tc>
      </w:tr>
      <w:tr w14:paraId="6B0DF211"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637A1CE"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F473D77" w14:textId="77777777">
            <w:pPr>
              <w:pStyle w:val="AmColumnHeading"/>
            </w:pPr>
            <w:r w:rsidRPr="00B16DFD">
              <w:t>Ændringsforslag</w:t>
            </w:r>
          </w:p>
        </w:tc>
      </w:tr>
      <w:tr w14:paraId="0216EDF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110C6F7D" w14:textId="77777777">
            <w:pPr>
              <w:pStyle w:val="Normal6a"/>
            </w:pPr>
          </w:p>
        </w:tc>
        <w:tc>
          <w:tcPr>
            <w:tcW w:w="4876" w:type="dxa"/>
            <w:tcBorders>
              <w:top w:val="nil"/>
              <w:left w:val="nil"/>
              <w:bottom w:val="nil"/>
              <w:right w:val="nil"/>
            </w:tcBorders>
            <w:hideMark/>
          </w:tcPr>
          <w:p w:rsidR="00365C9B" w:rsidRPr="00B16DFD" w:rsidP="00F61C80" w14:paraId="251DC4E3" w14:textId="77777777">
            <w:pPr>
              <w:pStyle w:val="Normal6a"/>
            </w:pPr>
            <w:r w:rsidRPr="00B16DFD">
              <w:rPr>
                <w:b/>
                <w:i/>
              </w:rPr>
              <w:t>(54a)</w:t>
            </w:r>
            <w:r w:rsidRPr="00B16DFD">
              <w:tab/>
            </w:r>
            <w:r w:rsidRPr="00B16DFD">
              <w:rPr>
                <w:b/>
                <w:i/>
              </w:rPr>
              <w:t>I betragtning af mindre signifikante CSD'ers mere begrænsede kompleksitet og systemiske betydning er det ikke længere nødvendigt eller forholdsmæssigt at oprette et tilsynskollegium. For at bevare tilsynskonvergensen og støtte den finansielle stabilitet bør samarbejdet og informationsudvekslingen mellem den kompetente myndighed, ESMA og, hvor det er relevant, andre relevante kompetente myndigheder styrkes gennem forholdsmæssige koordineringsmekanismer.</w:t>
            </w:r>
          </w:p>
        </w:tc>
      </w:tr>
    </w:tbl>
    <w:p w:rsidR="00365C9B" w:rsidRPr="00734CAA" w:rsidP="00365C9B" w14:paraId="44B3EABB"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540E526" w14:textId="77777777">
      <w:pPr>
        <w:rPr>
          <w:lang w:val="en-GB"/>
        </w:rPr>
      </w:pPr>
      <w:r w:rsidRPr="00734CAA">
        <w:rPr>
          <w:rStyle w:val="HideTWBExt"/>
          <w:color w:val="auto"/>
          <w:lang w:val="en-GB"/>
        </w:rPr>
        <w:t>&lt;/Amend&gt;</w:t>
      </w:r>
    </w:p>
    <w:p w:rsidR="00365C9B" w:rsidRPr="00734CAA" w:rsidP="00365C9B" w14:paraId="672E6E82"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303</w:t>
      </w:r>
      <w:r w:rsidRPr="00734CAA">
        <w:rPr>
          <w:rStyle w:val="HideTWBExt"/>
          <w:color w:val="auto"/>
          <w:lang w:val="en-GB"/>
        </w:rPr>
        <w:t>&lt;/NumAm&gt;</w:t>
      </w:r>
    </w:p>
    <w:p w:rsidR="00365C9B" w:rsidRPr="00734CAA" w:rsidP="00365C9B" w14:paraId="7B5256E7"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20DCC86B"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510164F2" w14:textId="77777777">
      <w:pPr>
        <w:pStyle w:val="NormalBold"/>
        <w:rPr>
          <w:lang w:val="en-GB"/>
        </w:rPr>
      </w:pPr>
      <w:r w:rsidRPr="00734CAA">
        <w:rPr>
          <w:rStyle w:val="HideTWBExt"/>
          <w:b w:val="0"/>
          <w:color w:val="auto"/>
          <w:lang w:val="en-GB"/>
        </w:rPr>
        <w:t>&lt;/RepeatBlock-By&gt;</w:t>
      </w:r>
    </w:p>
    <w:p w:rsidR="00365C9B" w:rsidRPr="00734CAA" w:rsidP="00365C9B" w14:paraId="3D8A7AF8"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049C5AE2" w14:textId="77777777">
      <w:pPr>
        <w:pStyle w:val="NormalBold"/>
      </w:pPr>
      <w:r w:rsidRPr="00B16DFD">
        <w:rPr>
          <w:rStyle w:val="HideTWBExt"/>
          <w:color w:val="auto"/>
        </w:rPr>
        <w:t>&lt;Article&gt;</w:t>
      </w:r>
      <w:r w:rsidRPr="00B16DFD">
        <w:t>Betragtning 58</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7DC550"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D573AF5" w14:textId="77777777"/>
        </w:tc>
      </w:tr>
      <w:tr w14:paraId="2148B122"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2074EB9"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D64060C" w14:textId="77777777">
            <w:pPr>
              <w:pStyle w:val="AmColumnHeading"/>
            </w:pPr>
            <w:r w:rsidRPr="00B16DFD">
              <w:t>Ændringsforslag</w:t>
            </w:r>
          </w:p>
        </w:tc>
      </w:tr>
      <w:tr w14:paraId="24E799C7"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CC036B8" w14:textId="77777777">
            <w:pPr>
              <w:pStyle w:val="Normal6a"/>
            </w:pPr>
            <w:r w:rsidRPr="00B16DFD">
              <w:t>(58)</w:t>
            </w:r>
            <w:r w:rsidRPr="00B16DFD">
              <w:tab/>
              <w:t xml:space="preserve">CSD'er bør kunne drage fordel af den funktionalitet, der tilbydes af en fælles afviklingsinfrastruktur, som tilbyder værdipapirafvikling med centralbankpenge, især når en sådan fælles afviklingsinfrastruktur stiller likviditetsoptimeringsværktøjer til rådighed og fremmer sikker og effektiv afvikling, herunder på tværs af grænser. For at give deres deltagere mulighed for at afvikle deres værdipapirtransaktioner på den fælles </w:t>
            </w:r>
            <w:r w:rsidRPr="00B16DFD">
              <w:t>afviklingsinfrastruktur, bør CSD'er, der tilbyder afvikling i valutaer, som er tilgængelige på en sådan fælles afviklingsinfrastruktur, være forpligtet til at tilslutte sig den direkte. Kravet om at tilslutte sig en fælles afviklingsinfrastruktur bør tage hensyn til den teknologiske udvikling inden for afvikling med centralbankpenge.</w:t>
            </w:r>
          </w:p>
        </w:tc>
        <w:tc>
          <w:tcPr>
            <w:tcW w:w="4876" w:type="dxa"/>
            <w:tcBorders>
              <w:top w:val="nil"/>
              <w:left w:val="nil"/>
              <w:bottom w:val="nil"/>
              <w:right w:val="nil"/>
            </w:tcBorders>
            <w:hideMark/>
          </w:tcPr>
          <w:p w:rsidR="00365C9B" w:rsidRPr="00B16DFD" w:rsidP="00F61C80" w14:paraId="75003B15" w14:textId="77777777">
            <w:pPr>
              <w:pStyle w:val="Normal6a"/>
            </w:pPr>
            <w:r w:rsidRPr="00B16DFD">
              <w:t>(58)</w:t>
            </w:r>
            <w:r w:rsidRPr="00B16DFD">
              <w:tab/>
              <w:t xml:space="preserve">CSD'er bør kunne drage fordel af den funktionalitet, der tilbydes af en fælles afviklingsinfrastruktur, som tilbyder værdipapirafvikling med centralbankpenge, især når en sådan fælles afviklingsinfrastruktur stiller likviditetsoptimeringsværktøjer til rådighed og fremmer sikker og effektiv afvikling, herunder på tværs af grænser. For at give deres deltagere mulighed for at afvikle deres værdipapirtransaktioner på den fælles </w:t>
            </w:r>
            <w:r w:rsidRPr="00B16DFD">
              <w:t xml:space="preserve">afviklingsinfrastruktur, bør CSD'er, der tilbyder afvikling i valutaer, som er tilgængelige på en sådan fælles afviklingsinfrastruktur, være forpligtet til at tilslutte sig den direkte </w:t>
            </w:r>
            <w:r w:rsidRPr="00B16DFD">
              <w:rPr>
                <w:b/>
                <w:i/>
              </w:rPr>
              <w:t>og til effektivt at bruge den</w:t>
            </w:r>
            <w:r w:rsidRPr="00B16DFD">
              <w:t>. Kravet om at tilslutte sig en fælles afviklingsinfrastruktur bør tage hensyn til den teknologiske udvikling inden for afvikling med centralbankpenge.</w:t>
            </w:r>
          </w:p>
        </w:tc>
      </w:tr>
    </w:tbl>
    <w:p w:rsidR="00365C9B" w:rsidRPr="00734CAA" w:rsidP="00365C9B" w14:paraId="64033897"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A9ED5C4" w14:textId="77777777">
      <w:pPr>
        <w:rPr>
          <w:lang w:val="en-GB"/>
        </w:rPr>
      </w:pPr>
      <w:r w:rsidRPr="00734CAA">
        <w:rPr>
          <w:rStyle w:val="HideTWBExt"/>
          <w:color w:val="auto"/>
          <w:lang w:val="en-GB"/>
        </w:rPr>
        <w:t>&lt;/Amend&gt;</w:t>
      </w:r>
    </w:p>
    <w:p w:rsidR="00365C9B" w:rsidRPr="00734CAA" w:rsidP="00365C9B" w14:paraId="01350C89"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304</w:t>
      </w:r>
      <w:r w:rsidRPr="00734CAA">
        <w:rPr>
          <w:rStyle w:val="HideTWBExt"/>
          <w:color w:val="auto"/>
          <w:lang w:val="en-GB"/>
        </w:rPr>
        <w:t>&lt;/NumAm&gt;</w:t>
      </w:r>
    </w:p>
    <w:p w:rsidR="00365C9B" w:rsidRPr="00734CAA" w:rsidP="00365C9B" w14:paraId="6B2E864F" w14:textId="77777777">
      <w:pPr>
        <w:pStyle w:val="NormalBold"/>
        <w:rPr>
          <w:lang w:val="en-GB"/>
        </w:rPr>
      </w:pPr>
      <w:r w:rsidRPr="00734CAA">
        <w:rPr>
          <w:rStyle w:val="HideTWBExt"/>
          <w:b w:val="0"/>
          <w:color w:val="auto"/>
          <w:lang w:val="en-GB"/>
        </w:rPr>
        <w:t>&lt;RepeatBlock-By&gt;&lt;Members&gt;</w:t>
      </w:r>
      <w:r w:rsidRPr="00734CAA">
        <w:rPr>
          <w:lang w:val="en-GB"/>
        </w:rPr>
        <w:t>Aurore Lalucq, Evelyn Regner, Nikos Papandreou, Claire Fita</w:t>
      </w:r>
      <w:r w:rsidRPr="00734CAA">
        <w:rPr>
          <w:rStyle w:val="HideTWBExt"/>
          <w:b w:val="0"/>
          <w:color w:val="auto"/>
          <w:lang w:val="en-GB"/>
        </w:rPr>
        <w:t>&lt;/Members&gt;</w:t>
      </w:r>
    </w:p>
    <w:p w:rsidR="00365C9B" w:rsidRPr="00B16DFD" w:rsidP="00365C9B" w14:paraId="72E37AC9" w14:textId="77777777">
      <w:pPr>
        <w:pStyle w:val="NormalBold"/>
      </w:pPr>
      <w:r w:rsidRPr="00B16DFD">
        <w:rPr>
          <w:rStyle w:val="HideTWBExt"/>
          <w:b w:val="0"/>
          <w:color w:val="auto"/>
        </w:rPr>
        <w:t>&lt;/RepeatBlock-By&gt;</w:t>
      </w:r>
    </w:p>
    <w:p w:rsidR="00365C9B" w:rsidRPr="00B16DFD" w:rsidP="00365C9B" w14:paraId="1BEA6097"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0988462B" w14:textId="77777777">
      <w:pPr>
        <w:pStyle w:val="NormalBold"/>
      </w:pPr>
      <w:r w:rsidRPr="00B16DFD">
        <w:rPr>
          <w:rStyle w:val="HideTWBExt"/>
          <w:color w:val="auto"/>
        </w:rPr>
        <w:t>&lt;Article&gt;</w:t>
      </w:r>
      <w:r w:rsidRPr="00B16DFD">
        <w:t>Betragtning 59</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49D69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BF893C5" w14:textId="77777777"/>
        </w:tc>
      </w:tr>
      <w:tr w14:paraId="2CBB076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DBA3985"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C3D74EB" w14:textId="77777777">
            <w:pPr>
              <w:pStyle w:val="AmColumnHeading"/>
            </w:pPr>
            <w:r w:rsidRPr="00B16DFD">
              <w:t>Ændringsforslag</w:t>
            </w:r>
          </w:p>
        </w:tc>
      </w:tr>
      <w:tr w14:paraId="7BC609C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E18D94F" w14:textId="77777777">
            <w:pPr>
              <w:pStyle w:val="Normal6a"/>
            </w:pPr>
            <w:r w:rsidRPr="00B16DFD">
              <w:rPr>
                <w:b/>
                <w:i/>
              </w:rPr>
              <w:t>(59)</w:t>
            </w:r>
            <w:r w:rsidRPr="00B16DFD">
              <w:tab/>
            </w:r>
            <w:r w:rsidRPr="00B16DFD">
              <w:rPr>
                <w:b/>
                <w:i/>
              </w:rPr>
              <w:t>Europa-Parlamentets og Rådets forordning (EU) 1114/2023</w:t>
            </w:r>
            <w:r w:rsidRPr="00B16DFD">
              <w:rPr>
                <w:b/>
                <w:i/>
                <w:vertAlign w:val="superscript"/>
              </w:rPr>
              <w:t>26</w:t>
            </w:r>
            <w:r w:rsidRPr="00B16DFD">
              <w:rPr>
                <w:b/>
                <w:i/>
              </w:rPr>
              <w:t xml:space="preserve"> fastsætter en ramme for sikker udstedelse af e-pengetokens i Unionen. For at støtte innovation inden for værdipapirafvikling bør CSD'er i Unionen kunne afvikle betalinger for værdipapirtransaktioner i e-pengetokens, under forudsætning af passende sikkerhedsforanstaltninger. Denne mulighed bør være tilgængelig for både CSD'er, der er meddelt tilladelse til at levere bankmæssige accessoriske tjenesteydelser, og CSD'er, der ikke er meddelt en sådan tilladelse. CSD'er, der ikke er meddelt tilladelse til at levere bankmæssige accessoriske tjenesteydelser, bør kunne afvikle betalinger i e-pengetokens i enhver valuta over konti, der er åbnet hos CSD'er, der er meddelt tilladelse til at levere bankmæssige accessoriske tjenesteydelser, eller over konti, der er åbnet hos et kreditinstitut, med forbehold af den tærskel, der er fastsat af EBA for afvikling af betalinger i forretningsbankpenge.</w:t>
            </w:r>
          </w:p>
        </w:tc>
        <w:tc>
          <w:tcPr>
            <w:tcW w:w="4876" w:type="dxa"/>
            <w:tcBorders>
              <w:top w:val="nil"/>
              <w:left w:val="nil"/>
              <w:bottom w:val="nil"/>
              <w:right w:val="nil"/>
            </w:tcBorders>
            <w:hideMark/>
          </w:tcPr>
          <w:p w:rsidR="00365C9B" w:rsidRPr="00B16DFD" w:rsidP="00F61C80" w14:paraId="3A557714" w14:textId="77777777">
            <w:pPr>
              <w:pStyle w:val="Normal6a"/>
            </w:pPr>
            <w:r w:rsidRPr="00B16DFD">
              <w:rPr>
                <w:b/>
                <w:i/>
              </w:rPr>
              <w:t>udgår</w:t>
            </w:r>
          </w:p>
        </w:tc>
      </w:tr>
      <w:tr w14:paraId="0FDE7C39"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7717353" w14:textId="77777777">
            <w:pPr>
              <w:pStyle w:val="Normal6a"/>
            </w:pPr>
            <w:r w:rsidRPr="00B16DFD">
              <w:rPr>
                <w:b/>
                <w:i/>
              </w:rPr>
              <w:t>_________________</w:t>
            </w:r>
          </w:p>
        </w:tc>
        <w:tc>
          <w:tcPr>
            <w:tcW w:w="4876" w:type="dxa"/>
            <w:tcBorders>
              <w:top w:val="nil"/>
              <w:left w:val="nil"/>
              <w:bottom w:val="nil"/>
              <w:right w:val="nil"/>
            </w:tcBorders>
          </w:tcPr>
          <w:p w:rsidR="00365C9B" w:rsidRPr="00B16DFD" w:rsidP="00F61C80" w14:paraId="56623029" w14:textId="77777777"/>
        </w:tc>
      </w:tr>
      <w:tr w14:paraId="52A4A9C5"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5505CB0" w14:textId="77777777">
            <w:pPr>
              <w:pStyle w:val="Normal6a"/>
            </w:pPr>
            <w:r w:rsidRPr="00B16DFD">
              <w:rPr>
                <w:b/>
                <w:bCs/>
                <w:i/>
                <w:iCs/>
                <w:vertAlign w:val="superscript"/>
              </w:rPr>
              <w:t>26</w:t>
            </w:r>
            <w:r w:rsidRPr="00B16DFD">
              <w:rPr>
                <w:b/>
                <w:bCs/>
                <w:i/>
                <w:iCs/>
              </w:rPr>
              <w:t xml:space="preserve"> Europa-Parlamentets og Rådets forordning (EU) 2023/1114 af 31. maj 2023 om markeder for kryptoaktiver og om ændring af forordning (EU) nr. 1093/2010 og (EU) nr. 1095/2010 og direktiv 2013/36/EU og (EU) 2019/1937 (EUT L 150 af 9.6.2023, s. 40, ELI:</w:t>
            </w:r>
            <w:r w:rsidRPr="00B16DFD">
              <w:rPr>
                <w:b/>
                <w:i/>
              </w:rPr>
              <w:t xml:space="preserve"> http://data.europa.eu/eli/reg/2023/1114/oj).</w:t>
            </w:r>
          </w:p>
        </w:tc>
        <w:tc>
          <w:tcPr>
            <w:tcW w:w="4876" w:type="dxa"/>
            <w:tcBorders>
              <w:top w:val="nil"/>
              <w:left w:val="nil"/>
              <w:bottom w:val="nil"/>
              <w:right w:val="nil"/>
            </w:tcBorders>
          </w:tcPr>
          <w:p w:rsidR="00365C9B" w:rsidRPr="00B16DFD" w:rsidP="00F61C80" w14:paraId="5700BECD" w14:textId="77777777"/>
        </w:tc>
      </w:tr>
    </w:tbl>
    <w:p w:rsidR="00365C9B" w:rsidRPr="00734CAA" w:rsidP="00365C9B" w14:paraId="1211C89B"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F499436" w14:textId="77777777">
      <w:pPr>
        <w:rPr>
          <w:lang w:val="en-GB"/>
        </w:rPr>
      </w:pPr>
      <w:r w:rsidRPr="00734CAA">
        <w:rPr>
          <w:rStyle w:val="HideTWBExt"/>
          <w:color w:val="auto"/>
          <w:lang w:val="en-GB"/>
        </w:rPr>
        <w:t>&lt;/Amend&gt;</w:t>
      </w:r>
    </w:p>
    <w:p w:rsidR="00365C9B" w:rsidRPr="00734CAA" w:rsidP="00365C9B" w14:paraId="54B7BED0"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305</w:t>
      </w:r>
      <w:r w:rsidRPr="00734CAA">
        <w:rPr>
          <w:rStyle w:val="HideTWBExt"/>
          <w:color w:val="auto"/>
          <w:lang w:val="en-GB"/>
        </w:rPr>
        <w:t>&lt;/NumAm&gt;</w:t>
      </w:r>
    </w:p>
    <w:p w:rsidR="00365C9B" w:rsidRPr="00734CAA" w:rsidP="00365C9B" w14:paraId="282021CF"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73BDB96B" w14:textId="77777777">
      <w:pPr>
        <w:pStyle w:val="NormalBold"/>
      </w:pPr>
      <w:r w:rsidRPr="00B16DFD">
        <w:rPr>
          <w:rStyle w:val="HideTWBExt"/>
          <w:b w:val="0"/>
          <w:color w:val="auto"/>
        </w:rPr>
        <w:t>&lt;/RepeatBlock-By&gt;</w:t>
      </w:r>
    </w:p>
    <w:p w:rsidR="00365C9B" w:rsidRPr="00B16DFD" w:rsidP="00365C9B" w14:paraId="507F390D"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3BBC993D" w14:textId="77777777">
      <w:pPr>
        <w:pStyle w:val="NormalBold"/>
      </w:pPr>
      <w:r w:rsidRPr="00B16DFD">
        <w:rPr>
          <w:rStyle w:val="HideTWBExt"/>
          <w:color w:val="auto"/>
        </w:rPr>
        <w:t>&lt;Article&gt;</w:t>
      </w:r>
      <w:r w:rsidRPr="00B16DFD">
        <w:t>Betragtning 60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D84C64"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D4F9A1E" w14:textId="77777777"/>
        </w:tc>
      </w:tr>
      <w:tr w14:paraId="182054C2"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1F7437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5E4DDDD" w14:textId="77777777">
            <w:pPr>
              <w:pStyle w:val="AmColumnHeading"/>
            </w:pPr>
            <w:r w:rsidRPr="00B16DFD">
              <w:t>Ændringsforslag</w:t>
            </w:r>
          </w:p>
        </w:tc>
      </w:tr>
      <w:tr w14:paraId="0F29965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B60586A" w14:textId="77777777">
            <w:pPr>
              <w:pStyle w:val="Normal6a"/>
            </w:pPr>
            <w:r w:rsidRPr="00B16DFD">
              <w:t>(60)</w:t>
            </w:r>
            <w:r w:rsidRPr="00B16DFD">
              <w:tab/>
              <w:t xml:space="preserve">Forordning (EU) nr. 909/2014 fastsætter regler for oprettelse og opretholdelse af linkaftaler mellem CSD'er. For at fremme leveringen af grænseoverskridende tjenesteydelser bør adgangen til en anden CSD i Unionen via et standardiseret link lettes, og den tilhørende proces forenkles. Med henblik på at fremme yderligere integration af Unionens kapitalmarkeder bør </w:t>
            </w:r>
            <w:r w:rsidRPr="00B16DFD">
              <w:rPr>
                <w:b/>
                <w:i/>
              </w:rPr>
              <w:t>CSD'er</w:t>
            </w:r>
            <w:r w:rsidRPr="00B16DFD">
              <w:t xml:space="preserve"> desuden pålægges at etablere</w:t>
            </w:r>
            <w:r w:rsidRPr="00B16DFD">
              <w:rPr>
                <w:b/>
                <w:i/>
              </w:rPr>
              <w:t xml:space="preserve"> et minimumsantal bilaterale</w:t>
            </w:r>
            <w:r w:rsidRPr="00B16DFD">
              <w:t xml:space="preserve"> links. For at sikre proportionalitet bør antallet af links, som en CSD skal etablere, afhænge af CSD'ens betydning.</w:t>
            </w:r>
          </w:p>
        </w:tc>
        <w:tc>
          <w:tcPr>
            <w:tcW w:w="4876" w:type="dxa"/>
            <w:tcBorders>
              <w:top w:val="nil"/>
              <w:left w:val="nil"/>
              <w:bottom w:val="nil"/>
              <w:right w:val="nil"/>
            </w:tcBorders>
            <w:hideMark/>
          </w:tcPr>
          <w:p w:rsidR="00365C9B" w:rsidRPr="00B16DFD" w:rsidP="00F61C80" w14:paraId="2A2CAE5B" w14:textId="77777777">
            <w:pPr>
              <w:pStyle w:val="Normal6a"/>
            </w:pPr>
            <w:r w:rsidRPr="00B16DFD">
              <w:t>(60)</w:t>
            </w:r>
            <w:r w:rsidRPr="00B16DFD">
              <w:tab/>
              <w:t xml:space="preserve">Forordning (EU) nr. 909/2014 fastsætter regler for oprettelse og opretholdelse af linkaftaler mellem CSD'er. For at fremme leveringen af grænseoverskridende tjenesteydelser bør adgangen til en anden CSD i Unionen via et standardiseret link lettes, og den tilhørende proces forenkles. Med henblik på at fremme yderligere integration af Unionens kapitalmarkeder bør </w:t>
            </w:r>
            <w:r w:rsidRPr="00B16DFD">
              <w:rPr>
                <w:b/>
                <w:i/>
              </w:rPr>
              <w:t>CSD-knudepunkter</w:t>
            </w:r>
            <w:r w:rsidRPr="00B16DFD">
              <w:t xml:space="preserve"> desuden pålægges at etablere</w:t>
            </w:r>
            <w:r w:rsidRPr="00B16DFD">
              <w:rPr>
                <w:b/>
                <w:i/>
              </w:rPr>
              <w:t xml:space="preserve"> standardiserede links eller relayed links med spoke-CSD'er</w:t>
            </w:r>
            <w:r w:rsidRPr="00B16DFD">
              <w:t>. For at sikre proportionalitet bør antallet af links, som en CSD skal etablere, afhænge af CSD'ens betydning.</w:t>
            </w:r>
          </w:p>
        </w:tc>
      </w:tr>
    </w:tbl>
    <w:p w:rsidR="00365C9B" w:rsidRPr="00734CAA" w:rsidP="00365C9B" w14:paraId="4979C480"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F74391E" w14:textId="77777777">
      <w:pPr>
        <w:rPr>
          <w:lang w:val="en-GB"/>
        </w:rPr>
      </w:pPr>
      <w:r w:rsidRPr="00734CAA">
        <w:rPr>
          <w:rStyle w:val="HideTWBExt"/>
          <w:color w:val="auto"/>
          <w:lang w:val="en-GB"/>
        </w:rPr>
        <w:t>&lt;/Amend&gt;</w:t>
      </w:r>
    </w:p>
    <w:p w:rsidR="00365C9B" w:rsidRPr="00734CAA" w:rsidP="00365C9B" w14:paraId="3460284D"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306</w:t>
      </w:r>
      <w:r w:rsidRPr="00734CAA">
        <w:rPr>
          <w:rStyle w:val="HideTWBExt"/>
          <w:color w:val="auto"/>
          <w:lang w:val="en-GB"/>
        </w:rPr>
        <w:t>&lt;/NumAm&gt;</w:t>
      </w:r>
    </w:p>
    <w:p w:rsidR="00365C9B" w:rsidRPr="00734CAA" w:rsidP="00365C9B" w14:paraId="67F6D123" w14:textId="77777777">
      <w:pPr>
        <w:pStyle w:val="NormalBold"/>
        <w:rPr>
          <w:lang w:val="en-GB"/>
        </w:rPr>
      </w:pPr>
      <w:r w:rsidRPr="00734CAA">
        <w:rPr>
          <w:rStyle w:val="HideTWBExt"/>
          <w:b w:val="0"/>
          <w:color w:val="auto"/>
          <w:lang w:val="en-GB"/>
        </w:rPr>
        <w:t>&lt;RepeatBlock-By&gt;&lt;Members&gt;</w:t>
      </w:r>
      <w:r w:rsidRPr="00734CAA">
        <w:rPr>
          <w:lang w:val="en-GB"/>
        </w:rPr>
        <w:t>Markus Ferber</w:t>
      </w:r>
      <w:r w:rsidRPr="00734CAA">
        <w:rPr>
          <w:rStyle w:val="HideTWBExt"/>
          <w:b w:val="0"/>
          <w:color w:val="auto"/>
          <w:lang w:val="en-GB"/>
        </w:rPr>
        <w:t>&lt;/Members&gt;</w:t>
      </w:r>
    </w:p>
    <w:p w:rsidR="00365C9B" w:rsidRPr="00734CAA" w:rsidP="00365C9B" w14:paraId="02C20A47" w14:textId="77777777">
      <w:pPr>
        <w:pStyle w:val="NormalBold"/>
        <w:rPr>
          <w:lang w:val="en-GB"/>
        </w:rPr>
      </w:pPr>
      <w:r w:rsidRPr="00734CAA">
        <w:rPr>
          <w:rStyle w:val="HideTWBExt"/>
          <w:b w:val="0"/>
          <w:color w:val="auto"/>
          <w:lang w:val="en-GB"/>
        </w:rPr>
        <w:t>&lt;/RepeatBlock-By&gt;</w:t>
      </w:r>
    </w:p>
    <w:p w:rsidR="00365C9B" w:rsidRPr="00B16DFD" w:rsidP="00365C9B" w14:paraId="6911021C"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4C8ACE7B" w14:textId="77777777">
      <w:pPr>
        <w:pStyle w:val="NormalBold"/>
        <w:rPr>
          <w:lang w:val="en-GB"/>
        </w:rPr>
      </w:pPr>
      <w:r w:rsidRPr="00734CAA">
        <w:rPr>
          <w:rStyle w:val="HideTWBExt"/>
          <w:color w:val="auto"/>
          <w:lang w:val="en-GB"/>
        </w:rPr>
        <w:t>&lt;Article&gt;</w:t>
      </w:r>
      <w:r w:rsidRPr="00734CAA">
        <w:rPr>
          <w:lang w:val="en-GB"/>
        </w:rPr>
        <w:t>Betragtning 61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BE722B"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04201B28" w14:textId="77777777">
            <w:pPr>
              <w:rPr>
                <w:lang w:val="en-GB"/>
              </w:rPr>
            </w:pPr>
          </w:p>
        </w:tc>
      </w:tr>
      <w:tr w14:paraId="644F487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B2ED50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EAE6B17" w14:textId="77777777">
            <w:pPr>
              <w:pStyle w:val="AmColumnHeading"/>
            </w:pPr>
            <w:r w:rsidRPr="00B16DFD">
              <w:t>Ændringsforslag</w:t>
            </w:r>
          </w:p>
        </w:tc>
      </w:tr>
      <w:tr w14:paraId="213CA2D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09CDC45" w14:textId="77777777">
            <w:pPr>
              <w:pStyle w:val="Normal6a"/>
            </w:pPr>
          </w:p>
        </w:tc>
        <w:tc>
          <w:tcPr>
            <w:tcW w:w="4876" w:type="dxa"/>
            <w:tcBorders>
              <w:top w:val="nil"/>
              <w:left w:val="nil"/>
              <w:bottom w:val="nil"/>
              <w:right w:val="nil"/>
            </w:tcBorders>
            <w:hideMark/>
          </w:tcPr>
          <w:p w:rsidR="00365C9B" w:rsidRPr="00B16DFD" w:rsidP="00F61C80" w14:paraId="2CBB1C62" w14:textId="77777777">
            <w:pPr>
              <w:pStyle w:val="Normal6a"/>
            </w:pPr>
            <w:r w:rsidRPr="00B16DFD">
              <w:rPr>
                <w:b/>
                <w:i/>
              </w:rPr>
              <w:t>(61a)</w:t>
            </w:r>
            <w:r w:rsidRPr="00B16DFD">
              <w:tab/>
            </w:r>
            <w:r w:rsidRPr="00B16DFD">
              <w:rPr>
                <w:b/>
                <w:i/>
              </w:rPr>
              <w:t>Forordning (EU) 2019/1156 definerer ikke udtrykket "sprog, der er gængs i internationale finanskredse". I betragtning af den omfattende og langvarige brug af engelsk i udarbejdelsen, forhandlingen og den grænseoverskridende distribution af investeringsfondsdokumentation bør engelsk forstås som værende i overensstemmelse med dette kriterium. Denne forståelse bør være retningsgivende for de kompetente myndigheders anvendelse af de relevante bestemmelser i forordning (EU) 2019/1156.</w:t>
            </w:r>
          </w:p>
        </w:tc>
      </w:tr>
    </w:tbl>
    <w:p w:rsidR="00365C9B" w:rsidRPr="00B16DFD" w:rsidP="00365C9B" w14:paraId="2E40A1CC"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008BDAB7"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10525C86" w14:textId="77777777">
      <w:pPr>
        <w:pStyle w:val="AmJustText"/>
      </w:pPr>
      <w:r w:rsidRPr="00B16DFD">
        <w:t>I betragtning af den omfattende og langvarige brug af engelsk i fondsdokumentation og grænseoverskridende distribution, præciserer denne betragtning, at engelsk opfylder kriteriet om at være et "sprog, der er gængs i internationale finanskredse", der styrer de kompetente myndigheders anvendelse af udtrykket. Dette fjerner en kilde til potentielt divergerende fortolkning og styrker retssikkerheden for grænseoverskridende markedsføring uden at ændre den operative tekst eller fortrænge medlemsstaternes myndighed over detailorienterede oplysningskrav.</w:t>
      </w:r>
    </w:p>
    <w:p w:rsidR="00365C9B" w:rsidRPr="00B16DFD" w:rsidP="00365C9B" w14:paraId="42B44371" w14:textId="77777777">
      <w:r w:rsidRPr="00B16DFD">
        <w:rPr>
          <w:rStyle w:val="HideTWBExt"/>
          <w:color w:val="auto"/>
        </w:rPr>
        <w:t>&lt;/Amend&gt;</w:t>
      </w:r>
    </w:p>
    <w:p w:rsidR="00365C9B" w:rsidRPr="00B16DFD" w:rsidP="00365C9B" w14:paraId="451F959B"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307</w:t>
      </w:r>
      <w:r w:rsidRPr="00B16DFD">
        <w:rPr>
          <w:rStyle w:val="HideTWBExt"/>
          <w:color w:val="auto"/>
        </w:rPr>
        <w:t>&lt;/NumAm&gt;</w:t>
      </w:r>
    </w:p>
    <w:p w:rsidR="00365C9B" w:rsidRPr="00734CAA" w:rsidP="00365C9B" w14:paraId="67BB4135"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15C18FA8" w14:textId="77777777">
      <w:pPr>
        <w:pStyle w:val="NormalBold"/>
      </w:pPr>
      <w:r w:rsidRPr="00B16DFD">
        <w:rPr>
          <w:rStyle w:val="HideTWBExt"/>
          <w:b w:val="0"/>
          <w:color w:val="auto"/>
        </w:rPr>
        <w:t>&lt;/RepeatBlock-By&gt;</w:t>
      </w:r>
    </w:p>
    <w:p w:rsidR="00365C9B" w:rsidRPr="00B16DFD" w:rsidP="00365C9B" w14:paraId="3DB0EE1B"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47AB65FD" w14:textId="77777777">
      <w:pPr>
        <w:pStyle w:val="NormalBold"/>
      </w:pPr>
      <w:r w:rsidRPr="00B16DFD">
        <w:rPr>
          <w:rStyle w:val="HideTWBExt"/>
          <w:color w:val="auto"/>
        </w:rPr>
        <w:t>&lt;Article&gt;</w:t>
      </w:r>
      <w:r w:rsidRPr="00B16DFD">
        <w:t>Betragtning 63</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D8251F"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5746F22" w14:textId="77777777"/>
        </w:tc>
      </w:tr>
      <w:tr w14:paraId="0641C6C7"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514F1D3"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F8E0424" w14:textId="77777777">
            <w:pPr>
              <w:pStyle w:val="AmColumnHeading"/>
            </w:pPr>
            <w:r w:rsidRPr="00B16DFD">
              <w:t>Ændringsforslag</w:t>
            </w:r>
          </w:p>
        </w:tc>
      </w:tr>
      <w:tr w14:paraId="2EED57E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47370C6" w14:textId="3FAFC824">
            <w:pPr>
              <w:pStyle w:val="Normal6a"/>
            </w:pPr>
            <w:r w:rsidRPr="00B16DFD">
              <w:t>(63)</w:t>
            </w:r>
            <w:r w:rsidRPr="00B16DFD">
              <w:tab/>
              <w:t xml:space="preserve">For at mindske </w:t>
            </w:r>
            <w:r w:rsidR="00AA1655">
              <w:t>unødig</w:t>
            </w:r>
            <w:r w:rsidRPr="00B16DFD">
              <w:t xml:space="preserve">e forsinkelser og divergerende tilsynspraksisser og for at lette en gnidningsløs markedsføring af AIF'er og investeringsinstitutter i det indre marked, er det hensigtsmæssigt, at forordning (EU) 2019/1156 forbyder de kompetente myndigheder i værtsmedlemsstaten at kræve underretning om markedsføringsmateriale som en </w:t>
            </w:r>
            <w:r w:rsidRPr="00B16DFD">
              <w:t>forudgående betingelse for markedsføring af AIF'er og investeringsinstitutter på deres område. For at beskytte investorer i værtsmedlemsstaten og forbedre det tilsynsmæssige samarbejde og effektiviteten bevarer de kompetente myndigheder i værtsmedlemsstaten, hvis de har rimelig grund til at antage, at markedsføringsmateriale ikke er i overensstemmelse med forordning (EU) 2019/1156 eller relevante delegerede retsakter fra Kommissionen, retten til at anmode de kompetente myndigheder i hjemlandet for FAIF'en, EuVECA- eller EuSEF-forvalteren eller investeringsinstituttet om at træffe alle passende foranstaltninger til at forebygge eller sanktionere yderligere uregelmæssigheder. De kompetente myndigheder i værtsmedlemsstaterne kan endvidere indbringe sagen for ESMA, hvis de ikke er tilfredse med de foranstaltninger, som hjemlandets kompetente myndigheder har truffet.</w:t>
            </w:r>
          </w:p>
        </w:tc>
        <w:tc>
          <w:tcPr>
            <w:tcW w:w="4876" w:type="dxa"/>
            <w:tcBorders>
              <w:top w:val="nil"/>
              <w:left w:val="nil"/>
              <w:bottom w:val="nil"/>
              <w:right w:val="nil"/>
            </w:tcBorders>
            <w:hideMark/>
          </w:tcPr>
          <w:p w:rsidR="00365C9B" w:rsidRPr="00B16DFD" w:rsidP="00F61C80" w14:paraId="7BBA2368" w14:textId="240FC9CC">
            <w:pPr>
              <w:pStyle w:val="Normal6a"/>
            </w:pPr>
            <w:r w:rsidRPr="00B16DFD">
              <w:t>(63)</w:t>
            </w:r>
            <w:r w:rsidRPr="00B16DFD">
              <w:tab/>
              <w:t xml:space="preserve">For at mindske </w:t>
            </w:r>
            <w:r w:rsidR="00AA1655">
              <w:t>unødig</w:t>
            </w:r>
            <w:r w:rsidRPr="00B16DFD">
              <w:t xml:space="preserve">e forsinkelser og divergerende tilsynspraksisser og for at lette en gnidningsløs markedsføring af AIF'er og investeringsinstitutter i det indre marked, er det hensigtsmæssigt, at forordning (EU) 2019/1156 forbyder de kompetente myndigheder i værtsmedlemsstaten at kræve underretning om markedsføringsmateriale som en </w:t>
            </w:r>
            <w:r w:rsidRPr="00B16DFD">
              <w:t>forudgående betingelse for markedsføring af AIF'er og investeringsinstitutter på deres område. For at beskytte investorer i værtsmedlemsstaten og forbedre det tilsynsmæssige samarbejde og effektiviteten bevarer de kompetente myndigheder i værtsmedlemsstaten, hvis de har rimelig grund til at antage, at markedsføringsmateriale ikke er i overensstemmelse med forordning (EU) 2019/1156 eller relevante delegerede retsakter fra Kommissionen, retten til at anmode de kompetente myndigheder i hjemlandet for FAIF'en, EuVECA- eller EuSEF-forvalteren eller investeringsinstituttet om at træffe alle passende foranstaltninger til at forebygge eller sanktionere yderligere uregelmæssigheder. De kompetente myndigheder i værtsmedlemsstaterne kan endvidere indbringe sagen for ESMA, hvis de ikke er tilfredse med de foranstaltninger, som hjemlandets kompetente myndigheder har truffet</w:t>
            </w:r>
            <w:r w:rsidRPr="00B16DFD">
              <w:rPr>
                <w:b/>
                <w:i/>
              </w:rPr>
              <w:t>, eller hvis de træffer korrigerende foranstaltninger</w:t>
            </w:r>
            <w:r w:rsidRPr="00B16DFD">
              <w:t>.</w:t>
            </w:r>
          </w:p>
        </w:tc>
      </w:tr>
    </w:tbl>
    <w:p w:rsidR="00365C9B" w:rsidRPr="00734CAA" w:rsidP="00365C9B" w14:paraId="6252DE69"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02B4EA5" w14:textId="77777777">
      <w:pPr>
        <w:rPr>
          <w:lang w:val="en-GB"/>
        </w:rPr>
      </w:pPr>
      <w:r w:rsidRPr="00734CAA">
        <w:rPr>
          <w:rStyle w:val="HideTWBExt"/>
          <w:color w:val="auto"/>
          <w:lang w:val="en-GB"/>
        </w:rPr>
        <w:t>&lt;/Amend&gt;</w:t>
      </w:r>
    </w:p>
    <w:p w:rsidR="00365C9B" w:rsidRPr="00734CAA" w:rsidP="00365C9B" w14:paraId="39E0911C"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308</w:t>
      </w:r>
      <w:r w:rsidRPr="00734CAA">
        <w:rPr>
          <w:rStyle w:val="HideTWBExt"/>
          <w:color w:val="auto"/>
          <w:lang w:val="en-GB"/>
        </w:rPr>
        <w:t>&lt;/NumAm&gt;</w:t>
      </w:r>
    </w:p>
    <w:p w:rsidR="00365C9B" w:rsidRPr="00734CAA" w:rsidP="00365C9B" w14:paraId="772BAA52"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6132131C" w14:textId="77777777">
      <w:pPr>
        <w:pStyle w:val="NormalBold"/>
      </w:pPr>
      <w:r w:rsidRPr="00B16DFD">
        <w:rPr>
          <w:rStyle w:val="HideTWBExt"/>
          <w:b w:val="0"/>
          <w:color w:val="auto"/>
        </w:rPr>
        <w:t>&lt;/RepeatBlock-By&gt;</w:t>
      </w:r>
    </w:p>
    <w:p w:rsidR="00365C9B" w:rsidRPr="00B16DFD" w:rsidP="00365C9B" w14:paraId="5913F4C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6DA388A8" w14:textId="77777777">
      <w:pPr>
        <w:pStyle w:val="NormalBold"/>
      </w:pPr>
      <w:r w:rsidRPr="00B16DFD">
        <w:rPr>
          <w:rStyle w:val="HideTWBExt"/>
          <w:color w:val="auto"/>
        </w:rPr>
        <w:t>&lt;Article&gt;</w:t>
      </w:r>
      <w:r w:rsidRPr="00B16DFD">
        <w:t>Betragtning 64</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BD79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5BE7E9B" w14:textId="77777777"/>
        </w:tc>
      </w:tr>
      <w:tr w14:paraId="4605877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95AF9E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230D26E" w14:textId="77777777">
            <w:pPr>
              <w:pStyle w:val="AmColumnHeading"/>
            </w:pPr>
            <w:r w:rsidRPr="00B16DFD">
              <w:t>Ændringsforslag</w:t>
            </w:r>
          </w:p>
        </w:tc>
      </w:tr>
      <w:tr w14:paraId="3B36B0B5"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D2A172D" w14:textId="77777777">
            <w:pPr>
              <w:pStyle w:val="Normal6a"/>
            </w:pPr>
            <w:r w:rsidRPr="00B16DFD">
              <w:rPr>
                <w:b/>
                <w:i/>
              </w:rPr>
              <w:t>(64)</w:t>
            </w:r>
            <w:r w:rsidRPr="00B16DFD">
              <w:tab/>
            </w:r>
            <w:r w:rsidRPr="00B16DFD">
              <w:rPr>
                <w:b/>
                <w:i/>
              </w:rPr>
              <w:t xml:space="preserve">For at sikre et højt niveau af gennemsigtighed med hensyn til de gebyrer eller afgifter, som værtsmedlemsstatens kompetente myndigheder opkræver for at udføre deres opgaver i relation til AIF'er og investeringsinstitutter, der markedsføres på deres område, og for at lette inddrivelsen af disse gebyrer eller afgifter, bør ESMA offentliggøre ajourførte </w:t>
            </w:r>
            <w:r w:rsidRPr="00B16DFD">
              <w:rPr>
                <w:b/>
                <w:i/>
              </w:rPr>
              <w:t>oplysninger om størrelsen af de gebyrer eller afgifter, som hver værtsmedlemsstats kompetente myndighed opkræver, deres hyppighed og betalingsvilkår. For at sikre konsekvens i de gebyrer eller afgifter, der opkræves af de kompetente myndigheder, bør ESMA hvert andet år analysere, om sådanne gebyrer eller afgifter er i overensstemmelse med de samlede omkostninger i forbindelse med udførelsen af de kompetente myndigheders funktioner, og på dette grundlag forelægge Kommissionen en rapport.</w:t>
            </w:r>
          </w:p>
        </w:tc>
        <w:tc>
          <w:tcPr>
            <w:tcW w:w="4876" w:type="dxa"/>
            <w:tcBorders>
              <w:top w:val="nil"/>
              <w:left w:val="nil"/>
              <w:bottom w:val="nil"/>
              <w:right w:val="nil"/>
            </w:tcBorders>
            <w:hideMark/>
          </w:tcPr>
          <w:p w:rsidR="00365C9B" w:rsidRPr="00B16DFD" w:rsidP="00F61C80" w14:paraId="32C7EF5E" w14:textId="77777777">
            <w:pPr>
              <w:pStyle w:val="Normal6a"/>
            </w:pPr>
            <w:r w:rsidRPr="00B16DFD">
              <w:rPr>
                <w:b/>
                <w:i/>
              </w:rPr>
              <w:t>udgår</w:t>
            </w:r>
          </w:p>
        </w:tc>
      </w:tr>
    </w:tbl>
    <w:p w:rsidR="00365C9B" w:rsidRPr="00B16DFD" w:rsidP="00365C9B" w14:paraId="3C25D523"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126E8133" w14:textId="77777777">
      <w:r w:rsidRPr="00B16DFD">
        <w:rPr>
          <w:rStyle w:val="HideTWBExt"/>
          <w:color w:val="auto"/>
        </w:rPr>
        <w:t>&lt;/Amend&gt;</w:t>
      </w:r>
    </w:p>
    <w:p w:rsidR="00365C9B" w:rsidRPr="00B16DFD" w:rsidP="00365C9B" w14:paraId="79DFC33C"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309</w:t>
      </w:r>
      <w:r w:rsidRPr="00B16DFD">
        <w:rPr>
          <w:rStyle w:val="HideTWBExt"/>
          <w:color w:val="auto"/>
        </w:rPr>
        <w:t>&lt;/NumAm&gt;</w:t>
      </w:r>
    </w:p>
    <w:p w:rsidR="00365C9B" w:rsidRPr="00734CAA" w:rsidP="00365C9B" w14:paraId="1851DA66"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17342970" w14:textId="77777777">
      <w:pPr>
        <w:pStyle w:val="NormalBold"/>
      </w:pPr>
      <w:r w:rsidRPr="00B16DFD">
        <w:rPr>
          <w:rStyle w:val="HideTWBExt"/>
          <w:b w:val="0"/>
          <w:color w:val="auto"/>
        </w:rPr>
        <w:t>&lt;/RepeatBlock-By&gt;</w:t>
      </w:r>
    </w:p>
    <w:p w:rsidR="00365C9B" w:rsidRPr="00B16DFD" w:rsidP="00365C9B" w14:paraId="472671D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28EB5D17" w14:textId="77777777">
      <w:pPr>
        <w:pStyle w:val="NormalBold"/>
      </w:pPr>
      <w:r w:rsidRPr="00B16DFD">
        <w:rPr>
          <w:rStyle w:val="HideTWBExt"/>
          <w:color w:val="auto"/>
        </w:rPr>
        <w:t>&lt;Article&gt;</w:t>
      </w:r>
      <w:r w:rsidRPr="00B16DFD">
        <w:t>Betragtning 70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EDCEA4"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85F1677" w14:textId="77777777"/>
        </w:tc>
      </w:tr>
      <w:tr w14:paraId="776A07CA"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81D2347"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0DF0906" w14:textId="77777777">
            <w:pPr>
              <w:pStyle w:val="AmColumnHeading"/>
            </w:pPr>
            <w:r w:rsidRPr="00B16DFD">
              <w:t>Ændringsforslag</w:t>
            </w:r>
          </w:p>
        </w:tc>
      </w:tr>
      <w:tr w14:paraId="5854B412"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39B9BDB4" w14:textId="77777777">
            <w:pPr>
              <w:pStyle w:val="Normal6a"/>
            </w:pPr>
            <w:r w:rsidRPr="00B16DFD">
              <w:t>(70)</w:t>
            </w:r>
            <w:r w:rsidRPr="00B16DFD">
              <w:tab/>
              <w:t xml:space="preserve">For at sikre større harmonisering i udøvelsen af tilsynsbeføjelser fra de kompetente myndigheder i hjemlandet og værtsmedlemsstaten bør bestemmelserne i direktiv 2011/61/EU og direktiv 2009/65/EF om tilsynsbeføjelser over for investeringsinstitutter og AIF'er, der markedsføres på tværs af Unionen, overføres til forordning (EU) 2019/1156. </w:t>
            </w:r>
            <w:r w:rsidRPr="00B16DFD">
              <w:rPr>
                <w:b/>
                <w:i/>
              </w:rPr>
              <w:t xml:space="preserve">For at fremme et effektivt samarbejde mellem de kompetente myndigheder i hjemlandet og værtsmedlemsstaten og for at sikre, at eventuelle uoverensstemmelser løses effektivt og uden at skabe hindringer for markedsføringen af investeringsinstitutter og AIF'er i Unionen, er det nødvendigt at præcisere, at de kompetente myndigheder i værtsmedlemsstaten bør forelægge ESMA enhver uoverensstemmelse med de kompetente myndigheder i hjemlandet for investeringsinstituttet eller FAIF'en, eller </w:t>
            </w:r>
            <w:r w:rsidRPr="00B16DFD">
              <w:rPr>
                <w:b/>
                <w:i/>
              </w:rPr>
              <w:t>tilfælde hvor værtsmedlemsstaten mener, at markedsføringen af et investeringsinstitut eller en AIF bør forbydes på dens område. I sådanne tilfælde bør ESMA afgøre sagen i overensstemmelse med sine beføjelser til at behandle grænseoverskridende spørgsmål.</w:t>
            </w:r>
          </w:p>
        </w:tc>
        <w:tc>
          <w:tcPr>
            <w:tcW w:w="4876" w:type="dxa"/>
            <w:tcBorders>
              <w:top w:val="nil"/>
              <w:left w:val="nil"/>
              <w:bottom w:val="nil"/>
              <w:right w:val="nil"/>
            </w:tcBorders>
            <w:hideMark/>
          </w:tcPr>
          <w:p w:rsidR="00365C9B" w:rsidRPr="00B16DFD" w:rsidP="00F61C80" w14:paraId="25AF7CD5" w14:textId="77777777">
            <w:pPr>
              <w:pStyle w:val="Normal6a"/>
            </w:pPr>
            <w:r w:rsidRPr="00B16DFD">
              <w:t>(70)</w:t>
            </w:r>
            <w:r w:rsidRPr="00B16DFD">
              <w:tab/>
              <w:t>For at sikre større harmonisering i udøvelsen af tilsynsbeføjelser fra de kompetente myndigheder i hjemlandet og værtsmedlemsstaten bør bestemmelserne i direktiv 2011/61/EU og direktiv 2009/65/EF om tilsynsbeføjelser over for investeringsinstitutter og AIF'er, der markedsføres på tværs af Unionen, overføres til forordning (EU) 2019/1156.</w:t>
            </w:r>
          </w:p>
        </w:tc>
      </w:tr>
    </w:tbl>
    <w:p w:rsidR="00365C9B" w:rsidRPr="00734CAA" w:rsidP="00365C9B" w14:paraId="448CF553"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EAC425F" w14:textId="77777777">
      <w:pPr>
        <w:rPr>
          <w:lang w:val="en-GB"/>
        </w:rPr>
      </w:pPr>
      <w:r w:rsidRPr="00734CAA">
        <w:rPr>
          <w:rStyle w:val="HideTWBExt"/>
          <w:color w:val="auto"/>
          <w:lang w:val="en-GB"/>
        </w:rPr>
        <w:t>&lt;/Amend&gt;</w:t>
      </w:r>
    </w:p>
    <w:p w:rsidR="00365C9B" w:rsidRPr="00734CAA" w:rsidP="00365C9B" w14:paraId="54873FBE"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310</w:t>
      </w:r>
      <w:r w:rsidRPr="00734CAA">
        <w:rPr>
          <w:rStyle w:val="HideTWBExt"/>
          <w:color w:val="auto"/>
          <w:lang w:val="en-GB"/>
        </w:rPr>
        <w:t>&lt;/NumAm&gt;</w:t>
      </w:r>
    </w:p>
    <w:p w:rsidR="00365C9B" w:rsidRPr="00734CAA" w:rsidP="00365C9B" w14:paraId="63A53916" w14:textId="77777777">
      <w:pPr>
        <w:pStyle w:val="NormalBold"/>
        <w:rPr>
          <w:lang w:val="en-GB"/>
        </w:rPr>
      </w:pPr>
      <w:r w:rsidRPr="00734CAA">
        <w:rPr>
          <w:rStyle w:val="HideTWBExt"/>
          <w:b w:val="0"/>
          <w:color w:val="auto"/>
          <w:lang w:val="en-GB"/>
        </w:rPr>
        <w:t>&lt;RepeatBlock-By&gt;&lt;Members&gt;</w:t>
      </w:r>
      <w:r w:rsidRPr="00734CAA">
        <w:rPr>
          <w:lang w:val="en-GB"/>
        </w:rPr>
        <w:t>Fernando Navarrete Rojas, Isabel Benjumea Benjumea</w:t>
      </w:r>
      <w:r w:rsidRPr="00734CAA">
        <w:rPr>
          <w:rStyle w:val="HideTWBExt"/>
          <w:b w:val="0"/>
          <w:color w:val="auto"/>
          <w:lang w:val="en-GB"/>
        </w:rPr>
        <w:t>&lt;/Members&gt;</w:t>
      </w:r>
    </w:p>
    <w:p w:rsidR="00365C9B" w:rsidRPr="00734CAA" w:rsidP="00365C9B" w14:paraId="548BE266" w14:textId="77777777">
      <w:pPr>
        <w:pStyle w:val="NormalBold"/>
        <w:rPr>
          <w:lang w:val="en-GB"/>
        </w:rPr>
      </w:pPr>
      <w:r w:rsidRPr="00734CAA">
        <w:rPr>
          <w:rStyle w:val="HideTWBExt"/>
          <w:b w:val="0"/>
          <w:color w:val="auto"/>
          <w:lang w:val="en-GB"/>
        </w:rPr>
        <w:t>&lt;/RepeatBlock-By&gt;</w:t>
      </w:r>
    </w:p>
    <w:p w:rsidR="00365C9B" w:rsidRPr="00B16DFD" w:rsidP="00365C9B" w14:paraId="157941F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67E56611" w14:textId="77777777">
      <w:pPr>
        <w:pStyle w:val="NormalBold"/>
      </w:pPr>
      <w:r w:rsidRPr="00B16DFD">
        <w:rPr>
          <w:rStyle w:val="HideTWBExt"/>
          <w:color w:val="auto"/>
        </w:rPr>
        <w:t>&lt;Article&gt;</w:t>
      </w:r>
      <w:r w:rsidRPr="00B16DFD">
        <w:t>Betragtning 71</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22A1DC"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6898E3D" w14:textId="77777777"/>
        </w:tc>
      </w:tr>
      <w:tr w14:paraId="16A0151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9A85DBF"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B2146A6" w14:textId="77777777">
            <w:pPr>
              <w:pStyle w:val="AmColumnHeading"/>
            </w:pPr>
            <w:r w:rsidRPr="00B16DFD">
              <w:t>Ændringsforslag</w:t>
            </w:r>
          </w:p>
        </w:tc>
      </w:tr>
      <w:tr w14:paraId="737258D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656C5F7" w14:textId="77777777">
            <w:pPr>
              <w:pStyle w:val="Normal6a"/>
            </w:pPr>
            <w:r w:rsidRPr="00B16DFD">
              <w:t>(71)</w:t>
            </w:r>
            <w:r w:rsidRPr="00B16DFD">
              <w:tab/>
              <w:t xml:space="preserve">For at sikre et velfungerende indre marked for investeringsfonde og fjerne tilsynsmæssige hindringer, der hæmmer den grænseoverskridende udøvelse af pasrettigheder, bør ESMA have beføjelse til at opdage </w:t>
            </w:r>
            <w:r w:rsidRPr="00B16DFD">
              <w:rPr>
                <w:b/>
                <w:i/>
              </w:rPr>
              <w:t>og håndtere</w:t>
            </w:r>
            <w:r w:rsidRPr="00B16DFD">
              <w:t xml:space="preserve"> tilfælde af divergerende, overlappende, overflødige eller mangelfulde tilsynspraksisser, der hindrer den grænseoverskridende markedsføring af investeringsinstitutter og AIF'er, eller tilfælde, hvor den grænseoverskridende markedsføring af investeringsinstitutter eller AIF'er ikke er i overensstemmelse med EU-retten. I disse tilfælde bør ESMA </w:t>
            </w:r>
            <w:r w:rsidRPr="00B16DFD">
              <w:rPr>
                <w:b/>
                <w:i/>
              </w:rPr>
              <w:t xml:space="preserve">iværksætte en eskaleringsproces, der begynder med at </w:t>
            </w:r>
            <w:r w:rsidRPr="00B16DFD">
              <w:t xml:space="preserve">engagere sig med de kompetente myndigheder og interessenter, fremme et tættere samarbejde mellem dem </w:t>
            </w:r>
            <w:r w:rsidRPr="00B16DFD">
              <w:rPr>
                <w:b/>
                <w:i/>
              </w:rPr>
              <w:t>og, hvor det er nødvendigt, anvende sine konvergens- og interventionsbeføjelser, så uberettigede begrænsninger af grænseoverskridende aktiviteter eller tilfælde af manglende overholdelse af EU-retten afhjælpes rettidigt og effektivt</w:t>
            </w:r>
            <w:r w:rsidRPr="00B16DFD">
              <w:t>.</w:t>
            </w:r>
            <w:r w:rsidRPr="00B16DFD">
              <w:rPr>
                <w:b/>
                <w:i/>
              </w:rPr>
              <w:t xml:space="preserve"> Af samme årsager er det nødvendigt at sikre, at ESMA, hvis disse problemer fortsætter på trods af denne eskaleringsproces, </w:t>
            </w:r>
            <w:r w:rsidRPr="00B16DFD">
              <w:rPr>
                <w:b/>
                <w:i/>
              </w:rPr>
              <w:t>derefter udøver sine beføjelser til at iværksætte procedurer for overtrædelse af EU-retten i overensstemmelse med artikel 17 i forordning (EU) nr. 1095/2010, suspendere retten til at markedsføre investeringsinstitutter eller AIF'er på tværs af grænserne i overensstemmelse med artikel 17aaa i forordning (EU) nr. 1095/2010, tilrettelægge bindende mægling i overensstemmelse med artikel 19 i forordning (EU) nr. 1095/2010 eller organisere samarbejdsplatforme i overensstemmelse med artikel 19a i forordning (EU) nr. 1095/2010, hvor det er relevant, for effektivt at afhjælpe disse problemer.</w:t>
            </w:r>
          </w:p>
        </w:tc>
        <w:tc>
          <w:tcPr>
            <w:tcW w:w="4876" w:type="dxa"/>
            <w:tcBorders>
              <w:top w:val="nil"/>
              <w:left w:val="nil"/>
              <w:bottom w:val="nil"/>
              <w:right w:val="nil"/>
            </w:tcBorders>
            <w:hideMark/>
          </w:tcPr>
          <w:p w:rsidR="00365C9B" w:rsidRPr="00B16DFD" w:rsidP="00F61C80" w14:paraId="19F552B3" w14:textId="77777777">
            <w:pPr>
              <w:pStyle w:val="Normal6a"/>
            </w:pPr>
            <w:r w:rsidRPr="00B16DFD">
              <w:t>(71)</w:t>
            </w:r>
            <w:r w:rsidRPr="00B16DFD">
              <w:tab/>
              <w:t>For at sikre et velfungerende indre marked for investeringsfonde og fjerne tilsynsmæssige hindringer, der hæmmer den grænseoverskridende udøvelse af pasrettigheder, bør ESMA have beføjelse til at opdage tilfælde af divergerende, overlappende, overflødige eller mangelfulde tilsynspraksisser, der hindrer den grænseoverskridende markedsføring af investeringsinstitutter og AIF'er, eller tilfælde, hvor den grænseoverskridende markedsføring af investeringsinstitutter eller AIF'er ikke er i overensstemmelse med EU-retten. I disse tilfælde bør ESMA engagere sig med de kompetente myndigheder og interessenter, fremme et tættere samarbejde mellem dem.</w:t>
            </w:r>
          </w:p>
        </w:tc>
      </w:tr>
    </w:tbl>
    <w:p w:rsidR="00365C9B" w:rsidRPr="00734CAA" w:rsidP="00365C9B" w14:paraId="04C6482F"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5CBE919" w14:textId="77777777">
      <w:pPr>
        <w:rPr>
          <w:lang w:val="en-GB"/>
        </w:rPr>
      </w:pPr>
      <w:r w:rsidRPr="00734CAA">
        <w:rPr>
          <w:rStyle w:val="HideTWBExt"/>
          <w:color w:val="auto"/>
          <w:lang w:val="en-GB"/>
        </w:rPr>
        <w:t>&lt;/Amend&gt;</w:t>
      </w:r>
    </w:p>
    <w:p w:rsidR="00365C9B" w:rsidRPr="00734CAA" w:rsidP="00365C9B" w14:paraId="5963F382"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311</w:t>
      </w:r>
      <w:r w:rsidRPr="00734CAA">
        <w:rPr>
          <w:rStyle w:val="HideTWBExt"/>
          <w:color w:val="auto"/>
          <w:lang w:val="en-GB"/>
        </w:rPr>
        <w:t>&lt;/NumAm&gt;</w:t>
      </w:r>
    </w:p>
    <w:p w:rsidR="00365C9B" w:rsidRPr="00734CAA" w:rsidP="00365C9B" w14:paraId="6A81B012" w14:textId="77777777">
      <w:pPr>
        <w:pStyle w:val="NormalBold"/>
        <w:rPr>
          <w:lang w:val="en-GB"/>
        </w:rPr>
      </w:pPr>
      <w:r w:rsidRPr="00734CAA">
        <w:rPr>
          <w:rStyle w:val="HideTWBExt"/>
          <w:b w:val="0"/>
          <w:color w:val="auto"/>
          <w:lang w:val="en-GB"/>
        </w:rPr>
        <w:t>&lt;RepeatBlock-By&gt;&lt;Members&gt;</w:t>
      </w:r>
      <w:r w:rsidRPr="00734CAA">
        <w:rPr>
          <w:lang w:val="en-GB"/>
        </w:rPr>
        <w:t>Martine Kemp</w:t>
      </w:r>
      <w:r w:rsidRPr="00734CAA">
        <w:rPr>
          <w:rStyle w:val="HideTWBExt"/>
          <w:b w:val="0"/>
          <w:color w:val="auto"/>
          <w:lang w:val="en-GB"/>
        </w:rPr>
        <w:t>&lt;/Members&gt;</w:t>
      </w:r>
    </w:p>
    <w:p w:rsidR="00365C9B" w:rsidRPr="00734CAA" w:rsidP="00365C9B" w14:paraId="0C4C95B5" w14:textId="77777777">
      <w:pPr>
        <w:pStyle w:val="NormalBold"/>
        <w:rPr>
          <w:lang w:val="en-GB"/>
        </w:rPr>
      </w:pPr>
      <w:r w:rsidRPr="00734CAA">
        <w:rPr>
          <w:rStyle w:val="HideTWBExt"/>
          <w:b w:val="0"/>
          <w:color w:val="auto"/>
          <w:lang w:val="en-GB"/>
        </w:rPr>
        <w:t>&lt;/RepeatBlock-By&gt;</w:t>
      </w:r>
    </w:p>
    <w:p w:rsidR="00365C9B" w:rsidRPr="00B16DFD" w:rsidP="00365C9B" w14:paraId="7117FB32"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400CA114" w14:textId="77777777">
      <w:pPr>
        <w:pStyle w:val="NormalBold"/>
      </w:pPr>
      <w:r w:rsidRPr="00B16DFD">
        <w:rPr>
          <w:rStyle w:val="HideTWBExt"/>
          <w:color w:val="auto"/>
        </w:rPr>
        <w:t>&lt;Article&gt;</w:t>
      </w:r>
      <w:r w:rsidRPr="00B16DFD">
        <w:t>Betragtning 71</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D01B7C"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F8C561B" w14:textId="77777777"/>
        </w:tc>
      </w:tr>
      <w:tr w14:paraId="516B77B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BBB1713"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3710220" w14:textId="77777777">
            <w:pPr>
              <w:pStyle w:val="AmColumnHeading"/>
            </w:pPr>
            <w:r w:rsidRPr="00B16DFD">
              <w:t>Ændringsforslag</w:t>
            </w:r>
          </w:p>
        </w:tc>
      </w:tr>
      <w:tr w14:paraId="2DCBFC8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2DD8014" w14:textId="77777777">
            <w:pPr>
              <w:pStyle w:val="Normal6a"/>
            </w:pPr>
            <w:r w:rsidRPr="00B16DFD">
              <w:t>(71)</w:t>
            </w:r>
            <w:r w:rsidRPr="00B16DFD">
              <w:tab/>
              <w:t xml:space="preserve">For at sikre et velfungerende indre marked for investeringsfonde og fjerne tilsynsmæssige hindringer, der hæmmer den grænseoverskridende udøvelse af pasrettigheder, bør ESMA have beføjelse til at opdage og håndtere tilfælde af divergerende, overlappende, overflødige eller mangelfulde tilsynspraksisser, der hindrer den grænseoverskridende markedsføring af investeringsinstitutter og AIF'er, eller tilfælde, hvor den grænseoverskridende markedsføring af investeringsinstitutter eller AIF'er ikke er i overensstemmelse med EU-retten. I disse tilfælde bør ESMA iværksætte en eskaleringsproces, der begynder med at engagere sig med de kompetente myndigheder og interessenter, fremme et tættere samarbejde mellem dem og, hvor det er nødvendigt, anvende sine </w:t>
            </w:r>
            <w:r w:rsidRPr="00B16DFD">
              <w:t xml:space="preserve">konvergens- og interventionsbeføjelser, så uberettigede begrænsninger af grænseoverskridende aktiviteter eller tilfælde af manglende overholdelse af EU-retten afhjælpes rettidigt og effektivt. </w:t>
            </w:r>
            <w:r w:rsidRPr="00B16DFD">
              <w:rPr>
                <w:b/>
                <w:i/>
              </w:rPr>
              <w:t>Af samme årsager er det nødvendigt at sikre, at ESMA, hvis disse problemer fortsætter på trods af denne eskaleringsproces, derefter udøver sine beføjelser til at iværksætte procedurer for overtrædelse af EU-retten i overensstemmelse med artikel 17 i forordning (EU) nr. 1095/2010, suspendere retten til at markedsføre investeringsinstitutter eller AIF'er på tværs af grænserne i overensstemmelse med artikel 17aaa i forordning (EU) nr. 1095/2010, tilrettelægge bindende mægling i overensstemmelse med artikel 19 i forordning (EU) nr. 1095/2010 eller organisere samarbejdsplatforme i overensstemmelse med artikel 19a i forordning (EU) nr. 1095/2010, hvor det er relevant, for effektivt at afhjælpe disse problemer.</w:t>
            </w:r>
          </w:p>
        </w:tc>
        <w:tc>
          <w:tcPr>
            <w:tcW w:w="4876" w:type="dxa"/>
            <w:tcBorders>
              <w:top w:val="nil"/>
              <w:left w:val="nil"/>
              <w:bottom w:val="nil"/>
              <w:right w:val="nil"/>
            </w:tcBorders>
            <w:hideMark/>
          </w:tcPr>
          <w:p w:rsidR="00365C9B" w:rsidRPr="00B16DFD" w:rsidP="00F61C80" w14:paraId="268740C1" w14:textId="77777777">
            <w:pPr>
              <w:pStyle w:val="Normal6a"/>
            </w:pPr>
            <w:r w:rsidRPr="00B16DFD">
              <w:t>(71)</w:t>
            </w:r>
            <w:r w:rsidRPr="00B16DFD">
              <w:tab/>
              <w:t xml:space="preserve">For at sikre et velfungerende indre marked for investeringsfonde og fjerne tilsynsmæssige hindringer, der hæmmer den grænseoverskridende udøvelse af pasrettigheder, bør ESMA have beføjelse til at opdage og håndtere tilfælde af divergerende, overlappende, overflødige eller mangelfulde tilsynspraksisser, der hindrer den grænseoverskridende markedsføring af investeringsinstitutter og AIF'er, eller tilfælde, hvor den grænseoverskridende markedsføring af investeringsinstitutter eller AIF'er ikke er i overensstemmelse med EU-retten. I disse tilfælde bør ESMA iværksætte en eskaleringsproces, der begynder med at engagere sig med de kompetente myndigheder og interessenter, fremme et tættere samarbejde mellem dem og, hvor det er nødvendigt, anvende sine </w:t>
            </w:r>
            <w:r w:rsidRPr="00B16DFD">
              <w:t>konvergens- og interventionsbeføjelser, så uberettigede begrænsninger af grænseoverskridende aktiviteter eller tilfælde af manglende overholdelse af EU-retten afhjælpes rettidigt og effektivt.</w:t>
            </w:r>
          </w:p>
        </w:tc>
      </w:tr>
    </w:tbl>
    <w:p w:rsidR="00365C9B" w:rsidRPr="00734CAA" w:rsidP="00365C9B" w14:paraId="05A3039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9CE3F3A" w14:textId="77777777">
      <w:pPr>
        <w:rPr>
          <w:lang w:val="en-GB"/>
        </w:rPr>
      </w:pPr>
      <w:r w:rsidRPr="00734CAA">
        <w:rPr>
          <w:rStyle w:val="HideTWBExt"/>
          <w:color w:val="auto"/>
          <w:lang w:val="en-GB"/>
        </w:rPr>
        <w:t>&lt;/Amend&gt;</w:t>
      </w:r>
    </w:p>
    <w:p w:rsidR="00365C9B" w:rsidRPr="00734CAA" w:rsidP="00365C9B" w14:paraId="6F0A25D4"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312</w:t>
      </w:r>
      <w:r w:rsidRPr="00734CAA">
        <w:rPr>
          <w:rStyle w:val="HideTWBExt"/>
          <w:color w:val="auto"/>
          <w:lang w:val="en-GB"/>
        </w:rPr>
        <w:t>&lt;/NumAm&gt;</w:t>
      </w:r>
    </w:p>
    <w:p w:rsidR="00365C9B" w:rsidRPr="00734CAA" w:rsidP="00365C9B" w14:paraId="735A188B"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626C874D"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788F8A15" w14:textId="77777777">
      <w:pPr>
        <w:pStyle w:val="NormalBold"/>
        <w:rPr>
          <w:lang w:val="en-GB"/>
        </w:rPr>
      </w:pPr>
      <w:r w:rsidRPr="00734CAA">
        <w:rPr>
          <w:rStyle w:val="HideTWBExt"/>
          <w:b w:val="0"/>
          <w:color w:val="auto"/>
          <w:lang w:val="en-GB"/>
        </w:rPr>
        <w:t>&lt;/RepeatBlock-By&gt;</w:t>
      </w:r>
    </w:p>
    <w:p w:rsidR="00365C9B" w:rsidRPr="00734CAA" w:rsidP="00365C9B" w14:paraId="35B14429"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6C90AE89" w14:textId="77777777">
      <w:pPr>
        <w:pStyle w:val="NormalBold"/>
      </w:pPr>
      <w:r w:rsidRPr="00B16DFD">
        <w:rPr>
          <w:rStyle w:val="HideTWBExt"/>
          <w:color w:val="auto"/>
        </w:rPr>
        <w:t>&lt;Article&gt;</w:t>
      </w:r>
      <w:r w:rsidRPr="00B16DFD">
        <w:t>Betragtning 73</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4284C1"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584AF37" w14:textId="77777777"/>
        </w:tc>
      </w:tr>
      <w:tr w14:paraId="0A957AB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8EBCDA8"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93D954D" w14:textId="77777777">
            <w:pPr>
              <w:pStyle w:val="AmColumnHeading"/>
            </w:pPr>
            <w:r w:rsidRPr="00B16DFD">
              <w:t>Ændringsforslag</w:t>
            </w:r>
          </w:p>
        </w:tc>
      </w:tr>
      <w:tr w14:paraId="550D084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390E2B2" w14:textId="77777777">
            <w:pPr>
              <w:pStyle w:val="Normal6a"/>
            </w:pPr>
            <w:r w:rsidRPr="00B16DFD">
              <w:t>(73)</w:t>
            </w:r>
            <w:r w:rsidRPr="00B16DFD">
              <w:tab/>
              <w:t xml:space="preserve">Det er nødvendigt at ændre forordning (EU) 2021/23 for at tage højde for ESMA's nye rolle som tilsynsmyndighed for </w:t>
            </w:r>
            <w:r w:rsidRPr="00B16DFD">
              <w:rPr>
                <w:b/>
                <w:i/>
              </w:rPr>
              <w:t>signifikante</w:t>
            </w:r>
            <w:r w:rsidRPr="00B16DFD">
              <w:t xml:space="preserve"> CCP'er og afskaffelsen af tilsynskollegier for disse CCP'er.</w:t>
            </w:r>
          </w:p>
        </w:tc>
        <w:tc>
          <w:tcPr>
            <w:tcW w:w="4876" w:type="dxa"/>
            <w:tcBorders>
              <w:top w:val="nil"/>
              <w:left w:val="nil"/>
              <w:bottom w:val="nil"/>
              <w:right w:val="nil"/>
            </w:tcBorders>
            <w:hideMark/>
          </w:tcPr>
          <w:p w:rsidR="00365C9B" w:rsidRPr="00B16DFD" w:rsidP="00F61C80" w14:paraId="08558CF3" w14:textId="77777777">
            <w:pPr>
              <w:pStyle w:val="Normal6a"/>
            </w:pPr>
            <w:r w:rsidRPr="00B16DFD">
              <w:t>(73)</w:t>
            </w:r>
            <w:r w:rsidRPr="00B16DFD">
              <w:tab/>
              <w:t>Det er nødvendigt at ændre forordning (EU) 2021/23 for at tage højde for ESMA's nye rolle som tilsynsmyndighed for CCP'er og afskaffelsen af tilsynskollegier for disse CCP'er.</w:t>
            </w:r>
          </w:p>
        </w:tc>
      </w:tr>
    </w:tbl>
    <w:p w:rsidR="00365C9B" w:rsidRPr="00734CAA" w:rsidP="00365C9B" w14:paraId="7003D9B1"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EC36132" w14:textId="77777777">
      <w:pPr>
        <w:rPr>
          <w:lang w:val="en-GB"/>
        </w:rPr>
      </w:pPr>
      <w:r w:rsidRPr="00734CAA">
        <w:rPr>
          <w:rStyle w:val="HideTWBExt"/>
          <w:color w:val="auto"/>
          <w:lang w:val="en-GB"/>
        </w:rPr>
        <w:t>&lt;/Amend&gt;</w:t>
      </w:r>
    </w:p>
    <w:p w:rsidR="00365C9B" w:rsidRPr="00734CAA" w:rsidP="00365C9B" w14:paraId="40E87F72"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313</w:t>
      </w:r>
      <w:r w:rsidRPr="00734CAA">
        <w:rPr>
          <w:rStyle w:val="HideTWBExt"/>
          <w:color w:val="auto"/>
          <w:lang w:val="en-GB"/>
        </w:rPr>
        <w:t>&lt;/NumAm&gt;</w:t>
      </w:r>
    </w:p>
    <w:p w:rsidR="00365C9B" w:rsidRPr="00734CAA" w:rsidP="00365C9B" w14:paraId="326E00DF" w14:textId="77777777">
      <w:pPr>
        <w:pStyle w:val="NormalBold"/>
        <w:rPr>
          <w:lang w:val="en-GB"/>
        </w:rPr>
      </w:pPr>
      <w:r w:rsidRPr="00734CAA">
        <w:rPr>
          <w:rStyle w:val="HideTWBExt"/>
          <w:b w:val="0"/>
          <w:color w:val="auto"/>
          <w:lang w:val="en-GB"/>
        </w:rPr>
        <w:t>&lt;RepeatBlock-By&gt;&lt;Members&gt;</w:t>
      </w:r>
      <w:r w:rsidRPr="00734CAA">
        <w:rPr>
          <w:lang w:val="en-GB"/>
        </w:rPr>
        <w:t>Giovanni Crosetto, Francesco Ventola, Mariateresa Vivaldini, Marco Squarta, Denis Nesci</w:t>
      </w:r>
      <w:r w:rsidRPr="00734CAA">
        <w:rPr>
          <w:rStyle w:val="HideTWBExt"/>
          <w:b w:val="0"/>
          <w:color w:val="auto"/>
          <w:lang w:val="en-GB"/>
        </w:rPr>
        <w:t>&lt;/Members&gt;</w:t>
      </w:r>
    </w:p>
    <w:p w:rsidR="00365C9B" w:rsidRPr="00B16DFD" w:rsidP="00365C9B" w14:paraId="4124374A" w14:textId="77777777">
      <w:pPr>
        <w:pStyle w:val="NormalBold"/>
      </w:pPr>
      <w:r w:rsidRPr="00B16DFD">
        <w:rPr>
          <w:rStyle w:val="HideTWBExt"/>
          <w:b w:val="0"/>
          <w:color w:val="auto"/>
        </w:rPr>
        <w:t>&lt;/RepeatBlock-By&gt;</w:t>
      </w:r>
    </w:p>
    <w:p w:rsidR="00365C9B" w:rsidRPr="00B16DFD" w:rsidP="00365C9B" w14:paraId="2569E847"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6B00AFD3" w14:textId="77777777">
      <w:pPr>
        <w:pStyle w:val="NormalBold"/>
        <w:rPr>
          <w:lang w:val="en-GB"/>
        </w:rPr>
      </w:pPr>
      <w:r w:rsidRPr="00734CAA">
        <w:rPr>
          <w:rStyle w:val="HideTWBExt"/>
          <w:color w:val="auto"/>
          <w:lang w:val="en-GB"/>
        </w:rPr>
        <w:t>&lt;Article&gt;</w:t>
      </w:r>
      <w:r w:rsidRPr="00734CAA">
        <w:rPr>
          <w:lang w:val="en-GB"/>
        </w:rPr>
        <w:t>Betragtning 74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BF4F6"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14662F29" w14:textId="77777777">
            <w:pPr>
              <w:rPr>
                <w:lang w:val="en-GB"/>
              </w:rPr>
            </w:pPr>
          </w:p>
        </w:tc>
      </w:tr>
      <w:tr w14:paraId="2B60266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4615CA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62B6F77" w14:textId="77777777">
            <w:pPr>
              <w:pStyle w:val="AmColumnHeading"/>
            </w:pPr>
            <w:r w:rsidRPr="00B16DFD">
              <w:t>Ændringsforslag</w:t>
            </w:r>
          </w:p>
        </w:tc>
      </w:tr>
      <w:tr w14:paraId="7D15484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22AE5F7D" w14:textId="77777777">
            <w:pPr>
              <w:pStyle w:val="Normal6a"/>
            </w:pPr>
          </w:p>
        </w:tc>
        <w:tc>
          <w:tcPr>
            <w:tcW w:w="4876" w:type="dxa"/>
            <w:tcBorders>
              <w:top w:val="nil"/>
              <w:left w:val="nil"/>
              <w:bottom w:val="nil"/>
              <w:right w:val="nil"/>
            </w:tcBorders>
            <w:hideMark/>
          </w:tcPr>
          <w:p w:rsidR="00365C9B" w:rsidRPr="00B16DFD" w:rsidP="00F61C80" w14:paraId="169213FB" w14:textId="77777777">
            <w:pPr>
              <w:pStyle w:val="Normal6a"/>
            </w:pPr>
            <w:r w:rsidRPr="00B16DFD">
              <w:rPr>
                <w:b/>
                <w:i/>
              </w:rPr>
              <w:t>(74a)</w:t>
            </w:r>
            <w:r w:rsidRPr="00B16DFD">
              <w:tab/>
            </w:r>
            <w:r w:rsidRPr="00B16DFD">
              <w:rPr>
                <w:b/>
                <w:i/>
              </w:rPr>
              <w:t xml:space="preserve">For at tage hensyn til nationale særlige forhold bør medlemsstaterne have mulighed for at give deres kompetente myndigheder mulighed for at give tilladelse i overensstemmelse med de love eller administrative bestemmelser, der gælder for udstedelse, registrering og omsætning af DLT-baserede finansielle instrumenter (samlet benævnt national DLT-ordning). Tilladelser kan gives på nøje definerede betingelser: kriterierne for kontrol af ansøgningerne og procedurerne for godkendelse heraf bør være sammenlignelige med dem, der er fastsat i forordningen de nationale kompetente myndigheder bør underrette ESMA om de tilladelser, der er meddelt i henhold til den nationale DLT-ordning, og deres underliggende begrundelse forskellene i kriterierne for kontrol af ansøgningerne og i procedurerne for godkendelse vil ikke stige med tiden efter [Publikationskontoret: Indsæt venligst anvendelsesdatoen for denne ændringsforordning]. Medlemsstaterne bør også underrette Kommissionen og ESMA om beslutningen om at udnytte ovennævnte mulighed. Med henblik på at fremme den nødvendige konsekvens og sammenhæng i anvendelsen af denne forordning bør ESMA udstede retningslinjer for at sikre sammenligneligheden af kriterierne for kontrol af ansøgningen og procedurerne for godkendelse. ESMA offentliggør hvert år en rapport med statistikker over medlemsstaternes udøvelse af ovennævnte mulighed, om de tilladelser, der er givet af de nationale kompetente myndigheder i overensstemmelse med ovennævnte love </w:t>
            </w:r>
            <w:r w:rsidRPr="00B16DFD">
              <w:rPr>
                <w:b/>
                <w:i/>
              </w:rPr>
              <w:t>eller administrative bestemmelser, og som er meddelt den, og om graden af sammenlignelighed med denne forordning.</w:t>
            </w:r>
          </w:p>
        </w:tc>
      </w:tr>
    </w:tbl>
    <w:p w:rsidR="00365C9B" w:rsidRPr="00734CAA" w:rsidP="00365C9B" w14:paraId="3483435B"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ABBD94B" w14:textId="77777777">
      <w:pPr>
        <w:rPr>
          <w:lang w:val="en-GB"/>
        </w:rPr>
      </w:pPr>
      <w:r w:rsidRPr="00734CAA">
        <w:rPr>
          <w:rStyle w:val="HideTWBExt"/>
          <w:color w:val="auto"/>
          <w:lang w:val="en-GB"/>
        </w:rPr>
        <w:t>&lt;/Amend&gt;</w:t>
      </w:r>
    </w:p>
    <w:p w:rsidR="00365C9B" w:rsidRPr="00734CAA" w:rsidP="00365C9B" w14:paraId="2F20E04C"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314</w:t>
      </w:r>
      <w:r w:rsidRPr="00734CAA">
        <w:rPr>
          <w:rStyle w:val="HideTWBExt"/>
          <w:color w:val="auto"/>
          <w:lang w:val="en-GB"/>
        </w:rPr>
        <w:t>&lt;/NumAm&gt;</w:t>
      </w:r>
    </w:p>
    <w:p w:rsidR="00365C9B" w:rsidRPr="00734CAA" w:rsidP="00365C9B" w14:paraId="1B499BE1" w14:textId="77777777">
      <w:pPr>
        <w:pStyle w:val="NormalBold"/>
        <w:rPr>
          <w:lang w:val="en-GB"/>
        </w:rPr>
      </w:pPr>
      <w:r w:rsidRPr="00734CAA">
        <w:rPr>
          <w:rStyle w:val="HideTWBExt"/>
          <w:b w:val="0"/>
          <w:color w:val="auto"/>
          <w:lang w:val="en-GB"/>
        </w:rPr>
        <w:t>&lt;RepeatBlock-By&gt;&lt;Members&gt;</w:t>
      </w:r>
      <w:r w:rsidRPr="00734CAA">
        <w:rPr>
          <w:lang w:val="en-GB"/>
        </w:rPr>
        <w:t>Giovanni Crosetto, Francesco Ventola, Mariateresa Vivaldini, Marco Squarta, Denis Nesci</w:t>
      </w:r>
      <w:r w:rsidRPr="00734CAA">
        <w:rPr>
          <w:rStyle w:val="HideTWBExt"/>
          <w:b w:val="0"/>
          <w:color w:val="auto"/>
          <w:lang w:val="en-GB"/>
        </w:rPr>
        <w:t>&lt;/Members&gt;</w:t>
      </w:r>
    </w:p>
    <w:p w:rsidR="00365C9B" w:rsidRPr="00B16DFD" w:rsidP="00365C9B" w14:paraId="71EDB92A" w14:textId="77777777">
      <w:pPr>
        <w:pStyle w:val="NormalBold"/>
      </w:pPr>
      <w:r w:rsidRPr="00B16DFD">
        <w:rPr>
          <w:rStyle w:val="HideTWBExt"/>
          <w:b w:val="0"/>
          <w:color w:val="auto"/>
        </w:rPr>
        <w:t>&lt;/RepeatBlock-By&gt;</w:t>
      </w:r>
    </w:p>
    <w:p w:rsidR="00365C9B" w:rsidRPr="00B16DFD" w:rsidP="00365C9B" w14:paraId="47E56376"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46259297" w14:textId="77777777">
      <w:pPr>
        <w:pStyle w:val="NormalBold"/>
      </w:pPr>
      <w:r w:rsidRPr="00B16DFD">
        <w:rPr>
          <w:rStyle w:val="HideTWBExt"/>
          <w:color w:val="auto"/>
        </w:rPr>
        <w:t>&lt;Article&gt;</w:t>
      </w:r>
      <w:r w:rsidRPr="00B16DFD">
        <w:t>Betragtning 74 b (ny)</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E9AF6E"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A7573D6" w14:textId="77777777"/>
        </w:tc>
      </w:tr>
      <w:tr w14:paraId="5E8BF811"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DFC153B"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AC76574" w14:textId="77777777">
            <w:pPr>
              <w:pStyle w:val="AmColumnHeading"/>
            </w:pPr>
            <w:r w:rsidRPr="00B16DFD">
              <w:t>Ændringsforslag</w:t>
            </w:r>
          </w:p>
        </w:tc>
      </w:tr>
      <w:tr w14:paraId="7F0C5282"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AB897B7" w14:textId="77777777">
            <w:pPr>
              <w:pStyle w:val="Normal6a"/>
            </w:pPr>
          </w:p>
        </w:tc>
        <w:tc>
          <w:tcPr>
            <w:tcW w:w="4876" w:type="dxa"/>
            <w:tcBorders>
              <w:top w:val="nil"/>
              <w:left w:val="nil"/>
              <w:bottom w:val="nil"/>
              <w:right w:val="nil"/>
            </w:tcBorders>
            <w:hideMark/>
          </w:tcPr>
          <w:p w:rsidR="00365C9B" w:rsidRPr="00B16DFD" w:rsidP="00F61C80" w14:paraId="56A124C4" w14:textId="77777777">
            <w:pPr>
              <w:pStyle w:val="Normal6a"/>
            </w:pPr>
            <w:r w:rsidRPr="00B16DFD">
              <w:rPr>
                <w:b/>
                <w:i/>
              </w:rPr>
              <w:t>(74b)</w:t>
            </w:r>
            <w:r w:rsidRPr="00B16DFD">
              <w:tab/>
            </w:r>
            <w:r w:rsidRPr="00B16DFD">
              <w:rPr>
                <w:b/>
                <w:i/>
              </w:rPr>
              <w:t>Gennemsigtighed om de nationale DLT-ordninger er nøglen til at sikre gradvis konvergens af de lovgivningsmæssige krav og godkendelsespraksisser, der er fastsat i denne forordning, og de nationale DLT-ordninger. I overensstemmelse med denne tilgang bør de nationale DLT-ordninger være offentligt tilgængelige og bør holdes ajourførte af medlemsstaterne. Offentliggørelsen af den nationale DLT-ordning vil udelukkende forfølge oplysningsformål.</w:t>
            </w:r>
          </w:p>
        </w:tc>
      </w:tr>
    </w:tbl>
    <w:p w:rsidR="00365C9B" w:rsidRPr="00734CAA" w:rsidP="00365C9B" w14:paraId="16C6473B"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FA75B9A" w14:textId="77777777">
      <w:pPr>
        <w:rPr>
          <w:lang w:val="en-GB"/>
        </w:rPr>
      </w:pPr>
      <w:r w:rsidRPr="00734CAA">
        <w:rPr>
          <w:rStyle w:val="HideTWBExt"/>
          <w:color w:val="auto"/>
          <w:lang w:val="en-GB"/>
        </w:rPr>
        <w:t>&lt;/Amend&gt;</w:t>
      </w:r>
    </w:p>
    <w:p w:rsidR="00365C9B" w:rsidRPr="00734CAA" w:rsidP="00365C9B" w14:paraId="13D05D5D"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315</w:t>
      </w:r>
      <w:r w:rsidRPr="00734CAA">
        <w:rPr>
          <w:rStyle w:val="HideTWBExt"/>
          <w:color w:val="auto"/>
          <w:lang w:val="en-GB"/>
        </w:rPr>
        <w:t>&lt;/NumAm&gt;</w:t>
      </w:r>
    </w:p>
    <w:p w:rsidR="00365C9B" w:rsidRPr="00734CAA" w:rsidP="00365C9B" w14:paraId="3B9A6F1C" w14:textId="77777777">
      <w:pPr>
        <w:pStyle w:val="NormalBold"/>
        <w:rPr>
          <w:lang w:val="en-GB"/>
        </w:rPr>
      </w:pPr>
      <w:r w:rsidRPr="00734CAA">
        <w:rPr>
          <w:rStyle w:val="HideTWBExt"/>
          <w:b w:val="0"/>
          <w:color w:val="auto"/>
          <w:lang w:val="en-GB"/>
        </w:rPr>
        <w:t>&lt;RepeatBlock-By&gt;&lt;Members&gt;</w:t>
      </w:r>
      <w:r w:rsidRPr="00734CAA">
        <w:rPr>
          <w:lang w:val="en-GB"/>
        </w:rPr>
        <w:t>Fernando Navarrete Rojas, Isabel Benjumea Benjumea</w:t>
      </w:r>
      <w:r w:rsidRPr="00734CAA">
        <w:rPr>
          <w:rStyle w:val="HideTWBExt"/>
          <w:b w:val="0"/>
          <w:color w:val="auto"/>
          <w:lang w:val="en-GB"/>
        </w:rPr>
        <w:t>&lt;/Members&gt;</w:t>
      </w:r>
    </w:p>
    <w:p w:rsidR="00365C9B" w:rsidRPr="00734CAA" w:rsidP="00365C9B" w14:paraId="2EA55319" w14:textId="77777777">
      <w:pPr>
        <w:pStyle w:val="NormalBold"/>
        <w:rPr>
          <w:lang w:val="en-GB"/>
        </w:rPr>
      </w:pPr>
      <w:r w:rsidRPr="00734CAA">
        <w:rPr>
          <w:rStyle w:val="HideTWBExt"/>
          <w:b w:val="0"/>
          <w:color w:val="auto"/>
          <w:lang w:val="en-GB"/>
        </w:rPr>
        <w:t>&lt;/RepeatBlock-By&gt;</w:t>
      </w:r>
    </w:p>
    <w:p w:rsidR="00365C9B" w:rsidRPr="00B16DFD" w:rsidP="00365C9B" w14:paraId="1771BC54"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152989E" w14:textId="77777777">
      <w:pPr>
        <w:pStyle w:val="NormalBold"/>
        <w:rPr>
          <w:lang w:val="en-GB"/>
        </w:rPr>
      </w:pPr>
      <w:r w:rsidRPr="00734CAA">
        <w:rPr>
          <w:rStyle w:val="HideTWBExt"/>
          <w:color w:val="auto"/>
          <w:lang w:val="en-GB"/>
        </w:rPr>
        <w:t>&lt;Article&gt;</w:t>
      </w:r>
      <w:r w:rsidRPr="00734CAA">
        <w:rPr>
          <w:lang w:val="en-GB"/>
        </w:rPr>
        <w:t>Betragtning 75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8B517A"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58B59E6B" w14:textId="77777777">
            <w:pPr>
              <w:rPr>
                <w:lang w:val="en-GB"/>
              </w:rPr>
            </w:pPr>
          </w:p>
        </w:tc>
      </w:tr>
      <w:tr w14:paraId="7BABC826"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DC19C1F"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78F3331" w14:textId="77777777">
            <w:pPr>
              <w:pStyle w:val="AmColumnHeading"/>
            </w:pPr>
            <w:r w:rsidRPr="00B16DFD">
              <w:t>Ændringsforslag</w:t>
            </w:r>
          </w:p>
        </w:tc>
      </w:tr>
      <w:tr w14:paraId="72ABB0A5"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82A427C" w14:textId="77777777">
            <w:pPr>
              <w:pStyle w:val="Normal6a"/>
            </w:pPr>
          </w:p>
        </w:tc>
        <w:tc>
          <w:tcPr>
            <w:tcW w:w="4876" w:type="dxa"/>
            <w:tcBorders>
              <w:top w:val="nil"/>
              <w:left w:val="nil"/>
              <w:bottom w:val="nil"/>
              <w:right w:val="nil"/>
            </w:tcBorders>
            <w:hideMark/>
          </w:tcPr>
          <w:p w:rsidR="00365C9B" w:rsidRPr="00B16DFD" w:rsidP="00356AEC" w14:paraId="58453915" w14:textId="1FDE613B">
            <w:pPr>
              <w:pStyle w:val="Normal6a"/>
            </w:pPr>
            <w:r w:rsidRPr="00B16DFD">
              <w:rPr>
                <w:b/>
                <w:i/>
              </w:rPr>
              <w:t>(75a)</w:t>
            </w:r>
            <w:r w:rsidRPr="00B16DFD">
              <w:tab/>
            </w:r>
            <w:r w:rsidRPr="00B16DFD">
              <w:rPr>
                <w:b/>
                <w:i/>
              </w:rPr>
              <w:t xml:space="preserve">For at sikre en gnidningsløs og effektiv overgang fra DLT-pilotordningen til de permanente lovgivningsmæssige rammer er det nødvendigt at indføre forenklede godkendelses- og </w:t>
            </w:r>
            <w:r w:rsidRPr="00B16DFD">
              <w:rPr>
                <w:b/>
                <w:i/>
              </w:rPr>
              <w:t>underretningsprocedurer for operatører af DLT-afviklingssystemer (DLT SS) og DLT-handels- og afviklingssystemer (DLT TSS), der søger fuld tilladelse i henhold til forordning (EU) nr. 909/2014 (CSDR). Enheder, der allerede har en særlig tilladelse, og som er underlagt tilsvarende krav i henhold til DLT-pilotordningen eller direktiv 2014/65/EU, bør nyde godt af en strømlinet overgangsvej for at opnå en ren overgang uden parallelle ordninger eller overflødige godkendelsesprocedurer. For at sikre proportionaliteten inden for den forenklede ordning bør kapitalkravene til DLT-markedsinfrastrukturer desuden afstemmes efter deres faktiske risikoprofil. I betragtning af at de lovbestemte mængdebegrænsninger i sagens natur begrænser disse enheders risikoeksponering, bør der indføres en gradueret tilgang til kapitaloverholdelse. Dette gør det muligt gradvist at skalere kapitalkravene i takt med enhedens vækst, idet kravet om fuld kapitaloverholdelse forbeholdes udelukkende for det punkt, hvor operatøren søger tilladelse til at operere ud over de fastsatte mængdebegrænsninger</w:t>
            </w:r>
            <w:r w:rsidRPr="00B16DFD" w:rsidR="00356AEC">
              <w:rPr>
                <w:b/>
                <w:i/>
              </w:rPr>
              <w:t>.</w:t>
            </w:r>
          </w:p>
        </w:tc>
      </w:tr>
    </w:tbl>
    <w:p w:rsidR="00365C9B" w:rsidRPr="00734CAA" w:rsidP="00365C9B" w14:paraId="3FA497D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862BEBF" w14:textId="77777777">
      <w:pPr>
        <w:rPr>
          <w:lang w:val="en-GB"/>
        </w:rPr>
      </w:pPr>
      <w:r w:rsidRPr="00734CAA">
        <w:rPr>
          <w:rStyle w:val="HideTWBExt"/>
          <w:color w:val="auto"/>
          <w:lang w:val="en-GB"/>
        </w:rPr>
        <w:t>&lt;/Amend&gt;</w:t>
      </w:r>
    </w:p>
    <w:p w:rsidR="00365C9B" w:rsidRPr="00734CAA" w:rsidP="00365C9B" w14:paraId="577FB467"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316</w:t>
      </w:r>
      <w:r w:rsidRPr="00734CAA">
        <w:rPr>
          <w:rStyle w:val="HideTWBExt"/>
          <w:color w:val="auto"/>
          <w:lang w:val="en-GB"/>
        </w:rPr>
        <w:t>&lt;/NumAm&gt;</w:t>
      </w:r>
    </w:p>
    <w:p w:rsidR="00365C9B" w:rsidRPr="00734CAA" w:rsidP="00365C9B" w14:paraId="5938CA41" w14:textId="77777777">
      <w:pPr>
        <w:pStyle w:val="NormalBold"/>
        <w:rPr>
          <w:lang w:val="en-GB"/>
        </w:rPr>
      </w:pPr>
      <w:r w:rsidRPr="00734CAA">
        <w:rPr>
          <w:rStyle w:val="HideTWBExt"/>
          <w:b w:val="0"/>
          <w:color w:val="auto"/>
          <w:lang w:val="en-GB"/>
        </w:rPr>
        <w:t>&lt;RepeatBlock-By&gt;&lt;Members&gt;</w:t>
      </w:r>
      <w:r w:rsidRPr="00734CAA">
        <w:rPr>
          <w:lang w:val="en-GB"/>
        </w:rPr>
        <w:t>Jaroslav Knot, Tomáš Kubín</w:t>
      </w:r>
      <w:r w:rsidRPr="00734CAA">
        <w:rPr>
          <w:rStyle w:val="HideTWBExt"/>
          <w:b w:val="0"/>
          <w:color w:val="auto"/>
          <w:lang w:val="en-GB"/>
        </w:rPr>
        <w:t>&lt;/Members&gt;</w:t>
      </w:r>
    </w:p>
    <w:p w:rsidR="00365C9B" w:rsidRPr="00B16DFD" w:rsidP="00365C9B" w14:paraId="72B3FC99" w14:textId="77777777">
      <w:pPr>
        <w:pStyle w:val="NormalBold"/>
      </w:pPr>
      <w:r w:rsidRPr="00B16DFD">
        <w:rPr>
          <w:rStyle w:val="HideTWBExt"/>
          <w:b w:val="0"/>
          <w:color w:val="auto"/>
        </w:rPr>
        <w:t>&lt;/RepeatBlock-By&gt;</w:t>
      </w:r>
    </w:p>
    <w:p w:rsidR="00365C9B" w:rsidRPr="00B16DFD" w:rsidP="00365C9B" w14:paraId="7DEE6361"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3D676C5C" w14:textId="77777777">
      <w:pPr>
        <w:pStyle w:val="NormalBold"/>
      </w:pPr>
      <w:r w:rsidRPr="00B16DFD">
        <w:rPr>
          <w:rStyle w:val="HideTWBExt"/>
          <w:color w:val="auto"/>
        </w:rPr>
        <w:t>&lt;Article&gt;</w:t>
      </w:r>
      <w:r w:rsidRPr="00B16DFD">
        <w:t>Betragtning 76</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86D7C6"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3B4E375" w14:textId="77777777"/>
        </w:tc>
      </w:tr>
      <w:tr w14:paraId="71E1A60F"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910795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80C7B43" w14:textId="77777777">
            <w:pPr>
              <w:pStyle w:val="AmColumnHeading"/>
            </w:pPr>
            <w:r w:rsidRPr="00B16DFD">
              <w:t>Ændringsforslag</w:t>
            </w:r>
          </w:p>
        </w:tc>
      </w:tr>
      <w:tr w14:paraId="009FBE6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8AC7CCA" w14:textId="77777777">
            <w:pPr>
              <w:pStyle w:val="Normal6a"/>
            </w:pPr>
            <w:r w:rsidRPr="00B16DFD">
              <w:t>(76)</w:t>
            </w:r>
            <w:r w:rsidRPr="00B16DFD">
              <w:tab/>
              <w:t xml:space="preserve">Ved forordning (EU) 2022/858 fastsættes forskellige grænser for omfanget af de aktiviteter, der udføres under pilotordningen, med grænser for udstedelsesstørrelsen og markedsværdien af aktiver, der kan indgå i DLT-pilotordningen (aktivspecifikke lofter), </w:t>
            </w:r>
            <w:r w:rsidRPr="00B16DFD">
              <w:t xml:space="preserve">samt et samlet loft, der begrænser den samlede værdi af finansielle instrumenter, der formidles af en DLT-markedsinfrastruktur, til 6 mia. EUR. Disse aktivitetstærskler har gjort det vanskeligt for visse store markedsdeltagere at anvende pilotrammen til deres aktiviteter og udvikle forretningsmodeller i stor skala. Derfor bør alle aktivspecifikke lofter ophæves, mens det samlede loft bør hæves til </w:t>
            </w:r>
            <w:r w:rsidRPr="00B16DFD">
              <w:rPr>
                <w:b/>
                <w:i/>
              </w:rPr>
              <w:t>100 </w:t>
            </w:r>
            <w:r w:rsidRPr="00B16DFD">
              <w:t xml:space="preserve">mia. EUR. For at afbøde risici som følge af øget aktivitet bør disse ændringer ledsages af målrettede stigninger i de tilsynsmæssige krav for de pilotdeltagere, der leverer CSD-tjenesteydelser, og som ønsker at drage fordel af forhøjede tærskler. For at gøre det lettere for små innovative virksomheder at anvende DLT-pilotordningen til deres aktiviteter, bør der samtidig indføres en forenklet ordning med forpligtelser, der står i et rimeligt forhold til risikoen og størrelsen af disse virksomheder. Den forenklede ordning bør være åben for operatører af et DLT-handels- og afviklingssystem eller et DLT-afviklingssystem, hvis den samlede markedsværdi af alle de DLT-baserede finansielle instrumenter, som de servicerer, ikke overstiger </w:t>
            </w:r>
            <w:r w:rsidRPr="00B16DFD">
              <w:rPr>
                <w:b/>
                <w:i/>
              </w:rPr>
              <w:t>10</w:t>
            </w:r>
            <w:r w:rsidRPr="00B16DFD">
              <w:t> mia. EUR på tidspunktet for optagelsen til handel eller den første registrering af et nyt DLT-baseret finansielt instrument.</w:t>
            </w:r>
          </w:p>
        </w:tc>
        <w:tc>
          <w:tcPr>
            <w:tcW w:w="4876" w:type="dxa"/>
            <w:tcBorders>
              <w:top w:val="nil"/>
              <w:left w:val="nil"/>
              <w:bottom w:val="nil"/>
              <w:right w:val="nil"/>
            </w:tcBorders>
            <w:hideMark/>
          </w:tcPr>
          <w:p w:rsidR="00365C9B" w:rsidRPr="00B16DFD" w:rsidP="00F61C80" w14:paraId="0C3C4E97" w14:textId="26E4A1CA">
            <w:pPr>
              <w:pStyle w:val="Normal6a"/>
            </w:pPr>
            <w:r w:rsidRPr="00B16DFD">
              <w:t>(76)</w:t>
            </w:r>
            <w:r w:rsidRPr="00B16DFD">
              <w:tab/>
              <w:t xml:space="preserve">Ved forordning (EU) 2022/858 fastsættes forskellige grænser for omfanget af de aktiviteter, der udføres under pilotordningen, med grænser for udstedelsesstørrelsen og markedsværdien af aktiver, der kan indgå i DLT-pilotordningen (aktivspecifikke lofter), </w:t>
            </w:r>
            <w:r w:rsidRPr="00B16DFD">
              <w:t xml:space="preserve">samt et samlet loft, der begrænser den samlede værdi af finansielle instrumenter, der formidles af en DLT-markedsinfrastruktur, til 6 mia. EUR. Disse aktivitetstærskler har gjort det vanskeligt for visse store markedsdeltagere at anvende pilotrammen til deres aktiviteter og udvikle forretningsmodeller i stor skala. Derfor bør alle aktivspecifikke lofter ophæves, mens det samlede loft bør hæves </w:t>
            </w:r>
            <w:r w:rsidRPr="00B16DFD">
              <w:rPr>
                <w:b/>
                <w:i/>
              </w:rPr>
              <w:t xml:space="preserve">betydeligt </w:t>
            </w:r>
            <w:r w:rsidRPr="00B16DFD">
              <w:t xml:space="preserve">til </w:t>
            </w:r>
            <w:r w:rsidRPr="00B16DFD">
              <w:rPr>
                <w:b/>
                <w:i/>
              </w:rPr>
              <w:t>mindst 1</w:t>
            </w:r>
            <w:r w:rsidR="00734CAA">
              <w:rPr>
                <w:b/>
                <w:i/>
              </w:rPr>
              <w:t> </w:t>
            </w:r>
            <w:r w:rsidRPr="00B16DFD">
              <w:rPr>
                <w:b/>
                <w:i/>
              </w:rPr>
              <w:t>000</w:t>
            </w:r>
            <w:r w:rsidRPr="00B16DFD">
              <w:t> mia. EUR.</w:t>
            </w:r>
            <w:r w:rsidRPr="00B16DFD">
              <w:rPr>
                <w:b/>
                <w:i/>
              </w:rPr>
              <w:t xml:space="preserve"> Kommissionen bør have mandat til at tilpasse denne grænse gennem delegerede retsakter.</w:t>
            </w:r>
            <w:r w:rsidRPr="00B16DFD">
              <w:t xml:space="preserve"> For at afbøde risici som følge af øget aktivitet bør disse ændringer ledsages af målrettede stigninger i de tilsynsmæssige krav for de pilotdeltagere, der leverer CSD-tjenesteydelser, og som ønsker at drage fordel af forhøjede tærskler. For at gøre det lettere for små innovative virksomheder at anvende DLT-pilotordningen til deres aktiviteter, bør der samtidig indføres en forenklet ordning med forpligtelser, der står i et rimeligt forhold til risikoen og størrelsen af disse virksomheder. Den forenklede ordning bør være åben for operatører af et DLT-handels- og afviklingssystem eller et DLT-afviklingssystem, hvis den samlede markedsværdi af alle de DLT-baserede finansielle instrumenter, som de servicerer, ikke overstiger </w:t>
            </w:r>
            <w:r w:rsidRPr="00B16DFD">
              <w:rPr>
                <w:b/>
                <w:i/>
              </w:rPr>
              <w:t>100</w:t>
            </w:r>
            <w:r w:rsidRPr="00B16DFD">
              <w:t> mia. EUR på tidspunktet for optagelsen til handel eller den første registrering af et nyt DLT-baseret finansielt instrument.</w:t>
            </w:r>
          </w:p>
        </w:tc>
      </w:tr>
    </w:tbl>
    <w:p w:rsidR="00365C9B" w:rsidRPr="00734CAA" w:rsidP="00365C9B" w14:paraId="0B58ADE5"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413E54F" w14:textId="77777777">
      <w:pPr>
        <w:rPr>
          <w:lang w:val="en-GB"/>
        </w:rPr>
      </w:pPr>
      <w:r w:rsidRPr="00734CAA">
        <w:rPr>
          <w:rStyle w:val="HideTWBExt"/>
          <w:color w:val="auto"/>
          <w:lang w:val="en-GB"/>
        </w:rPr>
        <w:t>&lt;/Amend&gt;</w:t>
      </w:r>
    </w:p>
    <w:p w:rsidR="00365C9B" w:rsidRPr="00734CAA" w:rsidP="00365C9B" w14:paraId="0B149701"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317</w:t>
      </w:r>
      <w:r w:rsidRPr="00734CAA">
        <w:rPr>
          <w:rStyle w:val="HideTWBExt"/>
          <w:color w:val="auto"/>
          <w:lang w:val="en-GB"/>
        </w:rPr>
        <w:t>&lt;/NumAm&gt;</w:t>
      </w:r>
    </w:p>
    <w:p w:rsidR="00365C9B" w:rsidRPr="00734CAA" w:rsidP="00365C9B" w14:paraId="2FF1B5BD" w14:textId="77777777">
      <w:pPr>
        <w:pStyle w:val="NormalBold"/>
        <w:rPr>
          <w:lang w:val="en-GB"/>
        </w:rPr>
      </w:pPr>
      <w:r w:rsidRPr="00734CAA">
        <w:rPr>
          <w:rStyle w:val="HideTWBExt"/>
          <w:b w:val="0"/>
          <w:color w:val="auto"/>
          <w:lang w:val="en-GB"/>
        </w:rPr>
        <w:t>&lt;RepeatBlock-By&gt;&lt;Members&gt;</w:t>
      </w:r>
      <w:r w:rsidRPr="00734CAA">
        <w:rPr>
          <w:lang w:val="en-GB"/>
        </w:rPr>
        <w:t>Fernando Navarrete Rojas, Isabel Benjumea Benjumea</w:t>
      </w:r>
      <w:r w:rsidRPr="00734CAA">
        <w:rPr>
          <w:rStyle w:val="HideTWBExt"/>
          <w:b w:val="0"/>
          <w:color w:val="auto"/>
          <w:lang w:val="en-GB"/>
        </w:rPr>
        <w:t>&lt;/Members&gt;</w:t>
      </w:r>
    </w:p>
    <w:p w:rsidR="00365C9B" w:rsidRPr="00734CAA" w:rsidP="00365C9B" w14:paraId="66D5EC39" w14:textId="77777777">
      <w:pPr>
        <w:pStyle w:val="NormalBold"/>
        <w:rPr>
          <w:lang w:val="en-GB"/>
        </w:rPr>
      </w:pPr>
      <w:r w:rsidRPr="00734CAA">
        <w:rPr>
          <w:rStyle w:val="HideTWBExt"/>
          <w:b w:val="0"/>
          <w:color w:val="auto"/>
          <w:lang w:val="en-GB"/>
        </w:rPr>
        <w:t>&lt;/RepeatBlock-By&gt;</w:t>
      </w:r>
    </w:p>
    <w:p w:rsidR="00365C9B" w:rsidRPr="00B16DFD" w:rsidP="00365C9B" w14:paraId="37D43B5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63F67E3B" w14:textId="77777777">
      <w:pPr>
        <w:pStyle w:val="NormalBold"/>
      </w:pPr>
      <w:r w:rsidRPr="00B16DFD">
        <w:rPr>
          <w:rStyle w:val="HideTWBExt"/>
          <w:color w:val="auto"/>
        </w:rPr>
        <w:t>&lt;Article&gt;</w:t>
      </w:r>
      <w:r w:rsidRPr="00B16DFD">
        <w:t>Betragtning 76</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DB66E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2558BA8" w14:textId="77777777"/>
        </w:tc>
      </w:tr>
      <w:tr w14:paraId="152F258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A086319"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ECE8E20" w14:textId="77777777">
            <w:pPr>
              <w:pStyle w:val="AmColumnHeading"/>
            </w:pPr>
            <w:r w:rsidRPr="00B16DFD">
              <w:t>Ændringsforslag</w:t>
            </w:r>
          </w:p>
        </w:tc>
      </w:tr>
      <w:tr w14:paraId="774B918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CBEDBCB" w14:textId="77777777">
            <w:pPr>
              <w:pStyle w:val="Normal6a"/>
            </w:pPr>
            <w:r w:rsidRPr="00B16DFD">
              <w:t>(76)</w:t>
            </w:r>
            <w:r w:rsidRPr="00B16DFD">
              <w:tab/>
              <w:t xml:space="preserve">Ved forordning (EU) 2022/858 </w:t>
            </w:r>
            <w:r w:rsidRPr="00B16DFD">
              <w:t xml:space="preserve">fastsættes forskellige grænser for omfanget af de aktiviteter, der udføres under pilotordningen, med grænser for udstedelsesstørrelsen og markedsværdien af aktiver, der kan indgå i DLT-pilotordningen (aktivspecifikke lofter), samt et samlet loft, der begrænser den samlede værdi af finansielle instrumenter, der formidles af en DLT-markedsinfrastruktur, til 6 mia. EUR. Disse aktivitetstærskler har gjort det vanskeligt for visse store markedsdeltagere at anvende pilotrammen til deres aktiviteter og udvikle forretningsmodeller i stor skala. Derfor bør alle aktivspecifikke lofter ophæves, mens det samlede loft bør hæves til </w:t>
            </w:r>
            <w:r w:rsidRPr="00B16DFD">
              <w:rPr>
                <w:b/>
                <w:i/>
              </w:rPr>
              <w:t>100</w:t>
            </w:r>
            <w:r w:rsidRPr="00B16DFD">
              <w:t xml:space="preserve"> mia. EUR. For at afbøde risici som følge af øget aktivitet bør disse ændringer ledsages af målrettede stigninger i de tilsynsmæssige krav for de pilotdeltagere, der leverer CSD-tjenesteydelser, og som ønsker at drage fordel af forhøjede tærskler. For at gøre det lettere for små innovative virksomheder at anvende DLT-pilotordningen til deres aktiviteter, bør der samtidig indføres en forenklet ordning med forpligtelser, der står i et rimeligt forhold til risikoen og størrelsen af disse virksomheder. Den forenklede ordning bør være åben for operatører af et DLT-handels- og afviklingssystem eller et DLT-afviklingssystem, hvis den samlede markedsværdi af alle de DLT-baserede finansielle instrumenter, som de servicerer, ikke overstiger </w:t>
            </w:r>
            <w:r w:rsidRPr="00B16DFD">
              <w:rPr>
                <w:b/>
                <w:i/>
              </w:rPr>
              <w:t>10</w:t>
            </w:r>
            <w:r w:rsidRPr="00B16DFD">
              <w:t> mia. EUR på tidspunktet for optagelsen til handel eller den første registrering af et nyt DLT-baseret finansielt instrument.</w:t>
            </w:r>
          </w:p>
        </w:tc>
        <w:tc>
          <w:tcPr>
            <w:tcW w:w="4876" w:type="dxa"/>
            <w:tcBorders>
              <w:top w:val="nil"/>
              <w:left w:val="nil"/>
              <w:bottom w:val="nil"/>
              <w:right w:val="nil"/>
            </w:tcBorders>
            <w:hideMark/>
          </w:tcPr>
          <w:p w:rsidR="00365C9B" w:rsidRPr="00B16DFD" w:rsidP="00F61C80" w14:paraId="5102E658" w14:textId="38C12FC8">
            <w:pPr>
              <w:pStyle w:val="Normal6a"/>
            </w:pPr>
            <w:r w:rsidRPr="00B16DFD">
              <w:t>(76)</w:t>
            </w:r>
            <w:r w:rsidRPr="00B16DFD">
              <w:tab/>
              <w:t xml:space="preserve">Ved forordning (EU) 2022/858 </w:t>
            </w:r>
            <w:r w:rsidRPr="00B16DFD">
              <w:t xml:space="preserve">fastsættes forskellige grænser for omfanget af de aktiviteter, der udføres under pilotordningen, med grænser for udstedelsesstørrelsen og markedsværdien af aktiver, der kan indgå i DLT-pilotordningen (aktivspecifikke lofter), samt et samlet loft, der begrænser den samlede værdi af finansielle instrumenter, der formidles af en DLT-markedsinfrastruktur, til 6 mia. EUR. Disse aktivitetstærskler har gjort det vanskeligt for visse store markedsdeltagere at anvende pilotrammen til deres aktiviteter og udvikle forretningsmodeller i stor skala. Derfor bør alle aktivspecifikke lofter ophæves, mens det samlede loft bør hæves til </w:t>
            </w:r>
            <w:r w:rsidRPr="00B16DFD">
              <w:rPr>
                <w:b/>
                <w:i/>
              </w:rPr>
              <w:t>1</w:t>
            </w:r>
            <w:r w:rsidRPr="00B16DFD" w:rsidR="00356AEC">
              <w:rPr>
                <w:b/>
                <w:i/>
              </w:rPr>
              <w:t> </w:t>
            </w:r>
            <w:r w:rsidRPr="00B16DFD">
              <w:rPr>
                <w:b/>
                <w:i/>
              </w:rPr>
              <w:t>500</w:t>
            </w:r>
            <w:r w:rsidRPr="00B16DFD">
              <w:t xml:space="preserve"> mia. EUR. For at afbøde risici som følge af øget aktivitet bør disse ændringer ledsages af målrettede stigninger i de tilsynsmæssige krav for de pilotdeltagere, der leverer CSD-tjenesteydelser, og som ønsker at drage fordel af forhøjede tærskler. For at gøre det lettere for små innovative virksomheder at anvende DLT-pilotordningen til deres aktiviteter, bør der samtidig indføres en forenklet ordning med forpligtelser, der står i et rimeligt forhold til risikoen og størrelsen af disse virksomheder. Den forenklede ordning bør være åben for operatører af et DLT-handels- og afviklingssystem eller et DLT-afviklingssystem, hvis den samlede markedsværdi af alle de DLT-baserede finansielle instrumenter, som de servicerer, ikke overstiger </w:t>
            </w:r>
            <w:r w:rsidRPr="00B16DFD">
              <w:rPr>
                <w:b/>
                <w:i/>
              </w:rPr>
              <w:t>50</w:t>
            </w:r>
            <w:r w:rsidRPr="00B16DFD">
              <w:t> mia. EUR på tidspunktet for optagelsen til handel eller den første registrering af et nyt DLT-baseret finansielt instrument.</w:t>
            </w:r>
          </w:p>
        </w:tc>
      </w:tr>
    </w:tbl>
    <w:p w:rsidR="00365C9B" w:rsidRPr="00734CAA" w:rsidP="00365C9B" w14:paraId="291A3CBC"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E98D2BC" w14:textId="77777777">
      <w:pPr>
        <w:rPr>
          <w:lang w:val="en-GB"/>
        </w:rPr>
      </w:pPr>
      <w:r w:rsidRPr="00734CAA">
        <w:rPr>
          <w:rStyle w:val="HideTWBExt"/>
          <w:color w:val="auto"/>
          <w:lang w:val="en-GB"/>
        </w:rPr>
        <w:t>&lt;/Amend&gt;</w:t>
      </w:r>
    </w:p>
    <w:p w:rsidR="00365C9B" w:rsidRPr="00734CAA" w:rsidP="00365C9B" w14:paraId="5E3FCFE5"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318</w:t>
      </w:r>
      <w:r w:rsidRPr="00734CAA">
        <w:rPr>
          <w:rStyle w:val="HideTWBExt"/>
          <w:color w:val="auto"/>
          <w:lang w:val="en-GB"/>
        </w:rPr>
        <w:t>&lt;/NumAm&gt;</w:t>
      </w:r>
    </w:p>
    <w:p w:rsidR="00365C9B" w:rsidRPr="00734CAA" w:rsidP="00365C9B" w14:paraId="51177183"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Nikos Papandreou</w:t>
      </w:r>
      <w:r w:rsidRPr="00734CAA">
        <w:rPr>
          <w:rStyle w:val="HideTWBExt"/>
          <w:b w:val="0"/>
          <w:color w:val="auto"/>
          <w:lang w:val="en-GB"/>
        </w:rPr>
        <w:t>&lt;/Members&gt;</w:t>
      </w:r>
    </w:p>
    <w:p w:rsidR="00365C9B" w:rsidRPr="00B16DFD" w:rsidP="00365C9B" w14:paraId="0B6A88F5" w14:textId="77777777">
      <w:pPr>
        <w:pStyle w:val="NormalBold"/>
      </w:pPr>
      <w:r w:rsidRPr="00B16DFD">
        <w:rPr>
          <w:rStyle w:val="HideTWBExt"/>
          <w:b w:val="0"/>
          <w:color w:val="auto"/>
        </w:rPr>
        <w:t>&lt;/RepeatBlock-By&gt;</w:t>
      </w:r>
    </w:p>
    <w:p w:rsidR="00365C9B" w:rsidRPr="00B16DFD" w:rsidP="00365C9B" w14:paraId="1114D4BB"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6731C679" w14:textId="77777777">
      <w:pPr>
        <w:pStyle w:val="NormalBold"/>
        <w:rPr>
          <w:lang w:val="en-GB"/>
        </w:rPr>
      </w:pPr>
      <w:r w:rsidRPr="00734CAA">
        <w:rPr>
          <w:rStyle w:val="HideTWBExt"/>
          <w:color w:val="auto"/>
          <w:lang w:val="en-GB"/>
        </w:rPr>
        <w:t>&lt;Article&gt;</w:t>
      </w:r>
      <w:r w:rsidRPr="00734CAA">
        <w:rPr>
          <w:lang w:val="en-GB"/>
        </w:rPr>
        <w:t>Betragtning 76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7D617"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7B98072A" w14:textId="77777777">
            <w:pPr>
              <w:rPr>
                <w:lang w:val="en-GB"/>
              </w:rPr>
            </w:pPr>
          </w:p>
        </w:tc>
      </w:tr>
      <w:tr w14:paraId="68C1DEAC"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EBCDF5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ED0BBD0" w14:textId="77777777">
            <w:pPr>
              <w:pStyle w:val="AmColumnHeading"/>
            </w:pPr>
            <w:r w:rsidRPr="00B16DFD">
              <w:t>Ændringsforslag</w:t>
            </w:r>
          </w:p>
        </w:tc>
      </w:tr>
      <w:tr w14:paraId="71599EE2"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0884A97" w14:textId="77777777">
            <w:pPr>
              <w:pStyle w:val="Normal6a"/>
            </w:pPr>
          </w:p>
        </w:tc>
        <w:tc>
          <w:tcPr>
            <w:tcW w:w="4876" w:type="dxa"/>
            <w:tcBorders>
              <w:top w:val="nil"/>
              <w:left w:val="nil"/>
              <w:bottom w:val="nil"/>
              <w:right w:val="nil"/>
            </w:tcBorders>
            <w:hideMark/>
          </w:tcPr>
          <w:p w:rsidR="00365C9B" w:rsidRPr="00B16DFD" w:rsidP="00F61C80" w14:paraId="37A28874" w14:textId="77777777">
            <w:pPr>
              <w:pStyle w:val="Normal6a"/>
            </w:pPr>
            <w:r w:rsidRPr="00B16DFD">
              <w:rPr>
                <w:b/>
                <w:i/>
              </w:rPr>
              <w:t>(76a)</w:t>
            </w:r>
            <w:r w:rsidRPr="00B16DFD">
              <w:tab/>
            </w:r>
            <w:r w:rsidRPr="00B16DFD">
              <w:rPr>
                <w:b/>
                <w:i/>
              </w:rPr>
              <w:t>Pilotordningen for distributed ledger-teknologien (DLT), der blev oprettet ved forordning (EU) 2022/858, blev udformet som en midlertidig, afgrænset sandkasse, der er designet til at teste anvendelsen af DLT i markedsinfrastrukturer, samtidig med at de nødvendige tilpasninger for at sikre teknologisk neutralitet i sektorlovgivningen blev kortlagt. Det var ikke hensigten at skabe en permanent, parallel lovgivningsmæssig ramme. Ved at udvide de samlede lofter med flere størrelsesordener eller fjerne tidsmæssige begrænsninger risikerer man at omdanne en forsøgsramme til en ordning med systemisk skala, der kører sammen med de traditionelle rammer i forordning (EU) nr. 600/2014 (MiFIR-forordningen) og forordning (EU) nr. 909/2014 (CSDR-forordningen). For at forhindre konkurrenceforvridninger, markedsfragmentering og regelarbitrage skal EU's finansielle regulering nøje overholde princippet om "samme aktivitet, samme risiko, samme regler". Enhver skaleret overgang af DLT-modeller bør ske gennem rettidig opdatering af permanent sektorlovgivning snarere end en ubestemt udvidelse af undtagelserne for sandkasser.</w:t>
            </w:r>
          </w:p>
        </w:tc>
      </w:tr>
    </w:tbl>
    <w:p w:rsidR="00365C9B" w:rsidRPr="00734CAA" w:rsidP="00365C9B" w14:paraId="16312EA7"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7D77B88" w14:textId="77777777">
      <w:pPr>
        <w:rPr>
          <w:lang w:val="en-GB"/>
        </w:rPr>
      </w:pPr>
      <w:r w:rsidRPr="00734CAA">
        <w:rPr>
          <w:rStyle w:val="HideTWBExt"/>
          <w:color w:val="auto"/>
          <w:lang w:val="en-GB"/>
        </w:rPr>
        <w:t>&lt;/Amend&gt;</w:t>
      </w:r>
    </w:p>
    <w:p w:rsidR="00365C9B" w:rsidRPr="00734CAA" w:rsidP="00365C9B" w14:paraId="1EB0F150"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319</w:t>
      </w:r>
      <w:r w:rsidRPr="00734CAA">
        <w:rPr>
          <w:rStyle w:val="HideTWBExt"/>
          <w:color w:val="auto"/>
          <w:lang w:val="en-GB"/>
        </w:rPr>
        <w:t>&lt;/NumAm&gt;</w:t>
      </w:r>
    </w:p>
    <w:p w:rsidR="00365C9B" w:rsidRPr="00734CAA" w:rsidP="00365C9B" w14:paraId="052654EC" w14:textId="77777777">
      <w:pPr>
        <w:pStyle w:val="NormalBold"/>
        <w:rPr>
          <w:lang w:val="en-GB"/>
        </w:rPr>
      </w:pPr>
      <w:r w:rsidRPr="00734CAA">
        <w:rPr>
          <w:rStyle w:val="HideTWBExt"/>
          <w:b w:val="0"/>
          <w:color w:val="auto"/>
          <w:lang w:val="en-GB"/>
        </w:rPr>
        <w:t>&lt;RepeatBlock-By&gt;&lt;Members&gt;</w:t>
      </w:r>
      <w:r w:rsidRPr="00734CAA">
        <w:rPr>
          <w:lang w:val="en-GB"/>
        </w:rPr>
        <w:t>Jaroslav Knot, Tomáš Kubín</w:t>
      </w:r>
      <w:r w:rsidRPr="00734CAA">
        <w:rPr>
          <w:rStyle w:val="HideTWBExt"/>
          <w:b w:val="0"/>
          <w:color w:val="auto"/>
          <w:lang w:val="en-GB"/>
        </w:rPr>
        <w:t>&lt;/Members&gt;</w:t>
      </w:r>
    </w:p>
    <w:p w:rsidR="00365C9B" w:rsidRPr="00B16DFD" w:rsidP="00365C9B" w14:paraId="2A948BF5" w14:textId="77777777">
      <w:pPr>
        <w:pStyle w:val="NormalBold"/>
      </w:pPr>
      <w:r w:rsidRPr="00B16DFD">
        <w:rPr>
          <w:rStyle w:val="HideTWBExt"/>
          <w:b w:val="0"/>
          <w:color w:val="auto"/>
        </w:rPr>
        <w:t>&lt;/RepeatBlock-By&gt;</w:t>
      </w:r>
    </w:p>
    <w:p w:rsidR="00365C9B" w:rsidRPr="00B16DFD" w:rsidP="00365C9B" w14:paraId="1FCA0A4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24F87CC7" w14:textId="77777777">
      <w:pPr>
        <w:pStyle w:val="NormalBold"/>
      </w:pPr>
      <w:r w:rsidRPr="00B16DFD">
        <w:rPr>
          <w:rStyle w:val="HideTWBExt"/>
          <w:color w:val="auto"/>
        </w:rPr>
        <w:t>&lt;Article&gt;</w:t>
      </w:r>
      <w:r w:rsidRPr="00B16DFD">
        <w:t>Betragtning 77</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D2F3B6"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BD7A49C" w14:textId="77777777"/>
        </w:tc>
      </w:tr>
      <w:tr w14:paraId="343F5DC7"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9DC7917"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A1E3761" w14:textId="77777777">
            <w:pPr>
              <w:pStyle w:val="AmColumnHeading"/>
            </w:pPr>
            <w:r w:rsidRPr="00B16DFD">
              <w:t>Ændringsforslag</w:t>
            </w:r>
          </w:p>
        </w:tc>
      </w:tr>
      <w:tr w14:paraId="4A34714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DFD7774" w14:textId="77777777">
            <w:pPr>
              <w:pStyle w:val="Normal6a"/>
            </w:pPr>
            <w:r w:rsidRPr="00B16DFD">
              <w:t>(77)</w:t>
            </w:r>
            <w:r w:rsidRPr="00B16DFD">
              <w:tab/>
              <w:t xml:space="preserve">Med forordning (EU) 2022/858 begrænses de typer af berettigede enheder, </w:t>
            </w:r>
            <w:r w:rsidRPr="00B16DFD">
              <w:t>der kan deltage i pilotordningen, til enten markedspladser, der er meddelt tilladelse i henhold til direktiv 2014/65, eller CSD'er. Denne tilgang udelukker regulerede finansielle enheder, der har interesse i og erfaring med at organisere handel og overførsler af digitale aktiver fra at deltage i pilotordningen, nemlig udbydere af kryptoaktivtjenester, der driver handelsplatforme. Disse udbydere af kryptoaktivtjenester bør derfor</w:t>
            </w:r>
            <w:r w:rsidRPr="00B16DFD">
              <w:rPr>
                <w:b/>
                <w:i/>
              </w:rPr>
              <w:t>, på visse betingelser og under forudsætning af, at de opfylder de relevante krav i direktiv 2014/65, forordning (EU) nr. 600/2014 og forordning (EU) nr. 909/2014, alt efter hvad der er relevant,</w:t>
            </w:r>
            <w:r w:rsidRPr="00B16DFD">
              <w:t xml:space="preserve"> kunne opnå en specifik tilladelse til at drive en DLT-markedsplads eller et DLT-handels- og afviklingssystem. De regler, der er fastsat for enheder, der driver DLT-markedsinfrastruktur, bør derfor finde anvendelse på udbydere af kryptoaktivtjenester.</w:t>
            </w:r>
          </w:p>
        </w:tc>
        <w:tc>
          <w:tcPr>
            <w:tcW w:w="4876" w:type="dxa"/>
            <w:tcBorders>
              <w:top w:val="nil"/>
              <w:left w:val="nil"/>
              <w:bottom w:val="nil"/>
              <w:right w:val="nil"/>
            </w:tcBorders>
            <w:hideMark/>
          </w:tcPr>
          <w:p w:rsidR="00365C9B" w:rsidRPr="00B16DFD" w:rsidP="00F61C80" w14:paraId="7FDC8703" w14:textId="77777777">
            <w:pPr>
              <w:pStyle w:val="Normal6a"/>
            </w:pPr>
            <w:r w:rsidRPr="00B16DFD">
              <w:t>(77)</w:t>
            </w:r>
            <w:r w:rsidRPr="00B16DFD">
              <w:tab/>
              <w:t xml:space="preserve">Med forordning (EU) 2022/858 begrænses de typer af berettigede enheder, </w:t>
            </w:r>
            <w:r w:rsidRPr="00B16DFD">
              <w:t xml:space="preserve">der kan deltage i pilotordningen, til enten markedspladser, der er meddelt tilladelse i henhold til direktiv 2014/65, eller CSD'er. Denne tilgang udelukker regulerede finansielle enheder, der har interesse i og erfaring med at organisere handel og overførsler af digitale aktiver fra at deltage i pilotordningen, nemlig udbydere af kryptoaktivtjenester, der driver handelsplatforme. Disse udbydere af kryptoaktivtjenester bør derfor kunne opnå en specifik tilladelse til at drive en DLT-markedsplads eller et DLT-handels- og afviklingssystem. </w:t>
            </w:r>
            <w:r w:rsidRPr="00B16DFD">
              <w:rPr>
                <w:b/>
                <w:i/>
              </w:rPr>
              <w:t>Udbydere af kryptoaktivtjenester bør også være i stand til at handle aktiver, der er udstedt på DLT-pilotordningens godkendte markedspladser.</w:t>
            </w:r>
            <w:r w:rsidRPr="00B16DFD">
              <w:t xml:space="preserve"> De regler, der er fastsat for enheder, der driver DLT-markedsinfrastruktur, bør derfor finde anvendelse på udbydere af kryptoaktivtjenester.</w:t>
            </w:r>
          </w:p>
        </w:tc>
      </w:tr>
    </w:tbl>
    <w:p w:rsidR="00365C9B" w:rsidRPr="00734CAA" w:rsidP="00365C9B" w14:paraId="58E9AB7F"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764FBA9" w14:textId="77777777">
      <w:pPr>
        <w:rPr>
          <w:lang w:val="en-GB"/>
        </w:rPr>
      </w:pPr>
      <w:r w:rsidRPr="00734CAA">
        <w:rPr>
          <w:rStyle w:val="HideTWBExt"/>
          <w:color w:val="auto"/>
          <w:lang w:val="en-GB"/>
        </w:rPr>
        <w:t>&lt;/Amend&gt;</w:t>
      </w:r>
    </w:p>
    <w:p w:rsidR="00365C9B" w:rsidRPr="00734CAA" w:rsidP="00365C9B" w14:paraId="0DCA482F"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320</w:t>
      </w:r>
      <w:r w:rsidRPr="00734CAA">
        <w:rPr>
          <w:rStyle w:val="HideTWBExt"/>
          <w:color w:val="auto"/>
          <w:lang w:val="en-GB"/>
        </w:rPr>
        <w:t>&lt;/NumAm&gt;</w:t>
      </w:r>
    </w:p>
    <w:p w:rsidR="00365C9B" w:rsidRPr="00734CAA" w:rsidP="00365C9B" w14:paraId="243FFD55"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45E65994" w14:textId="77777777">
      <w:pPr>
        <w:pStyle w:val="NormalBold"/>
      </w:pPr>
      <w:r w:rsidRPr="00B16DFD">
        <w:rPr>
          <w:rStyle w:val="HideTWBExt"/>
          <w:b w:val="0"/>
          <w:color w:val="auto"/>
        </w:rPr>
        <w:t>&lt;/RepeatBlock-By&gt;</w:t>
      </w:r>
    </w:p>
    <w:p w:rsidR="00365C9B" w:rsidRPr="00B16DFD" w:rsidP="00365C9B" w14:paraId="31076958"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04612200" w14:textId="77777777">
      <w:pPr>
        <w:pStyle w:val="NormalBold"/>
      </w:pPr>
      <w:r w:rsidRPr="00B16DFD">
        <w:rPr>
          <w:rStyle w:val="HideTWBExt"/>
          <w:color w:val="auto"/>
        </w:rPr>
        <w:t>&lt;Article&gt;</w:t>
      </w:r>
      <w:r w:rsidRPr="00B16DFD">
        <w:t>Betragtning 78</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19651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D6202FD" w14:textId="77777777"/>
        </w:tc>
      </w:tr>
      <w:tr w14:paraId="4D179DA4"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D484AF8"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970F299" w14:textId="77777777">
            <w:pPr>
              <w:pStyle w:val="AmColumnHeading"/>
            </w:pPr>
            <w:r w:rsidRPr="00B16DFD">
              <w:t>Ændringsforslag</w:t>
            </w:r>
          </w:p>
        </w:tc>
      </w:tr>
      <w:tr w14:paraId="3F915D2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E07700D" w14:textId="77777777">
            <w:pPr>
              <w:pStyle w:val="Normal6a"/>
            </w:pPr>
            <w:r w:rsidRPr="00B16DFD">
              <w:t>(78)</w:t>
            </w:r>
            <w:r w:rsidRPr="00B16DFD">
              <w:tab/>
              <w:t xml:space="preserve">Forordning (EU) 2022/858 giver deltagerne mulighed for at anmode om undtagelser fra specifikke bestemmelser i den sektorspecifikke lovgivning. Visse bestemmelser i sektorspecifik lovgivning kan imidlertid kun identificeres som uforenelige med DLT af ansøgerne til pilotordningen selv, efterhånden som de udvikler deres forretningsmodeller og ansøger om tilladelse til at drive en DLT-markedsinfrastruktur, eller efter at have opnået tilladelsen. For at sikre fleksibilitet i </w:t>
            </w:r>
            <w:r w:rsidRPr="00B16DFD">
              <w:t xml:space="preserve">pilotordningen til støtte for innovation bør de kompetente myndigheder kunne imødekomme anmodninger om undtagelser fra bestemmelser, der hører til de angivne dele af sektorspecifik lovgivning, på visse betingelser. Sådanne anmodninger bør baseres på en klar begrundelse fra operatørerne af DLT-markedspladsen eller DLT-afviklingssystemet for, at den krævede undtagelse er uforenelig med eller uforholdsmæssig i forhold til anvendelsen af DLT, og bør, hvor det er relevant, ledsages af kompenserende foranstaltninger, der kan opfylde formålet med den bestemmelse, som undtagelsen vedrører. For at sikre tilsynsmæssig konvergens mellem de kompetente myndigheder, der meddeler undtagelser, bør ESMA inddrages tæt i behandlingen af anmodningerne ved at afgive </w:t>
            </w:r>
            <w:r w:rsidRPr="00B16DFD">
              <w:rPr>
                <w:b/>
                <w:i/>
              </w:rPr>
              <w:t>ikkebindende</w:t>
            </w:r>
            <w:r w:rsidRPr="00B16DFD">
              <w:t xml:space="preserve"> udtalelser om de kompetente myndigheders anmodninger og vurderinger.</w:t>
            </w:r>
          </w:p>
        </w:tc>
        <w:tc>
          <w:tcPr>
            <w:tcW w:w="4876" w:type="dxa"/>
            <w:tcBorders>
              <w:top w:val="nil"/>
              <w:left w:val="nil"/>
              <w:bottom w:val="nil"/>
              <w:right w:val="nil"/>
            </w:tcBorders>
            <w:hideMark/>
          </w:tcPr>
          <w:p w:rsidR="00365C9B" w:rsidRPr="00B16DFD" w:rsidP="00F61C80" w14:paraId="1E62638A" w14:textId="77777777">
            <w:pPr>
              <w:pStyle w:val="Normal6a"/>
            </w:pPr>
            <w:r w:rsidRPr="00B16DFD">
              <w:t>(78)</w:t>
            </w:r>
            <w:r w:rsidRPr="00B16DFD">
              <w:tab/>
              <w:t xml:space="preserve">Forordning (EU) 2022/858 giver deltagerne mulighed for at anmode om undtagelser fra specifikke bestemmelser i den sektorspecifikke lovgivning. Visse bestemmelser i sektorspecifik lovgivning kan imidlertid kun identificeres som uforenelige med DLT af ansøgerne til pilotordningen selv, efterhånden som de udvikler deres forretningsmodeller og ansøger om tilladelse til at drive en DLT-markedsinfrastruktur, eller efter at have opnået tilladelsen. For at sikre fleksibilitet i </w:t>
            </w:r>
            <w:r w:rsidRPr="00B16DFD">
              <w:t xml:space="preserve">pilotordningen til støtte for innovation bør de kompetente myndigheder kunne imødekomme anmodninger om undtagelser fra bestemmelser, der hører til de angivne dele af sektorspecifik lovgivning, på visse betingelser. Sådanne anmodninger bør baseres på en klar begrundelse fra operatørerne af DLT-markedspladsen eller DLT-afviklingssystemet for, at den krævede undtagelse er uforenelig med eller uforholdsmæssig i forhold til anvendelsen af DLT, og bør, hvor det er relevant, ledsages af kompenserende foranstaltninger, der kan opfylde formålet med den bestemmelse, som undtagelsen vedrører. For at sikre tilsynsmæssig konvergens mellem de kompetente myndigheder, der meddeler undtagelser, bør ESMA inddrages tæt i behandlingen af anmodningerne ved at afgive </w:t>
            </w:r>
            <w:r w:rsidRPr="00B16DFD">
              <w:rPr>
                <w:b/>
                <w:i/>
              </w:rPr>
              <w:t>bindende</w:t>
            </w:r>
            <w:r w:rsidRPr="00B16DFD">
              <w:t xml:space="preserve"> udtalelser om de kompetente myndigheders anmodninger og vurderinger.</w:t>
            </w:r>
          </w:p>
        </w:tc>
      </w:tr>
    </w:tbl>
    <w:p w:rsidR="00365C9B" w:rsidRPr="00734CAA" w:rsidP="00365C9B" w14:paraId="46B0827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C8986AF" w14:textId="77777777">
      <w:pPr>
        <w:rPr>
          <w:lang w:val="en-GB"/>
        </w:rPr>
      </w:pPr>
      <w:r w:rsidRPr="00734CAA">
        <w:rPr>
          <w:rStyle w:val="HideTWBExt"/>
          <w:color w:val="auto"/>
          <w:lang w:val="en-GB"/>
        </w:rPr>
        <w:t>&lt;/Amend&gt;</w:t>
      </w:r>
    </w:p>
    <w:p w:rsidR="00365C9B" w:rsidRPr="00734CAA" w:rsidP="00365C9B" w14:paraId="763B76ED"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321</w:t>
      </w:r>
      <w:r w:rsidRPr="00734CAA">
        <w:rPr>
          <w:rStyle w:val="HideTWBExt"/>
          <w:color w:val="auto"/>
          <w:lang w:val="en-GB"/>
        </w:rPr>
        <w:t>&lt;/NumAm&gt;</w:t>
      </w:r>
    </w:p>
    <w:p w:rsidR="00365C9B" w:rsidRPr="00734CAA" w:rsidP="00365C9B" w14:paraId="624E4D65" w14:textId="77777777">
      <w:pPr>
        <w:pStyle w:val="NormalBold"/>
        <w:rPr>
          <w:lang w:val="en-GB"/>
        </w:rPr>
      </w:pPr>
      <w:r w:rsidRPr="00734CAA">
        <w:rPr>
          <w:rStyle w:val="HideTWBExt"/>
          <w:b w:val="0"/>
          <w:color w:val="auto"/>
          <w:lang w:val="en-GB"/>
        </w:rPr>
        <w:t>&lt;RepeatBlock-By&gt;&lt;Members&gt;</w:t>
      </w:r>
      <w:r w:rsidRPr="00734CAA">
        <w:rPr>
          <w:lang w:val="en-GB"/>
        </w:rPr>
        <w:t>Aurore Lalucq, Evelyn Regner, Nikos Papandreou, Claire Fita</w:t>
      </w:r>
      <w:r w:rsidRPr="00734CAA">
        <w:rPr>
          <w:rStyle w:val="HideTWBExt"/>
          <w:b w:val="0"/>
          <w:color w:val="auto"/>
          <w:lang w:val="en-GB"/>
        </w:rPr>
        <w:t>&lt;/Members&gt;</w:t>
      </w:r>
    </w:p>
    <w:p w:rsidR="00365C9B" w:rsidRPr="00B16DFD" w:rsidP="00365C9B" w14:paraId="70FBF9B9" w14:textId="77777777">
      <w:pPr>
        <w:pStyle w:val="NormalBold"/>
      </w:pPr>
      <w:r w:rsidRPr="00B16DFD">
        <w:rPr>
          <w:rStyle w:val="HideTWBExt"/>
          <w:b w:val="0"/>
          <w:color w:val="auto"/>
        </w:rPr>
        <w:t>&lt;/RepeatBlock-By&gt;</w:t>
      </w:r>
    </w:p>
    <w:p w:rsidR="00365C9B" w:rsidRPr="00B16DFD" w:rsidP="00365C9B" w14:paraId="0DA82CD7"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07CCE6B0" w14:textId="77777777">
      <w:pPr>
        <w:pStyle w:val="NormalBold"/>
      </w:pPr>
      <w:r w:rsidRPr="00B16DFD">
        <w:rPr>
          <w:rStyle w:val="HideTWBExt"/>
          <w:color w:val="auto"/>
        </w:rPr>
        <w:t>&lt;Article&gt;</w:t>
      </w:r>
      <w:r w:rsidRPr="00B16DFD">
        <w:t>Betragtning 80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8D6B2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ABA925A" w14:textId="77777777"/>
        </w:tc>
      </w:tr>
      <w:tr w14:paraId="679AA311"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6556714"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56039EA" w14:textId="77777777">
            <w:pPr>
              <w:pStyle w:val="AmColumnHeading"/>
            </w:pPr>
            <w:r w:rsidRPr="00B16DFD">
              <w:t>Ændringsforslag</w:t>
            </w:r>
          </w:p>
        </w:tc>
      </w:tr>
      <w:tr w14:paraId="22C05B8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326EB3F2" w14:textId="03624944">
            <w:pPr>
              <w:pStyle w:val="Normal6a"/>
            </w:pPr>
            <w:r w:rsidRPr="00B16DFD">
              <w:rPr>
                <w:b/>
                <w:i/>
              </w:rPr>
              <w:t>(80)</w:t>
            </w:r>
            <w:r w:rsidRPr="00B16DFD">
              <w:tab/>
            </w:r>
            <w:r w:rsidRPr="00B16DFD">
              <w:rPr>
                <w:b/>
                <w:i/>
              </w:rPr>
              <w:t xml:space="preserve">Da e-pengetokens har udviklet sig til at være et af de mest udbredte midler til DLT-baseret afvikling, bør der skabes yderligere juridisk klarhed om anvendelsen af e-pengetokens i pilotordningen. For at anerkende, at forordning (EU) 2023/1114, der blev vedtaget efter forordning (EU) 2022/858, regulerer depottjenester for e-pengetokens, bør det præciseres, at kontantkonti for e-pengetokens med henblik på afvikling kan stilles til rådighed af et sæt af passende regulerede finansielle institutioner, herunder </w:t>
            </w:r>
            <w:r w:rsidRPr="00B16DFD">
              <w:rPr>
                <w:b/>
                <w:i/>
              </w:rPr>
              <w:t>udbydere af kryptoaktivtjenester. Det bør dog fastsættes, at de fleste bankmæssige accessoriske tjenesteydelser vedrørende e-pengetokens, bortset fra levering af kontantkonti og behandling af betalinger, kun må leveres af kreditinstitutter. For at fremme anvendelsen af e-pengetokens denomineret i EU-valutaer og for at beskytte markedet mod valutarisiko bør afvikling af betalinger for aktiver denomineret i EU-valutaer desuden foretages i e-pengetokens, der henviser til EU-valutaer. For at støtte udviklingen af eurodenominerede stablecoins bør DLT-markedsinfrastrukturer tilskyndes til at tilbyde afvikling i e-pengetokens denomineret i euro, selv om det finansielle instrument, der afvikles, er denomineret i e</w:t>
            </w:r>
            <w:r w:rsidR="00AA1655">
              <w:rPr>
                <w:b/>
                <w:i/>
              </w:rPr>
              <w:t xml:space="preserve">t tredjelands </w:t>
            </w:r>
            <w:r w:rsidRPr="00B16DFD">
              <w:rPr>
                <w:b/>
                <w:i/>
              </w:rPr>
              <w:t>valuta.</w:t>
            </w:r>
          </w:p>
        </w:tc>
        <w:tc>
          <w:tcPr>
            <w:tcW w:w="4876" w:type="dxa"/>
            <w:tcBorders>
              <w:top w:val="nil"/>
              <w:left w:val="nil"/>
              <w:bottom w:val="nil"/>
              <w:right w:val="nil"/>
            </w:tcBorders>
            <w:hideMark/>
          </w:tcPr>
          <w:p w:rsidR="00365C9B" w:rsidRPr="00B16DFD" w:rsidP="00F61C80" w14:paraId="5BFA0C8D" w14:textId="77777777">
            <w:pPr>
              <w:pStyle w:val="Normal6a"/>
            </w:pPr>
            <w:r w:rsidRPr="00B16DFD">
              <w:rPr>
                <w:b/>
                <w:i/>
              </w:rPr>
              <w:t>udgår</w:t>
            </w:r>
          </w:p>
        </w:tc>
      </w:tr>
    </w:tbl>
    <w:p w:rsidR="00365C9B" w:rsidRPr="00B16DFD" w:rsidP="00365C9B" w14:paraId="48854AB9"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3C9089E0" w14:textId="77777777">
      <w:r w:rsidRPr="00B16DFD">
        <w:rPr>
          <w:rStyle w:val="HideTWBExt"/>
          <w:color w:val="auto"/>
        </w:rPr>
        <w:t>&lt;/Amend&gt;</w:t>
      </w:r>
    </w:p>
    <w:p w:rsidR="00365C9B" w:rsidRPr="00B16DFD" w:rsidP="00365C9B" w14:paraId="312F75E6"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322</w:t>
      </w:r>
      <w:r w:rsidRPr="00B16DFD">
        <w:rPr>
          <w:rStyle w:val="HideTWBExt"/>
          <w:color w:val="auto"/>
        </w:rPr>
        <w:t>&lt;/NumAm&gt;</w:t>
      </w:r>
    </w:p>
    <w:p w:rsidR="00365C9B" w:rsidRPr="00734CAA" w:rsidP="00365C9B" w14:paraId="04CABA0C"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70500864" w14:textId="77777777">
      <w:pPr>
        <w:pStyle w:val="NormalBold"/>
      </w:pPr>
      <w:r w:rsidRPr="00B16DFD">
        <w:rPr>
          <w:rStyle w:val="HideTWBExt"/>
          <w:b w:val="0"/>
          <w:color w:val="auto"/>
        </w:rPr>
        <w:t>&lt;/RepeatBlock-By&gt;</w:t>
      </w:r>
    </w:p>
    <w:p w:rsidR="00365C9B" w:rsidRPr="00B16DFD" w:rsidP="00365C9B" w14:paraId="495EE0B5"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57DF6DAC" w14:textId="77777777">
      <w:pPr>
        <w:pStyle w:val="NormalBold"/>
      </w:pPr>
      <w:r w:rsidRPr="00B16DFD">
        <w:rPr>
          <w:rStyle w:val="HideTWBExt"/>
          <w:color w:val="auto"/>
        </w:rPr>
        <w:t>&lt;Article&gt;</w:t>
      </w:r>
      <w:r w:rsidRPr="00B16DFD">
        <w:t>Betragtning 80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75F7E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17F4B3C" w14:textId="77777777"/>
        </w:tc>
      </w:tr>
      <w:tr w14:paraId="054B91BA"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7B4B1E8"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A1A12AE" w14:textId="77777777">
            <w:pPr>
              <w:pStyle w:val="AmColumnHeading"/>
            </w:pPr>
            <w:r w:rsidRPr="00B16DFD">
              <w:t>Ændringsforslag</w:t>
            </w:r>
          </w:p>
        </w:tc>
      </w:tr>
      <w:tr w14:paraId="377F3F0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3F22515B" w14:textId="55088410">
            <w:pPr>
              <w:pStyle w:val="Normal6a"/>
            </w:pPr>
            <w:r w:rsidRPr="00B16DFD">
              <w:t>(80)</w:t>
            </w:r>
            <w:r w:rsidRPr="00B16DFD">
              <w:tab/>
              <w:t xml:space="preserve">Da e-pengetokens har udviklet sig til at være et af de mest udbredte midler til DLT-baseret afvikling, bør der skabes yderligere juridisk klarhed om anvendelsen af e-pengetokens i pilotordningen. For at anerkende, at forordning (EU) 2023/1114, der blev vedtaget efter forordning (EU) 2022/858, regulerer depottjenester for e-pengetokens, bør det præciseres, at kontantkonti for e-pengetokens med henblik på afvikling kan stilles til rådighed af et sæt af passende regulerede finansielle institutioner, herunder udbydere af kryptoaktivtjenester. Det bør dog fastsættes, at de fleste bankmæssige accessoriske tjenesteydelser vedrørende e-pengetokens, bortset fra levering af </w:t>
            </w:r>
            <w:r w:rsidRPr="00B16DFD">
              <w:t xml:space="preserve">kontantkonti og behandling af betalinger, kun må leveres af kreditinstitutter. For at fremme anvendelsen af e-pengetokens denomineret i EU-valutaer og for at beskytte markedet mod valutarisiko bør afvikling af betalinger for aktiver denomineret i EU-valutaer desuden foretages i e-pengetokens, der henviser til EU-valutaer. </w:t>
            </w:r>
            <w:r w:rsidRPr="00B16DFD">
              <w:rPr>
                <w:b/>
                <w:i/>
              </w:rPr>
              <w:t>For at støtte udviklingen af eurodenominerede stablecoins bør DLT-markedsinfrastrukturer tilskyndes til at tilbyde afvikling i e-pengetokens denomineret i euro, selv om det finansielle instrument, der afvikles, er denomineret i e</w:t>
            </w:r>
            <w:r w:rsidR="00AA1655">
              <w:rPr>
                <w:b/>
                <w:i/>
              </w:rPr>
              <w:t xml:space="preserve">t tredjelands </w:t>
            </w:r>
            <w:r w:rsidRPr="00B16DFD">
              <w:rPr>
                <w:b/>
                <w:i/>
              </w:rPr>
              <w:t>valuta.</w:t>
            </w:r>
          </w:p>
        </w:tc>
        <w:tc>
          <w:tcPr>
            <w:tcW w:w="4876" w:type="dxa"/>
            <w:tcBorders>
              <w:top w:val="nil"/>
              <w:left w:val="nil"/>
              <w:bottom w:val="nil"/>
              <w:right w:val="nil"/>
            </w:tcBorders>
            <w:hideMark/>
          </w:tcPr>
          <w:p w:rsidR="00365C9B" w:rsidRPr="00B16DFD" w:rsidP="00F61C80" w14:paraId="2297E029" w14:textId="77777777">
            <w:pPr>
              <w:pStyle w:val="Normal6a"/>
            </w:pPr>
            <w:r w:rsidRPr="00B16DFD">
              <w:t>(80)</w:t>
            </w:r>
            <w:r w:rsidRPr="00B16DFD">
              <w:tab/>
              <w:t xml:space="preserve">Da e-pengetokens har udviklet sig til at være et af de mest udbredte midler til DLT-baseret afvikling, bør der skabes yderligere juridisk klarhed om anvendelsen af e-pengetokens i pilotordningen. For at anerkende, at forordning (EU) 2023/1114, der blev vedtaget efter forordning (EU) 2022/858, regulerer depottjenester for e-pengetokens, bør det præciseres, at kontantkonti for e-pengetokens med henblik på afvikling kan stilles til rådighed af et sæt af passende regulerede finansielle institutioner, herunder udbydere af kryptoaktivtjenester. Det bør dog fastsættes, at de fleste bankmæssige accessoriske tjenesteydelser vedrørende e-pengetokens, bortset fra levering af </w:t>
            </w:r>
            <w:r w:rsidRPr="00B16DFD">
              <w:t>kontantkonti og behandling af betalinger, kun må leveres af kreditinstitutter. For at fremme anvendelsen af e-pengetokens denomineret i EU-valutaer og for at beskytte markedet mod valutarisiko bør afvikling af betalinger for aktiver denomineret i EU-valutaer desuden foretages i e-pengetokens, der henviser til EU-valutaer.</w:t>
            </w:r>
          </w:p>
        </w:tc>
      </w:tr>
    </w:tbl>
    <w:p w:rsidR="00365C9B" w:rsidRPr="00B16DFD" w:rsidP="00365C9B" w14:paraId="27A23AAD"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15B1C2BC"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5F886F80" w14:textId="77777777">
      <w:pPr>
        <w:pStyle w:val="AmJustText"/>
      </w:pPr>
      <w:r w:rsidRPr="00B16DFD">
        <w:t>Det er generelt at foretrække, at finansielle markedsinfrastrukturer afvikler betalinger i forbindelse med værdipapirtransaktioner i den valuta, som værdipapirerne er denomineret i, for at undgå valutarisici.</w:t>
      </w:r>
    </w:p>
    <w:p w:rsidR="00365C9B" w:rsidRPr="00B16DFD" w:rsidP="00365C9B" w14:paraId="102A6D1A" w14:textId="77777777">
      <w:r w:rsidRPr="00B16DFD">
        <w:rPr>
          <w:rStyle w:val="HideTWBExt"/>
          <w:color w:val="auto"/>
        </w:rPr>
        <w:t>&lt;/Amend&gt;</w:t>
      </w:r>
    </w:p>
    <w:p w:rsidR="00365C9B" w:rsidRPr="00B16DFD" w:rsidP="00365C9B" w14:paraId="0A247F15"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323</w:t>
      </w:r>
      <w:r w:rsidRPr="00B16DFD">
        <w:rPr>
          <w:rStyle w:val="HideTWBExt"/>
          <w:color w:val="auto"/>
        </w:rPr>
        <w:t>&lt;/NumAm&gt;</w:t>
      </w:r>
    </w:p>
    <w:p w:rsidR="00365C9B" w:rsidRPr="00734CAA" w:rsidP="00365C9B" w14:paraId="352C0A91"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759E3085" w14:textId="77777777">
      <w:pPr>
        <w:pStyle w:val="NormalBold"/>
      </w:pPr>
      <w:r w:rsidRPr="00B16DFD">
        <w:rPr>
          <w:rStyle w:val="HideTWBExt"/>
          <w:b w:val="0"/>
          <w:color w:val="auto"/>
        </w:rPr>
        <w:t>&lt;/RepeatBlock-By&gt;</w:t>
      </w:r>
    </w:p>
    <w:p w:rsidR="00365C9B" w:rsidRPr="00B16DFD" w:rsidP="00365C9B" w14:paraId="50B841F8"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47C7B769" w14:textId="77777777">
      <w:pPr>
        <w:pStyle w:val="NormalBold"/>
      </w:pPr>
      <w:r w:rsidRPr="00B16DFD">
        <w:rPr>
          <w:rStyle w:val="HideTWBExt"/>
          <w:color w:val="auto"/>
        </w:rPr>
        <w:t>&lt;Article&gt;</w:t>
      </w:r>
      <w:r w:rsidRPr="00B16DFD">
        <w:t>Betragtning 83</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3772BB"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3D41BB3" w14:textId="77777777"/>
        </w:tc>
      </w:tr>
      <w:tr w14:paraId="54A3DE3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9391519"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DEB3D84" w14:textId="77777777">
            <w:pPr>
              <w:pStyle w:val="AmColumnHeading"/>
            </w:pPr>
            <w:r w:rsidRPr="00B16DFD">
              <w:t>Ændringsforslag</w:t>
            </w:r>
          </w:p>
        </w:tc>
      </w:tr>
      <w:tr w14:paraId="7354EE1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D901DED" w14:textId="77777777">
            <w:pPr>
              <w:pStyle w:val="Normal6a"/>
            </w:pPr>
            <w:r w:rsidRPr="00B16DFD">
              <w:t>(83)</w:t>
            </w:r>
            <w:r w:rsidRPr="00B16DFD">
              <w:tab/>
              <w:t xml:space="preserve">DLT-baserede finansielle instrumenter, der udstedes og opbevares af DLT-notaren og DLT-kontoførerne uden for en CSD, bør kun afvikles gennem et DLT-afviklingssystem, et DLT-handels- og afviklingssystem eller en CSD, der udelukkende opererer i henhold til forordning (EU) nr. 909/2014. </w:t>
            </w:r>
            <w:r w:rsidRPr="00B16DFD">
              <w:rPr>
                <w:b/>
                <w:i/>
              </w:rPr>
              <w:t xml:space="preserve">Endvidere bør markedsværdien af DLT-baserede finansielle instrumenter, der udstedes og opbevares af DLT-notarer og DLT-kontoførere, på grund af den eksperimentelle karakter af denne model for distribueret levering af CSD-tjenesteydelser begrænses, idet operatører </w:t>
            </w:r>
            <w:r w:rsidRPr="00B16DFD">
              <w:rPr>
                <w:b/>
                <w:i/>
              </w:rPr>
              <w:t>af et DLT-afviklingssystem, DLT-handels- og afviklingssystem eller en CSD, der udelukkende opererer i henhold til forordning (EU) nr. 909/2014, kun må tillade afvikling af op til 10 mia. EUR i markedsværdi af sådanne instrumenter, hvilket bør forhøjes til 30 mia. EUR i markedsværdi for omsættelige værdipapirer udstedt af SMV'er.</w:t>
            </w:r>
          </w:p>
        </w:tc>
        <w:tc>
          <w:tcPr>
            <w:tcW w:w="4876" w:type="dxa"/>
            <w:tcBorders>
              <w:top w:val="nil"/>
              <w:left w:val="nil"/>
              <w:bottom w:val="nil"/>
              <w:right w:val="nil"/>
            </w:tcBorders>
            <w:hideMark/>
          </w:tcPr>
          <w:p w:rsidR="00365C9B" w:rsidRPr="00B16DFD" w:rsidP="00F61C80" w14:paraId="0CD8C6F2" w14:textId="77777777">
            <w:pPr>
              <w:pStyle w:val="Normal6a"/>
            </w:pPr>
            <w:r w:rsidRPr="00B16DFD">
              <w:t>(83)</w:t>
            </w:r>
            <w:r w:rsidRPr="00B16DFD">
              <w:tab/>
              <w:t>DLT-baserede finansielle instrumenter, der udstedes og opbevares af DLT-notaren og DLT-kontoførerne uden for en CSD, bør kun afvikles gennem et DLT-afviklingssystem, et DLT-handels- og afviklingssystem eller en CSD, der udelukkende opererer i henhold til forordning (EU) nr. 909/2014.</w:t>
            </w:r>
          </w:p>
        </w:tc>
      </w:tr>
    </w:tbl>
    <w:p w:rsidR="00365C9B" w:rsidRPr="00734CAA" w:rsidP="00365C9B" w14:paraId="1C3E7000"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25B77DC" w14:textId="77777777">
      <w:pPr>
        <w:rPr>
          <w:lang w:val="en-GB"/>
        </w:rPr>
      </w:pPr>
      <w:r w:rsidRPr="00734CAA">
        <w:rPr>
          <w:rStyle w:val="HideTWBExt"/>
          <w:color w:val="auto"/>
          <w:lang w:val="en-GB"/>
        </w:rPr>
        <w:t>&lt;/Amend&gt;</w:t>
      </w:r>
    </w:p>
    <w:p w:rsidR="00365C9B" w:rsidRPr="00734CAA" w:rsidP="00365C9B" w14:paraId="4116448D"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324</w:t>
      </w:r>
      <w:r w:rsidRPr="00734CAA">
        <w:rPr>
          <w:rStyle w:val="HideTWBExt"/>
          <w:color w:val="auto"/>
          <w:lang w:val="en-GB"/>
        </w:rPr>
        <w:t>&lt;/NumAm&gt;</w:t>
      </w:r>
    </w:p>
    <w:p w:rsidR="00365C9B" w:rsidRPr="00734CAA" w:rsidP="00365C9B" w14:paraId="0E50BA61" w14:textId="77777777">
      <w:pPr>
        <w:pStyle w:val="NormalBold"/>
        <w:rPr>
          <w:lang w:val="en-GB"/>
        </w:rPr>
      </w:pPr>
      <w:r w:rsidRPr="00734CAA">
        <w:rPr>
          <w:rStyle w:val="HideTWBExt"/>
          <w:b w:val="0"/>
          <w:color w:val="auto"/>
          <w:lang w:val="en-GB"/>
        </w:rPr>
        <w:t>&lt;RepeatBlock-By&gt;&lt;Members&gt;</w:t>
      </w:r>
      <w:r w:rsidRPr="00734CAA">
        <w:rPr>
          <w:lang w:val="en-GB"/>
        </w:rPr>
        <w:t>Aurore Lalucq, Evelyn Regner, Nikos Papandreou, Claire Fita</w:t>
      </w:r>
      <w:r w:rsidRPr="00734CAA">
        <w:rPr>
          <w:rStyle w:val="HideTWBExt"/>
          <w:b w:val="0"/>
          <w:color w:val="auto"/>
          <w:lang w:val="en-GB"/>
        </w:rPr>
        <w:t>&lt;/Members&gt;</w:t>
      </w:r>
    </w:p>
    <w:p w:rsidR="00365C9B" w:rsidRPr="00B16DFD" w:rsidP="00365C9B" w14:paraId="4A0AD6F5" w14:textId="77777777">
      <w:pPr>
        <w:pStyle w:val="NormalBold"/>
      </w:pPr>
      <w:r w:rsidRPr="00B16DFD">
        <w:rPr>
          <w:rStyle w:val="HideTWBExt"/>
          <w:b w:val="0"/>
          <w:color w:val="auto"/>
        </w:rPr>
        <w:t>&lt;/RepeatBlock-By&gt;</w:t>
      </w:r>
    </w:p>
    <w:p w:rsidR="00365C9B" w:rsidRPr="00B16DFD" w:rsidP="00365C9B" w14:paraId="1CE545E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22B87588" w14:textId="77777777">
      <w:pPr>
        <w:pStyle w:val="NormalBold"/>
      </w:pPr>
      <w:r w:rsidRPr="00B16DFD">
        <w:rPr>
          <w:rStyle w:val="HideTWBExt"/>
          <w:color w:val="auto"/>
        </w:rPr>
        <w:t>&lt;Article&gt;</w:t>
      </w:r>
      <w:r w:rsidRPr="00B16DFD">
        <w:t>Betragtning 89</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CF3DB1"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981B37B" w14:textId="77777777"/>
        </w:tc>
      </w:tr>
      <w:tr w14:paraId="2DD9E90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C7E782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AD3791B" w14:textId="77777777">
            <w:pPr>
              <w:pStyle w:val="AmColumnHeading"/>
            </w:pPr>
            <w:r w:rsidRPr="00B16DFD">
              <w:t>Ændringsforslag</w:t>
            </w:r>
          </w:p>
        </w:tc>
      </w:tr>
      <w:tr w14:paraId="664E57C5"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BCDCB26" w14:textId="77777777">
            <w:pPr>
              <w:pStyle w:val="Normal6a"/>
            </w:pPr>
            <w:r w:rsidRPr="00B16DFD">
              <w:rPr>
                <w:b/>
                <w:i/>
              </w:rPr>
              <w:t>(89)</w:t>
            </w:r>
            <w:r w:rsidRPr="00B16DFD">
              <w:tab/>
            </w:r>
            <w:r w:rsidRPr="00B16DFD">
              <w:rPr>
                <w:b/>
                <w:i/>
              </w:rPr>
              <w:t xml:space="preserve">Der bør oprettes tilsynskollegier for at sikre et effektivt tilsyn med de nye forretningsmodeller for CSD-tjenesteydelser, der er tilladt under pilotordningen, samt det nødvendige samarbejde og den nødvendige udveksling af oplysninger mellem alle de tilsynsmyndigheder, som disse forretningsmodeller kan involvere. For det første bør der oprettes tilsynskollegier i overensstemmelse med artikel 24a i forordning (EU) nr. 909/2014, når et DLT-afviklingssystem eller et DLT-handels- og afviklingssystem, der opererer under den almindelige ordning, leverer CSD-tjenesteydelser og opfylder betingelserne i nævnte artikel. For at sikre en omfattende inddragelse af alle relevante myndigheder bør de kompetente myndigheder for DLT-notaren eller DLT-kontoføreren, der er involveret i leveringen af CSD-tjenesteydelser, samt EBA, hvor e-pengetokens anvendes til afvikling af betalinger, have mulighed for at tilslutte sig tilsynskollegiet. For det andet bør ESMA også oprette og lede et tilsynskollegium for afviklingsordninger, </w:t>
            </w:r>
            <w:r w:rsidRPr="00B16DFD">
              <w:rPr>
                <w:b/>
                <w:i/>
              </w:rPr>
              <w:t>der omfatter ESMA, de kompetente myndigheder for de DLT-kontoførere, der deltager i afviklingsordningen, og centralbanken i Unionen for den valuta, der anvendes eller vil blive anvendt til afvikling af kontantbetalinger i afviklingsordningen. De kompetente myndigheder for DLT-notarer, der deltager i afviklingsordningen, bør kunne deltage i tilsynskollegiet efter anmodning.</w:t>
            </w:r>
          </w:p>
        </w:tc>
        <w:tc>
          <w:tcPr>
            <w:tcW w:w="4876" w:type="dxa"/>
            <w:tcBorders>
              <w:top w:val="nil"/>
              <w:left w:val="nil"/>
              <w:bottom w:val="nil"/>
              <w:right w:val="nil"/>
            </w:tcBorders>
            <w:hideMark/>
          </w:tcPr>
          <w:p w:rsidR="00365C9B" w:rsidRPr="00B16DFD" w:rsidP="00F61C80" w14:paraId="40F73238" w14:textId="77777777">
            <w:pPr>
              <w:pStyle w:val="Normal6a"/>
            </w:pPr>
            <w:r w:rsidRPr="00B16DFD">
              <w:rPr>
                <w:b/>
                <w:i/>
              </w:rPr>
              <w:t>udgår</w:t>
            </w:r>
          </w:p>
        </w:tc>
      </w:tr>
    </w:tbl>
    <w:p w:rsidR="00365C9B" w:rsidRPr="00B16DFD" w:rsidP="00365C9B" w14:paraId="668A2111"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5C2376B8" w14:textId="77777777">
      <w:r w:rsidRPr="00B16DFD">
        <w:rPr>
          <w:rStyle w:val="HideTWBExt"/>
          <w:color w:val="auto"/>
        </w:rPr>
        <w:t>&lt;/Amend&gt;</w:t>
      </w:r>
    </w:p>
    <w:p w:rsidR="00365C9B" w:rsidRPr="00B16DFD" w:rsidP="00365C9B" w14:paraId="7E461CDA"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325</w:t>
      </w:r>
      <w:r w:rsidRPr="00B16DFD">
        <w:rPr>
          <w:rStyle w:val="HideTWBExt"/>
          <w:color w:val="auto"/>
        </w:rPr>
        <w:t>&lt;/NumAm&gt;</w:t>
      </w:r>
    </w:p>
    <w:p w:rsidR="00365C9B" w:rsidRPr="00734CAA" w:rsidP="00365C9B" w14:paraId="62CDC0EB"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0A6EDC9A"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5A11C2A1" w14:textId="77777777">
      <w:pPr>
        <w:pStyle w:val="NormalBold"/>
        <w:rPr>
          <w:lang w:val="en-GB"/>
        </w:rPr>
      </w:pPr>
      <w:r w:rsidRPr="00734CAA">
        <w:rPr>
          <w:rStyle w:val="HideTWBExt"/>
          <w:b w:val="0"/>
          <w:color w:val="auto"/>
          <w:lang w:val="en-GB"/>
        </w:rPr>
        <w:t>&lt;/RepeatBlock-By&gt;</w:t>
      </w:r>
    </w:p>
    <w:p w:rsidR="00365C9B" w:rsidRPr="00734CAA" w:rsidP="00365C9B" w14:paraId="76648DA6"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0A9B207B" w14:textId="77777777">
      <w:pPr>
        <w:pStyle w:val="NormalBold"/>
      </w:pPr>
      <w:r w:rsidRPr="00B16DFD">
        <w:rPr>
          <w:rStyle w:val="HideTWBExt"/>
          <w:color w:val="auto"/>
        </w:rPr>
        <w:t>&lt;Article&gt;</w:t>
      </w:r>
      <w:r w:rsidRPr="00B16DFD">
        <w:t>Betragtning 90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0305C6"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C39B5DE" w14:textId="77777777"/>
        </w:tc>
      </w:tr>
      <w:tr w14:paraId="17BD2C70"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8016E2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9EB6CE4" w14:textId="77777777">
            <w:pPr>
              <w:pStyle w:val="AmColumnHeading"/>
            </w:pPr>
            <w:r w:rsidRPr="00B16DFD">
              <w:t>Ændringsforslag</w:t>
            </w:r>
          </w:p>
        </w:tc>
      </w:tr>
      <w:tr w14:paraId="7DD9803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F5E94B6" w14:textId="77777777">
            <w:pPr>
              <w:pStyle w:val="Normal6a"/>
            </w:pPr>
            <w:r w:rsidRPr="00B16DFD">
              <w:rPr>
                <w:b/>
                <w:i/>
              </w:rPr>
              <w:t>(90)</w:t>
            </w:r>
            <w:r w:rsidRPr="00B16DFD">
              <w:tab/>
            </w:r>
            <w:r w:rsidRPr="00B16DFD">
              <w:rPr>
                <w:b/>
                <w:i/>
              </w:rPr>
              <w:t>For at fjerne enhver tvetydighed med hensyn til pilotordningens langsigtede levedygtighed bør tidsbegrænsningerne for varigheden af de tilladelser, der er givet i henhold til forordning (EU) 2022/858, ikke længere finde anvendelse.</w:t>
            </w:r>
          </w:p>
        </w:tc>
        <w:tc>
          <w:tcPr>
            <w:tcW w:w="4876" w:type="dxa"/>
            <w:tcBorders>
              <w:top w:val="nil"/>
              <w:left w:val="nil"/>
              <w:bottom w:val="nil"/>
              <w:right w:val="nil"/>
            </w:tcBorders>
            <w:hideMark/>
          </w:tcPr>
          <w:p w:rsidR="00365C9B" w:rsidRPr="00B16DFD" w:rsidP="00F61C80" w14:paraId="7A7BE3A7" w14:textId="77777777">
            <w:pPr>
              <w:pStyle w:val="Normal6a"/>
            </w:pPr>
            <w:r w:rsidRPr="00B16DFD">
              <w:rPr>
                <w:b/>
                <w:i/>
              </w:rPr>
              <w:t>udgår</w:t>
            </w:r>
          </w:p>
        </w:tc>
      </w:tr>
    </w:tbl>
    <w:p w:rsidR="00365C9B" w:rsidRPr="00B16DFD" w:rsidP="00365C9B" w14:paraId="1C17C1D4"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56739664" w14:textId="77777777">
      <w:r w:rsidRPr="00B16DFD">
        <w:rPr>
          <w:rStyle w:val="HideTWBExt"/>
          <w:color w:val="auto"/>
        </w:rPr>
        <w:t>&lt;/Amend&gt;</w:t>
      </w:r>
    </w:p>
    <w:p w:rsidR="00365C9B" w:rsidRPr="00B16DFD" w:rsidP="00365C9B" w14:paraId="7B81DF26"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326</w:t>
      </w:r>
      <w:r w:rsidRPr="00B16DFD">
        <w:rPr>
          <w:rStyle w:val="HideTWBExt"/>
          <w:color w:val="auto"/>
        </w:rPr>
        <w:t>&lt;/NumAm&gt;</w:t>
      </w:r>
    </w:p>
    <w:p w:rsidR="00365C9B" w:rsidRPr="00734CAA" w:rsidP="00365C9B" w14:paraId="405A9DA1"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6F5E07D2" w14:textId="77777777">
      <w:pPr>
        <w:pStyle w:val="NormalBold"/>
      </w:pPr>
      <w:r w:rsidRPr="00B16DFD">
        <w:rPr>
          <w:rStyle w:val="HideTWBExt"/>
          <w:b w:val="0"/>
          <w:color w:val="auto"/>
        </w:rPr>
        <w:t>&lt;/RepeatBlock-By&gt;</w:t>
      </w:r>
    </w:p>
    <w:p w:rsidR="00365C9B" w:rsidRPr="00B16DFD" w:rsidP="00365C9B" w14:paraId="055EF76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2746FF6B" w14:textId="77777777">
      <w:pPr>
        <w:pStyle w:val="NormalBold"/>
      </w:pPr>
      <w:r w:rsidRPr="00B16DFD">
        <w:rPr>
          <w:rStyle w:val="HideTWBExt"/>
          <w:color w:val="auto"/>
        </w:rPr>
        <w:t>&lt;Article&gt;</w:t>
      </w:r>
      <w:r w:rsidRPr="00B16DFD">
        <w:t>Betragtning 90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2B2033"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9C17825" w14:textId="77777777"/>
        </w:tc>
      </w:tr>
      <w:tr w14:paraId="46266C7F"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77F089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F785373" w14:textId="77777777">
            <w:pPr>
              <w:pStyle w:val="AmColumnHeading"/>
            </w:pPr>
            <w:r w:rsidRPr="00B16DFD">
              <w:t>Ændringsforslag</w:t>
            </w:r>
          </w:p>
        </w:tc>
      </w:tr>
      <w:tr w14:paraId="0A8AE00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B1D1895" w14:textId="77777777">
            <w:pPr>
              <w:pStyle w:val="Normal6a"/>
            </w:pPr>
            <w:r w:rsidRPr="00B16DFD">
              <w:t>(90)</w:t>
            </w:r>
            <w:r w:rsidRPr="00B16DFD">
              <w:tab/>
            </w:r>
            <w:r w:rsidRPr="00B16DFD">
              <w:rPr>
                <w:b/>
                <w:i/>
              </w:rPr>
              <w:t xml:space="preserve">For at fjerne enhver tvetydighed </w:t>
            </w:r>
            <w:r w:rsidRPr="00B16DFD">
              <w:t xml:space="preserve">med hensyn til pilotordningens langsigtede levedygtighed </w:t>
            </w:r>
            <w:r w:rsidRPr="00B16DFD">
              <w:rPr>
                <w:b/>
                <w:i/>
              </w:rPr>
              <w:t>bør tidsbegrænsningerne for varigheden af de tilladelser</w:t>
            </w:r>
            <w:r w:rsidRPr="00B16DFD">
              <w:t xml:space="preserve">, der er </w:t>
            </w:r>
            <w:r w:rsidRPr="00B16DFD">
              <w:rPr>
                <w:b/>
                <w:i/>
              </w:rPr>
              <w:t>givet</w:t>
            </w:r>
            <w:r w:rsidRPr="00B16DFD">
              <w:t xml:space="preserve"> i henhold til forordning (EU) </w:t>
            </w:r>
            <w:r w:rsidRPr="00B16DFD">
              <w:t xml:space="preserve">2022/858, </w:t>
            </w:r>
            <w:r w:rsidRPr="00B16DFD">
              <w:rPr>
                <w:b/>
                <w:i/>
              </w:rPr>
              <w:t>ikke længere finde anvendelse</w:t>
            </w:r>
            <w:r w:rsidRPr="00B16DFD">
              <w:t>.</w:t>
            </w:r>
          </w:p>
        </w:tc>
        <w:tc>
          <w:tcPr>
            <w:tcW w:w="4876" w:type="dxa"/>
            <w:tcBorders>
              <w:top w:val="nil"/>
              <w:left w:val="nil"/>
              <w:bottom w:val="nil"/>
              <w:right w:val="nil"/>
            </w:tcBorders>
            <w:hideMark/>
          </w:tcPr>
          <w:p w:rsidR="00365C9B" w:rsidRPr="00B16DFD" w:rsidP="00F61C80" w14:paraId="3644DACE" w14:textId="77777777">
            <w:pPr>
              <w:pStyle w:val="Normal6a"/>
            </w:pPr>
            <w:r w:rsidRPr="00B16DFD">
              <w:t>(90)</w:t>
            </w:r>
            <w:r w:rsidRPr="00B16DFD">
              <w:tab/>
            </w:r>
            <w:r w:rsidRPr="00B16DFD">
              <w:rPr>
                <w:b/>
                <w:i/>
              </w:rPr>
              <w:t xml:space="preserve">Ved forordning (EU) 2022/858 blev der indført en midlertidig pilotordning for at muliggøre afprøvning af distributed ledger-teknologi i markedsinfrastrukturer, samtidig med at </w:t>
            </w:r>
            <w:r w:rsidRPr="00B16DFD">
              <w:rPr>
                <w:b/>
                <w:i/>
              </w:rPr>
              <w:t xml:space="preserve">Kommissionen, ESMA og de kompetente myndigheder fik mulighed for at vurdere dens fordele og risici. Den ubestemte midlertidige status og tvetydigheden </w:t>
            </w:r>
            <w:r w:rsidRPr="00B16DFD">
              <w:t xml:space="preserve">med hensyn til pilotordningens langsigtede levedygtighed </w:t>
            </w:r>
            <w:r w:rsidRPr="00B16DFD">
              <w:rPr>
                <w:b/>
                <w:i/>
              </w:rPr>
              <w:t>risikerer dog at skabe en parallel lovgivningsmæssig ramme og kan afskrække deltagerne. For at skabe retssikkerhed for markedsdeltagerne bør Kommissionen fastsætte objektive indikatorer til vurdering af pilotordningens modenhed. Disse indikatorer bør være retningsgivende for Kommissionens vurdering af, om de lovgivningsmæssige foranstaltninger</w:t>
            </w:r>
            <w:r w:rsidRPr="00B16DFD">
              <w:t xml:space="preserve">, der er </w:t>
            </w:r>
            <w:r w:rsidRPr="00B16DFD">
              <w:rPr>
                <w:b/>
                <w:i/>
              </w:rPr>
              <w:t>afprøvet</w:t>
            </w:r>
            <w:r w:rsidRPr="00B16DFD">
              <w:t xml:space="preserve"> i henhold til forordning (EU) 2022/858, </w:t>
            </w:r>
            <w:r w:rsidRPr="00B16DFD">
              <w:rPr>
                <w:b/>
                <w:i/>
              </w:rPr>
              <w:t>bør integreres i den eksisterende sektorspecifikke lovgivning, og støtte en velordnet overgang for operatører, der er godkendt i henhold til nævnte forordning</w:t>
            </w:r>
            <w:r w:rsidRPr="00B16DFD">
              <w:t>.</w:t>
            </w:r>
          </w:p>
        </w:tc>
      </w:tr>
    </w:tbl>
    <w:p w:rsidR="00365C9B" w:rsidRPr="00734CAA" w:rsidP="00365C9B" w14:paraId="0CC192E3"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92CCB3B" w14:textId="77777777">
      <w:pPr>
        <w:rPr>
          <w:lang w:val="en-GB"/>
        </w:rPr>
      </w:pPr>
      <w:r w:rsidRPr="00734CAA">
        <w:rPr>
          <w:rStyle w:val="HideTWBExt"/>
          <w:color w:val="auto"/>
          <w:lang w:val="en-GB"/>
        </w:rPr>
        <w:t>&lt;/Amend&gt;</w:t>
      </w:r>
    </w:p>
    <w:p w:rsidR="00365C9B" w:rsidRPr="00734CAA" w:rsidP="00365C9B" w14:paraId="00768652"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327</w:t>
      </w:r>
      <w:r w:rsidRPr="00734CAA">
        <w:rPr>
          <w:rStyle w:val="HideTWBExt"/>
          <w:color w:val="auto"/>
          <w:lang w:val="en-GB"/>
        </w:rPr>
        <w:t>&lt;/NumAm&gt;</w:t>
      </w:r>
    </w:p>
    <w:p w:rsidR="00365C9B" w:rsidRPr="00734CAA" w:rsidP="00365C9B" w14:paraId="5E0B9562"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7D6EC723" w14:textId="77777777">
      <w:pPr>
        <w:pStyle w:val="NormalBold"/>
      </w:pPr>
      <w:r w:rsidRPr="00B16DFD">
        <w:rPr>
          <w:rStyle w:val="HideTWBExt"/>
          <w:b w:val="0"/>
          <w:color w:val="auto"/>
        </w:rPr>
        <w:t>&lt;/RepeatBlock-By&gt;</w:t>
      </w:r>
    </w:p>
    <w:p w:rsidR="00365C9B" w:rsidRPr="00B16DFD" w:rsidP="00365C9B" w14:paraId="1DDA7CA8"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61ED0515" w14:textId="77777777">
      <w:pPr>
        <w:pStyle w:val="NormalBold"/>
      </w:pPr>
      <w:r w:rsidRPr="00B16DFD">
        <w:rPr>
          <w:rStyle w:val="HideTWBExt"/>
          <w:color w:val="auto"/>
        </w:rPr>
        <w:t>&lt;Article&gt;</w:t>
      </w:r>
      <w:r w:rsidRPr="00B16DFD">
        <w:t>Betragtning 90</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ABE514"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CE8DE7A" w14:textId="77777777"/>
        </w:tc>
      </w:tr>
      <w:tr w14:paraId="08C41AAC"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9802CA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53DA3DC" w14:textId="77777777">
            <w:pPr>
              <w:pStyle w:val="AmColumnHeading"/>
            </w:pPr>
            <w:r w:rsidRPr="00B16DFD">
              <w:t>Ændringsforslag</w:t>
            </w:r>
          </w:p>
        </w:tc>
      </w:tr>
      <w:tr w14:paraId="19D19FD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63FF39A" w14:textId="77777777">
            <w:pPr>
              <w:pStyle w:val="Normal6a"/>
            </w:pPr>
            <w:r w:rsidRPr="00B16DFD">
              <w:t>(90)</w:t>
            </w:r>
            <w:r w:rsidRPr="00B16DFD">
              <w:tab/>
              <w:t>For at fjerne enhver tvetydighed med hensyn til pilotordningens langsigtede levedygtighed bør tidsbegrænsningerne for varigheden af de tilladelser, der er givet i henhold til forordning (EU) 2022/858, ikke længere finde anvendelse.</w:t>
            </w:r>
          </w:p>
        </w:tc>
        <w:tc>
          <w:tcPr>
            <w:tcW w:w="4876" w:type="dxa"/>
            <w:tcBorders>
              <w:top w:val="nil"/>
              <w:left w:val="nil"/>
              <w:bottom w:val="nil"/>
              <w:right w:val="nil"/>
            </w:tcBorders>
            <w:hideMark/>
          </w:tcPr>
          <w:p w:rsidR="00365C9B" w:rsidRPr="00B16DFD" w:rsidP="00F61C80" w14:paraId="3E7140D9" w14:textId="77777777">
            <w:pPr>
              <w:pStyle w:val="Normal6a"/>
            </w:pPr>
            <w:r w:rsidRPr="00B16DFD">
              <w:t>(90)</w:t>
            </w:r>
            <w:r w:rsidRPr="00B16DFD">
              <w:tab/>
              <w:t xml:space="preserve">For at fjerne enhver tvetydighed med hensyn til pilotordningens langsigtede levedygtighed bør tidsbegrænsningerne for varigheden af de tilladelser, der er givet i henhold til forordning (EU) 2022/858, ikke længere finde anvendelse. </w:t>
            </w:r>
            <w:r w:rsidRPr="00B16DFD">
              <w:rPr>
                <w:b/>
                <w:i/>
              </w:rPr>
              <w:t>For at undgå oprettelsen af parallelle ordninger vil det være nødvendigt med yderligere lovgivningsmæssig opfølgning for at tilpasse regelsættet i en ånd af teknologisk neutralitet.</w:t>
            </w:r>
          </w:p>
        </w:tc>
      </w:tr>
    </w:tbl>
    <w:p w:rsidR="00365C9B" w:rsidRPr="00734CAA" w:rsidP="00365C9B" w14:paraId="19EEFC17"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049BC2D" w14:textId="77777777">
      <w:pPr>
        <w:rPr>
          <w:lang w:val="en-GB"/>
        </w:rPr>
      </w:pPr>
      <w:r w:rsidRPr="00734CAA">
        <w:rPr>
          <w:rStyle w:val="HideTWBExt"/>
          <w:color w:val="auto"/>
          <w:lang w:val="en-GB"/>
        </w:rPr>
        <w:t>&lt;/Amend&gt;</w:t>
      </w:r>
    </w:p>
    <w:p w:rsidR="00365C9B" w:rsidRPr="00734CAA" w:rsidP="00365C9B" w14:paraId="63CFE448"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328</w:t>
      </w:r>
      <w:r w:rsidRPr="00734CAA">
        <w:rPr>
          <w:rStyle w:val="HideTWBExt"/>
          <w:color w:val="auto"/>
          <w:lang w:val="en-GB"/>
        </w:rPr>
        <w:t>&lt;/NumAm&gt;</w:t>
      </w:r>
    </w:p>
    <w:p w:rsidR="00365C9B" w:rsidRPr="00734CAA" w:rsidP="00365C9B" w14:paraId="39759CF0" w14:textId="77777777">
      <w:pPr>
        <w:pStyle w:val="NormalBold"/>
        <w:rPr>
          <w:lang w:val="en-GB"/>
        </w:rPr>
      </w:pPr>
      <w:r w:rsidRPr="00734CAA">
        <w:rPr>
          <w:rStyle w:val="HideTWBExt"/>
          <w:b w:val="0"/>
          <w:color w:val="auto"/>
          <w:lang w:val="en-GB"/>
        </w:rPr>
        <w:t>&lt;RepeatBlock-By&gt;&lt;Members&gt;</w:t>
      </w:r>
      <w:r w:rsidRPr="00734CAA">
        <w:rPr>
          <w:lang w:val="en-GB"/>
        </w:rPr>
        <w:t>Aurore Lalucq, Evelyn Regner, Nikos Papandreou, Claire Fita</w:t>
      </w:r>
      <w:r w:rsidRPr="00734CAA">
        <w:rPr>
          <w:rStyle w:val="HideTWBExt"/>
          <w:b w:val="0"/>
          <w:color w:val="auto"/>
          <w:lang w:val="en-GB"/>
        </w:rPr>
        <w:t>&lt;/Members&gt;</w:t>
      </w:r>
    </w:p>
    <w:p w:rsidR="00365C9B" w:rsidRPr="00B16DFD" w:rsidP="00365C9B" w14:paraId="7012638C" w14:textId="77777777">
      <w:pPr>
        <w:pStyle w:val="NormalBold"/>
      </w:pPr>
      <w:r w:rsidRPr="00B16DFD">
        <w:rPr>
          <w:rStyle w:val="HideTWBExt"/>
          <w:b w:val="0"/>
          <w:color w:val="auto"/>
        </w:rPr>
        <w:t>&lt;/RepeatBlock-By&gt;</w:t>
      </w:r>
    </w:p>
    <w:p w:rsidR="00365C9B" w:rsidRPr="00B16DFD" w:rsidP="00365C9B" w14:paraId="0C81F330"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705B3FB1" w14:textId="77777777">
      <w:pPr>
        <w:pStyle w:val="NormalBold"/>
      </w:pPr>
      <w:r w:rsidRPr="00B16DFD">
        <w:rPr>
          <w:rStyle w:val="HideTWBExt"/>
          <w:color w:val="auto"/>
        </w:rPr>
        <w:t>&lt;Article&gt;</w:t>
      </w:r>
      <w:r w:rsidRPr="00B16DFD">
        <w:t>Betragtning 92</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08FCE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7A75F89" w14:textId="77777777"/>
        </w:tc>
      </w:tr>
      <w:tr w14:paraId="37665E1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2DA5C84"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E1C1BE2" w14:textId="77777777">
            <w:pPr>
              <w:pStyle w:val="AmColumnHeading"/>
            </w:pPr>
            <w:r w:rsidRPr="00B16DFD">
              <w:t>Ændringsforslag</w:t>
            </w:r>
          </w:p>
        </w:tc>
      </w:tr>
      <w:tr w14:paraId="03C667C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D3503B4" w14:textId="77777777">
            <w:pPr>
              <w:pStyle w:val="Normal6a"/>
            </w:pPr>
            <w:r w:rsidRPr="00B16DFD">
              <w:t>(92)</w:t>
            </w:r>
            <w:r w:rsidRPr="00B16DFD">
              <w:tab/>
              <w:t xml:space="preserve">Da udbydere af kryptoaktivtjenester er et nyt område inden for finansiel aktivitet, som først for nylig er kommet under tilsyn, og da det er vigtigt at sikre tilsynsmæssig konsekvens fra starten, bør ESMA udøve dette centraliserede tilsyn og dermed sikre lige konkurrencevilkår. Kryptoaktivtjenester er </w:t>
            </w:r>
            <w:r w:rsidRPr="00B16DFD">
              <w:rPr>
                <w:b/>
                <w:i/>
              </w:rPr>
              <w:t>også</w:t>
            </w:r>
            <w:r w:rsidRPr="00B16DFD">
              <w:t xml:space="preserve"> et område, der er domineret af øget grænseoverskridende aktivitet, der udføres ved hjælp af elektroniske midler og ny teknologi. Risici bør derfor overvåges og håndteres på en omfattende og konsekvent måde. Centraliseret tilsyn bør sikre konsekvent anvendelse af standarder og regler, afbøde tilsynsmæssige mangler på tværs af jurisdiktioner og afhjælpe den uforholdsmæssige indvirkning, som et potentielt sammenbrud hos udbydere af kryptoaktivtjenester kan have på Unionens økosystem for kryptoaktiver. Centraliseret tilsyn bør betyde, at faren for tilsynsmæssig fragmentering ikke bliver til virkelighed.</w:t>
            </w:r>
          </w:p>
        </w:tc>
        <w:tc>
          <w:tcPr>
            <w:tcW w:w="4876" w:type="dxa"/>
            <w:tcBorders>
              <w:top w:val="nil"/>
              <w:left w:val="nil"/>
              <w:bottom w:val="nil"/>
              <w:right w:val="nil"/>
            </w:tcBorders>
            <w:hideMark/>
          </w:tcPr>
          <w:p w:rsidR="00365C9B" w:rsidRPr="00B16DFD" w:rsidP="00F61C80" w14:paraId="25DBFEB0" w14:textId="77777777">
            <w:pPr>
              <w:pStyle w:val="Normal6a"/>
            </w:pPr>
            <w:r w:rsidRPr="00B16DFD">
              <w:t>(92)</w:t>
            </w:r>
            <w:r w:rsidRPr="00B16DFD">
              <w:tab/>
              <w:t>Da udbydere af kryptoaktivtjenester er et nyt område inden for finansiel aktivitet, som først for nylig er kommet under tilsyn, og da det er vigtigt at sikre tilsynsmæssig konsekvens fra starten, bør ESMA udøve dette centraliserede tilsyn og dermed sikre lige konkurrencevilkår. Kryptoaktivtjenester er et område, der er domineret af øget grænseoverskridende aktivitet, der udføres ved hjælp af elektroniske midler og ny teknologi.</w:t>
            </w:r>
            <w:r w:rsidRPr="00B16DFD">
              <w:rPr>
                <w:b/>
                <w:i/>
              </w:rPr>
              <w:t xml:space="preserve"> Kryptoaktivtjenester deltager i et strukturelt skift i den finansielle arkitektur med risici for at forstærke finansiel ustabilitet og smittevirkninger gennem hastighed og koncentration.</w:t>
            </w:r>
            <w:r w:rsidRPr="00B16DFD">
              <w:t xml:space="preserve"> Risici bør derfor overvåges og håndteres på en omfattende og konsekvent måde. Centraliseret tilsyn bør sikre konsekvent anvendelse af standarder og regler, afbøde tilsynsmæssige mangler på tværs af jurisdiktioner og afhjælpe den uforholdsmæssige indvirkning, som et potentielt sammenbrud hos udbydere af kryptoaktivtjenester kan have på Unionens økosystem for kryptoaktiver. Centraliseret tilsyn bør betyde, at faren for tilsynsmæssig fragmentering ikke bliver til virkelighed.</w:t>
            </w:r>
          </w:p>
        </w:tc>
      </w:tr>
    </w:tbl>
    <w:p w:rsidR="00365C9B" w:rsidRPr="00734CAA" w:rsidP="00365C9B" w14:paraId="6D88F059"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9796E1C" w14:textId="77777777">
      <w:pPr>
        <w:rPr>
          <w:lang w:val="en-GB"/>
        </w:rPr>
      </w:pPr>
      <w:r w:rsidRPr="00734CAA">
        <w:rPr>
          <w:rStyle w:val="HideTWBExt"/>
          <w:color w:val="auto"/>
          <w:lang w:val="en-GB"/>
        </w:rPr>
        <w:t>&lt;/Amend&gt;</w:t>
      </w:r>
    </w:p>
    <w:p w:rsidR="00365C9B" w:rsidRPr="00734CAA" w:rsidP="00365C9B" w14:paraId="52493D28"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329</w:t>
      </w:r>
      <w:r w:rsidRPr="00734CAA">
        <w:rPr>
          <w:rStyle w:val="HideTWBExt"/>
          <w:color w:val="auto"/>
          <w:lang w:val="en-GB"/>
        </w:rPr>
        <w:t>&lt;/NumAm&gt;</w:t>
      </w:r>
    </w:p>
    <w:p w:rsidR="00365C9B" w:rsidRPr="00734CAA" w:rsidP="00365C9B" w14:paraId="5EBBFA1A"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6C7697BA" w14:textId="77777777">
      <w:pPr>
        <w:pStyle w:val="NormalBold"/>
      </w:pPr>
      <w:r w:rsidRPr="00B16DFD">
        <w:rPr>
          <w:rStyle w:val="HideTWBExt"/>
          <w:b w:val="0"/>
          <w:color w:val="auto"/>
        </w:rPr>
        <w:t>&lt;/RepeatBlock-By&gt;</w:t>
      </w:r>
    </w:p>
    <w:p w:rsidR="00365C9B" w:rsidRPr="00B16DFD" w:rsidP="00365C9B" w14:paraId="1CA7A412"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664E16C9" w14:textId="77777777">
      <w:pPr>
        <w:pStyle w:val="NormalBold"/>
      </w:pPr>
      <w:r w:rsidRPr="00B16DFD">
        <w:rPr>
          <w:rStyle w:val="HideTWBExt"/>
          <w:color w:val="auto"/>
        </w:rPr>
        <w:t>&lt;Article&gt;</w:t>
      </w:r>
      <w:r w:rsidRPr="00B16DFD">
        <w:t>Betragtning 92</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3DA40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CCD0B76" w14:textId="77777777"/>
        </w:tc>
      </w:tr>
      <w:tr w14:paraId="6343B6D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4CA8B8A"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95815A9" w14:textId="77777777">
            <w:pPr>
              <w:pStyle w:val="AmColumnHeading"/>
            </w:pPr>
            <w:r w:rsidRPr="00B16DFD">
              <w:t>Ændringsforslag</w:t>
            </w:r>
          </w:p>
        </w:tc>
      </w:tr>
      <w:tr w14:paraId="0611638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37CACDD2" w14:textId="77777777">
            <w:pPr>
              <w:pStyle w:val="Normal6a"/>
            </w:pPr>
            <w:r w:rsidRPr="00B16DFD">
              <w:t>(92)</w:t>
            </w:r>
            <w:r w:rsidRPr="00B16DFD">
              <w:tab/>
              <w:t xml:space="preserve">Da udbydere af kryptoaktivtjenester er et nyt område inden for finansiel aktivitet, som først for nylig er kommet under tilsyn, </w:t>
            </w:r>
            <w:r w:rsidRPr="00B16DFD">
              <w:rPr>
                <w:b/>
                <w:i/>
              </w:rPr>
              <w:t>og da</w:t>
            </w:r>
            <w:r w:rsidRPr="00B16DFD">
              <w:t xml:space="preserve"> det </w:t>
            </w:r>
            <w:r w:rsidRPr="00B16DFD">
              <w:rPr>
                <w:b/>
                <w:i/>
              </w:rPr>
              <w:t>er</w:t>
            </w:r>
            <w:r w:rsidRPr="00B16DFD">
              <w:t xml:space="preserve"> vigtigt at sikre tilsynsmæssig konsekvens </w:t>
            </w:r>
            <w:r w:rsidRPr="00B16DFD">
              <w:rPr>
                <w:b/>
                <w:i/>
              </w:rPr>
              <w:t xml:space="preserve">fra starten, bør ESMA udøve dette centraliserede tilsyn </w:t>
            </w:r>
            <w:r w:rsidRPr="00B16DFD">
              <w:t>og</w:t>
            </w:r>
            <w:r w:rsidRPr="00B16DFD">
              <w:rPr>
                <w:b/>
                <w:i/>
              </w:rPr>
              <w:t xml:space="preserve"> dermed sikre</w:t>
            </w:r>
            <w:r w:rsidRPr="00B16DFD">
              <w:t xml:space="preserve"> lige konkurrencevilkår. Kryptoaktivtjenester </w:t>
            </w:r>
            <w:r w:rsidRPr="00B16DFD">
              <w:rPr>
                <w:b/>
                <w:i/>
              </w:rPr>
              <w:t xml:space="preserve">er også et område, der er domineret af øget grænseoverskridende aktivitet, der udføres ved hjælp af elektroniske midler og ny teknologi. Risici bør derfor overvåges og håndteres på en omfattende og konsekvent måde. Centraliseret tilsyn bør sikre konsekvent anvendelse af standarder og regler, afbøde tilsynsmæssige mangler på tværs af jurisdiktioner og afhjælpe den uforholdsmæssige indvirkning, som et potentielt sammenbrud hos </w:t>
            </w:r>
            <w:r w:rsidRPr="00B16DFD">
              <w:t xml:space="preserve">udbydere af kryptoaktivtjenester </w:t>
            </w:r>
            <w:r w:rsidRPr="00B16DFD">
              <w:rPr>
                <w:b/>
                <w:i/>
              </w:rPr>
              <w:t xml:space="preserve">kan have på </w:t>
            </w:r>
            <w:r w:rsidRPr="00B16DFD">
              <w:t>Unionens økosystem for kryptoaktiver.</w:t>
            </w:r>
            <w:r w:rsidRPr="00B16DFD">
              <w:rPr>
                <w:b/>
                <w:i/>
              </w:rPr>
              <w:t xml:space="preserve"> Centraliseret tilsyn bør betyde, at faren for tilsynsmæssig fragmentering ikke bliver til virkelighed</w:t>
            </w:r>
            <w:r w:rsidRPr="00B16DFD">
              <w:t>.</w:t>
            </w:r>
          </w:p>
        </w:tc>
        <w:tc>
          <w:tcPr>
            <w:tcW w:w="4876" w:type="dxa"/>
            <w:tcBorders>
              <w:top w:val="nil"/>
              <w:left w:val="nil"/>
              <w:bottom w:val="nil"/>
              <w:right w:val="nil"/>
            </w:tcBorders>
            <w:hideMark/>
          </w:tcPr>
          <w:p w:rsidR="00365C9B" w:rsidRPr="00B16DFD" w:rsidP="00F61C80" w14:paraId="7A46B818" w14:textId="66E717CF">
            <w:pPr>
              <w:pStyle w:val="Normal6a"/>
            </w:pPr>
            <w:r w:rsidRPr="00B16DFD">
              <w:t>(92)</w:t>
            </w:r>
            <w:r w:rsidRPr="00B16DFD">
              <w:tab/>
              <w:t xml:space="preserve">Da udbydere af kryptoaktivtjenester er et nyt område inden for finansiel aktivitet, som først for nylig er kommet under tilsyn, </w:t>
            </w:r>
            <w:r w:rsidRPr="00B16DFD">
              <w:rPr>
                <w:b/>
                <w:i/>
              </w:rPr>
              <w:t>er</w:t>
            </w:r>
            <w:r w:rsidRPr="00B16DFD">
              <w:t xml:space="preserve"> det vigtigt at sikre tilsynsmæssig konsekvens og lige konkurrencevilkår </w:t>
            </w:r>
            <w:r w:rsidRPr="00B16DFD">
              <w:rPr>
                <w:b/>
                <w:i/>
              </w:rPr>
              <w:t>fra begyndelsen</w:t>
            </w:r>
            <w:r w:rsidRPr="00B16DFD">
              <w:t xml:space="preserve">. </w:t>
            </w:r>
            <w:r w:rsidRPr="00B16DFD">
              <w:rPr>
                <w:b/>
                <w:i/>
              </w:rPr>
              <w:t xml:space="preserve">Ved tildelingen af tilsynsopgaver bør der dog tages hensyn til proportionalitetsprincippet og de forskellige risikoniveauer, som de enkelte </w:t>
            </w:r>
            <w:r w:rsidRPr="00B16DFD">
              <w:t xml:space="preserve">udbydere af kryptoaktivtjenester </w:t>
            </w:r>
            <w:r w:rsidR="00734CAA">
              <w:rPr>
                <w:b/>
                <w:i/>
              </w:rPr>
              <w:t>frembyder</w:t>
            </w:r>
            <w:r w:rsidRPr="00B16DFD">
              <w:rPr>
                <w:b/>
                <w:i/>
              </w:rPr>
              <w:t xml:space="preserve">. Selv om alle udbydere af kryptoaktivtjenester bør være underlagt solidt tilsyn, bør centraliseret tilsyn på EU-plan være forbeholdt de udbydere, hvis størrelse, grænseoverskridende aktiviteter, indbyrdes forbundethed, betydning for </w:t>
            </w:r>
            <w:r w:rsidRPr="00B16DFD">
              <w:t xml:space="preserve">Unionens økosystem for kryptoaktiver </w:t>
            </w:r>
            <w:r w:rsidRPr="00B16DFD">
              <w:rPr>
                <w:b/>
                <w:i/>
              </w:rPr>
              <w:t>eller potentielle indvirkning i tilfælde af sammenbrud berettiger direkte tilsyn fra EU-myndighedens side</w:t>
            </w:r>
            <w:r w:rsidRPr="00B16DFD">
              <w:t>.</w:t>
            </w:r>
            <w:r w:rsidRPr="00B16DFD">
              <w:rPr>
                <w:b/>
                <w:i/>
              </w:rPr>
              <w:t xml:space="preserve"> I undtagelsestilfælde kan de nationale kompetente myndigheder anmode om, at ESMA påtager sig tilsynet med en eller flere udbydere af kryptoaktivtjenester i deres jurisdiktion</w:t>
            </w:r>
            <w:r w:rsidRPr="00B16DFD">
              <w:t>.</w:t>
            </w:r>
          </w:p>
        </w:tc>
      </w:tr>
    </w:tbl>
    <w:p w:rsidR="00365C9B" w:rsidRPr="00734CAA" w:rsidP="00365C9B" w14:paraId="6423568E"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ABC67BE" w14:textId="77777777">
      <w:pPr>
        <w:rPr>
          <w:lang w:val="en-GB"/>
        </w:rPr>
      </w:pPr>
      <w:r w:rsidRPr="00734CAA">
        <w:rPr>
          <w:rStyle w:val="HideTWBExt"/>
          <w:color w:val="auto"/>
          <w:lang w:val="en-GB"/>
        </w:rPr>
        <w:t>&lt;/Amend&gt;</w:t>
      </w:r>
    </w:p>
    <w:p w:rsidR="00365C9B" w:rsidRPr="00734CAA" w:rsidP="00365C9B" w14:paraId="2041539C"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330</w:t>
      </w:r>
      <w:r w:rsidRPr="00734CAA">
        <w:rPr>
          <w:rStyle w:val="HideTWBExt"/>
          <w:color w:val="auto"/>
          <w:lang w:val="en-GB"/>
        </w:rPr>
        <w:t>&lt;/NumAm&gt;</w:t>
      </w:r>
    </w:p>
    <w:p w:rsidR="00365C9B" w:rsidRPr="00734CAA" w:rsidP="00365C9B" w14:paraId="05313B74"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4CC271F5" w14:textId="77777777">
      <w:pPr>
        <w:pStyle w:val="NormalBold"/>
      </w:pPr>
      <w:r w:rsidRPr="00B16DFD">
        <w:rPr>
          <w:rStyle w:val="HideTWBExt"/>
          <w:b w:val="0"/>
          <w:color w:val="auto"/>
        </w:rPr>
        <w:t>&lt;/RepeatBlock-By&gt;</w:t>
      </w:r>
    </w:p>
    <w:p w:rsidR="00365C9B" w:rsidRPr="00B16DFD" w:rsidP="00365C9B" w14:paraId="5A9AB345"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7BDC5426" w14:textId="77777777">
      <w:pPr>
        <w:pStyle w:val="NormalBold"/>
      </w:pPr>
      <w:r w:rsidRPr="00B16DFD">
        <w:rPr>
          <w:rStyle w:val="HideTWBExt"/>
          <w:color w:val="auto"/>
        </w:rPr>
        <w:t>&lt;Article&gt;</w:t>
      </w:r>
      <w:r w:rsidRPr="00B16DFD">
        <w:t>Betragtning 93</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CCAAE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E954032" w14:textId="77777777"/>
        </w:tc>
      </w:tr>
      <w:tr w14:paraId="4ADEEEB7"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CC48F73"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BBFDF1B" w14:textId="77777777">
            <w:pPr>
              <w:pStyle w:val="AmColumnHeading"/>
            </w:pPr>
            <w:r w:rsidRPr="00B16DFD">
              <w:t>Ændringsforslag</w:t>
            </w:r>
          </w:p>
        </w:tc>
      </w:tr>
      <w:tr w14:paraId="0640D745"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578CF80" w14:textId="77777777">
            <w:pPr>
              <w:pStyle w:val="Normal6a"/>
            </w:pPr>
            <w:r w:rsidRPr="00B16DFD">
              <w:t>(93)</w:t>
            </w:r>
            <w:r w:rsidRPr="00B16DFD">
              <w:tab/>
            </w:r>
            <w:r w:rsidRPr="00B16DFD">
              <w:rPr>
                <w:b/>
                <w:i/>
              </w:rPr>
              <w:t xml:space="preserve">I bekæmpelsen af markedsmisbrug af kryptoaktiver, der er optaget til handel, eller for hvilke der er indgivet en anmodning om optagelse til handel, bør ESMA's centraliserede markedsovervågning og undersøgelsesbeføjelser i grænseoverskridende sager opnå </w:t>
            </w:r>
            <w:r w:rsidRPr="00B16DFD">
              <w:rPr>
                <w:b/>
                <w:i/>
              </w:rPr>
              <w:t xml:space="preserve">stordriftsfordele, løse problemet med fragmenteret adgang til data, mindske afhængigheden af internationalt samarbejde og i sidste ende give </w:t>
            </w:r>
            <w:r w:rsidRPr="00B16DFD">
              <w:t xml:space="preserve">ESMA </w:t>
            </w:r>
            <w:r w:rsidRPr="00B16DFD">
              <w:rPr>
                <w:b/>
                <w:i/>
              </w:rPr>
              <w:t>et bedre overblik over komplekse strategier, der finder sted på tværs af jurisdiktioner</w:t>
            </w:r>
            <w:r w:rsidRPr="00B16DFD">
              <w:t>.</w:t>
            </w:r>
          </w:p>
        </w:tc>
        <w:tc>
          <w:tcPr>
            <w:tcW w:w="4876" w:type="dxa"/>
            <w:tcBorders>
              <w:top w:val="nil"/>
              <w:left w:val="nil"/>
              <w:bottom w:val="nil"/>
              <w:right w:val="nil"/>
            </w:tcBorders>
            <w:hideMark/>
          </w:tcPr>
          <w:p w:rsidR="00365C9B" w:rsidRPr="00B16DFD" w:rsidP="00F61C80" w14:paraId="66BD465A" w14:textId="5821E8CA">
            <w:pPr>
              <w:pStyle w:val="Normal6a"/>
            </w:pPr>
            <w:r w:rsidRPr="00B16DFD">
              <w:t>(93)</w:t>
            </w:r>
            <w:r w:rsidRPr="00B16DFD">
              <w:tab/>
            </w:r>
            <w:r w:rsidRPr="00B16DFD">
              <w:rPr>
                <w:b/>
                <w:i/>
              </w:rPr>
              <w:t xml:space="preserve">For andre mindre signifikante udbydere af kryptoaktivtjenester bør de nationale kompetente myndigheder fortsat være ansvarlige for tilsynet understøttet af effektive mekanismer for tilsynsmæssig konvergens på EU-plan, der sikrer, at tilsynsressourcerne fordeles effektivt, at </w:t>
            </w:r>
            <w:r w:rsidR="00AA1655">
              <w:rPr>
                <w:b/>
                <w:i/>
              </w:rPr>
              <w:t>unødig</w:t>
            </w:r>
            <w:r w:rsidRPr="00B16DFD">
              <w:rPr>
                <w:b/>
                <w:i/>
              </w:rPr>
              <w:t xml:space="preserve"> overlapning af tilsynsstrukturer </w:t>
            </w:r>
            <w:r w:rsidRPr="00B16DFD">
              <w:rPr>
                <w:b/>
                <w:i/>
              </w:rPr>
              <w:t xml:space="preserve">undgås, og at der opretholdes et effektivt tilsyn på tværs af et voksende og forskelligartet marked for kryptoaktivtjenester. Mindre signifikante udbydere af kryptoaktivtjenester kan også vælge at være underlagt tilsyn af </w:t>
            </w:r>
            <w:r w:rsidRPr="00B16DFD">
              <w:t xml:space="preserve">ESMA </w:t>
            </w:r>
            <w:r w:rsidRPr="00B16DFD">
              <w:rPr>
                <w:b/>
                <w:i/>
              </w:rPr>
              <w:t>for at strømline deres tilsynsmæssige interaktioner</w:t>
            </w:r>
            <w:r w:rsidRPr="00B16DFD">
              <w:t>.</w:t>
            </w:r>
          </w:p>
        </w:tc>
      </w:tr>
    </w:tbl>
    <w:p w:rsidR="00365C9B" w:rsidRPr="00734CAA" w:rsidP="00365C9B" w14:paraId="008F2D1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FC26A1C" w14:textId="77777777">
      <w:pPr>
        <w:rPr>
          <w:lang w:val="en-GB"/>
        </w:rPr>
      </w:pPr>
      <w:r w:rsidRPr="00734CAA">
        <w:rPr>
          <w:rStyle w:val="HideTWBExt"/>
          <w:color w:val="auto"/>
          <w:lang w:val="en-GB"/>
        </w:rPr>
        <w:t>&lt;/Amend&gt;</w:t>
      </w:r>
    </w:p>
    <w:p w:rsidR="00365C9B" w:rsidRPr="00734CAA" w:rsidP="00365C9B" w14:paraId="01CF59DC"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331</w:t>
      </w:r>
      <w:r w:rsidRPr="00734CAA">
        <w:rPr>
          <w:rStyle w:val="HideTWBExt"/>
          <w:color w:val="auto"/>
          <w:lang w:val="en-GB"/>
        </w:rPr>
        <w:t>&lt;/NumAm&gt;</w:t>
      </w:r>
    </w:p>
    <w:p w:rsidR="00365C9B" w:rsidRPr="00734CAA" w:rsidP="00365C9B" w14:paraId="0AB6EF8B"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271057D4" w14:textId="77777777">
      <w:pPr>
        <w:pStyle w:val="NormalBold"/>
      </w:pPr>
      <w:r w:rsidRPr="00B16DFD">
        <w:rPr>
          <w:rStyle w:val="HideTWBExt"/>
          <w:b w:val="0"/>
          <w:color w:val="auto"/>
        </w:rPr>
        <w:t>&lt;/RepeatBlock-By&gt;</w:t>
      </w:r>
    </w:p>
    <w:p w:rsidR="00365C9B" w:rsidRPr="00B16DFD" w:rsidP="00365C9B" w14:paraId="3906308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3D818C4B" w14:textId="77777777">
      <w:pPr>
        <w:pStyle w:val="NormalBold"/>
      </w:pPr>
      <w:r w:rsidRPr="00B16DFD">
        <w:rPr>
          <w:rStyle w:val="HideTWBExt"/>
          <w:color w:val="auto"/>
        </w:rPr>
        <w:t>&lt;Article&gt;</w:t>
      </w:r>
      <w:r w:rsidRPr="00B16DFD">
        <w:t>Betragtning 94</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6A4EE1"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DEFED2B" w14:textId="77777777"/>
        </w:tc>
      </w:tr>
      <w:tr w14:paraId="1E25278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160F9C9"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05B6B04" w14:textId="77777777">
            <w:pPr>
              <w:pStyle w:val="AmColumnHeading"/>
            </w:pPr>
            <w:r w:rsidRPr="00B16DFD">
              <w:t>Ændringsforslag</w:t>
            </w:r>
          </w:p>
        </w:tc>
      </w:tr>
      <w:tr w14:paraId="11CC8B4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26982C4" w14:textId="77777777">
            <w:pPr>
              <w:pStyle w:val="Normal6a"/>
            </w:pPr>
            <w:r w:rsidRPr="00B16DFD">
              <w:rPr>
                <w:b/>
                <w:i/>
              </w:rPr>
              <w:t>(94)</w:t>
            </w:r>
            <w:r w:rsidRPr="00B16DFD">
              <w:tab/>
            </w:r>
            <w:r w:rsidRPr="00B16DFD">
              <w:rPr>
                <w:b/>
                <w:i/>
              </w:rPr>
              <w:t>I denne henseende bør ESMA være ansvarlig for at meddele tilladelse til og føre tilsyn med udbydere af kryptoaktivtjenester samt løbende overvåge markedsmisbrug i kryptoaktivsektoren.</w:t>
            </w:r>
          </w:p>
        </w:tc>
        <w:tc>
          <w:tcPr>
            <w:tcW w:w="4876" w:type="dxa"/>
            <w:tcBorders>
              <w:top w:val="nil"/>
              <w:left w:val="nil"/>
              <w:bottom w:val="nil"/>
              <w:right w:val="nil"/>
            </w:tcBorders>
            <w:hideMark/>
          </w:tcPr>
          <w:p w:rsidR="00365C9B" w:rsidRPr="00B16DFD" w:rsidP="00F61C80" w14:paraId="74CA5930" w14:textId="77777777">
            <w:pPr>
              <w:pStyle w:val="Normal6a"/>
            </w:pPr>
            <w:r w:rsidRPr="00B16DFD">
              <w:rPr>
                <w:b/>
                <w:i/>
              </w:rPr>
              <w:t>udgår</w:t>
            </w:r>
          </w:p>
        </w:tc>
      </w:tr>
    </w:tbl>
    <w:p w:rsidR="00365C9B" w:rsidRPr="00B16DFD" w:rsidP="00365C9B" w14:paraId="6F084B4E"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2C3DDCBC" w14:textId="77777777">
      <w:r w:rsidRPr="00B16DFD">
        <w:rPr>
          <w:rStyle w:val="HideTWBExt"/>
          <w:color w:val="auto"/>
        </w:rPr>
        <w:t>&lt;/Amend&gt;</w:t>
      </w:r>
    </w:p>
    <w:p w:rsidR="00365C9B" w:rsidRPr="00B16DFD" w:rsidP="00365C9B" w14:paraId="1618A88B"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332</w:t>
      </w:r>
      <w:r w:rsidRPr="00B16DFD">
        <w:rPr>
          <w:rStyle w:val="HideTWBExt"/>
          <w:color w:val="auto"/>
        </w:rPr>
        <w:t>&lt;/NumAm&gt;</w:t>
      </w:r>
    </w:p>
    <w:p w:rsidR="00365C9B" w:rsidRPr="00734CAA" w:rsidP="00365C9B" w14:paraId="4B06A8D9"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59886A31" w14:textId="77777777">
      <w:pPr>
        <w:pStyle w:val="NormalBold"/>
      </w:pPr>
      <w:r w:rsidRPr="00B16DFD">
        <w:rPr>
          <w:rStyle w:val="HideTWBExt"/>
          <w:b w:val="0"/>
          <w:color w:val="auto"/>
        </w:rPr>
        <w:t>&lt;/RepeatBlock-By&gt;</w:t>
      </w:r>
    </w:p>
    <w:p w:rsidR="00365C9B" w:rsidRPr="00B16DFD" w:rsidP="00365C9B" w14:paraId="615EC014"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0AFB96C9" w14:textId="77777777">
      <w:pPr>
        <w:pStyle w:val="NormalBold"/>
      </w:pPr>
      <w:r w:rsidRPr="00B16DFD">
        <w:rPr>
          <w:rStyle w:val="HideTWBExt"/>
          <w:color w:val="auto"/>
        </w:rPr>
        <w:t>&lt;Article&gt;</w:t>
      </w:r>
      <w:r w:rsidRPr="00B16DFD">
        <w:t>Betragtning 94</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6DF77"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0D4567D" w14:textId="77777777"/>
        </w:tc>
      </w:tr>
      <w:tr w14:paraId="503D40AF"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BB79AFE"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DC1D60B" w14:textId="77777777">
            <w:pPr>
              <w:pStyle w:val="AmColumnHeading"/>
            </w:pPr>
            <w:r w:rsidRPr="00B16DFD">
              <w:t>Ændringsforslag</w:t>
            </w:r>
          </w:p>
        </w:tc>
      </w:tr>
      <w:tr w14:paraId="3C64887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8E74780" w14:textId="77777777">
            <w:pPr>
              <w:pStyle w:val="Normal6a"/>
            </w:pPr>
            <w:r w:rsidRPr="00B16DFD">
              <w:t>(94)</w:t>
            </w:r>
            <w:r w:rsidRPr="00B16DFD">
              <w:tab/>
              <w:t>I denne henseende bør ESMA være ansvarlig for at meddele tilladelse til og føre tilsyn med udbydere af kryptoaktivtjenester samt løbende overvåge markedsmisbrug i kryptoaktivsektoren.</w:t>
            </w:r>
          </w:p>
        </w:tc>
        <w:tc>
          <w:tcPr>
            <w:tcW w:w="4876" w:type="dxa"/>
            <w:tcBorders>
              <w:top w:val="nil"/>
              <w:left w:val="nil"/>
              <w:bottom w:val="nil"/>
              <w:right w:val="nil"/>
            </w:tcBorders>
            <w:hideMark/>
          </w:tcPr>
          <w:p w:rsidR="00365C9B" w:rsidRPr="00B16DFD" w:rsidP="00F61C80" w14:paraId="3BAECFBE" w14:textId="77777777">
            <w:pPr>
              <w:pStyle w:val="Normal6a"/>
            </w:pPr>
            <w:r w:rsidRPr="00B16DFD">
              <w:t>(94)</w:t>
            </w:r>
            <w:r w:rsidRPr="00B16DFD">
              <w:tab/>
              <w:t xml:space="preserve">I denne henseende bør ESMA være ansvarlig for at meddele tilladelse til og føre tilsyn med </w:t>
            </w:r>
            <w:r w:rsidRPr="00B16DFD">
              <w:rPr>
                <w:b/>
                <w:i/>
              </w:rPr>
              <w:t xml:space="preserve">de signifikante og udpegede </w:t>
            </w:r>
            <w:r w:rsidRPr="00B16DFD">
              <w:t>udbydere af kryptoaktivtjenester samt løbende overvåge markedsmisbrug i kryptoaktivsektoren.</w:t>
            </w:r>
          </w:p>
        </w:tc>
      </w:tr>
    </w:tbl>
    <w:p w:rsidR="00365C9B" w:rsidRPr="00734CAA" w:rsidP="00365C9B" w14:paraId="77D4DC6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C194A91" w14:textId="77777777">
      <w:pPr>
        <w:rPr>
          <w:lang w:val="en-GB"/>
        </w:rPr>
      </w:pPr>
      <w:r w:rsidRPr="00734CAA">
        <w:rPr>
          <w:rStyle w:val="HideTWBExt"/>
          <w:color w:val="auto"/>
          <w:lang w:val="en-GB"/>
        </w:rPr>
        <w:t>&lt;/Amend&gt;</w:t>
      </w:r>
    </w:p>
    <w:p w:rsidR="00365C9B" w:rsidRPr="00734CAA" w:rsidP="00365C9B" w14:paraId="130FB12D"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333</w:t>
      </w:r>
      <w:r w:rsidRPr="00734CAA">
        <w:rPr>
          <w:rStyle w:val="HideTWBExt"/>
          <w:color w:val="auto"/>
          <w:lang w:val="en-GB"/>
        </w:rPr>
        <w:t>&lt;/NumAm&gt;</w:t>
      </w:r>
    </w:p>
    <w:p w:rsidR="00365C9B" w:rsidRPr="00734CAA" w:rsidP="00365C9B" w14:paraId="5C0CD4ED"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7351702C" w14:textId="77777777">
      <w:pPr>
        <w:pStyle w:val="NormalBold"/>
      </w:pPr>
      <w:r w:rsidRPr="00B16DFD">
        <w:rPr>
          <w:rStyle w:val="HideTWBExt"/>
          <w:b w:val="0"/>
          <w:color w:val="auto"/>
        </w:rPr>
        <w:t>&lt;/RepeatBlock-By&gt;</w:t>
      </w:r>
    </w:p>
    <w:p w:rsidR="00365C9B" w:rsidRPr="00B16DFD" w:rsidP="00365C9B" w14:paraId="16492D4A"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105B398A" w14:textId="77777777">
      <w:pPr>
        <w:pStyle w:val="NormalBold"/>
      </w:pPr>
      <w:r w:rsidRPr="00B16DFD">
        <w:rPr>
          <w:rStyle w:val="HideTWBExt"/>
          <w:color w:val="auto"/>
        </w:rPr>
        <w:t>&lt;Article&gt;</w:t>
      </w:r>
      <w:r w:rsidRPr="00B16DFD">
        <w:t>Betragtning 97</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8CABBF"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6BB2BD1" w14:textId="77777777"/>
        </w:tc>
      </w:tr>
      <w:tr w14:paraId="0A789D7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0A5886B"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96F3609" w14:textId="77777777">
            <w:pPr>
              <w:pStyle w:val="AmColumnHeading"/>
            </w:pPr>
            <w:r w:rsidRPr="00B16DFD">
              <w:t>Ændringsforslag</w:t>
            </w:r>
          </w:p>
        </w:tc>
      </w:tr>
      <w:tr w14:paraId="3797557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03E69F3" w14:textId="77777777">
            <w:pPr>
              <w:pStyle w:val="Normal6a"/>
            </w:pPr>
            <w:r w:rsidRPr="00B16DFD">
              <w:t>(97)</w:t>
            </w:r>
            <w:r w:rsidRPr="00B16DFD">
              <w:tab/>
              <w:t>For at føre tilsyn med udbydere af kryptoaktivtjenester bør ESMA have beføjelser til at suspendere eller forbyde levering af en kryptoaktivtjeneste, til at inddrage en kryptoaktivtjenesteudbyders tilladelse, til at undersøge overtrædelser af reglerne om markedsmisbrug, til at anmode om oplysninger, til at foretage kontrolbesøg og undersøgelser på stedet, til at træffe tilsynsforanstaltninger og til at pålægge bøder. Ved valget af arten af og niveauet for en administrativ sanktion eller anden administrativ foranstaltning bør ESMA tage hensyn til alle relevante omstændigheder, herunder overtrædelsens grovhed og varighed, og hvorvidt den er begået forsætligt. For at kunne varetage sine tilsynsopgaver bør ESMA samarbejde med og bistås af andre kompetente myndigheder samt de kompetente myndigheder, der er ansvarlige for tilsynet med [direktiv (EU) 2015/849].</w:t>
            </w:r>
          </w:p>
        </w:tc>
        <w:tc>
          <w:tcPr>
            <w:tcW w:w="4876" w:type="dxa"/>
            <w:tcBorders>
              <w:top w:val="nil"/>
              <w:left w:val="nil"/>
              <w:bottom w:val="nil"/>
              <w:right w:val="nil"/>
            </w:tcBorders>
            <w:hideMark/>
          </w:tcPr>
          <w:p w:rsidR="00365C9B" w:rsidRPr="00B16DFD" w:rsidP="00F61C80" w14:paraId="05736932" w14:textId="77777777">
            <w:pPr>
              <w:pStyle w:val="Normal6a"/>
            </w:pPr>
            <w:r w:rsidRPr="00B16DFD">
              <w:t>(97)</w:t>
            </w:r>
            <w:r w:rsidRPr="00B16DFD">
              <w:tab/>
              <w:t xml:space="preserve">For at føre tilsyn med </w:t>
            </w:r>
            <w:r w:rsidRPr="00B16DFD">
              <w:rPr>
                <w:b/>
                <w:i/>
              </w:rPr>
              <w:t xml:space="preserve">signifikante </w:t>
            </w:r>
            <w:r w:rsidRPr="00B16DFD">
              <w:t>udbydere af kryptoaktivtjenester bør ESMA have beføjelser til at suspendere eller forbyde levering af en kryptoaktivtjeneste, til at inddrage en kryptoaktivtjenesteudbyders tilladelse, til at undersøge overtrædelser af reglerne om markedsmisbrug, til at anmode om oplysninger, til at foretage kontrolbesøg og undersøgelser på stedet, til at træffe tilsynsforanstaltninger og til at pålægge bøder. Ved valget af arten af og niveauet for en administrativ sanktion eller anden administrativ foranstaltning bør ESMA tage hensyn til alle relevante omstændigheder, herunder overtrædelsens grovhed og varighed, og hvorvidt den er begået forsætligt. For at kunne varetage sine tilsynsopgaver bør ESMA samarbejde med og bistås af andre kompetente myndigheder samt de kompetente myndigheder, der er ansvarlige for tilsynet med [direktiv (EU) 2015/849].</w:t>
            </w:r>
          </w:p>
        </w:tc>
      </w:tr>
    </w:tbl>
    <w:p w:rsidR="00365C9B" w:rsidRPr="00734CAA" w:rsidP="00365C9B" w14:paraId="43B5A552"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A940964" w14:textId="77777777">
      <w:pPr>
        <w:rPr>
          <w:lang w:val="en-GB"/>
        </w:rPr>
      </w:pPr>
      <w:r w:rsidRPr="00734CAA">
        <w:rPr>
          <w:rStyle w:val="HideTWBExt"/>
          <w:color w:val="auto"/>
          <w:lang w:val="en-GB"/>
        </w:rPr>
        <w:t>&lt;/Amend&gt;</w:t>
      </w:r>
    </w:p>
    <w:p w:rsidR="00365C9B" w:rsidRPr="00734CAA" w:rsidP="00365C9B" w14:paraId="437115CB"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334</w:t>
      </w:r>
      <w:r w:rsidRPr="00734CAA">
        <w:rPr>
          <w:rStyle w:val="HideTWBExt"/>
          <w:color w:val="auto"/>
          <w:lang w:val="en-GB"/>
        </w:rPr>
        <w:t>&lt;/NumAm&gt;</w:t>
      </w:r>
    </w:p>
    <w:p w:rsidR="00365C9B" w:rsidRPr="00734CAA" w:rsidP="00365C9B" w14:paraId="645DE6E3" w14:textId="77777777">
      <w:pPr>
        <w:pStyle w:val="NormalBold"/>
        <w:rPr>
          <w:lang w:val="en-GB"/>
        </w:rPr>
      </w:pPr>
      <w:r w:rsidRPr="00734CAA">
        <w:rPr>
          <w:rStyle w:val="HideTWBExt"/>
          <w:b w:val="0"/>
          <w:color w:val="auto"/>
          <w:lang w:val="en-GB"/>
        </w:rPr>
        <w:t>&lt;RepeatBlock-By&gt;&lt;Members&gt;</w:t>
      </w:r>
      <w:r w:rsidRPr="00734CAA">
        <w:rPr>
          <w:lang w:val="en-GB"/>
        </w:rPr>
        <w:t>Nikos Papandreou</w:t>
      </w:r>
      <w:r w:rsidRPr="00734CAA">
        <w:rPr>
          <w:rStyle w:val="HideTWBExt"/>
          <w:b w:val="0"/>
          <w:color w:val="auto"/>
          <w:lang w:val="en-GB"/>
        </w:rPr>
        <w:t>&lt;/Members&gt;</w:t>
      </w:r>
    </w:p>
    <w:p w:rsidR="00365C9B" w:rsidRPr="00B16DFD" w:rsidP="00365C9B" w14:paraId="016F70A7" w14:textId="77777777">
      <w:pPr>
        <w:pStyle w:val="NormalBold"/>
      </w:pPr>
      <w:r w:rsidRPr="00B16DFD">
        <w:rPr>
          <w:rStyle w:val="HideTWBExt"/>
          <w:b w:val="0"/>
          <w:color w:val="auto"/>
        </w:rPr>
        <w:t>&lt;/RepeatBlock-By&gt;</w:t>
      </w:r>
    </w:p>
    <w:p w:rsidR="00365C9B" w:rsidRPr="00B16DFD" w:rsidP="00365C9B" w14:paraId="2B417682"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96C29C8" w14:textId="77777777">
      <w:pPr>
        <w:pStyle w:val="NormalBold"/>
        <w:rPr>
          <w:lang w:val="en-GB"/>
        </w:rPr>
      </w:pPr>
      <w:r w:rsidRPr="00734CAA">
        <w:rPr>
          <w:rStyle w:val="HideTWBExt"/>
          <w:color w:val="auto"/>
          <w:lang w:val="en-GB"/>
        </w:rPr>
        <w:t>&lt;Article&gt;</w:t>
      </w:r>
      <w:r w:rsidRPr="00734CAA">
        <w:rPr>
          <w:lang w:val="en-GB"/>
        </w:rPr>
        <w:t>Betragtning 99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923EE"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158B8063" w14:textId="77777777">
            <w:pPr>
              <w:rPr>
                <w:lang w:val="en-GB"/>
              </w:rPr>
            </w:pPr>
          </w:p>
        </w:tc>
      </w:tr>
      <w:tr w14:paraId="7A7E729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674280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12F9BF2" w14:textId="77777777">
            <w:pPr>
              <w:pStyle w:val="AmColumnHeading"/>
            </w:pPr>
            <w:r w:rsidRPr="00B16DFD">
              <w:t>Ændringsforslag</w:t>
            </w:r>
          </w:p>
        </w:tc>
      </w:tr>
      <w:tr w14:paraId="2FEF933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FFF2FB2" w14:textId="77777777">
            <w:pPr>
              <w:pStyle w:val="Normal6a"/>
            </w:pPr>
          </w:p>
        </w:tc>
        <w:tc>
          <w:tcPr>
            <w:tcW w:w="4876" w:type="dxa"/>
            <w:tcBorders>
              <w:top w:val="nil"/>
              <w:left w:val="nil"/>
              <w:bottom w:val="nil"/>
              <w:right w:val="nil"/>
            </w:tcBorders>
            <w:hideMark/>
          </w:tcPr>
          <w:p w:rsidR="00365C9B" w:rsidRPr="00B16DFD" w:rsidP="00F61C80" w14:paraId="5BD5B0E1" w14:textId="3272FEEC">
            <w:pPr>
              <w:pStyle w:val="Normal6a"/>
            </w:pPr>
            <w:r w:rsidRPr="00B16DFD">
              <w:rPr>
                <w:b/>
                <w:i/>
              </w:rPr>
              <w:t>(99a)</w:t>
            </w:r>
            <w:r w:rsidRPr="00B16DFD">
              <w:tab/>
            </w:r>
            <w:r w:rsidRPr="00B16DFD">
              <w:rPr>
                <w:b/>
                <w:i/>
              </w:rPr>
              <w:t xml:space="preserve">Ordninger med flere udstedelser af elektroniske pengetokens indebærer, at en udsteder, der er meddelt tilladelse i </w:t>
            </w:r>
            <w:r w:rsidRPr="00B16DFD">
              <w:rPr>
                <w:b/>
                <w:i/>
              </w:rPr>
              <w:t xml:space="preserve">Unionen, samarbejder med en udsteder uden for Unionen om i fællesskab at udstede tokens, der har de samme tekniske karakteristika, er underlagt de samme retlige og tilsynsmæssige rammer og anses for at være indbyrdes udskiftelige, idet de samme reserveaktiver, der ligger til grund for disse tokens, fordeles på tværs af begge udstederes jurisdiktioner. Ved forordning (EU) 2023/1114 er der fastsat en tilsynsmæssig ramme baseret på godkendelse og tilsyn med individuelle udstedere af elektroniske pengetokens og aktivbaserede tokens i Unionen. Den retlige status for multiudstedelsesordninger i henhold til forordning (EU) 2023/1114 kan skabe usikkerhed for udstedere og tokenindehavere, der er uforenelig med målet om et fælles regelsæt for kryptoaktivmarkeder. Denne forordning var ikke udformet til at imødekomme multiudstederordninger, der involverer fungible elektroniske pengetokens og aktivbaserede tokens, der er udstedt i hele EU og tredjelande. Sådanne ordninger skaber yderligere risici vedrørende finansiel stabilitet, monetær suverænitet, pengepolitisk transmission, betalingssystemets smidige funktion og investorbeskyttelse. For at imødegå de risici, der er forbundet med ordninger med flere udstedere, der involverer elektroniske pengetokens og aktivbaseret tokens, bør der indføres yderligere tilsynsmæssige krav for at sikre beskyttelsen af EU's finansielle system. Da disse ordningers korrekte funktion afhænger af tilpasning af forordningen på tværs af EU og tredjelande og af et effektivt tilsynsmæssigt samarbejde, bør godkendelsen af sådanne ordninger fortsat være ekstraordinær og give mindst samme beskyttelsesniveau som det, der er fastsat i forordning (EU) 2023/1114 for tilfælde af elektroniske pengetokens og aktivbaserede tokens, der er udstedt af flere enheder, som alle er etableret og har licens i EU. Kravet om streng ækvivalens </w:t>
            </w:r>
            <w:r w:rsidRPr="00B16DFD">
              <w:rPr>
                <w:b/>
                <w:i/>
              </w:rPr>
              <w:t xml:space="preserve">afspejler de alvorlige risici, der er konstateret af Det Europæiske Udvalg for Systemiske Risici i sine henstillinger fra oktober 2025 om tredjelandes </w:t>
            </w:r>
            <w:r w:rsidRPr="00734CAA" w:rsidR="00734CAA">
              <w:rPr>
                <w:b/>
                <w:i/>
              </w:rPr>
              <w:t>stablecoin-ordninger med flere udstedere</w:t>
            </w:r>
            <w:r w:rsidRPr="00B16DFD">
              <w:rPr>
                <w:b/>
                <w:i/>
              </w:rPr>
              <w:t>, og af Den Europæiske Centralbank i sin udtalelse fra april 2026 om forslagene til den videre udvikling af kapitalmarkedsintegration og tilsyn i Unionen. Disse institutioner har konstateret, at ordninger med flere udstedelser, der involverer tredjelandsenheder, skaber specifikke og væsentlige risici for finansiel stabilitet, pengepolitisk transmission og monetær suverænitet, der ikke i tilstrækkelig grad kan afbødes af resultatbaserede eller funktionelle ækvivalensstandarder. Den strenge ækvivalensstandard, der er fastsat i artikel 48a, er derfor nødvendig og står i et rimeligt forhold til målet om at sikre, at Unionens finansielle system og indehavere i Unionen ydes et beskyttelsesniveau, der svarer til det, der er fastsat i denne forordning.</w:t>
            </w:r>
          </w:p>
        </w:tc>
      </w:tr>
    </w:tbl>
    <w:p w:rsidR="00365C9B" w:rsidRPr="00734CAA" w:rsidP="00365C9B" w14:paraId="14EE5E0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79AC263" w14:textId="77777777">
      <w:pPr>
        <w:rPr>
          <w:lang w:val="en-GB"/>
        </w:rPr>
      </w:pPr>
      <w:r w:rsidRPr="00734CAA">
        <w:rPr>
          <w:rStyle w:val="HideTWBExt"/>
          <w:color w:val="auto"/>
          <w:lang w:val="en-GB"/>
        </w:rPr>
        <w:t>&lt;/Amend&gt;</w:t>
      </w:r>
    </w:p>
    <w:p w:rsidR="00365C9B" w:rsidRPr="00734CAA" w:rsidP="00365C9B" w14:paraId="10181CE8"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335</w:t>
      </w:r>
      <w:r w:rsidRPr="00734CAA">
        <w:rPr>
          <w:rStyle w:val="HideTWBExt"/>
          <w:color w:val="auto"/>
          <w:lang w:val="en-GB"/>
        </w:rPr>
        <w:t>&lt;/NumAm&gt;</w:t>
      </w:r>
    </w:p>
    <w:p w:rsidR="00365C9B" w:rsidRPr="00734CAA" w:rsidP="00365C9B" w14:paraId="0819979F"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58DA7019"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4F0B57E8" w14:textId="77777777">
      <w:pPr>
        <w:pStyle w:val="NormalBold"/>
        <w:rPr>
          <w:lang w:val="en-GB"/>
        </w:rPr>
      </w:pPr>
      <w:r w:rsidRPr="00734CAA">
        <w:rPr>
          <w:rStyle w:val="HideTWBExt"/>
          <w:b w:val="0"/>
          <w:color w:val="auto"/>
          <w:lang w:val="en-GB"/>
        </w:rPr>
        <w:t>&lt;/RepeatBlock-By&gt;</w:t>
      </w:r>
    </w:p>
    <w:p w:rsidR="00365C9B" w:rsidRPr="00734CAA" w:rsidP="00365C9B" w14:paraId="01383D8C"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734CAA" w:rsidP="00365C9B" w14:paraId="659DC44D" w14:textId="77777777">
      <w:pPr>
        <w:pStyle w:val="NormalBold"/>
        <w:rPr>
          <w:lang w:val="en-GB"/>
        </w:rPr>
      </w:pPr>
      <w:r w:rsidRPr="00734CAA">
        <w:rPr>
          <w:rStyle w:val="HideTWBExt"/>
          <w:color w:val="auto"/>
          <w:lang w:val="en-GB"/>
        </w:rPr>
        <w:t>&lt;Article&gt;</w:t>
      </w:r>
      <w:r w:rsidRPr="00734CAA">
        <w:rPr>
          <w:lang w:val="en-GB"/>
        </w:rPr>
        <w:t>Betragtning 99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0A18A3"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7080B0C3" w14:textId="77777777">
            <w:pPr>
              <w:rPr>
                <w:lang w:val="en-GB"/>
              </w:rPr>
            </w:pPr>
          </w:p>
        </w:tc>
      </w:tr>
      <w:tr w14:paraId="3039046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25FD8FD"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2144F75" w14:textId="77777777">
            <w:pPr>
              <w:pStyle w:val="AmColumnHeading"/>
            </w:pPr>
            <w:r w:rsidRPr="00B16DFD">
              <w:t>Ændringsforslag</w:t>
            </w:r>
          </w:p>
        </w:tc>
      </w:tr>
      <w:tr w14:paraId="2E20987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166AFFDF" w14:textId="77777777">
            <w:pPr>
              <w:pStyle w:val="Normal6a"/>
            </w:pPr>
          </w:p>
        </w:tc>
        <w:tc>
          <w:tcPr>
            <w:tcW w:w="4876" w:type="dxa"/>
            <w:tcBorders>
              <w:top w:val="nil"/>
              <w:left w:val="nil"/>
              <w:bottom w:val="nil"/>
              <w:right w:val="nil"/>
            </w:tcBorders>
            <w:hideMark/>
          </w:tcPr>
          <w:p w:rsidR="00365C9B" w:rsidRPr="00B16DFD" w:rsidP="00F61C80" w14:paraId="21E6CBAE" w14:textId="20994FD9">
            <w:pPr>
              <w:pStyle w:val="Normal6a"/>
            </w:pPr>
            <w:r w:rsidRPr="00B16DFD">
              <w:rPr>
                <w:b/>
                <w:i/>
              </w:rPr>
              <w:t>(99a)</w:t>
            </w:r>
            <w:r w:rsidRPr="00B16DFD">
              <w:tab/>
            </w:r>
            <w:r w:rsidRPr="00B16DFD">
              <w:rPr>
                <w:b/>
                <w:i/>
              </w:rPr>
              <w:t xml:space="preserve">Ordninger med flere udstedere i et tredjeland er ordninger, hvor tokens, der er udstedt af en EU-udsteder i henhold til Unionens retlige rammer, er fuldt fungible eller udskiftelige med tokens, der er udstedt af en udsteder, der er etableret i et tredjeland, og ikke er reguleret i henhold til EU-lovgivningen eller underlagt EU-tilsyn. Når et token er udstedt og markedsført under sådanne ordninger, kan det være umuligt, når </w:t>
            </w:r>
            <w:r w:rsidRPr="00B16DFD">
              <w:rPr>
                <w:b/>
                <w:i/>
              </w:rPr>
              <w:t xml:space="preserve">disse tokens er i omløb, at afgøre, hvilken udsteder der har udstedt et bestemt token. EU-udstederen kan derfor stå over for indløsningskrav vedrørende tokens, der er udstedt uden for Unionen, mens de tilsvarende reserveaktiver eller </w:t>
            </w:r>
            <w:r w:rsidRPr="00B16DFD">
              <w:rPr>
                <w:b/>
                <w:i/>
              </w:rPr>
              <w:noBreakHyphen/>
              <w:t xml:space="preserve">midler ikke er underlagt EU-krav, tilsyn og håndhævelse. Sådanne ordninger øger likviditets- og kreditrisici samt operationelle risici, herunder risici i forbindelse med økonomisk kriminalitet, og kan fungere som en afsmitningskanal for banksektoren. De kan derfor udsætte Unionen for </w:t>
            </w:r>
            <w:r w:rsidR="00734CAA">
              <w:rPr>
                <w:b/>
                <w:i/>
              </w:rPr>
              <w:t>alvorlige</w:t>
            </w:r>
            <w:r w:rsidRPr="00B16DFD" w:rsidR="00734CAA">
              <w:rPr>
                <w:b/>
                <w:i/>
              </w:rPr>
              <w:t xml:space="preserve"> </w:t>
            </w:r>
            <w:r w:rsidRPr="00B16DFD">
              <w:rPr>
                <w:b/>
                <w:i/>
              </w:rPr>
              <w:t>risici for finansiel stabilitet og hvidvask af penge. Derudover kan de skabe muligheder for regelarbitrage ved at gøre det muligt for tredjelandes udstedere at drage fordel af adgang til EU-markedet uden at være underlagt de samme lovgivningsmæssige, prudentielle og tilsynsmæssige krav som EU-udstedere. Når e-pengetokens henviser til e</w:t>
            </w:r>
            <w:r w:rsidR="00AA1655">
              <w:rPr>
                <w:b/>
                <w:i/>
              </w:rPr>
              <w:t xml:space="preserve">t tredjelands </w:t>
            </w:r>
            <w:r w:rsidRPr="00B16DFD">
              <w:rPr>
                <w:b/>
                <w:i/>
              </w:rPr>
              <w:t>valuta, kan sådanne ordninger også lette den bredere anvendelse i Unionen af private betalingsmidler i udenlandsk valuta og styrke afhængigheden af udenlandske reserveaktiver til skade for målsætningerne for opsparings- og investeringsunionen, euroens internationale rolle og Unionens monetære og digitale suverænitet og strategiske autonomi.</w:t>
            </w:r>
          </w:p>
        </w:tc>
      </w:tr>
    </w:tbl>
    <w:p w:rsidR="00365C9B" w:rsidRPr="00734CAA" w:rsidP="00365C9B" w14:paraId="33870226"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D6A469E" w14:textId="77777777">
      <w:pPr>
        <w:rPr>
          <w:lang w:val="en-GB"/>
        </w:rPr>
      </w:pPr>
      <w:r w:rsidRPr="00734CAA">
        <w:rPr>
          <w:rStyle w:val="HideTWBExt"/>
          <w:color w:val="auto"/>
          <w:lang w:val="en-GB"/>
        </w:rPr>
        <w:t>&lt;/Amend&gt;</w:t>
      </w:r>
    </w:p>
    <w:p w:rsidR="00365C9B" w:rsidRPr="00734CAA" w:rsidP="00365C9B" w14:paraId="1361EBA2"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336</w:t>
      </w:r>
      <w:r w:rsidRPr="00734CAA">
        <w:rPr>
          <w:rStyle w:val="HideTWBExt"/>
          <w:color w:val="auto"/>
          <w:lang w:val="en-GB"/>
        </w:rPr>
        <w:t>&lt;/NumAm&gt;</w:t>
      </w:r>
    </w:p>
    <w:p w:rsidR="00365C9B" w:rsidRPr="00734CAA" w:rsidP="00365C9B" w14:paraId="2E996E15"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4F20F95D"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3F0B478B" w14:textId="77777777">
      <w:pPr>
        <w:pStyle w:val="NormalBold"/>
        <w:rPr>
          <w:lang w:val="en-GB"/>
        </w:rPr>
      </w:pPr>
      <w:r w:rsidRPr="00734CAA">
        <w:rPr>
          <w:rStyle w:val="HideTWBExt"/>
          <w:b w:val="0"/>
          <w:color w:val="auto"/>
          <w:lang w:val="en-GB"/>
        </w:rPr>
        <w:t>&lt;/RepeatBlock-By&gt;</w:t>
      </w:r>
    </w:p>
    <w:p w:rsidR="00365C9B" w:rsidRPr="00734CAA" w:rsidP="00365C9B" w14:paraId="2EC46269"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3F00117D" w14:textId="77777777">
      <w:pPr>
        <w:pStyle w:val="NormalBold"/>
      </w:pPr>
      <w:r w:rsidRPr="00B16DFD">
        <w:rPr>
          <w:rStyle w:val="HideTWBExt"/>
          <w:color w:val="auto"/>
        </w:rPr>
        <w:t>&lt;Article&gt;</w:t>
      </w:r>
      <w:r w:rsidRPr="00B16DFD">
        <w:t>Betragtning 99 b (ny)</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78EC3B"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0ABBCDC" w14:textId="77777777"/>
        </w:tc>
      </w:tr>
      <w:tr w14:paraId="5430DE9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50B88FF"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69383B7" w14:textId="77777777">
            <w:pPr>
              <w:pStyle w:val="AmColumnHeading"/>
            </w:pPr>
            <w:r w:rsidRPr="00B16DFD">
              <w:t>Ændringsforslag</w:t>
            </w:r>
          </w:p>
        </w:tc>
      </w:tr>
      <w:tr w14:paraId="22B0F1C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1D84242" w14:textId="77777777">
            <w:pPr>
              <w:pStyle w:val="Normal6a"/>
            </w:pPr>
          </w:p>
        </w:tc>
        <w:tc>
          <w:tcPr>
            <w:tcW w:w="4876" w:type="dxa"/>
            <w:tcBorders>
              <w:top w:val="nil"/>
              <w:left w:val="nil"/>
              <w:bottom w:val="nil"/>
              <w:right w:val="nil"/>
            </w:tcBorders>
            <w:hideMark/>
          </w:tcPr>
          <w:p w:rsidR="00365C9B" w:rsidRPr="00B16DFD" w:rsidP="00F61C80" w14:paraId="1072E467" w14:textId="4ED0A941">
            <w:pPr>
              <w:pStyle w:val="Normal6a"/>
            </w:pPr>
            <w:r w:rsidRPr="00B16DFD">
              <w:rPr>
                <w:b/>
                <w:i/>
              </w:rPr>
              <w:t>(99b)</w:t>
            </w:r>
            <w:r w:rsidRPr="00B16DFD">
              <w:tab/>
            </w:r>
            <w:r w:rsidRPr="00B16DFD">
              <w:rPr>
                <w:b/>
                <w:i/>
              </w:rPr>
              <w:t xml:space="preserve">Den retlige status for ordninger med flere udstedere i tredjelande er i </w:t>
            </w:r>
            <w:r w:rsidRPr="00B16DFD">
              <w:rPr>
                <w:b/>
                <w:i/>
              </w:rPr>
              <w:t>øjeblikket uklar, da denne forordning ikke udtrykkeligt regulerer eller forbyder dem. Denne mangel på klarhed har resulteret i forskellige tilsynsmetoder fra de kompetente myndigheders side i medlemsstaterne, hvilket skaber retlig usikkerhed for udstedere og tokenindehavere, der er uforenelig med målet om at oprette et indre marked for kryptoaktivmarkeder og kan underminere det indre markeds integritet. Det er derfor nødvendigt at præcisere, at ordninger med flere udstedere kun er tilladt, når alle deltagende udstedere er etableret i Unionen og er underlagt Unionens lovgivningsmæssige rammer, mens ordninger, hvor tokens er fungible eller udskiftelige med tokens, der er udstedt af en udsteder</w:t>
            </w:r>
            <w:r w:rsidR="00AA1655">
              <w:rPr>
                <w:b/>
                <w:i/>
              </w:rPr>
              <w:t xml:space="preserve"> i et tredjeland</w:t>
            </w:r>
            <w:r w:rsidRPr="00B16DFD">
              <w:rPr>
                <w:b/>
                <w:i/>
              </w:rPr>
              <w:t>, ikke bør være tilladt. Denne begrænsning bør ikke forhindre udstedelse i EU af tokens, der refererer til e</w:t>
            </w:r>
            <w:r w:rsidR="00AA1655">
              <w:rPr>
                <w:b/>
                <w:i/>
              </w:rPr>
              <w:t xml:space="preserve">t tredjelands </w:t>
            </w:r>
            <w:r w:rsidRPr="00B16DFD">
              <w:rPr>
                <w:b/>
                <w:i/>
              </w:rPr>
              <w:t>valuta, hvor alle udstedere er etableret i EU, og de tilsvarende reserveaktiver eller midler til den samlede udstedelse er underlagt denne forordning og EU-tilsyn eller markedsføring i tredjelande af tokens, der er udstedt af en EU-udsteder.</w:t>
            </w:r>
          </w:p>
        </w:tc>
      </w:tr>
    </w:tbl>
    <w:p w:rsidR="00365C9B" w:rsidRPr="00734CAA" w:rsidP="00365C9B" w14:paraId="793909A7"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C34571D" w14:textId="77777777">
      <w:pPr>
        <w:rPr>
          <w:lang w:val="en-GB"/>
        </w:rPr>
      </w:pPr>
      <w:r w:rsidRPr="00734CAA">
        <w:rPr>
          <w:rStyle w:val="HideTWBExt"/>
          <w:color w:val="auto"/>
          <w:lang w:val="en-GB"/>
        </w:rPr>
        <w:t>&lt;/Amend&gt;</w:t>
      </w:r>
    </w:p>
    <w:p w:rsidR="00365C9B" w:rsidRPr="00734CAA" w:rsidP="00365C9B" w14:paraId="26457722"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337</w:t>
      </w:r>
      <w:r w:rsidRPr="00734CAA">
        <w:rPr>
          <w:rStyle w:val="HideTWBExt"/>
          <w:color w:val="auto"/>
          <w:lang w:val="en-GB"/>
        </w:rPr>
        <w:t>&lt;/NumAm&gt;</w:t>
      </w:r>
    </w:p>
    <w:p w:rsidR="00365C9B" w:rsidRPr="00734CAA" w:rsidP="00365C9B" w14:paraId="51F827CC"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381B8BC9"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13CE6D39" w14:textId="77777777">
      <w:pPr>
        <w:pStyle w:val="NormalBold"/>
        <w:rPr>
          <w:lang w:val="en-GB"/>
        </w:rPr>
      </w:pPr>
      <w:r w:rsidRPr="00734CAA">
        <w:rPr>
          <w:rStyle w:val="HideTWBExt"/>
          <w:b w:val="0"/>
          <w:color w:val="auto"/>
          <w:lang w:val="en-GB"/>
        </w:rPr>
        <w:t>&lt;/RepeatBlock-By&gt;</w:t>
      </w:r>
    </w:p>
    <w:p w:rsidR="00365C9B" w:rsidRPr="00734CAA" w:rsidP="00365C9B" w14:paraId="7140D6F5"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5F835822" w14:textId="77777777">
      <w:pPr>
        <w:pStyle w:val="NormalBold"/>
      </w:pPr>
      <w:r w:rsidRPr="00B16DFD">
        <w:rPr>
          <w:rStyle w:val="HideTWBExt"/>
          <w:color w:val="auto"/>
        </w:rPr>
        <w:t>&lt;Article&gt;</w:t>
      </w:r>
      <w:r w:rsidRPr="00B16DFD">
        <w:t>Betragtning 99 c (ny)</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6916C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CD8F62E" w14:textId="77777777"/>
        </w:tc>
      </w:tr>
      <w:tr w14:paraId="3ECBD2B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C9BC8DA"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F753700" w14:textId="77777777">
            <w:pPr>
              <w:pStyle w:val="AmColumnHeading"/>
            </w:pPr>
            <w:r w:rsidRPr="00B16DFD">
              <w:t>Ændringsforslag</w:t>
            </w:r>
          </w:p>
        </w:tc>
      </w:tr>
      <w:tr w14:paraId="734C961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2C609166" w14:textId="77777777">
            <w:pPr>
              <w:pStyle w:val="Normal6a"/>
            </w:pPr>
          </w:p>
        </w:tc>
        <w:tc>
          <w:tcPr>
            <w:tcW w:w="4876" w:type="dxa"/>
            <w:tcBorders>
              <w:top w:val="nil"/>
              <w:left w:val="nil"/>
              <w:bottom w:val="nil"/>
              <w:right w:val="nil"/>
            </w:tcBorders>
            <w:hideMark/>
          </w:tcPr>
          <w:p w:rsidR="00365C9B" w:rsidRPr="00B16DFD" w:rsidP="00F61C80" w14:paraId="0FB6CFBF" w14:textId="3CE622FD">
            <w:pPr>
              <w:pStyle w:val="Normal6a"/>
            </w:pPr>
            <w:r w:rsidRPr="00B16DFD">
              <w:rPr>
                <w:b/>
                <w:i/>
              </w:rPr>
              <w:t>(99c)</w:t>
            </w:r>
            <w:r w:rsidRPr="00B16DFD">
              <w:tab/>
            </w:r>
            <w:r w:rsidRPr="00B16DFD">
              <w:rPr>
                <w:b/>
                <w:i/>
              </w:rPr>
              <w:t xml:space="preserve">Tjenester vedrørende udlån, låntagning og staking af kryptoaktiver leveres i stigende grad i Unionen sammen med tjenester, der allerede er omfattet af denne forordning. De er imidlertid i øjeblikket ikke udtrykkeligt inkluderet blandt de kryptoaktivtjenester, der er </w:t>
            </w:r>
            <w:r w:rsidRPr="00B16DFD">
              <w:rPr>
                <w:b/>
                <w:i/>
              </w:rPr>
              <w:t xml:space="preserve">reguleret i henhold til MiCA. Deres udelukkelse fra de harmoniserede lovgivningsmæssige rammer udgør et lovgivningsmæssigt hul, der skaber fragmentering i det indre marked, muligheder for lovgivningsarbitrage og et ujævnt niveau af investorbeskyttelse i hele det indre marked. EBA og ESMA har konstateret </w:t>
            </w:r>
            <w:r w:rsidR="00734CAA">
              <w:rPr>
                <w:b/>
                <w:i/>
              </w:rPr>
              <w:t>alvorlige</w:t>
            </w:r>
            <w:r w:rsidRPr="00B16DFD" w:rsidR="00734CAA">
              <w:rPr>
                <w:b/>
                <w:i/>
              </w:rPr>
              <w:t xml:space="preserve"> </w:t>
            </w:r>
            <w:r w:rsidRPr="00B16DFD">
              <w:rPr>
                <w:b/>
                <w:i/>
              </w:rPr>
              <w:t>risici, der opstår som følge af overdreven gearing, indbyrdes forbundethed og procyklisk likvidation samt øget hvidvask af penge og finansiering af terrorisme, svig og cyberrisici. Disse risici kan resultere i tab for kunderne og skabe afsmitning på den bredere finansielle sektor. Tjenester vedrørende udlån og låntagning i forbindelse med kryptoaktiver, der leveres eller formidles på et professionelt grundlag, bør derfor medtages blandt de kryptoaktivtjenester, der er omfattet af denne forordning, og være underlagt passende lovgivningsmæssige krav.</w:t>
            </w:r>
          </w:p>
        </w:tc>
      </w:tr>
    </w:tbl>
    <w:p w:rsidR="00365C9B" w:rsidRPr="00734CAA" w:rsidP="00365C9B" w14:paraId="5C2804E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65092BF" w14:textId="77777777">
      <w:pPr>
        <w:rPr>
          <w:lang w:val="en-GB"/>
        </w:rPr>
      </w:pPr>
      <w:r w:rsidRPr="00734CAA">
        <w:rPr>
          <w:rStyle w:val="HideTWBExt"/>
          <w:color w:val="auto"/>
          <w:lang w:val="en-GB"/>
        </w:rPr>
        <w:t>&lt;/Amend&gt;</w:t>
      </w:r>
    </w:p>
    <w:p w:rsidR="00365C9B" w:rsidRPr="00734CAA" w:rsidP="00365C9B" w14:paraId="7980A68C"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338</w:t>
      </w:r>
      <w:r w:rsidRPr="00734CAA">
        <w:rPr>
          <w:rStyle w:val="HideTWBExt"/>
          <w:color w:val="auto"/>
          <w:lang w:val="en-GB"/>
        </w:rPr>
        <w:t>&lt;/NumAm&gt;</w:t>
      </w:r>
    </w:p>
    <w:p w:rsidR="00365C9B" w:rsidRPr="00734CAA" w:rsidP="00365C9B" w14:paraId="5782326F"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38D5A39E"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76F2AF53" w14:textId="77777777">
      <w:pPr>
        <w:pStyle w:val="NormalBold"/>
        <w:rPr>
          <w:lang w:val="en-GB"/>
        </w:rPr>
      </w:pPr>
      <w:r w:rsidRPr="00734CAA">
        <w:rPr>
          <w:rStyle w:val="HideTWBExt"/>
          <w:b w:val="0"/>
          <w:color w:val="auto"/>
          <w:lang w:val="en-GB"/>
        </w:rPr>
        <w:t>&lt;/RepeatBlock-By&gt;</w:t>
      </w:r>
    </w:p>
    <w:p w:rsidR="00365C9B" w:rsidRPr="00734CAA" w:rsidP="00365C9B" w14:paraId="573CF591"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58A5A39A" w14:textId="77777777">
      <w:pPr>
        <w:pStyle w:val="NormalBold"/>
      </w:pPr>
      <w:r w:rsidRPr="00B16DFD">
        <w:rPr>
          <w:rStyle w:val="HideTWBExt"/>
          <w:color w:val="auto"/>
        </w:rPr>
        <w:t>&lt;Article&gt;</w:t>
      </w:r>
      <w:r w:rsidRPr="00B16DFD">
        <w:t>Betragtning 101</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6B28F5"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582224F" w14:textId="77777777"/>
        </w:tc>
      </w:tr>
      <w:tr w14:paraId="5745729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60F2D4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F49A4D6" w14:textId="77777777">
            <w:pPr>
              <w:pStyle w:val="AmColumnHeading"/>
            </w:pPr>
            <w:r w:rsidRPr="00B16DFD">
              <w:t>Ændringsforslag</w:t>
            </w:r>
          </w:p>
        </w:tc>
      </w:tr>
      <w:tr w14:paraId="3F71EE6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E4AFF2D" w14:textId="77777777">
            <w:pPr>
              <w:pStyle w:val="Normal6a"/>
            </w:pPr>
            <w:r w:rsidRPr="00B16DFD">
              <w:t>(101)</w:t>
            </w:r>
            <w:r w:rsidRPr="00B16DFD">
              <w:tab/>
              <w:t xml:space="preserve">For at sikre ensartet anvendelse af de relevante bestemmelser i forordning (EU) nr. 600/2014 bør Kommissionen tillægges beføjelser til i overensstemmelse med artikel 290 i TEUF og artikel 10-14 i forordning (EU) nr. 1095/2010 at vedtage reguleringsmæssige tekniske standarder udarbejdet af ESMA vedrørende meddelelse af tilladelse til regulerede markeder og PEMO'er og vedrørende driften af markedspladser. For at sikre konsekvent harmonisering af standarder </w:t>
            </w:r>
            <w:r w:rsidRPr="00B16DFD">
              <w:t>bør Kommissionen desuden tillægges beføjelse til i overensstemmelse med artikel 290 i TEUF og artikel 10-14 i Europa-Parlamentets og Rådets forordning (EU) nr. 1093/2010</w:t>
            </w:r>
            <w:r w:rsidRPr="00B16DFD">
              <w:rPr>
                <w:vertAlign w:val="superscript"/>
              </w:rPr>
              <w:t>28</w:t>
            </w:r>
            <w:r w:rsidRPr="00B16DFD">
              <w:t xml:space="preserve"> og i forordning (EU) nr. 1095/2010 at vedtage reguleringsmæssige tekniske standarder udarbejdet af Den Europæiske Banktilsynsmyndighed ("EBA") og Den Europæiske Værdipapir- og Markedstilsynsmyndighed ("ESMA") for så vidt angår </w:t>
            </w:r>
            <w:r w:rsidRPr="00B16DFD">
              <w:rPr>
                <w:b/>
                <w:i/>
              </w:rPr>
              <w:t>procedurerne for beregning af kriterierne for fastlæggelse af en CSD's signifikans og sættet af data, som EU-CSD'er skal indberette til ESMA med henblik på en sådan beregning,</w:t>
            </w:r>
            <w:r w:rsidRPr="00B16DFD">
              <w:t xml:space="preserve"> de foranstaltninger, som CSD'er og markedsdeltagere skal træffe for at forebygge afviklingsfejl og øge afviklingseffektiviteten på Unionens kapitalmarkeder, de betingelser, hvorunder en outsourcingaftale skal betragtes som outsourcing af CSD-kerneydelser, de foranstaltninger, som CSD'er skal gennemføre for at afbøde de specifikke risici, der følger af leveringen af CSD-tjenesteydelser ved hjælp af DLT, og risikostyringsforanstaltningerne og de tilsynsmæssige krav med hensyn til afvikling af forretningsbankpenge og e-pengetokens. For at sikre konsekvent harmonisering af de gebyrer, som ESMA skal opkræve af investeringsinstitutter og FAIF'er i forbindelse med pasordningen og vedligeholdelsen af dataplatformen, bør beføjelsen til at vedtage retsakter desuden delegeres til Kommissionen i overensstemmelse med artikel 290 i traktaten om Den Europæiske Unions funktionsmåde for så vidt angår foranstaltninger til præcisering af typen, beløbet, hyppigheden og de nærmere bestemmelser for betaling af disse gebyrer. For at sikre konsekvent harmonisering af markedsføringsmateriale, der stilles til rådighed for investorer, bør beføjelsen til at vedtage retsakter delegeres til Kommissionen i overensstemmelse med artikel 290 i TEUF med henblik på at </w:t>
            </w:r>
            <w:r w:rsidRPr="00B16DFD">
              <w:t>præcisere indholdet og formatet af markedsføringsmateriale. Det er navnlig vigtigt, at Kommissionen gennemfører relevante høringer under sit forberedende arbejde, herunder på ekspertniveau, og at disse høringer gennemføres i overensstemmelse med principperne i den interinstitutionelle aftale af 13. april 2016 om bedre lovgivning.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 Endelig bør ESMA for at identificere de krav i forordning (EU) nr. 909/2014, der bør finde anvendelse på udbyderne af den DLT-baserede registreringsydelse og centrale forvaltningsydelse, og tilpasse dem til anvendelsen af distributed ledger-teknologi og de særlige karakteristika ved forretningsmodeller, der involverer DLT-notarer og DLT-kontohavere, udarbejde udkast til reguleringsmæssige tekniske standarder for at supplere bestemmelserne i afsnit III i forordning (EU) nr. 909/2014.</w:t>
            </w:r>
          </w:p>
        </w:tc>
        <w:tc>
          <w:tcPr>
            <w:tcW w:w="4876" w:type="dxa"/>
            <w:tcBorders>
              <w:top w:val="nil"/>
              <w:left w:val="nil"/>
              <w:bottom w:val="nil"/>
              <w:right w:val="nil"/>
            </w:tcBorders>
            <w:hideMark/>
          </w:tcPr>
          <w:p w:rsidR="00365C9B" w:rsidRPr="00B16DFD" w:rsidP="00F61C80" w14:paraId="3E2C2AC7" w14:textId="77777777">
            <w:pPr>
              <w:pStyle w:val="Normal6a"/>
            </w:pPr>
            <w:r w:rsidRPr="00B16DFD">
              <w:t>(101)</w:t>
            </w:r>
            <w:r w:rsidRPr="00B16DFD">
              <w:tab/>
              <w:t xml:space="preserve">For at sikre ensartet anvendelse af de relevante bestemmelser i forordning (EU) nr. 600/2014 bør Kommissionen tillægges beføjelser til i overensstemmelse med artikel 290 i TEUF og artikel 10-14 i forordning (EU) nr. 1095/2010 at vedtage reguleringsmæssige tekniske standarder udarbejdet af ESMA vedrørende meddelelse af tilladelse til regulerede markeder og PEMO'er og vedrørende driften af markedspladser. For at sikre konsekvent harmonisering af standarder </w:t>
            </w:r>
            <w:r w:rsidRPr="00B16DFD">
              <w:t>bør Kommissionen desuden tillægges beføjelse til i overensstemmelse med artikel 290 i TEUF og artikel 10-14 i Europa-Parlamentets og Rådets forordning (EU) nr. 1093/2010</w:t>
            </w:r>
            <w:r w:rsidRPr="00B16DFD">
              <w:rPr>
                <w:vertAlign w:val="superscript"/>
              </w:rPr>
              <w:t>28</w:t>
            </w:r>
            <w:r w:rsidRPr="00B16DFD">
              <w:t xml:space="preserve"> og i forordning (EU) nr. 1095/2010 at vedtage reguleringsmæssige tekniske standarder udarbejdet af Den Europæiske Banktilsynsmyndighed ("EBA") og Den Europæiske Værdipapir- og Markedstilsynsmyndighed ("ESMA") for så vidt angår de foranstaltninger, som CSD'er og markedsdeltagere skal træffe for at forebygge afviklingsfejl og øge afviklingseffektiviteten på Unionens kapitalmarkeder, de betingelser, hvorunder en outsourcingaftale skal betragtes som outsourcing af CSD-kerneydelser, de foranstaltninger, som CSD'er skal gennemføre for at afbøde de specifikke risici, der følger af leveringen af CSD-tjenesteydelser ved hjælp af DLT, og risikostyringsforanstaltningerne og de tilsynsmæssige krav med hensyn til afvikling af forretningsbankpenge og e-pengetokens. For at sikre konsekvent harmonisering af de gebyrer, som ESMA skal opkræve af investeringsinstitutter og FAIF'er i forbindelse med pasordningen og vedligeholdelsen af dataplatformen, bør beføjelsen til at vedtage retsakter desuden delegeres til Kommissionen i overensstemmelse med artikel 290 i traktaten om Den Europæiske Unions funktionsmåde for så vidt angår foranstaltninger til præcisering af typen, beløbet, hyppigheden og de nærmere bestemmelser for betaling af disse gebyrer. For at sikre konsekvent harmonisering af markedsføringsmateriale, der stilles til rådighed for investorer, bør beføjelsen til at vedtage retsakter delegeres til Kommissionen i overensstemmelse med artikel 290 i TEUF med henblik på at præcisere indholdet og formatet af markedsføringsmateriale. Det er navnlig vigtigt, at Kommissionen gennemfører relevante høringer under sit forberedende arbejde, herunder på ekspertniveau, og at </w:t>
            </w:r>
            <w:r w:rsidRPr="00B16DFD">
              <w:t>disse høringer gennemføres i overensstemmelse med principperne i den interinstitutionelle aftale af 13. april 2016 om bedre lovgivning.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 Endelig bør ESMA for at identificere de krav i forordning (EU) nr. 909/2014, der bør finde anvendelse på udbyderne af den DLT-baserede registreringsydelse og centrale forvaltningsydelse, og tilpasse dem til anvendelsen af distributed ledger-teknologi og de særlige karakteristika ved forretningsmodeller, der involverer DLT-notarer og DLT-kontohavere, udarbejde udkast til reguleringsmæssige tekniske standarder for at supplere bestemmelserne i afsnit III i forordning (EU) nr. 909/2014.</w:t>
            </w:r>
          </w:p>
        </w:tc>
      </w:tr>
      <w:tr w14:paraId="00A8B31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0D4DF82" w14:textId="77777777">
            <w:pPr>
              <w:pStyle w:val="Normal6a"/>
            </w:pPr>
            <w:r w:rsidRPr="00B16DFD">
              <w:rPr>
                <w:b/>
                <w:i/>
              </w:rPr>
              <w:t>_________________</w:t>
            </w:r>
          </w:p>
        </w:tc>
        <w:tc>
          <w:tcPr>
            <w:tcW w:w="4876" w:type="dxa"/>
            <w:tcBorders>
              <w:top w:val="nil"/>
              <w:left w:val="nil"/>
              <w:bottom w:val="nil"/>
              <w:right w:val="nil"/>
            </w:tcBorders>
            <w:hideMark/>
          </w:tcPr>
          <w:p w:rsidR="00365C9B" w:rsidRPr="00B16DFD" w:rsidP="00F61C80" w14:paraId="518F4722" w14:textId="77777777">
            <w:pPr>
              <w:pStyle w:val="Normal6a"/>
            </w:pPr>
            <w:r w:rsidRPr="00B16DFD">
              <w:rPr>
                <w:b/>
                <w:i/>
              </w:rPr>
              <w:t>_________________</w:t>
            </w:r>
          </w:p>
        </w:tc>
      </w:tr>
      <w:tr w14:paraId="2B6BF5A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2EAC3EE" w14:textId="77777777">
            <w:pPr>
              <w:pStyle w:val="Normal6a"/>
            </w:pPr>
            <w:r w:rsidRPr="00B16DFD">
              <w:rPr>
                <w:vertAlign w:val="superscript"/>
              </w:rPr>
              <w:t xml:space="preserve">28 </w:t>
            </w:r>
            <w:r w:rsidRPr="00B16DFD">
              <w:t>Europa-Parlamentets og Rådets forordning (EU) nr. 1093/2010 af 24. november 2010 om oprettelse af en europæisk tilsynsmyndighed (Den Europæiske Banktilsynsmyndighed).</w:t>
            </w:r>
          </w:p>
        </w:tc>
        <w:tc>
          <w:tcPr>
            <w:tcW w:w="4876" w:type="dxa"/>
            <w:tcBorders>
              <w:top w:val="nil"/>
              <w:left w:val="nil"/>
              <w:bottom w:val="nil"/>
              <w:right w:val="nil"/>
            </w:tcBorders>
            <w:hideMark/>
          </w:tcPr>
          <w:p w:rsidR="00365C9B" w:rsidRPr="00B16DFD" w:rsidP="00F61C80" w14:paraId="636B6E1B" w14:textId="77777777">
            <w:pPr>
              <w:pStyle w:val="Normal6a"/>
            </w:pPr>
            <w:r w:rsidRPr="00B16DFD">
              <w:rPr>
                <w:vertAlign w:val="superscript"/>
              </w:rPr>
              <w:t xml:space="preserve">28 </w:t>
            </w:r>
            <w:r w:rsidRPr="00B16DFD">
              <w:t>Europa-Parlamentets og Rådets forordning (EU) nr. 1093/2010 af 24. november 2010 om oprettelse af en europæisk tilsynsmyndighed (Den Europæiske Banktilsynsmyndighed).</w:t>
            </w:r>
          </w:p>
        </w:tc>
      </w:tr>
    </w:tbl>
    <w:p w:rsidR="00365C9B" w:rsidRPr="00734CAA" w:rsidP="00365C9B" w14:paraId="67BBB419"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6F91846" w14:textId="77777777">
      <w:pPr>
        <w:rPr>
          <w:lang w:val="en-GB"/>
        </w:rPr>
      </w:pPr>
      <w:r w:rsidRPr="00734CAA">
        <w:rPr>
          <w:rStyle w:val="HideTWBExt"/>
          <w:color w:val="auto"/>
          <w:lang w:val="en-GB"/>
        </w:rPr>
        <w:t>&lt;/Amend&gt;</w:t>
      </w:r>
    </w:p>
    <w:p w:rsidR="00365C9B" w:rsidRPr="00734CAA" w:rsidP="00365C9B" w14:paraId="475F085F"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339</w:t>
      </w:r>
      <w:r w:rsidRPr="00734CAA">
        <w:rPr>
          <w:rStyle w:val="HideTWBExt"/>
          <w:color w:val="auto"/>
          <w:lang w:val="en-GB"/>
        </w:rPr>
        <w:t>&lt;/NumAm&gt;</w:t>
      </w:r>
    </w:p>
    <w:p w:rsidR="00365C9B" w:rsidRPr="00734CAA" w:rsidP="00365C9B" w14:paraId="23D0EFAB" w14:textId="77777777">
      <w:pPr>
        <w:pStyle w:val="NormalBold"/>
        <w:rPr>
          <w:lang w:val="en-GB"/>
        </w:rPr>
      </w:pPr>
      <w:r w:rsidRPr="00734CAA">
        <w:rPr>
          <w:rStyle w:val="HideTWBExt"/>
          <w:b w:val="0"/>
          <w:color w:val="auto"/>
          <w:lang w:val="en-GB"/>
        </w:rPr>
        <w:t>&lt;RepeatBlock-By&gt;&lt;Members&gt;</w:t>
      </w:r>
      <w:r w:rsidRPr="00734CAA">
        <w:rPr>
          <w:lang w:val="en-GB"/>
        </w:rPr>
        <w:t>Aurore Lalucq, Evelyn Regner, Nikos Papandreou, Claire Fita</w:t>
      </w:r>
      <w:r w:rsidRPr="00734CAA">
        <w:rPr>
          <w:rStyle w:val="HideTWBExt"/>
          <w:b w:val="0"/>
          <w:color w:val="auto"/>
          <w:lang w:val="en-GB"/>
        </w:rPr>
        <w:t>&lt;/Members&gt;</w:t>
      </w:r>
    </w:p>
    <w:p w:rsidR="00365C9B" w:rsidRPr="00B16DFD" w:rsidP="00365C9B" w14:paraId="21872DB8" w14:textId="77777777">
      <w:pPr>
        <w:pStyle w:val="NormalBold"/>
      </w:pPr>
      <w:r w:rsidRPr="00B16DFD">
        <w:rPr>
          <w:rStyle w:val="HideTWBExt"/>
          <w:b w:val="0"/>
          <w:color w:val="auto"/>
        </w:rPr>
        <w:t>&lt;/RepeatBlock-By&gt;</w:t>
      </w:r>
    </w:p>
    <w:p w:rsidR="00365C9B" w:rsidRPr="00B16DFD" w:rsidP="00365C9B" w14:paraId="59F1A0F7"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25B91B9E" w14:textId="77777777">
      <w:pPr>
        <w:pStyle w:val="NormalBold"/>
      </w:pPr>
      <w:r w:rsidRPr="00B16DFD">
        <w:rPr>
          <w:rStyle w:val="HideTWBExt"/>
          <w:color w:val="auto"/>
        </w:rPr>
        <w:t>&lt;Article&gt;</w:t>
      </w:r>
      <w:r w:rsidRPr="00B16DFD">
        <w:t>Betragtning 101</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24CA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96547DA" w14:textId="77777777"/>
        </w:tc>
      </w:tr>
      <w:tr w14:paraId="7740BAA6"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AC3E0C3"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7926BDC" w14:textId="77777777">
            <w:pPr>
              <w:pStyle w:val="AmColumnHeading"/>
            </w:pPr>
            <w:r w:rsidRPr="00B16DFD">
              <w:t>Ændringsforslag</w:t>
            </w:r>
          </w:p>
        </w:tc>
      </w:tr>
      <w:tr w14:paraId="3CA121E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9456972" w14:textId="77777777">
            <w:pPr>
              <w:pStyle w:val="Normal6a"/>
            </w:pPr>
            <w:r w:rsidRPr="00B16DFD">
              <w:t>(101)</w:t>
            </w:r>
            <w:r w:rsidRPr="00B16DFD">
              <w:tab/>
              <w:t>For at sikre ensartet anvendelse af de relevante bestemmelser i forordning (EU) nr. 600/2014 bør Kommissionen tillægges beføjelser til i overensstemmelse med artikel 290 i TEUF og artikel 10-14 i forordning (EU) nr. 1095/2010 at vedtage reguleringsmæssige tekniske standarder udarbejdet af ESMA vedrørende meddelelse af tilladelse til regulerede markeder og PEMO'er og vedrørende driften af markedspladser. For at sikre konsekvent harmonisering af standarder bør Kommissionen desuden tillægges beføjelse til i overensstemmelse med artikel 290 i TEUF og artikel 10-14 i Europa-Parlamentets og Rådets forordning (EU) nr. 1093/2010</w:t>
            </w:r>
            <w:r w:rsidRPr="00B16DFD">
              <w:rPr>
                <w:vertAlign w:val="superscript"/>
              </w:rPr>
              <w:t>28</w:t>
            </w:r>
            <w:r w:rsidRPr="00B16DFD">
              <w:t xml:space="preserve"> og i forordning (EU) nr. 1095/2010 at vedtage reguleringsmæssige tekniske standarder udarbejdet af Den Europæiske Banktilsynsmyndighed ("EBA") og Den Europæiske Værdipapir- og Markedstilsynsmyndighed ("ESMA") for så vidt angår procedurerne for beregning af kriterierne for fastlæggelse af en CSD's signifikans og sættet af data, som EU-CSD'er skal indberette til ESMA med henblik på en sådan beregning, de foranstaltninger, som CSD'er og markedsdeltagere skal træffe for at forebygge afviklingsfejl og øge afviklingseffektiviteten på Unionens kapitalmarkeder, de betingelser, hvorunder en outsourcingaftale skal betragtes som outsourcing af CSD-kerneydelser, de foranstaltninger, som CSD'er skal gennemføre for at afbøde de specifikke risici, der følger af leveringen af CSD-tjenesteydelser ved hjælp af DLT, og risikostyringsforanstaltningerne og de tilsynsmæssige krav med hensyn til afvikling af forretningsbankpenge </w:t>
            </w:r>
            <w:r w:rsidRPr="00B16DFD">
              <w:rPr>
                <w:b/>
                <w:i/>
              </w:rPr>
              <w:t>og e-pengetokens</w:t>
            </w:r>
            <w:r w:rsidRPr="00B16DFD">
              <w:t xml:space="preserve">. For at sikre konsekvent harmonisering af de gebyrer, som ESMA skal opkræve af investeringsinstitutter og FAIF'er i forbindelse med pasordningen og vedligeholdelsen af dataplatformen, bør beføjelsen til at vedtage retsakter desuden delegeres til Kommissionen i </w:t>
            </w:r>
            <w:r w:rsidRPr="00B16DFD">
              <w:t>overensstemmelse med artikel 290 i traktaten om Den Europæiske Unions funktionsmåde for så vidt angår foranstaltninger til præcisering af typen, beløbet, hyppigheden og de nærmere bestemmelser for betaling af disse gebyrer. For at sikre konsekvent harmonisering af markedsføringsmateriale, der stilles til rådighed for investorer, bør beføjelsen til at vedtage retsakter delegeres til Kommissionen i overensstemmelse med artikel 290 i TEUF med henblik på at præcisere indholdet og formatet af markedsføringsmateriale. Det er navnlig vigtigt, at Kommissionen gennemfører relevante høringer under sit forberedende arbejde, herunder på ekspertniveau, og at disse høringer gennemføres i overensstemmelse med principperne i den interinstitutionelle aftale af 13. april 2016 om bedre lovgivning.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 Endelig bør ESMA for at identificere de krav i forordning (EU) nr. 909/2014, der bør finde anvendelse på udbyderne af den DLT-baserede registreringsydelse og centrale forvaltningsydelse, og tilpasse dem til anvendelsen af distributed ledger-teknologi og de særlige karakteristika ved forretningsmodeller, der involverer DLT-notarer og DLT-kontohavere, udarbejde udkast til reguleringsmæssige tekniske standarder for at supplere bestemmelserne i afsnit III i forordning (EU) nr. 909/2014.</w:t>
            </w:r>
          </w:p>
        </w:tc>
        <w:tc>
          <w:tcPr>
            <w:tcW w:w="4876" w:type="dxa"/>
            <w:tcBorders>
              <w:top w:val="nil"/>
              <w:left w:val="nil"/>
              <w:bottom w:val="nil"/>
              <w:right w:val="nil"/>
            </w:tcBorders>
            <w:hideMark/>
          </w:tcPr>
          <w:p w:rsidR="00365C9B" w:rsidRPr="00B16DFD" w:rsidP="00F61C80" w14:paraId="46EAE6B2" w14:textId="77777777">
            <w:pPr>
              <w:pStyle w:val="Normal6a"/>
            </w:pPr>
            <w:r w:rsidRPr="00B16DFD">
              <w:t>(101)</w:t>
            </w:r>
            <w:r w:rsidRPr="00B16DFD">
              <w:tab/>
              <w:t>For at sikre ensartet anvendelse af de relevante bestemmelser i forordning (EU) nr. 600/2014 bør Kommissionen tillægges beføjelser til i overensstemmelse med artikel 290 i TEUF og artikel 10-14 i forordning (EU) nr. 1095/2010 at vedtage reguleringsmæssige tekniske standarder udarbejdet af ESMA vedrørende meddelelse af tilladelse til regulerede markeder og PEMO'er og vedrørende driften af markedspladser. For at sikre konsekvent harmonisering af standarder bør Kommissionen desuden tillægges beføjelse til i overensstemmelse med artikel 290 i TEUF og artikel 10-14 i Europa-Parlamentets og Rådets forordning (EU) nr. 1093/2010</w:t>
            </w:r>
            <w:r w:rsidRPr="00B16DFD">
              <w:rPr>
                <w:vertAlign w:val="superscript"/>
              </w:rPr>
              <w:t>28</w:t>
            </w:r>
            <w:r w:rsidRPr="00B16DFD">
              <w:t xml:space="preserve"> og i forordning (EU) nr. 1095/2010 at vedtage reguleringsmæssige tekniske standarder udarbejdet af Den Europæiske Banktilsynsmyndighed ("EBA") og Den Europæiske Værdipapir- og Markedstilsynsmyndighed ("ESMA") for så vidt angår procedurerne for beregning af kriterierne for fastlæggelse af en CSD's signifikans og sættet af data, som EU-CSD'er skal indberette til ESMA med henblik på en sådan beregning, de foranstaltninger, som CSD'er og markedsdeltagere skal træffe for at forebygge afviklingsfejl og øge afviklingseffektiviteten på Unionens kapitalmarkeder, de betingelser, hvorunder en outsourcingaftale skal betragtes som outsourcing af CSD-kerneydelser, de foranstaltninger, som CSD'er skal gennemføre for at afbøde de specifikke risici, der følger af leveringen af CSD-tjenesteydelser ved hjælp af DLT, og risikostyringsforanstaltningerne og de tilsynsmæssige krav med hensyn til afvikling af forretningsbankpenge. For at sikre konsekvent harmonisering af de gebyrer, som ESMA skal opkræve af investeringsinstitutter og FAIF'er i forbindelse med pasordningen og vedligeholdelsen af dataplatformen, bør beføjelsen til at vedtage retsakter desuden delegeres til Kommissionen i </w:t>
            </w:r>
            <w:r w:rsidRPr="00B16DFD">
              <w:t>overensstemmelse med artikel 290 i traktaten om Den Europæiske Unions funktionsmåde for så vidt angår foranstaltninger til præcisering af typen, beløbet, hyppigheden og de nærmere bestemmelser for betaling af disse gebyrer. For at sikre konsekvent harmonisering af markedsføringsmateriale, der stilles til rådighed for investorer, bør beføjelsen til at vedtage retsakter delegeres til Kommissionen i overensstemmelse med artikel 290 i TEUF med henblik på at præcisere indholdet og formatet af markedsføringsmateriale. Det er navnlig vigtigt, at Kommissionen gennemfører relevante høringer under sit forberedende arbejde, herunder på ekspertniveau, og at disse høringer gennemføres i overensstemmelse med principperne i den interinstitutionelle aftale af 13. april 2016 om bedre lovgivning.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 Endelig bør ESMA for at identificere de krav i forordning (EU) nr. 909/2014, der bør finde anvendelse på udbyderne af den DLT-baserede registreringsydelse og centrale forvaltningsydelse, og tilpasse dem til anvendelsen af distributed ledger-teknologi og de særlige karakteristika ved forretningsmodeller, der involverer DLT-notarer og DLT-kontohavere, udarbejde udkast til reguleringsmæssige tekniske standarder for at supplere bestemmelserne i afsnit III i forordning (EU) nr. 909/2014.</w:t>
            </w:r>
          </w:p>
        </w:tc>
      </w:tr>
      <w:tr w14:paraId="1E067E6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C9EF364" w14:textId="77777777">
            <w:pPr>
              <w:pStyle w:val="Normal6a"/>
            </w:pPr>
            <w:r w:rsidRPr="00B16DFD">
              <w:rPr>
                <w:b/>
                <w:i/>
              </w:rPr>
              <w:t>_________________</w:t>
            </w:r>
          </w:p>
        </w:tc>
        <w:tc>
          <w:tcPr>
            <w:tcW w:w="4876" w:type="dxa"/>
            <w:tcBorders>
              <w:top w:val="nil"/>
              <w:left w:val="nil"/>
              <w:bottom w:val="nil"/>
              <w:right w:val="nil"/>
            </w:tcBorders>
            <w:hideMark/>
          </w:tcPr>
          <w:p w:rsidR="00365C9B" w:rsidRPr="00B16DFD" w:rsidP="00F61C80" w14:paraId="48EBED96" w14:textId="77777777">
            <w:pPr>
              <w:pStyle w:val="Normal6a"/>
            </w:pPr>
            <w:r w:rsidRPr="00B16DFD">
              <w:rPr>
                <w:b/>
                <w:i/>
              </w:rPr>
              <w:t>_________________</w:t>
            </w:r>
          </w:p>
        </w:tc>
      </w:tr>
      <w:tr w14:paraId="7ABE349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A2C8A10" w14:textId="77777777">
            <w:pPr>
              <w:pStyle w:val="Normal6a"/>
            </w:pPr>
            <w:r w:rsidRPr="00B16DFD">
              <w:rPr>
                <w:vertAlign w:val="superscript"/>
              </w:rPr>
              <w:t xml:space="preserve">28 </w:t>
            </w:r>
            <w:r w:rsidRPr="00B16DFD">
              <w:t>Europa-Parlamentets og Rådets forordning (EU) nr. 1093/2010 af 24. november 2010 om oprettelse af en europæisk tilsynsmyndighed (Den Europæiske Banktilsynsmyndighed).</w:t>
            </w:r>
          </w:p>
        </w:tc>
        <w:tc>
          <w:tcPr>
            <w:tcW w:w="4876" w:type="dxa"/>
            <w:tcBorders>
              <w:top w:val="nil"/>
              <w:left w:val="nil"/>
              <w:bottom w:val="nil"/>
              <w:right w:val="nil"/>
            </w:tcBorders>
            <w:hideMark/>
          </w:tcPr>
          <w:p w:rsidR="00365C9B" w:rsidRPr="00B16DFD" w:rsidP="00F61C80" w14:paraId="19B974B0" w14:textId="77777777">
            <w:pPr>
              <w:pStyle w:val="Normal6a"/>
            </w:pPr>
            <w:r w:rsidRPr="00B16DFD">
              <w:rPr>
                <w:vertAlign w:val="superscript"/>
              </w:rPr>
              <w:t xml:space="preserve">28 </w:t>
            </w:r>
            <w:r w:rsidRPr="00B16DFD">
              <w:t>Europa-Parlamentets og Rådets forordning (EU) nr. 1093/2010 af 24. november 2010 om oprettelse af en europæisk tilsynsmyndighed (Den Europæiske Banktilsynsmyndighed).</w:t>
            </w:r>
          </w:p>
        </w:tc>
      </w:tr>
    </w:tbl>
    <w:p w:rsidR="00365C9B" w:rsidRPr="00734CAA" w:rsidP="00365C9B" w14:paraId="6DF37417"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FB99942" w14:textId="77777777">
      <w:pPr>
        <w:rPr>
          <w:lang w:val="en-GB"/>
        </w:rPr>
      </w:pPr>
      <w:r w:rsidRPr="00734CAA">
        <w:rPr>
          <w:rStyle w:val="HideTWBExt"/>
          <w:color w:val="auto"/>
          <w:lang w:val="en-GB"/>
        </w:rPr>
        <w:t>&lt;/Amend&gt;</w:t>
      </w:r>
    </w:p>
    <w:p w:rsidR="00365C9B" w:rsidRPr="00734CAA" w:rsidP="00365C9B" w14:paraId="22826862"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340</w:t>
      </w:r>
      <w:r w:rsidRPr="00734CAA">
        <w:rPr>
          <w:rStyle w:val="HideTWBExt"/>
          <w:color w:val="auto"/>
          <w:lang w:val="en-GB"/>
        </w:rPr>
        <w:t>&lt;/NumAm&gt;</w:t>
      </w:r>
    </w:p>
    <w:p w:rsidR="00365C9B" w:rsidRPr="00734CAA" w:rsidP="00365C9B" w14:paraId="7FEB33B1" w14:textId="77777777">
      <w:pPr>
        <w:pStyle w:val="NormalBold"/>
        <w:rPr>
          <w:lang w:val="en-GB"/>
        </w:rPr>
      </w:pPr>
      <w:r w:rsidRPr="00734CAA">
        <w:rPr>
          <w:rStyle w:val="HideTWBExt"/>
          <w:b w:val="0"/>
          <w:color w:val="auto"/>
          <w:lang w:val="en-GB"/>
        </w:rPr>
        <w:t>&lt;RepeatBlock-By&gt;&lt;Members&gt;</w:t>
      </w:r>
      <w:r w:rsidRPr="00734CAA">
        <w:rPr>
          <w:lang w:val="en-GB"/>
        </w:rPr>
        <w:t>Gaetano Pedulla', Pasquale Tridico</w:t>
      </w:r>
      <w:r w:rsidRPr="00734CAA">
        <w:rPr>
          <w:rStyle w:val="HideTWBExt"/>
          <w:b w:val="0"/>
          <w:color w:val="auto"/>
          <w:lang w:val="en-GB"/>
        </w:rPr>
        <w:t>&lt;/Members&gt;</w:t>
      </w:r>
    </w:p>
    <w:p w:rsidR="00365C9B" w:rsidRPr="00B16DFD" w:rsidP="00365C9B" w14:paraId="7D2B0110" w14:textId="77777777">
      <w:pPr>
        <w:pStyle w:val="NormalBold"/>
      </w:pPr>
      <w:r w:rsidRPr="00B16DFD">
        <w:rPr>
          <w:rStyle w:val="HideTWBExt"/>
          <w:b w:val="0"/>
          <w:color w:val="auto"/>
        </w:rPr>
        <w:t>&lt;/RepeatBlock-By&gt;</w:t>
      </w:r>
    </w:p>
    <w:p w:rsidR="00365C9B" w:rsidRPr="00B16DFD" w:rsidP="00365C9B" w14:paraId="75D4B51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7C339A40" w14:textId="77777777">
      <w:pPr>
        <w:pStyle w:val="NormalBold"/>
        <w:rPr>
          <w:lang w:val="en-GB"/>
        </w:rPr>
      </w:pPr>
      <w:r w:rsidRPr="00734CAA">
        <w:rPr>
          <w:rStyle w:val="HideTWBExt"/>
          <w:color w:val="auto"/>
          <w:lang w:val="en-GB"/>
        </w:rPr>
        <w:t>&lt;Article&gt;</w:t>
      </w:r>
      <w:r w:rsidRPr="00734CAA">
        <w:rPr>
          <w:lang w:val="en-GB"/>
        </w:rPr>
        <w:t>Betragtning 101 a (ny)</w:t>
      </w:r>
      <w:r w:rsidRPr="00734CAA">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D32EC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62B18F4C" w14:textId="77777777">
            <w:pPr>
              <w:rPr>
                <w:lang w:val="en-GB"/>
              </w:rPr>
            </w:pPr>
          </w:p>
        </w:tc>
      </w:tr>
      <w:tr w14:paraId="72612162"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0B7404B"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12A6493" w14:textId="77777777">
            <w:pPr>
              <w:pStyle w:val="AmColumnHeading"/>
            </w:pPr>
            <w:r w:rsidRPr="00B16DFD">
              <w:t>Ændringsforslag</w:t>
            </w:r>
          </w:p>
        </w:tc>
      </w:tr>
      <w:tr w14:paraId="63C98FF2"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134A9F78" w14:textId="77777777">
            <w:pPr>
              <w:pStyle w:val="Normal6a"/>
            </w:pPr>
          </w:p>
        </w:tc>
        <w:tc>
          <w:tcPr>
            <w:tcW w:w="4876" w:type="dxa"/>
            <w:tcBorders>
              <w:top w:val="nil"/>
              <w:left w:val="nil"/>
              <w:bottom w:val="nil"/>
              <w:right w:val="nil"/>
            </w:tcBorders>
            <w:hideMark/>
          </w:tcPr>
          <w:p w:rsidR="00365C9B" w:rsidRPr="00B16DFD" w:rsidP="00F61C80" w14:paraId="30D4839B" w14:textId="261ABB55">
            <w:pPr>
              <w:pStyle w:val="Normal6a"/>
            </w:pPr>
            <w:r w:rsidRPr="00B16DFD">
              <w:rPr>
                <w:b/>
                <w:i/>
              </w:rPr>
              <w:t>(101a)</w:t>
            </w:r>
            <w:r w:rsidRPr="00B16DFD">
              <w:tab/>
            </w:r>
            <w:r w:rsidRPr="00B16DFD">
              <w:rPr>
                <w:b/>
                <w:i/>
              </w:rPr>
              <w:t xml:space="preserve">Spredningen af globale stablecoins udstedt eller støttet af reservestrukturer i tredjelande </w:t>
            </w:r>
            <w:r w:rsidR="00734CAA">
              <w:rPr>
                <w:b/>
                <w:i/>
              </w:rPr>
              <w:t>frembyder</w:t>
            </w:r>
            <w:r w:rsidRPr="00B16DFD">
              <w:rPr>
                <w:b/>
                <w:i/>
              </w:rPr>
              <w:t xml:space="preserve"> </w:t>
            </w:r>
            <w:r w:rsidR="00734CAA">
              <w:rPr>
                <w:b/>
                <w:i/>
              </w:rPr>
              <w:t>alvorlige</w:t>
            </w:r>
            <w:r w:rsidRPr="00B16DFD" w:rsidR="00734CAA">
              <w:rPr>
                <w:b/>
                <w:i/>
              </w:rPr>
              <w:t xml:space="preserve"> </w:t>
            </w:r>
            <w:r w:rsidRPr="00B16DFD">
              <w:rPr>
                <w:b/>
                <w:i/>
              </w:rPr>
              <w:t>risici for Unionens finansielle stabilitet og monetære suverænitet. For at undgå, at "offshore"-udstedelse får systemiske "onshore"-virkninger uden tilstrækkeligt EU-tilsyn, er det nødvendigt at begrænse udbuddet af sådanne tokens til detailinvestorer, medmindre de opfylder strenge EU-baserede tilsyns- og forvaltningsstandarder, herunder kravet om, at reserveaktiver skal opbevares i Unionen og være underlagt EU-retten.</w:t>
            </w:r>
          </w:p>
        </w:tc>
      </w:tr>
    </w:tbl>
    <w:p w:rsidR="00365C9B" w:rsidRPr="00734CAA" w:rsidP="00365C9B" w14:paraId="46A4316C"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408D567" w14:textId="77777777">
      <w:pPr>
        <w:rPr>
          <w:lang w:val="en-GB"/>
        </w:rPr>
      </w:pPr>
      <w:r w:rsidRPr="00734CAA">
        <w:rPr>
          <w:rStyle w:val="HideTWBExt"/>
          <w:color w:val="auto"/>
          <w:lang w:val="en-GB"/>
        </w:rPr>
        <w:t>&lt;/Amend&gt;</w:t>
      </w:r>
    </w:p>
    <w:p w:rsidR="00365C9B" w:rsidRPr="00734CAA" w:rsidP="00365C9B" w14:paraId="7B75290A"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341</w:t>
      </w:r>
      <w:r w:rsidRPr="00734CAA">
        <w:rPr>
          <w:rStyle w:val="HideTWBExt"/>
          <w:color w:val="auto"/>
          <w:lang w:val="en-GB"/>
        </w:rPr>
        <w:t>&lt;/NumAm&gt;</w:t>
      </w:r>
    </w:p>
    <w:p w:rsidR="00365C9B" w:rsidRPr="00734CAA" w:rsidP="00365C9B" w14:paraId="58B46F2D"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1D19E5A5"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058BABAF" w14:textId="77777777">
      <w:pPr>
        <w:pStyle w:val="NormalBold"/>
        <w:rPr>
          <w:lang w:val="en-GB"/>
        </w:rPr>
      </w:pPr>
      <w:r w:rsidRPr="00734CAA">
        <w:rPr>
          <w:rStyle w:val="HideTWBExt"/>
          <w:b w:val="0"/>
          <w:color w:val="auto"/>
          <w:lang w:val="en-GB"/>
        </w:rPr>
        <w:t>&lt;/RepeatBlock-By&gt;</w:t>
      </w:r>
    </w:p>
    <w:p w:rsidR="00365C9B" w:rsidRPr="00734CAA" w:rsidP="00365C9B" w14:paraId="5A4609A7"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4BED2488" w14:textId="77777777">
      <w:pPr>
        <w:pStyle w:val="NormalBold"/>
      </w:pPr>
      <w:r w:rsidRPr="00B16DFD">
        <w:rPr>
          <w:rStyle w:val="HideTWBExt"/>
          <w:color w:val="auto"/>
        </w:rPr>
        <w:t>&lt;Article&gt;</w:t>
      </w:r>
      <w:r w:rsidRPr="00B16DFD">
        <w:t>Betragtning 105</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22995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39F5F94" w14:textId="77777777"/>
        </w:tc>
      </w:tr>
      <w:tr w14:paraId="22A0A085"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E62748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21C4C1C" w14:textId="77777777">
            <w:pPr>
              <w:pStyle w:val="AmColumnHeading"/>
            </w:pPr>
            <w:r w:rsidRPr="00B16DFD">
              <w:t>Ændringsforslag</w:t>
            </w:r>
          </w:p>
        </w:tc>
      </w:tr>
      <w:tr w14:paraId="5B3C876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73AD9B3" w14:textId="77777777">
            <w:pPr>
              <w:pStyle w:val="Normal6a"/>
            </w:pPr>
            <w:r w:rsidRPr="00B16DFD">
              <w:t>(105)</w:t>
            </w:r>
            <w:r w:rsidRPr="00B16DFD">
              <w:tab/>
              <w:t>For at sikre overensstemmelse med ændringerne af forordning (EU) nr. 1095/2010 bør ændringerne af forordning (EU) nr. 648/2012 finde anvendelse 12 måneder efter nærværende forordnings ikrafttræden.</w:t>
            </w:r>
            <w:r w:rsidRPr="00B16DFD">
              <w:rPr>
                <w:b/>
                <w:i/>
              </w:rPr>
              <w:t xml:space="preserve"> For at sætte ESMA i stand til at begynde at vurdere, om en CCP er en signifikant CCP, inden forpligtelserne for signifikante CCP'er begynder at finde </w:t>
            </w:r>
            <w:r w:rsidRPr="00B16DFD">
              <w:rPr>
                <w:b/>
                <w:i/>
              </w:rPr>
              <w:t>anvendelse, bør de bestemmelser, der vedrører denne vurdering, imidlertid begynde at finde anvendelse fra datoen for denne forordnings ikrafttræden.</w:t>
            </w:r>
            <w:r w:rsidRPr="00B16DFD">
              <w:t xml:space="preserve"> For at give ESMA mulighed for gradvist at indfase det nye tilsynsansvar og etablere den nødvendige kapacitet og de nødvendige samarbejdsrammer bør de ændringer af forordning (EU) nr. 909/2014, der vedrører tilsyn med </w:t>
            </w:r>
            <w:r w:rsidRPr="00B16DFD">
              <w:rPr>
                <w:b/>
                <w:i/>
              </w:rPr>
              <w:t>signifikante</w:t>
            </w:r>
            <w:r w:rsidRPr="00B16DFD">
              <w:t xml:space="preserve"> CSD'er, finde anvendelse 24 måneder efter nærværende forordnings ikrafttræden. </w:t>
            </w:r>
            <w:r w:rsidRPr="00B16DFD">
              <w:rPr>
                <w:b/>
                <w:i/>
              </w:rPr>
              <w:t>For at sætte ESMA i stand til at begynde at vurdere, om en CSD er en signifikant CSD, inden forpligtelserne for signifikante CCP'er begynder at finde anvendelse, bør de bestemmelser, der vedrører denne vurdering, imidlertid finde anvendelse fra datoen for denne forordnings ikrafttræden.</w:t>
            </w:r>
          </w:p>
        </w:tc>
        <w:tc>
          <w:tcPr>
            <w:tcW w:w="4876" w:type="dxa"/>
            <w:tcBorders>
              <w:top w:val="nil"/>
              <w:left w:val="nil"/>
              <w:bottom w:val="nil"/>
              <w:right w:val="nil"/>
            </w:tcBorders>
            <w:hideMark/>
          </w:tcPr>
          <w:p w:rsidR="00365C9B" w:rsidRPr="00B16DFD" w:rsidP="00F61C80" w14:paraId="77BE5129" w14:textId="77777777">
            <w:pPr>
              <w:pStyle w:val="Normal6a"/>
            </w:pPr>
            <w:r w:rsidRPr="00B16DFD">
              <w:t>(105)</w:t>
            </w:r>
            <w:r w:rsidRPr="00B16DFD">
              <w:tab/>
              <w:t xml:space="preserve">For at sikre overensstemmelse med ændringerne af forordning (EU) nr. 1095/2010 bør ændringerne af forordning (EU) nr. 648/2012 finde anvendelse 12 måneder efter nærværende forordnings ikrafttræden. For at give ESMA mulighed for gradvist at indfase det nye tilsynsansvar og etablere den nødvendige kapacitet og de nødvendige samarbejdsrammer bør de </w:t>
            </w:r>
            <w:r w:rsidRPr="00B16DFD">
              <w:t>ændringer af forordning (EU) nr. 909/2014, der vedrører tilsyn med CSD'er, finde anvendelse 24 måneder efter nærværende forordnings ikrafttræden.</w:t>
            </w:r>
          </w:p>
        </w:tc>
      </w:tr>
    </w:tbl>
    <w:p w:rsidR="00365C9B" w:rsidRPr="00734CAA" w:rsidP="00365C9B" w14:paraId="3C228D3F"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4919124" w14:textId="77777777">
      <w:pPr>
        <w:rPr>
          <w:lang w:val="en-GB"/>
        </w:rPr>
      </w:pPr>
      <w:r w:rsidRPr="00734CAA">
        <w:rPr>
          <w:rStyle w:val="HideTWBExt"/>
          <w:color w:val="auto"/>
          <w:lang w:val="en-GB"/>
        </w:rPr>
        <w:t>&lt;/Amend&gt;</w:t>
      </w:r>
    </w:p>
    <w:p w:rsidR="00365C9B" w:rsidRPr="00734CAA" w:rsidP="00365C9B" w14:paraId="579AB84D"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342</w:t>
      </w:r>
      <w:r w:rsidRPr="00734CAA">
        <w:rPr>
          <w:rStyle w:val="HideTWBExt"/>
          <w:color w:val="auto"/>
          <w:lang w:val="en-GB"/>
        </w:rPr>
        <w:t>&lt;/NumAm&gt;</w:t>
      </w:r>
    </w:p>
    <w:p w:rsidR="00365C9B" w:rsidRPr="00734CAA" w:rsidP="00365C9B" w14:paraId="659D53A3"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Nikos Papandreou</w:t>
      </w:r>
      <w:r w:rsidRPr="00734CAA">
        <w:rPr>
          <w:rStyle w:val="HideTWBExt"/>
          <w:b w:val="0"/>
          <w:color w:val="auto"/>
          <w:lang w:val="en-GB"/>
        </w:rPr>
        <w:t>&lt;/Members&gt;</w:t>
      </w:r>
    </w:p>
    <w:p w:rsidR="00365C9B" w:rsidRPr="00B16DFD" w:rsidP="00365C9B" w14:paraId="5F9E831B" w14:textId="77777777">
      <w:pPr>
        <w:pStyle w:val="NormalBold"/>
      </w:pPr>
      <w:r w:rsidRPr="00B16DFD">
        <w:rPr>
          <w:rStyle w:val="HideTWBExt"/>
          <w:b w:val="0"/>
          <w:color w:val="auto"/>
        </w:rPr>
        <w:t>&lt;/RepeatBlock-By&gt;</w:t>
      </w:r>
    </w:p>
    <w:p w:rsidR="00365C9B" w:rsidRPr="00B16DFD" w:rsidP="00365C9B" w14:paraId="5F189C6A"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4E358724" w14:textId="77777777">
      <w:pPr>
        <w:pStyle w:val="NormalBold"/>
      </w:pPr>
      <w:r w:rsidRPr="00B16DFD">
        <w:rPr>
          <w:rStyle w:val="HideTWBExt"/>
          <w:color w:val="auto"/>
        </w:rPr>
        <w:t>&lt;Article&gt;</w:t>
      </w:r>
      <w:r w:rsidRPr="00B16DFD">
        <w:t>Betragtning 106</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4030D1"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68E5AD9" w14:textId="77777777"/>
        </w:tc>
      </w:tr>
      <w:tr w14:paraId="3F1A55F2"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F9D90AE"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AC41304" w14:textId="77777777">
            <w:pPr>
              <w:pStyle w:val="AmColumnHeading"/>
            </w:pPr>
            <w:r w:rsidRPr="00B16DFD">
              <w:t>Ændringsforslag</w:t>
            </w:r>
          </w:p>
        </w:tc>
      </w:tr>
      <w:tr w14:paraId="58C26B6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060086B" w14:textId="77777777">
            <w:pPr>
              <w:pStyle w:val="Normal6a"/>
            </w:pPr>
            <w:r w:rsidRPr="00B16DFD">
              <w:t>(106)</w:t>
            </w:r>
            <w:r w:rsidRPr="00B16DFD">
              <w:tab/>
            </w:r>
            <w:r w:rsidRPr="00B16DFD">
              <w:rPr>
                <w:b/>
                <w:i/>
              </w:rPr>
              <w:t xml:space="preserve">Af hensyn til retssikkerheden og for at undgå forstyrrelser i etableringen af konsolideret løbende handelsinformation for aktier og ETF'er ved den første CTP, der er meddelt tilladelse i overensstemmelse med artikel 27db i forordning (EU) nr. 600/2014, bør </w:t>
            </w:r>
            <w:r w:rsidRPr="00B16DFD">
              <w:t xml:space="preserve">de ændringer af nævnte forordning, der vedrører konsolideret løbende handelsinformation for aktier og ETF'er, finde anvendelse fra den [Publikationskontoret: Indsæt dato = </w:t>
            </w:r>
            <w:r w:rsidRPr="00B16DFD">
              <w:rPr>
                <w:b/>
                <w:i/>
              </w:rPr>
              <w:t xml:space="preserve">dagen efter udløbet af den første periode på fem år, der er omhandlet i artikel 27da i forordning (EU) nr. 600/2014, for så vidt </w:t>
            </w:r>
            <w:r w:rsidRPr="00B16DFD">
              <w:rPr>
                <w:b/>
                <w:i/>
              </w:rPr>
              <w:t>angår CTP'en for aktier og ETF'er]</w:t>
            </w:r>
            <w:r w:rsidRPr="00B16DFD">
              <w:t>. For at sikre overensstemmelse med ændringerne af forordning (EU) nr. 1095/2010 bør de ændringer af forordning (EU) nr. 600/2014, der vedrører ESMA's beføjelser, finde anvendelse 12 måneder efter nærværende forordnings ikrafttræden. For at give tilstrækkelig tid til at forberede overførslen fra de nationale kompetente myndigheder til ESMA af kompetencer og opgaver med hensyn til de relevante markedspladser bør ESMA blive den kompetente myndighed for de pågældende enheder 24 måneder efter denne forordnings ikrafttræden.</w:t>
            </w:r>
          </w:p>
        </w:tc>
        <w:tc>
          <w:tcPr>
            <w:tcW w:w="4876" w:type="dxa"/>
            <w:tcBorders>
              <w:top w:val="nil"/>
              <w:left w:val="nil"/>
              <w:bottom w:val="nil"/>
              <w:right w:val="nil"/>
            </w:tcBorders>
            <w:hideMark/>
          </w:tcPr>
          <w:p w:rsidR="00365C9B" w:rsidRPr="00B16DFD" w:rsidP="00F61C80" w14:paraId="2F2FD31A" w14:textId="77777777">
            <w:pPr>
              <w:pStyle w:val="Normal6a"/>
            </w:pPr>
            <w:r w:rsidRPr="00B16DFD">
              <w:t>(106)</w:t>
            </w:r>
            <w:r w:rsidRPr="00B16DFD">
              <w:tab/>
              <w:t xml:space="preserve">De ændringer af nævnte forordning, der vedrører konsolideret løbende handelsinformation for aktier og ETF'er, </w:t>
            </w:r>
            <w:r w:rsidRPr="00B16DFD">
              <w:rPr>
                <w:b/>
                <w:i/>
              </w:rPr>
              <w:t>bør</w:t>
            </w:r>
            <w:r w:rsidRPr="00B16DFD">
              <w:t xml:space="preserve"> finde anvendelse fra den [Publikationskontoret: Indsæt dato = </w:t>
            </w:r>
            <w:r w:rsidRPr="00B16DFD">
              <w:rPr>
                <w:b/>
                <w:i/>
              </w:rPr>
              <w:t>12 måneder efter datoen for denne forordnings ikrafttræden</w:t>
            </w:r>
            <w:r w:rsidRPr="00B16DFD">
              <w:t xml:space="preserve">. For at sikre overensstemmelse med ændringerne af forordning (EU) nr. 1095/2010 bør de ændringer af forordning (EU) nr. 600/2014, der vedrører ESMA's beføjelser, finde anvendelse 12 måneder efter nærværende forordnings ikrafttræden. For at give tilstrækkelig tid til at forberede overførslen fra de nationale kompetente myndigheder </w:t>
            </w:r>
            <w:r w:rsidRPr="00B16DFD">
              <w:t>til ESMA af kompetencer og opgaver med hensyn til de relevante markedspladser bør ESMA blive den kompetente myndighed for de pågældende enheder 24 måneder efter denne forordnings ikrafttræden.</w:t>
            </w:r>
          </w:p>
        </w:tc>
      </w:tr>
    </w:tbl>
    <w:p w:rsidR="00365C9B" w:rsidRPr="00734CAA" w:rsidP="00365C9B" w14:paraId="359E4766"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425E1C2" w14:textId="77777777">
      <w:pPr>
        <w:rPr>
          <w:lang w:val="en-GB"/>
        </w:rPr>
      </w:pPr>
      <w:r w:rsidRPr="00734CAA">
        <w:rPr>
          <w:rStyle w:val="HideTWBExt"/>
          <w:color w:val="auto"/>
          <w:lang w:val="en-GB"/>
        </w:rPr>
        <w:t>&lt;/Amend&gt;</w:t>
      </w:r>
    </w:p>
    <w:p w:rsidR="00365C9B" w:rsidRPr="00734CAA" w:rsidP="00365C9B" w14:paraId="4A7B1721"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343</w:t>
      </w:r>
      <w:r w:rsidRPr="00734CAA">
        <w:rPr>
          <w:rStyle w:val="HideTWBExt"/>
          <w:color w:val="auto"/>
          <w:lang w:val="en-GB"/>
        </w:rPr>
        <w:t>&lt;/NumAm&gt;</w:t>
      </w:r>
    </w:p>
    <w:p w:rsidR="00365C9B" w:rsidRPr="00734CAA" w:rsidP="00365C9B" w14:paraId="6F332A92"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18F51E39"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0E953BDD" w14:textId="77777777">
      <w:pPr>
        <w:pStyle w:val="NormalBold"/>
        <w:rPr>
          <w:lang w:val="en-GB"/>
        </w:rPr>
      </w:pPr>
      <w:r w:rsidRPr="00734CAA">
        <w:rPr>
          <w:rStyle w:val="HideTWBExt"/>
          <w:b w:val="0"/>
          <w:color w:val="auto"/>
          <w:lang w:val="en-GB"/>
        </w:rPr>
        <w:t>&lt;/RepeatBlock-By&gt;</w:t>
      </w:r>
    </w:p>
    <w:p w:rsidR="00365C9B" w:rsidRPr="00734CAA" w:rsidP="00365C9B" w14:paraId="0E2647E2"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B16DFD" w:rsidP="00365C9B" w14:paraId="6DA05E39" w14:textId="77777777">
      <w:pPr>
        <w:pStyle w:val="NormalBold"/>
      </w:pPr>
      <w:r w:rsidRPr="00B16DFD">
        <w:rPr>
          <w:rStyle w:val="HideTWBExt"/>
          <w:color w:val="auto"/>
        </w:rPr>
        <w:t>&lt;Article&gt;</w:t>
      </w:r>
      <w:r w:rsidRPr="00B16DFD">
        <w:t>Betragtning 106</w:t>
      </w:r>
      <w:r w:rsidRPr="00B16DF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8F9AAC"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C4BA898" w14:textId="77777777"/>
        </w:tc>
      </w:tr>
      <w:tr w14:paraId="583019F6"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92D8EF4"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3D1F1A4" w14:textId="77777777">
            <w:pPr>
              <w:pStyle w:val="AmColumnHeading"/>
            </w:pPr>
            <w:r w:rsidRPr="00B16DFD">
              <w:t>Ændringsforslag</w:t>
            </w:r>
          </w:p>
        </w:tc>
      </w:tr>
      <w:tr w14:paraId="61719D0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860D619" w14:textId="77777777">
            <w:pPr>
              <w:pStyle w:val="Normal6a"/>
            </w:pPr>
            <w:r w:rsidRPr="00B16DFD">
              <w:t>(106)</w:t>
            </w:r>
            <w:r w:rsidRPr="00B16DFD">
              <w:tab/>
              <w:t xml:space="preserve">Af hensyn til retssikkerheden og for at undgå forstyrrelser i etableringen af konsolideret løbende handelsinformation for aktier og ETF'er ved den første CTP, der er meddelt tilladelse i overensstemmelse med artikel 27db i forordning (EU) nr. 600/2014, bør de ændringer af nævnte forordning, der vedrører konsolideret løbende handelsinformation for aktier og ETF'er, finde anvendelse fra den [Publikationskontoret: Indsæt dato = dagen efter udløbet af den første periode på fem år, der er omhandlet i artikel 27da i forordning (EU) nr. 600/2014, for så vidt angår CTP'en for aktier og ETF'er]. For at sikre overensstemmelse med ændringerne af forordning (EU) nr. 1095/2010 bør de ændringer af forordning (EU) nr. 600/2014, der vedrører ESMA's beføjelser, finde </w:t>
            </w:r>
            <w:r w:rsidRPr="00B16DFD">
              <w:t xml:space="preserve">anvendelse 12 måneder efter nærværende forordnings ikrafttræden. For at give tilstrækkelig tid til at forberede overførslen fra de nationale kompetente myndigheder til ESMA af kompetencer og opgaver med hensyn til </w:t>
            </w:r>
            <w:r w:rsidRPr="00B16DFD">
              <w:rPr>
                <w:b/>
                <w:i/>
              </w:rPr>
              <w:t xml:space="preserve">de relevante markedspladser </w:t>
            </w:r>
            <w:r w:rsidRPr="00B16DFD">
              <w:t>bør ESMA blive den kompetente myndighed for de pågældende enheder 24 måneder efter denne forordnings ikrafttræden.</w:t>
            </w:r>
          </w:p>
        </w:tc>
        <w:tc>
          <w:tcPr>
            <w:tcW w:w="4876" w:type="dxa"/>
            <w:tcBorders>
              <w:top w:val="nil"/>
              <w:left w:val="nil"/>
              <w:bottom w:val="nil"/>
              <w:right w:val="nil"/>
            </w:tcBorders>
            <w:hideMark/>
          </w:tcPr>
          <w:p w:rsidR="00365C9B" w:rsidRPr="00B16DFD" w:rsidP="00F61C80" w14:paraId="46024DDB" w14:textId="77777777">
            <w:pPr>
              <w:pStyle w:val="Normal6a"/>
            </w:pPr>
            <w:r w:rsidRPr="00B16DFD">
              <w:t>(106)</w:t>
            </w:r>
            <w:r w:rsidRPr="00B16DFD">
              <w:tab/>
              <w:t xml:space="preserve">Af hensyn til retssikkerheden og for at undgå forstyrrelser i etableringen af konsolideret løbende handelsinformation for aktier og ETF'er ved den første CTP, der er meddelt tilladelse i overensstemmelse med artikel 27db i forordning (EU) nr. 600/2014, bør de ændringer af nævnte forordning, der vedrører konsolideret løbende handelsinformation for aktier og ETF'er, finde anvendelse fra den [Publikationskontoret: Indsæt dato = dagen efter udløbet af den første periode på fem år, der er omhandlet i artikel 27da i forordning (EU) nr. 600/2014, for så vidt angår CTP'en for aktier og ETF'er]. For at sikre overensstemmelse med ændringerne af forordning (EU) nr. 1095/2010 bør de ændringer af forordning (EU) nr. 600/2014, der vedrører ESMA's beføjelser, finde </w:t>
            </w:r>
            <w:r w:rsidRPr="00B16DFD">
              <w:t xml:space="preserve">anvendelse 12 måneder efter nærværende forordnings ikrafttræden. For at give tilstrækkelig tid til at forberede overførslen fra de nationale kompetente myndigheder til ESMA af kompetencer og opgaver med hensyn til </w:t>
            </w:r>
            <w:r w:rsidRPr="00B16DFD">
              <w:rPr>
                <w:b/>
                <w:bCs/>
                <w:i/>
                <w:iCs/>
              </w:rPr>
              <w:t>markedspladserne</w:t>
            </w:r>
            <w:r w:rsidRPr="00B16DFD">
              <w:t xml:space="preserve"> bør ESMA blive den kompetente myndighed for de pågældende enheder 24 måneder efter denne forordnings ikrafttræden.</w:t>
            </w:r>
          </w:p>
        </w:tc>
      </w:tr>
    </w:tbl>
    <w:p w:rsidR="00365C9B" w:rsidRPr="00734CAA" w:rsidP="00365C9B" w14:paraId="5EA2FB66"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D9365AD" w14:textId="77777777">
      <w:pPr>
        <w:rPr>
          <w:lang w:val="en-GB"/>
        </w:rPr>
      </w:pPr>
      <w:r w:rsidRPr="00734CAA">
        <w:rPr>
          <w:rStyle w:val="HideTWBExt"/>
          <w:color w:val="auto"/>
          <w:lang w:val="en-GB"/>
        </w:rPr>
        <w:t>&lt;/Amend&gt;</w:t>
      </w:r>
    </w:p>
    <w:p w:rsidR="00365C9B" w:rsidRPr="00734CAA" w:rsidP="00365C9B" w14:paraId="6C37E4EB"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344</w:t>
      </w:r>
      <w:r w:rsidRPr="00734CAA">
        <w:rPr>
          <w:rStyle w:val="HideTWBExt"/>
          <w:color w:val="auto"/>
          <w:lang w:val="en-GB"/>
        </w:rPr>
        <w:t>&lt;/NumAm&gt;</w:t>
      </w:r>
    </w:p>
    <w:p w:rsidR="00365C9B" w:rsidRPr="00734CAA" w:rsidP="00365C9B" w14:paraId="375600DC"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796BCA91"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374703EE" w14:textId="77777777">
      <w:pPr>
        <w:pStyle w:val="NormalBold"/>
        <w:rPr>
          <w:lang w:val="en-GB"/>
        </w:rPr>
      </w:pPr>
      <w:r w:rsidRPr="00734CAA">
        <w:rPr>
          <w:rStyle w:val="HideTWBExt"/>
          <w:b w:val="0"/>
          <w:color w:val="auto"/>
          <w:lang w:val="en-GB"/>
        </w:rPr>
        <w:t>&lt;/RepeatBlock-By&gt;</w:t>
      </w:r>
    </w:p>
    <w:p w:rsidR="00365C9B" w:rsidRPr="00734CAA" w:rsidP="00365C9B" w14:paraId="3A6E80A0"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734CAA" w:rsidP="00365C9B" w14:paraId="3C4958AF" w14:textId="77777777">
      <w:pPr>
        <w:pStyle w:val="NormalBold"/>
        <w:rPr>
          <w:lang w:val="fr-FR"/>
        </w:rPr>
      </w:pPr>
      <w:r w:rsidRPr="00734CAA">
        <w:rPr>
          <w:rStyle w:val="HideTWBExt"/>
          <w:color w:val="auto"/>
          <w:lang w:val="fr-FR"/>
        </w:rPr>
        <w:t>&lt;Article&gt;</w:t>
      </w:r>
      <w:r w:rsidRPr="00734CAA">
        <w:rPr>
          <w:lang w:val="fr-FR"/>
        </w:rPr>
        <w:t>Artikel 1 – stk. 1 – nr. 1 – litra a</w:t>
      </w:r>
      <w:r w:rsidRPr="00734CAA">
        <w:rPr>
          <w:rStyle w:val="HideTWBExt"/>
          <w:color w:val="auto"/>
          <w:lang w:val="fr-FR"/>
        </w:rPr>
        <w:t>&lt;/Article&gt;</w:t>
      </w:r>
    </w:p>
    <w:p w:rsidR="00365C9B" w:rsidRPr="00B16DFD" w:rsidP="00365C9B" w14:paraId="64DC1441"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6A01E3EB" w14:textId="77777777">
      <w:r w:rsidRPr="00B16DFD">
        <w:rPr>
          <w:rStyle w:val="HideTWBExt"/>
          <w:color w:val="auto"/>
        </w:rPr>
        <w:t>&lt;Article2&gt;</w:t>
      </w:r>
      <w:r w:rsidRPr="00B16DFD">
        <w:t>Artikel 1 – stk. 3b</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EF3C9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5919432" w14:textId="77777777"/>
        </w:tc>
      </w:tr>
      <w:tr w14:paraId="7038D7D2"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0F48BC8"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0A33519" w14:textId="77777777">
            <w:pPr>
              <w:pStyle w:val="AmColumnHeading"/>
            </w:pPr>
            <w:r w:rsidRPr="00B16DFD">
              <w:t>Ændringsforslag</w:t>
            </w:r>
          </w:p>
        </w:tc>
      </w:tr>
      <w:tr w14:paraId="42BAD74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FBC8807" w14:textId="01B4AA88">
            <w:pPr>
              <w:pStyle w:val="Normal6a"/>
            </w:pPr>
            <w:r w:rsidRPr="00B16DFD">
              <w:t>3b.</w:t>
            </w:r>
            <w:r w:rsidRPr="00B16DFD">
              <w:tab/>
              <w:t>Myndigheden udøver beføjelser over for visse deltagere på</w:t>
            </w:r>
            <w:r w:rsidR="00CB6039">
              <w:t xml:space="preserve"> finansmarked</w:t>
            </w:r>
            <w:r w:rsidR="00242139">
              <w:t>et</w:t>
            </w:r>
            <w:r w:rsidRPr="00B16DFD">
              <w:t xml:space="preserve"> i overensstemmelse med denne forordning og andre EU-retsakter. Sådanne beføjelser omfatter, når de er tillagt ved denne forordning og andre EU-retsakter, registrering, tilladelse, anerkendelse, løbende tilsyn, undersøgelse, herunder beføjelse til at foretage kontrolbesøg på stedet, og håndhævelse over for disse enheder.".</w:t>
            </w:r>
          </w:p>
        </w:tc>
        <w:tc>
          <w:tcPr>
            <w:tcW w:w="4876" w:type="dxa"/>
            <w:tcBorders>
              <w:top w:val="nil"/>
              <w:left w:val="nil"/>
              <w:bottom w:val="nil"/>
              <w:right w:val="nil"/>
            </w:tcBorders>
            <w:hideMark/>
          </w:tcPr>
          <w:p w:rsidR="00365C9B" w:rsidRPr="00B16DFD" w:rsidP="00F61C80" w14:paraId="0EBB4E63" w14:textId="6E4CC4DA">
            <w:pPr>
              <w:pStyle w:val="Normal6a"/>
            </w:pPr>
            <w:r w:rsidRPr="00B16DFD">
              <w:t>3b.</w:t>
            </w:r>
            <w:r w:rsidRPr="00B16DFD">
              <w:tab/>
              <w:t>Myndigheden udøver beføjelser over for visse deltagere på</w:t>
            </w:r>
            <w:r w:rsidR="00CB6039">
              <w:t xml:space="preserve"> finansmarked</w:t>
            </w:r>
            <w:r w:rsidR="00242139">
              <w:t>et</w:t>
            </w:r>
            <w:r w:rsidRPr="00B16DFD">
              <w:t xml:space="preserve"> </w:t>
            </w:r>
            <w:r w:rsidRPr="00B16DFD">
              <w:rPr>
                <w:b/>
                <w:i/>
              </w:rPr>
              <w:t>for at sikre, at de opfylder de krav, der gælder for dem,</w:t>
            </w:r>
            <w:r w:rsidRPr="00B16DFD">
              <w:t xml:space="preserve"> i overensstemmelse med denne forordning og andre EU-retsakter. Sådanne beføjelser omfatter, når de er tillagt ved denne forordning og andre EU-retsakter, registrering, tilladelse, anerkendelse, løbende tilsyn, undersøgelse, herunder beføjelse til at foretage kontrolbesøg på stedet, og håndhævelse over for disse enheder.".</w:t>
            </w:r>
          </w:p>
        </w:tc>
      </w:tr>
    </w:tbl>
    <w:p w:rsidR="00365C9B" w:rsidRPr="00734CAA" w:rsidP="00365C9B" w14:paraId="14E171D2"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7D85384" w14:textId="77777777">
      <w:pPr>
        <w:rPr>
          <w:lang w:val="en-GB"/>
        </w:rPr>
      </w:pPr>
      <w:r w:rsidRPr="00734CAA">
        <w:rPr>
          <w:rStyle w:val="HideTWBExt"/>
          <w:color w:val="auto"/>
          <w:lang w:val="en-GB"/>
        </w:rPr>
        <w:t>&lt;/Amend&gt;</w:t>
      </w:r>
    </w:p>
    <w:p w:rsidR="00365C9B" w:rsidRPr="00734CAA" w:rsidP="00365C9B" w14:paraId="766980FF"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345</w:t>
      </w:r>
      <w:r w:rsidRPr="00734CAA">
        <w:rPr>
          <w:rStyle w:val="HideTWBExt"/>
          <w:color w:val="auto"/>
          <w:lang w:val="en-GB"/>
        </w:rPr>
        <w:t>&lt;/NumAm&gt;</w:t>
      </w:r>
    </w:p>
    <w:p w:rsidR="00365C9B" w:rsidRPr="00734CAA" w:rsidP="00365C9B" w14:paraId="4886BC15" w14:textId="77777777">
      <w:pPr>
        <w:pStyle w:val="NormalBold"/>
        <w:rPr>
          <w:lang w:val="en-GB"/>
        </w:rPr>
      </w:pPr>
      <w:r w:rsidRPr="00734CAA">
        <w:rPr>
          <w:rStyle w:val="HideTWBExt"/>
          <w:b w:val="0"/>
          <w:color w:val="auto"/>
          <w:lang w:val="en-GB"/>
        </w:rPr>
        <w:t>&lt;RepeatBlock-By&gt;&lt;Members&gt;</w:t>
      </w:r>
      <w:r w:rsidRPr="00734CAA">
        <w:rPr>
          <w:lang w:val="en-GB"/>
        </w:rPr>
        <w:t>Fernando Navarrete Rojas, Isabel Benjumea Benjumea</w:t>
      </w:r>
      <w:r w:rsidRPr="00734CAA">
        <w:rPr>
          <w:rStyle w:val="HideTWBExt"/>
          <w:b w:val="0"/>
          <w:color w:val="auto"/>
          <w:lang w:val="en-GB"/>
        </w:rPr>
        <w:t>&lt;/Members&gt;</w:t>
      </w:r>
    </w:p>
    <w:p w:rsidR="00365C9B" w:rsidRPr="00734CAA" w:rsidP="00365C9B" w14:paraId="73EA5ECC" w14:textId="77777777">
      <w:pPr>
        <w:pStyle w:val="NormalBold"/>
        <w:rPr>
          <w:lang w:val="en-GB"/>
        </w:rPr>
      </w:pPr>
      <w:r w:rsidRPr="00734CAA">
        <w:rPr>
          <w:rStyle w:val="HideTWBExt"/>
          <w:b w:val="0"/>
          <w:color w:val="auto"/>
          <w:lang w:val="en-GB"/>
        </w:rPr>
        <w:t>&lt;/RepeatBlock-By&gt;</w:t>
      </w:r>
    </w:p>
    <w:p w:rsidR="00365C9B" w:rsidRPr="00B16DFD" w:rsidP="00365C9B" w14:paraId="0143AAE7"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1C001DE3" w14:textId="77777777">
      <w:pPr>
        <w:pStyle w:val="NormalBold"/>
      </w:pPr>
      <w:r w:rsidRPr="00B16DFD">
        <w:rPr>
          <w:rStyle w:val="HideTWBExt"/>
          <w:color w:val="auto"/>
        </w:rPr>
        <w:t>&lt;Article&gt;</w:t>
      </w:r>
      <w:r w:rsidRPr="00B16DFD">
        <w:t>Artikel 1 – stk. 1 – nr. 1 – litra b – nr. -1 (nyt)</w:t>
      </w:r>
      <w:r w:rsidRPr="00B16DFD">
        <w:rPr>
          <w:rStyle w:val="HideTWBExt"/>
          <w:color w:val="auto"/>
        </w:rPr>
        <w:t>&lt;/Article&gt;</w:t>
      </w:r>
    </w:p>
    <w:p w:rsidR="00365C9B" w:rsidRPr="00B16DFD" w:rsidP="00365C9B" w14:paraId="4B874942"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20124C5F" w14:textId="77777777">
      <w:r w:rsidRPr="00B16DFD">
        <w:rPr>
          <w:rStyle w:val="HideTWBExt"/>
          <w:color w:val="auto"/>
        </w:rPr>
        <w:t>&lt;Article2&gt;</w:t>
      </w:r>
      <w:r w:rsidRPr="00B16DFD">
        <w:t>Artikel 1 – stk. 5 – indledning</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817CF7"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9089D25" w14:textId="77777777"/>
        </w:tc>
      </w:tr>
      <w:tr w14:paraId="72E874A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4A3F88E" w14:textId="77777777">
            <w:pPr>
              <w:pStyle w:val="AmColumnHeading"/>
            </w:pPr>
            <w:r w:rsidRPr="00B16DFD">
              <w:t>Gældende ordlyd</w:t>
            </w:r>
          </w:p>
        </w:tc>
        <w:tc>
          <w:tcPr>
            <w:tcW w:w="4876" w:type="dxa"/>
            <w:tcBorders>
              <w:top w:val="nil"/>
              <w:left w:val="nil"/>
              <w:bottom w:val="nil"/>
              <w:right w:val="nil"/>
            </w:tcBorders>
            <w:hideMark/>
          </w:tcPr>
          <w:p w:rsidR="00365C9B" w:rsidRPr="00B16DFD" w:rsidP="00F61C80" w14:paraId="11833DD9" w14:textId="77777777">
            <w:pPr>
              <w:pStyle w:val="AmColumnHeading"/>
            </w:pPr>
            <w:r w:rsidRPr="00B16DFD">
              <w:t>Ændringsforslag</w:t>
            </w:r>
          </w:p>
        </w:tc>
      </w:tr>
      <w:tr w14:paraId="5BC2AE75"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ACF8401" w14:textId="77777777">
            <w:pPr>
              <w:pStyle w:val="Normal6a"/>
            </w:pPr>
          </w:p>
        </w:tc>
        <w:tc>
          <w:tcPr>
            <w:tcW w:w="4876" w:type="dxa"/>
            <w:tcBorders>
              <w:top w:val="nil"/>
              <w:left w:val="nil"/>
              <w:bottom w:val="nil"/>
              <w:right w:val="nil"/>
            </w:tcBorders>
            <w:hideMark/>
          </w:tcPr>
          <w:p w:rsidR="00365C9B" w:rsidRPr="00B16DFD" w:rsidP="00F61C80" w14:paraId="6607FEB1" w14:textId="77777777">
            <w:pPr>
              <w:pStyle w:val="Normal6a"/>
            </w:pPr>
            <w:r w:rsidRPr="00B16DFD">
              <w:rPr>
                <w:b/>
                <w:i/>
              </w:rPr>
              <w:t>-1)</w:t>
            </w:r>
            <w:r w:rsidRPr="00B16DFD">
              <w:tab/>
            </w:r>
            <w:r w:rsidRPr="00B16DFD">
              <w:rPr>
                <w:b/>
                <w:i/>
              </w:rPr>
              <w:t>Artikel 1, stk. 5, indledningen, affattes således:</w:t>
            </w:r>
          </w:p>
        </w:tc>
      </w:tr>
      <w:tr w14:paraId="408960D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6AB9665" w14:textId="77777777">
            <w:pPr>
              <w:pStyle w:val="Normal6a"/>
            </w:pPr>
            <w:r w:rsidRPr="00B16DFD">
              <w:t>5. Formålet med myndigheden er at beskytte offentlige interesser ved at bidrage til det finansielle systems stabilitet og effektivitet på kort, mellemlang og lang sigt af hensyn til Unionens økonomi, dens borgere og virksomheder. Myndigheden bidrager inden for sine respektive beføjelser til:</w:t>
            </w:r>
          </w:p>
        </w:tc>
        <w:tc>
          <w:tcPr>
            <w:tcW w:w="4876" w:type="dxa"/>
            <w:tcBorders>
              <w:top w:val="nil"/>
              <w:left w:val="nil"/>
              <w:bottom w:val="nil"/>
              <w:right w:val="nil"/>
            </w:tcBorders>
            <w:hideMark/>
          </w:tcPr>
          <w:p w:rsidR="00365C9B" w:rsidRPr="00B16DFD" w:rsidP="00107AE2" w14:paraId="0FB57D02" w14:textId="115C0B38">
            <w:pPr>
              <w:pStyle w:val="Normal6a"/>
            </w:pPr>
            <w:r w:rsidRPr="00B16DFD">
              <w:t>"</w:t>
            </w:r>
            <w:r w:rsidRPr="00B16DFD">
              <w:t>5. Formålet med myndigheden er at beskytte offentlige interesser ved at bidrage til det finansielle systems stabilitet og effektivitet på kort, mellemlang og lang sigt af hensyn til Unionens økonomi, dens borgere og virksomheder.</w:t>
            </w:r>
          </w:p>
        </w:tc>
      </w:tr>
      <w:tr w14:paraId="2785D2F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153D00B" w14:textId="77777777">
            <w:pPr>
              <w:pStyle w:val="Normal6a"/>
            </w:pPr>
          </w:p>
        </w:tc>
        <w:tc>
          <w:tcPr>
            <w:tcW w:w="4876" w:type="dxa"/>
            <w:tcBorders>
              <w:top w:val="nil"/>
              <w:left w:val="nil"/>
              <w:bottom w:val="nil"/>
              <w:right w:val="nil"/>
            </w:tcBorders>
            <w:hideMark/>
          </w:tcPr>
          <w:p w:rsidR="00365C9B" w:rsidRPr="00B16DFD" w:rsidP="00F61C80" w14:paraId="376136F3" w14:textId="77777777">
            <w:pPr>
              <w:pStyle w:val="Normal6a"/>
            </w:pPr>
            <w:r w:rsidRPr="00B16DFD">
              <w:rPr>
                <w:b/>
                <w:i/>
              </w:rPr>
              <w:t>Uden at det berører det primære mandat, der er angivet i det foregående stykke, skal ESMA i sin egenskab af reguleringsmyndighed, og som et sekundært mandat fremme EU-økonomiens konkurrenceevne og innovation på EU's finansielle markeder. Under udøvelsen af sine direkte tilsyns- og håndhævelsesbeføjelser er dens eneste mandat at garantere finansiel stabilitet, markedsintegritet og investorbeskyttelse.</w:t>
            </w:r>
          </w:p>
        </w:tc>
      </w:tr>
      <w:tr w14:paraId="60F4CD3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3FBC4B1" w14:textId="77777777">
            <w:pPr>
              <w:pStyle w:val="Normal6a"/>
            </w:pPr>
          </w:p>
        </w:tc>
        <w:tc>
          <w:tcPr>
            <w:tcW w:w="4876" w:type="dxa"/>
            <w:tcBorders>
              <w:top w:val="nil"/>
              <w:left w:val="nil"/>
              <w:bottom w:val="nil"/>
              <w:right w:val="nil"/>
            </w:tcBorders>
            <w:hideMark/>
          </w:tcPr>
          <w:p w:rsidR="00365C9B" w:rsidRPr="00B16DFD" w:rsidP="00F61C80" w14:paraId="7CB5AE83" w14:textId="7BE61DF2">
            <w:pPr>
              <w:pStyle w:val="Normal6a"/>
            </w:pPr>
            <w:r w:rsidRPr="00B16DFD">
              <w:t>Myndigheden bidrager inden for sine respektive beføjelser til:</w:t>
            </w:r>
            <w:r w:rsidRPr="00B16DFD" w:rsidR="00107AE2">
              <w:t>"</w:t>
            </w:r>
          </w:p>
        </w:tc>
      </w:tr>
    </w:tbl>
    <w:p w:rsidR="00365C9B" w:rsidRPr="00B16DFD" w:rsidP="00365C9B" w14:paraId="2A720ACE"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7415476A" w14:textId="77777777">
      <w:pPr>
        <w:pStyle w:val="AmCrossRef"/>
      </w:pPr>
      <w:r w:rsidRPr="00B16DFD">
        <w:t>(02010R1095-20251110)</w:t>
      </w:r>
    </w:p>
    <w:p w:rsidR="00365C9B" w:rsidRPr="00B16DFD" w:rsidP="00365C9B" w14:paraId="6F61B1C1" w14:textId="77777777">
      <w:r w:rsidRPr="00B16DFD">
        <w:rPr>
          <w:rStyle w:val="HideTWBExt"/>
          <w:color w:val="auto"/>
        </w:rPr>
        <w:t>&lt;/Amend&gt;</w:t>
      </w:r>
    </w:p>
    <w:p w:rsidR="00365C9B" w:rsidRPr="00B16DFD" w:rsidP="00365C9B" w14:paraId="29CFC6D6"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346</w:t>
      </w:r>
      <w:r w:rsidRPr="00B16DFD">
        <w:rPr>
          <w:rStyle w:val="HideTWBExt"/>
          <w:color w:val="auto"/>
        </w:rPr>
        <w:t>&lt;/NumAm&gt;</w:t>
      </w:r>
    </w:p>
    <w:p w:rsidR="00365C9B" w:rsidRPr="00B16DFD" w:rsidP="00365C9B" w14:paraId="230BD743" w14:textId="77777777">
      <w:pPr>
        <w:pStyle w:val="NormalBold"/>
      </w:pPr>
      <w:r w:rsidRPr="00B16DFD">
        <w:rPr>
          <w:rStyle w:val="HideTWBExt"/>
          <w:b w:val="0"/>
          <w:color w:val="auto"/>
        </w:rPr>
        <w:t>&lt;RepeatBlock-By&gt;&lt;Members&gt;</w:t>
      </w:r>
      <w:r w:rsidRPr="00B16DFD">
        <w:t>Martine Kemp</w:t>
      </w:r>
      <w:r w:rsidRPr="00B16DFD">
        <w:rPr>
          <w:rStyle w:val="HideTWBExt"/>
          <w:b w:val="0"/>
          <w:color w:val="auto"/>
        </w:rPr>
        <w:t>&lt;/Members&gt;</w:t>
      </w:r>
    </w:p>
    <w:p w:rsidR="00365C9B" w:rsidRPr="00B16DFD" w:rsidP="00365C9B" w14:paraId="184DDED0" w14:textId="77777777">
      <w:pPr>
        <w:pStyle w:val="NormalBold"/>
      </w:pPr>
      <w:r w:rsidRPr="00B16DFD">
        <w:rPr>
          <w:rStyle w:val="HideTWBExt"/>
          <w:b w:val="0"/>
          <w:color w:val="auto"/>
        </w:rPr>
        <w:t>&lt;/RepeatBlock-By&gt;</w:t>
      </w:r>
    </w:p>
    <w:p w:rsidR="00365C9B" w:rsidRPr="00B16DFD" w:rsidP="00365C9B" w14:paraId="7E699140"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B16DFD" w:rsidP="00365C9B" w14:paraId="32F62D3A" w14:textId="77777777">
      <w:pPr>
        <w:pStyle w:val="NormalBold"/>
      </w:pPr>
      <w:r w:rsidRPr="00B16DFD">
        <w:rPr>
          <w:rStyle w:val="HideTWBExt"/>
          <w:color w:val="auto"/>
        </w:rPr>
        <w:t>&lt;Article&gt;</w:t>
      </w:r>
      <w:r w:rsidRPr="00B16DFD">
        <w:t>Artikel 1 – stk. 1 – nr. 1 – litra b – nr. -1 (nyt)</w:t>
      </w:r>
      <w:r w:rsidRPr="00B16DFD">
        <w:rPr>
          <w:rStyle w:val="HideTWBExt"/>
          <w:color w:val="auto"/>
        </w:rPr>
        <w:t>&lt;/Article&gt;</w:t>
      </w:r>
    </w:p>
    <w:p w:rsidR="00365C9B" w:rsidRPr="00B16DFD" w:rsidP="00365C9B" w14:paraId="2931CFFB"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770495B7" w14:textId="77777777">
      <w:r w:rsidRPr="00B16DFD">
        <w:rPr>
          <w:rStyle w:val="HideTWBExt"/>
          <w:color w:val="auto"/>
        </w:rPr>
        <w:t>&lt;Article2&gt;</w:t>
      </w:r>
      <w:r w:rsidRPr="00B16DFD">
        <w:t>Artikel 1 – stk. 5 – indledning</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F4614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5F07CE7" w14:textId="77777777"/>
        </w:tc>
      </w:tr>
      <w:tr w14:paraId="6EAF00D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B4536A4" w14:textId="77777777">
            <w:pPr>
              <w:pStyle w:val="AmColumnHeading"/>
            </w:pPr>
            <w:r w:rsidRPr="00B16DFD">
              <w:t>Gældende ordlyd</w:t>
            </w:r>
          </w:p>
        </w:tc>
        <w:tc>
          <w:tcPr>
            <w:tcW w:w="4876" w:type="dxa"/>
            <w:tcBorders>
              <w:top w:val="nil"/>
              <w:left w:val="nil"/>
              <w:bottom w:val="nil"/>
              <w:right w:val="nil"/>
            </w:tcBorders>
            <w:hideMark/>
          </w:tcPr>
          <w:p w:rsidR="00365C9B" w:rsidRPr="00B16DFD" w:rsidP="00F61C80" w14:paraId="694DF4A3" w14:textId="77777777">
            <w:pPr>
              <w:pStyle w:val="AmColumnHeading"/>
            </w:pPr>
            <w:r w:rsidRPr="00B16DFD">
              <w:t>Ændringsforslag</w:t>
            </w:r>
          </w:p>
        </w:tc>
      </w:tr>
      <w:tr w14:paraId="4B86CDC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AC0C420" w14:textId="77777777">
            <w:pPr>
              <w:pStyle w:val="Normal6a"/>
            </w:pPr>
          </w:p>
        </w:tc>
        <w:tc>
          <w:tcPr>
            <w:tcW w:w="4876" w:type="dxa"/>
            <w:tcBorders>
              <w:top w:val="nil"/>
              <w:left w:val="nil"/>
              <w:bottom w:val="nil"/>
              <w:right w:val="nil"/>
            </w:tcBorders>
            <w:hideMark/>
          </w:tcPr>
          <w:p w:rsidR="00365C9B" w:rsidRPr="00B16DFD" w:rsidP="00F61C80" w14:paraId="6030CF1F" w14:textId="77777777">
            <w:pPr>
              <w:pStyle w:val="Normal6a"/>
            </w:pPr>
            <w:r w:rsidRPr="00B16DFD">
              <w:rPr>
                <w:b/>
                <w:i/>
              </w:rPr>
              <w:t>-1)</w:t>
            </w:r>
            <w:r w:rsidRPr="00B16DFD">
              <w:tab/>
            </w:r>
            <w:r w:rsidRPr="00B16DFD">
              <w:rPr>
                <w:b/>
                <w:i/>
              </w:rPr>
              <w:t>Artikel 1, stk. 5, indledningen, affattes således:</w:t>
            </w:r>
          </w:p>
        </w:tc>
      </w:tr>
      <w:tr w14:paraId="4F60A0E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D901166" w14:textId="77777777">
            <w:pPr>
              <w:pStyle w:val="Normal6a"/>
            </w:pPr>
            <w:r w:rsidRPr="00B16DFD">
              <w:t xml:space="preserve">5. Formålet med myndigheden er at beskytte offentlige interesser ved at bidrage </w:t>
            </w:r>
            <w:r w:rsidRPr="00B16DFD">
              <w:t>til det finansielle systems stabilitet og effektivitet på kort, mellemlang og lang sigt af hensyn til Unionens økonomi, dens borgere og virksomheder. Myndigheden bidrager inden for sine respektive beføjelser til:</w:t>
            </w:r>
          </w:p>
        </w:tc>
        <w:tc>
          <w:tcPr>
            <w:tcW w:w="4876" w:type="dxa"/>
            <w:tcBorders>
              <w:top w:val="nil"/>
              <w:left w:val="nil"/>
              <w:bottom w:val="nil"/>
              <w:right w:val="nil"/>
            </w:tcBorders>
            <w:hideMark/>
          </w:tcPr>
          <w:p w:rsidR="00365C9B" w:rsidRPr="00B16DFD" w:rsidP="00356AEC" w14:paraId="6AF836F1" w14:textId="4D1E22B9">
            <w:pPr>
              <w:pStyle w:val="Normal6a"/>
            </w:pPr>
            <w:r w:rsidRPr="00B16DFD">
              <w:t>"</w:t>
            </w:r>
            <w:r w:rsidRPr="00B16DFD">
              <w:t xml:space="preserve">5. Formålet med myndigheden er at beskytte offentlige interesser ved at bidrage </w:t>
            </w:r>
            <w:r w:rsidRPr="00B16DFD">
              <w:t xml:space="preserve">til det finansielle systems stabilitet og effektivitet på kort, mellemlang og lang sigt af hensyn til Unionens økonomi, dens borgere og virksomheder. </w:t>
            </w:r>
            <w:r w:rsidRPr="00B16DFD">
              <w:rPr>
                <w:b/>
                <w:i/>
              </w:rPr>
              <w:t xml:space="preserve">Myndigheden støtter også konkurrenceevnen i Unionens økonomi og dens bæredygtige vækst. </w:t>
            </w:r>
            <w:r w:rsidRPr="00B16DFD">
              <w:t>Myndigheden bidrager inden for sine respektive beføjelser til:</w:t>
            </w:r>
            <w:r w:rsidRPr="00B16DFD">
              <w:t>"</w:t>
            </w:r>
          </w:p>
        </w:tc>
      </w:tr>
    </w:tbl>
    <w:p w:rsidR="00365C9B" w:rsidRPr="00B16DFD" w:rsidP="00365C9B" w14:paraId="490A9B29"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36EF3F6C" w14:textId="77777777">
      <w:pPr>
        <w:pStyle w:val="AmCrossRef"/>
      </w:pPr>
      <w:r w:rsidRPr="00B16DFD">
        <w:t>(02010R1095-20251110)</w:t>
      </w:r>
    </w:p>
    <w:p w:rsidR="00365C9B" w:rsidRPr="00B16DFD" w:rsidP="00365C9B" w14:paraId="1360EFAC"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08D7605F" w14:textId="77777777">
      <w:pPr>
        <w:pStyle w:val="AmJustText"/>
      </w:pPr>
      <w:r w:rsidRPr="00B16DFD">
        <w:t>Selv om finansiel stabilitet og investorbeskyttelse fortsat er kerneelementerne i ESMA's rolle, forsynes ESMA med et sekundært lovbestemt mål for konkurrenceevne i overensstemmelse med den udvikling, der er observeret for andre tredjelandes tilsynsmyndigheders mandat.</w:t>
      </w:r>
    </w:p>
    <w:p w:rsidR="00365C9B" w:rsidRPr="00B16DFD" w:rsidP="00365C9B" w14:paraId="4998C98B" w14:textId="77777777">
      <w:r w:rsidRPr="00B16DFD">
        <w:rPr>
          <w:rStyle w:val="HideTWBExt"/>
          <w:color w:val="auto"/>
        </w:rPr>
        <w:t>&lt;/Amend&gt;</w:t>
      </w:r>
    </w:p>
    <w:p w:rsidR="00365C9B" w:rsidRPr="00B16DFD" w:rsidP="00365C9B" w14:paraId="1CE6D4DD"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347</w:t>
      </w:r>
      <w:r w:rsidRPr="00B16DFD">
        <w:rPr>
          <w:rStyle w:val="HideTWBExt"/>
          <w:color w:val="auto"/>
        </w:rPr>
        <w:t>&lt;/NumAm&gt;</w:t>
      </w:r>
    </w:p>
    <w:p w:rsidR="00365C9B" w:rsidRPr="00734CAA" w:rsidP="00365C9B" w14:paraId="5E80E4D2" w14:textId="77777777">
      <w:pPr>
        <w:pStyle w:val="NormalBold"/>
        <w:rPr>
          <w:lang w:val="en-GB"/>
        </w:rPr>
      </w:pPr>
      <w:r w:rsidRPr="00734CAA">
        <w:rPr>
          <w:rStyle w:val="HideTWBExt"/>
          <w:b w:val="0"/>
          <w:color w:val="auto"/>
          <w:lang w:val="en-GB"/>
        </w:rPr>
        <w:t>&lt;RepeatBlock-By&gt;&lt;Members&gt;</w:t>
      </w:r>
      <w:r w:rsidRPr="00734CAA">
        <w:rPr>
          <w:lang w:val="en-GB"/>
        </w:rPr>
        <w:t>Fernando Navarrete Rojas, Isabel Benjumea Benjumea</w:t>
      </w:r>
      <w:r w:rsidRPr="00734CAA">
        <w:rPr>
          <w:rStyle w:val="HideTWBExt"/>
          <w:b w:val="0"/>
          <w:color w:val="auto"/>
          <w:lang w:val="en-GB"/>
        </w:rPr>
        <w:t>&lt;/Members&gt;</w:t>
      </w:r>
    </w:p>
    <w:p w:rsidR="00365C9B" w:rsidRPr="00B16DFD" w:rsidP="00365C9B" w14:paraId="11D73185" w14:textId="77777777">
      <w:pPr>
        <w:pStyle w:val="NormalBold"/>
      </w:pPr>
      <w:r w:rsidRPr="00B16DFD">
        <w:rPr>
          <w:rStyle w:val="HideTWBExt"/>
          <w:b w:val="0"/>
          <w:color w:val="auto"/>
        </w:rPr>
        <w:t>&lt;/RepeatBlock-By&gt;</w:t>
      </w:r>
    </w:p>
    <w:p w:rsidR="00365C9B" w:rsidRPr="00B16DFD" w:rsidP="00365C9B" w14:paraId="07937E02"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4055B92A" w14:textId="77777777">
      <w:pPr>
        <w:pStyle w:val="NormalBold"/>
        <w:rPr>
          <w:lang w:val="fr-FR"/>
        </w:rPr>
      </w:pPr>
      <w:r w:rsidRPr="00734CAA">
        <w:rPr>
          <w:rStyle w:val="HideTWBExt"/>
          <w:color w:val="auto"/>
          <w:lang w:val="fr-FR"/>
        </w:rPr>
        <w:t>&lt;Article&gt;</w:t>
      </w:r>
      <w:r w:rsidRPr="00734CAA">
        <w:rPr>
          <w:lang w:val="fr-FR"/>
        </w:rPr>
        <w:t>Artikel 1 – stk. 1 – nr. 1 – litra b – nr. 1</w:t>
      </w:r>
      <w:r w:rsidRPr="00734CAA">
        <w:rPr>
          <w:rStyle w:val="HideTWBExt"/>
          <w:color w:val="auto"/>
          <w:lang w:val="fr-FR"/>
        </w:rPr>
        <w:t>&lt;/Article&gt;</w:t>
      </w:r>
    </w:p>
    <w:p w:rsidR="00365C9B" w:rsidRPr="00734CAA" w:rsidP="00365C9B" w14:paraId="33AD6111" w14:textId="77777777">
      <w:pPr>
        <w:rPr>
          <w:lang w:val="fr-FR"/>
        </w:rPr>
      </w:pPr>
      <w:r w:rsidRPr="00734CAA">
        <w:rPr>
          <w:rStyle w:val="HideTWBExt"/>
          <w:color w:val="auto"/>
          <w:lang w:val="fr-FR"/>
        </w:rPr>
        <w:t>&lt;DocAmend2&gt;</w:t>
      </w:r>
      <w:r w:rsidRPr="00734CAA">
        <w:rPr>
          <w:lang w:val="fr-FR"/>
        </w:rPr>
        <w:t>Forordning (EU) nr. 1095/2010</w:t>
      </w:r>
      <w:r w:rsidRPr="00734CAA">
        <w:rPr>
          <w:rStyle w:val="HideTWBExt"/>
          <w:color w:val="auto"/>
          <w:lang w:val="fr-FR"/>
        </w:rPr>
        <w:t>&lt;/DocAmend2&gt;</w:t>
      </w:r>
    </w:p>
    <w:p w:rsidR="00365C9B" w:rsidRPr="00734CAA" w:rsidP="00365C9B" w14:paraId="1D7196BB" w14:textId="77777777">
      <w:pPr>
        <w:rPr>
          <w:lang w:val="fr-FR"/>
        </w:rPr>
      </w:pPr>
      <w:r w:rsidRPr="00734CAA">
        <w:rPr>
          <w:rStyle w:val="HideTWBExt"/>
          <w:color w:val="auto"/>
          <w:lang w:val="fr-FR"/>
        </w:rPr>
        <w:t>&lt;Article2&gt;</w:t>
      </w:r>
      <w:r w:rsidRPr="00734CAA">
        <w:rPr>
          <w:lang w:val="fr-FR"/>
        </w:rPr>
        <w:t>Artikel 1 – stk. 5 – afsnit 1 – litra a</w:t>
      </w:r>
      <w:r w:rsidRPr="00734CAA">
        <w:rPr>
          <w:rStyle w:val="HideTWBExt"/>
          <w:color w:val="auto"/>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47A8F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29B03756" w14:textId="77777777">
            <w:pPr>
              <w:rPr>
                <w:lang w:val="fr-FR"/>
              </w:rPr>
            </w:pPr>
          </w:p>
        </w:tc>
      </w:tr>
      <w:tr w14:paraId="027BF30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029296D"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6270872" w14:textId="77777777">
            <w:pPr>
              <w:pStyle w:val="AmColumnHeading"/>
            </w:pPr>
            <w:r w:rsidRPr="00B16DFD">
              <w:t>Ændringsforslag</w:t>
            </w:r>
          </w:p>
        </w:tc>
      </w:tr>
      <w:tr w14:paraId="60EE8A19"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8281A4E" w14:textId="77777777">
            <w:pPr>
              <w:pStyle w:val="Normal6a"/>
            </w:pPr>
            <w:r w:rsidRPr="00B16DFD">
              <w:t>a)</w:t>
            </w:r>
            <w:r w:rsidRPr="00B16DFD">
              <w:tab/>
              <w:t>at forbedre den måde, det indre marked fungerer på, bl.a. gennem et fornuftigt, effektivt og konsekvent niveau for regulering, tilsyn og håndhævelse".</w:t>
            </w:r>
          </w:p>
        </w:tc>
        <w:tc>
          <w:tcPr>
            <w:tcW w:w="4876" w:type="dxa"/>
            <w:tcBorders>
              <w:top w:val="nil"/>
              <w:left w:val="nil"/>
              <w:bottom w:val="nil"/>
              <w:right w:val="nil"/>
            </w:tcBorders>
            <w:hideMark/>
          </w:tcPr>
          <w:p w:rsidR="00365C9B" w:rsidRPr="00B16DFD" w:rsidP="00F61C80" w14:paraId="65860158" w14:textId="77777777">
            <w:pPr>
              <w:pStyle w:val="Normal6a"/>
            </w:pPr>
            <w:r w:rsidRPr="00B16DFD">
              <w:t>a)</w:t>
            </w:r>
            <w:r w:rsidRPr="00B16DFD">
              <w:tab/>
              <w:t>at forbedre den måde, det indre marked fungerer på, bl.a. gennem et fornuftigt, effektivt</w:t>
            </w:r>
            <w:r w:rsidRPr="00B16DFD">
              <w:rPr>
                <w:b/>
                <w:i/>
              </w:rPr>
              <w:t>, forholdsmæssigt</w:t>
            </w:r>
            <w:r w:rsidRPr="00B16DFD">
              <w:t xml:space="preserve"> og konsekvent niveau for regulering, tilsyn og håndhævelse".</w:t>
            </w:r>
          </w:p>
        </w:tc>
      </w:tr>
    </w:tbl>
    <w:p w:rsidR="00365C9B" w:rsidRPr="00734CAA" w:rsidP="00365C9B" w14:paraId="3A34C7F6"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5E7EAE8" w14:textId="77777777">
      <w:pPr>
        <w:rPr>
          <w:lang w:val="en-GB"/>
        </w:rPr>
      </w:pPr>
      <w:r w:rsidRPr="00734CAA">
        <w:rPr>
          <w:rStyle w:val="HideTWBExt"/>
          <w:color w:val="auto"/>
          <w:lang w:val="en-GB"/>
        </w:rPr>
        <w:t>&lt;/Amend&gt;</w:t>
      </w:r>
    </w:p>
    <w:p w:rsidR="00365C9B" w:rsidRPr="00734CAA" w:rsidP="00365C9B" w14:paraId="608678BB"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348</w:t>
      </w:r>
      <w:r w:rsidRPr="00734CAA">
        <w:rPr>
          <w:rStyle w:val="HideTWBExt"/>
          <w:color w:val="auto"/>
          <w:lang w:val="en-GB"/>
        </w:rPr>
        <w:t>&lt;/NumAm&gt;</w:t>
      </w:r>
    </w:p>
    <w:p w:rsidR="00365C9B" w:rsidRPr="00734CAA" w:rsidP="00365C9B" w14:paraId="21D284BD"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243B023B" w14:textId="77777777">
      <w:pPr>
        <w:pStyle w:val="NormalBold"/>
      </w:pPr>
      <w:r w:rsidRPr="00B16DFD">
        <w:rPr>
          <w:rStyle w:val="HideTWBExt"/>
          <w:b w:val="0"/>
          <w:color w:val="auto"/>
        </w:rPr>
        <w:t>&lt;/RepeatBlock-By&gt;</w:t>
      </w:r>
    </w:p>
    <w:p w:rsidR="00365C9B" w:rsidRPr="00B16DFD" w:rsidP="00365C9B" w14:paraId="06D1546C"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27A0758C" w14:textId="77777777">
      <w:pPr>
        <w:pStyle w:val="NormalBold"/>
        <w:rPr>
          <w:lang w:val="fr-FR"/>
        </w:rPr>
      </w:pPr>
      <w:r w:rsidRPr="00734CAA">
        <w:rPr>
          <w:rStyle w:val="HideTWBExt"/>
          <w:color w:val="auto"/>
          <w:lang w:val="fr-FR"/>
        </w:rPr>
        <w:t>&lt;Article&gt;</w:t>
      </w:r>
      <w:r w:rsidRPr="00734CAA">
        <w:rPr>
          <w:lang w:val="fr-FR"/>
        </w:rPr>
        <w:t>Artikel 1 – stk. 1 – nr. 1 – litra b – nr. 2</w:t>
      </w:r>
      <w:r w:rsidRPr="00734CAA">
        <w:rPr>
          <w:rStyle w:val="HideTWBExt"/>
          <w:color w:val="auto"/>
          <w:lang w:val="fr-FR"/>
        </w:rPr>
        <w:t>&lt;/Article&gt;</w:t>
      </w:r>
    </w:p>
    <w:p w:rsidR="00365C9B" w:rsidRPr="00734CAA" w:rsidP="00365C9B" w14:paraId="51CA4C2F" w14:textId="77777777">
      <w:pPr>
        <w:rPr>
          <w:lang w:val="fr-FR"/>
        </w:rPr>
      </w:pPr>
      <w:r w:rsidRPr="00734CAA">
        <w:rPr>
          <w:rStyle w:val="HideTWBExt"/>
          <w:color w:val="auto"/>
          <w:lang w:val="fr-FR"/>
        </w:rPr>
        <w:t>&lt;DocAmend2&gt;</w:t>
      </w:r>
      <w:r w:rsidRPr="00734CAA">
        <w:rPr>
          <w:lang w:val="fr-FR"/>
        </w:rPr>
        <w:t>Forordning (EU) nr. 1095/2010</w:t>
      </w:r>
      <w:r w:rsidRPr="00734CAA">
        <w:rPr>
          <w:rStyle w:val="HideTWBExt"/>
          <w:color w:val="auto"/>
          <w:lang w:val="fr-FR"/>
        </w:rPr>
        <w:t>&lt;/DocAmend2&gt;</w:t>
      </w:r>
    </w:p>
    <w:p w:rsidR="00365C9B" w:rsidRPr="00734CAA" w:rsidP="00365C9B" w14:paraId="58D9761F" w14:textId="77777777">
      <w:pPr>
        <w:rPr>
          <w:lang w:val="fr-FR"/>
        </w:rPr>
      </w:pPr>
      <w:r w:rsidRPr="00734CAA">
        <w:rPr>
          <w:rStyle w:val="HideTWBExt"/>
          <w:color w:val="auto"/>
          <w:lang w:val="fr-FR"/>
        </w:rPr>
        <w:t>&lt;Article2&gt;</w:t>
      </w:r>
      <w:r w:rsidRPr="00734CAA">
        <w:rPr>
          <w:lang w:val="fr-FR"/>
        </w:rPr>
        <w:t>Artikel 1 – stk. 5 – afsnit 1 – litra c</w:t>
      </w:r>
      <w:r w:rsidRPr="00734CAA">
        <w:rPr>
          <w:rStyle w:val="HideTWBExt"/>
          <w:color w:val="auto"/>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C1F65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2995754E" w14:textId="77777777">
            <w:pPr>
              <w:rPr>
                <w:lang w:val="fr-FR"/>
              </w:rPr>
            </w:pPr>
          </w:p>
        </w:tc>
      </w:tr>
      <w:tr w14:paraId="28EA831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D1472F8"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48B8E99" w14:textId="77777777">
            <w:pPr>
              <w:pStyle w:val="AmColumnHeading"/>
            </w:pPr>
            <w:r w:rsidRPr="00B16DFD">
              <w:t>Ændringsforslag</w:t>
            </w:r>
          </w:p>
        </w:tc>
      </w:tr>
      <w:tr w14:paraId="233FD87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7B4A901" w14:textId="77777777">
            <w:pPr>
              <w:pStyle w:val="Normal6a"/>
            </w:pPr>
            <w:r w:rsidRPr="00B16DFD">
              <w:t>c)</w:t>
            </w:r>
            <w:r w:rsidRPr="00B16DFD">
              <w:tab/>
              <w:t>at styrke den internationale tilsynskoordinering og udveksling af oplysninger".</w:t>
            </w:r>
          </w:p>
        </w:tc>
        <w:tc>
          <w:tcPr>
            <w:tcW w:w="4876" w:type="dxa"/>
            <w:tcBorders>
              <w:top w:val="nil"/>
              <w:left w:val="nil"/>
              <w:bottom w:val="nil"/>
              <w:right w:val="nil"/>
            </w:tcBorders>
            <w:hideMark/>
          </w:tcPr>
          <w:p w:rsidR="00365C9B" w:rsidRPr="00B16DFD" w:rsidP="00F61C80" w14:paraId="78C4716A" w14:textId="77777777">
            <w:pPr>
              <w:pStyle w:val="Normal6a"/>
            </w:pPr>
            <w:r w:rsidRPr="00B16DFD">
              <w:t>c)</w:t>
            </w:r>
            <w:r w:rsidRPr="00B16DFD">
              <w:tab/>
              <w:t>at styrke den internationale tilsynskoordinering og</w:t>
            </w:r>
            <w:r w:rsidRPr="00B16DFD">
              <w:rPr>
                <w:b/>
                <w:i/>
              </w:rPr>
              <w:t xml:space="preserve"> </w:t>
            </w:r>
            <w:r w:rsidRPr="00B16DFD">
              <w:rPr>
                <w:b/>
                <w:i/>
              </w:rPr>
              <w:noBreakHyphen/>
              <w:t xml:space="preserve">håndhævelse samt </w:t>
            </w:r>
            <w:r w:rsidRPr="00B16DFD">
              <w:t>udveksling af oplysninger".</w:t>
            </w:r>
          </w:p>
        </w:tc>
      </w:tr>
    </w:tbl>
    <w:p w:rsidR="00365C9B" w:rsidRPr="00734CAA" w:rsidP="00365C9B" w14:paraId="6360D2F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489C68A" w14:textId="77777777">
      <w:pPr>
        <w:rPr>
          <w:lang w:val="en-GB"/>
        </w:rPr>
      </w:pPr>
      <w:r w:rsidRPr="00734CAA">
        <w:rPr>
          <w:rStyle w:val="HideTWBExt"/>
          <w:color w:val="auto"/>
          <w:lang w:val="en-GB"/>
        </w:rPr>
        <w:t>&lt;/Amend&gt;</w:t>
      </w:r>
    </w:p>
    <w:p w:rsidR="00365C9B" w:rsidRPr="00734CAA" w:rsidP="00365C9B" w14:paraId="55CDF4D3"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349</w:t>
      </w:r>
      <w:r w:rsidRPr="00734CAA">
        <w:rPr>
          <w:rStyle w:val="HideTWBExt"/>
          <w:color w:val="auto"/>
          <w:lang w:val="en-GB"/>
        </w:rPr>
        <w:t>&lt;/NumAm&gt;</w:t>
      </w:r>
    </w:p>
    <w:p w:rsidR="00365C9B" w:rsidRPr="00734CAA" w:rsidP="00365C9B" w14:paraId="593637FD" w14:textId="77777777">
      <w:pPr>
        <w:pStyle w:val="NormalBold"/>
        <w:rPr>
          <w:lang w:val="en-GB"/>
        </w:rPr>
      </w:pPr>
      <w:r w:rsidRPr="00734CAA">
        <w:rPr>
          <w:rStyle w:val="HideTWBExt"/>
          <w:b w:val="0"/>
          <w:color w:val="auto"/>
          <w:lang w:val="en-GB"/>
        </w:rPr>
        <w:t>&lt;RepeatBlock-By&gt;&lt;Members&gt;</w:t>
      </w:r>
      <w:r w:rsidRPr="00734CAA">
        <w:rPr>
          <w:lang w:val="en-GB"/>
        </w:rPr>
        <w:t>Fernando Navarrete Rojas, Isabel Benjumea Benjumea</w:t>
      </w:r>
      <w:r w:rsidRPr="00734CAA">
        <w:rPr>
          <w:rStyle w:val="HideTWBExt"/>
          <w:b w:val="0"/>
          <w:color w:val="auto"/>
          <w:lang w:val="en-GB"/>
        </w:rPr>
        <w:t>&lt;/Members&gt;</w:t>
      </w:r>
    </w:p>
    <w:p w:rsidR="00365C9B" w:rsidRPr="00734CAA" w:rsidP="00365C9B" w14:paraId="100ECFFC" w14:textId="77777777">
      <w:pPr>
        <w:pStyle w:val="NormalBold"/>
        <w:rPr>
          <w:lang w:val="en-GB"/>
        </w:rPr>
      </w:pPr>
      <w:r w:rsidRPr="00734CAA">
        <w:rPr>
          <w:rStyle w:val="HideTWBExt"/>
          <w:b w:val="0"/>
          <w:color w:val="auto"/>
          <w:lang w:val="en-GB"/>
        </w:rPr>
        <w:t>&lt;/RepeatBlock-By&gt;</w:t>
      </w:r>
    </w:p>
    <w:p w:rsidR="00365C9B" w:rsidRPr="00B16DFD" w:rsidP="00365C9B" w14:paraId="234DBFA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78BF3479" w14:textId="77777777">
      <w:pPr>
        <w:pStyle w:val="NormalBold"/>
        <w:rPr>
          <w:lang w:val="fr-FR"/>
        </w:rPr>
      </w:pPr>
      <w:r w:rsidRPr="00734CAA">
        <w:rPr>
          <w:rStyle w:val="HideTWBExt"/>
          <w:color w:val="auto"/>
          <w:lang w:val="fr-FR"/>
        </w:rPr>
        <w:t>&lt;Article&gt;</w:t>
      </w:r>
      <w:r w:rsidRPr="00734CAA">
        <w:rPr>
          <w:lang w:val="fr-FR"/>
        </w:rPr>
        <w:t>Artikel 1 – stk. 1 – nr. 1 – litra b – nr. 3</w:t>
      </w:r>
      <w:r w:rsidRPr="00734CAA">
        <w:rPr>
          <w:rStyle w:val="HideTWBExt"/>
          <w:color w:val="auto"/>
          <w:lang w:val="fr-FR"/>
        </w:rPr>
        <w:t>&lt;/Article&gt;</w:t>
      </w:r>
    </w:p>
    <w:p w:rsidR="00365C9B" w:rsidRPr="00B16DFD" w:rsidP="00365C9B" w14:paraId="5A4D03FC"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579EC877" w14:textId="77777777">
      <w:r w:rsidRPr="00B16DFD">
        <w:rPr>
          <w:rStyle w:val="HideTWBExt"/>
          <w:color w:val="auto"/>
        </w:rPr>
        <w:t>&lt;Article2&gt;</w:t>
      </w:r>
      <w:r w:rsidRPr="00B16DFD">
        <w:t>Artikel 1 – stk. 5 – afsnit 1 – litra h</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31204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17D68FB" w14:textId="77777777"/>
        </w:tc>
      </w:tr>
      <w:tr w14:paraId="12D17FC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EB10FE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9BAEAE0" w14:textId="77777777">
            <w:pPr>
              <w:pStyle w:val="AmColumnHeading"/>
            </w:pPr>
            <w:r w:rsidRPr="00B16DFD">
              <w:t>Ændringsforslag</w:t>
            </w:r>
          </w:p>
        </w:tc>
      </w:tr>
      <w:tr w14:paraId="0A2071D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A2088A8" w14:textId="77777777">
            <w:pPr>
              <w:pStyle w:val="Normal6a"/>
            </w:pPr>
            <w:r w:rsidRPr="00B16DFD">
              <w:t>h)</w:t>
            </w:r>
            <w:r w:rsidRPr="00B16DFD">
              <w:tab/>
              <w:t>at støtte markedsintegration i Unionen og innovation i den finansielle sektor.".</w:t>
            </w:r>
          </w:p>
        </w:tc>
        <w:tc>
          <w:tcPr>
            <w:tcW w:w="4876" w:type="dxa"/>
            <w:tcBorders>
              <w:top w:val="nil"/>
              <w:left w:val="nil"/>
              <w:bottom w:val="nil"/>
              <w:right w:val="nil"/>
            </w:tcBorders>
            <w:hideMark/>
          </w:tcPr>
          <w:p w:rsidR="00365C9B" w:rsidRPr="00B16DFD" w:rsidP="00F61C80" w14:paraId="1D275CD1" w14:textId="4CA63D5D">
            <w:pPr>
              <w:pStyle w:val="Normal6a"/>
            </w:pPr>
            <w:r w:rsidRPr="00B16DFD">
              <w:t>h)</w:t>
            </w:r>
            <w:r w:rsidRPr="00B16DFD">
              <w:tab/>
              <w:t xml:space="preserve">at </w:t>
            </w:r>
            <w:r w:rsidRPr="00B16DFD">
              <w:rPr>
                <w:b/>
                <w:i/>
              </w:rPr>
              <w:t>øge den finansielle sektors konkurrenceevne og</w:t>
            </w:r>
            <w:r w:rsidRPr="00B16DFD">
              <w:t xml:space="preserve"> støtte markedsintegration i Unionen og innovation i den finansielle sektor</w:t>
            </w:r>
            <w:r w:rsidRPr="00B16DFD">
              <w:rPr>
                <w:b/>
                <w:i/>
              </w:rPr>
              <w:t>, når den optræder som reguleringsmyndighed, og øge forenklingen, når den forfølger sine mål som tilsynsmyndighed</w:t>
            </w:r>
            <w:r w:rsidRPr="00B16DFD">
              <w:t>.".</w:t>
            </w:r>
          </w:p>
        </w:tc>
      </w:tr>
    </w:tbl>
    <w:p w:rsidR="00365C9B" w:rsidRPr="00734CAA" w:rsidP="00365C9B" w14:paraId="19BC8D51"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1861D16" w14:textId="77777777">
      <w:pPr>
        <w:rPr>
          <w:lang w:val="en-GB"/>
        </w:rPr>
      </w:pPr>
      <w:r w:rsidRPr="00734CAA">
        <w:rPr>
          <w:rStyle w:val="HideTWBExt"/>
          <w:color w:val="auto"/>
          <w:lang w:val="en-GB"/>
        </w:rPr>
        <w:t>&lt;/Amend&gt;</w:t>
      </w:r>
    </w:p>
    <w:p w:rsidR="00365C9B" w:rsidRPr="00734CAA" w:rsidP="00365C9B" w14:paraId="6342E414"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350</w:t>
      </w:r>
      <w:r w:rsidRPr="00734CAA">
        <w:rPr>
          <w:rStyle w:val="HideTWBExt"/>
          <w:color w:val="auto"/>
          <w:lang w:val="en-GB"/>
        </w:rPr>
        <w:t>&lt;/NumAm&gt;</w:t>
      </w:r>
    </w:p>
    <w:p w:rsidR="00365C9B" w:rsidRPr="00734CAA" w:rsidP="00365C9B" w14:paraId="1834BA98"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39E71F34"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72A4DA64" w14:textId="77777777">
      <w:pPr>
        <w:pStyle w:val="NormalBold"/>
        <w:rPr>
          <w:lang w:val="en-GB"/>
        </w:rPr>
      </w:pPr>
      <w:r w:rsidRPr="00734CAA">
        <w:rPr>
          <w:rStyle w:val="HideTWBExt"/>
          <w:b w:val="0"/>
          <w:color w:val="auto"/>
          <w:lang w:val="en-GB"/>
        </w:rPr>
        <w:t>&lt;/RepeatBlock-By&gt;</w:t>
      </w:r>
    </w:p>
    <w:p w:rsidR="00365C9B" w:rsidRPr="00734CAA" w:rsidP="00365C9B" w14:paraId="395B19A0"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734CAA" w:rsidP="00365C9B" w14:paraId="76F2ED28" w14:textId="77777777">
      <w:pPr>
        <w:pStyle w:val="NormalBold"/>
        <w:rPr>
          <w:lang w:val="fr-FR"/>
        </w:rPr>
      </w:pPr>
      <w:r w:rsidRPr="00734CAA">
        <w:rPr>
          <w:rStyle w:val="HideTWBExt"/>
          <w:color w:val="auto"/>
          <w:lang w:val="fr-FR"/>
        </w:rPr>
        <w:t>&lt;Article&gt;</w:t>
      </w:r>
      <w:r w:rsidRPr="00734CAA">
        <w:rPr>
          <w:lang w:val="fr-FR"/>
        </w:rPr>
        <w:t>Artikel 1 – stk. 1 – nr. 1 – litra b – nr. 3</w:t>
      </w:r>
      <w:r w:rsidRPr="00734CAA">
        <w:rPr>
          <w:rStyle w:val="HideTWBExt"/>
          <w:color w:val="auto"/>
          <w:lang w:val="fr-FR"/>
        </w:rPr>
        <w:t>&lt;/Article&gt;</w:t>
      </w:r>
    </w:p>
    <w:p w:rsidR="00365C9B" w:rsidRPr="00B16DFD" w:rsidP="00365C9B" w14:paraId="60811629"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533BFBD5" w14:textId="77777777">
      <w:r w:rsidRPr="00B16DFD">
        <w:rPr>
          <w:rStyle w:val="HideTWBExt"/>
          <w:color w:val="auto"/>
        </w:rPr>
        <w:t>&lt;Article2&gt;</w:t>
      </w:r>
      <w:r w:rsidRPr="00B16DFD">
        <w:t>Artikel 1 – stk. 5 – afsnit 1 – litra h</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7BD1C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F390B85" w14:textId="77777777"/>
        </w:tc>
      </w:tr>
      <w:tr w14:paraId="187BDC2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B2C48D7"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CF32FC0" w14:textId="77777777">
            <w:pPr>
              <w:pStyle w:val="AmColumnHeading"/>
            </w:pPr>
            <w:r w:rsidRPr="00B16DFD">
              <w:t>Ændringsforslag</w:t>
            </w:r>
          </w:p>
        </w:tc>
      </w:tr>
      <w:tr w14:paraId="3D9164D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356AEC" w14:paraId="62BA74E6" w14:textId="77777777">
            <w:pPr>
              <w:pStyle w:val="Normal6a"/>
            </w:pPr>
            <w:r w:rsidRPr="00B16DFD">
              <w:t>h)</w:t>
            </w:r>
            <w:r w:rsidRPr="00B16DFD">
              <w:tab/>
              <w:t xml:space="preserve">at støtte markedsintegration i Unionen </w:t>
            </w:r>
            <w:r w:rsidRPr="00B16DFD">
              <w:rPr>
                <w:b/>
                <w:i/>
              </w:rPr>
              <w:t>og innovation i den finansielle sektor.</w:t>
            </w:r>
            <w:r w:rsidRPr="00B16DFD">
              <w:t>"</w:t>
            </w:r>
            <w:r w:rsidRPr="00B16DFD">
              <w:rPr>
                <w:bCs/>
                <w:iCs/>
              </w:rPr>
              <w:t>.</w:t>
            </w:r>
          </w:p>
        </w:tc>
        <w:tc>
          <w:tcPr>
            <w:tcW w:w="4876" w:type="dxa"/>
            <w:tcBorders>
              <w:top w:val="nil"/>
              <w:left w:val="nil"/>
              <w:bottom w:val="nil"/>
              <w:right w:val="nil"/>
            </w:tcBorders>
            <w:hideMark/>
          </w:tcPr>
          <w:p w:rsidR="00365C9B" w:rsidRPr="00B16DFD" w:rsidP="00F61C80" w14:paraId="2623917E" w14:textId="182700FB">
            <w:pPr>
              <w:pStyle w:val="Normal6a"/>
            </w:pPr>
            <w:r w:rsidRPr="00B16DFD">
              <w:t>h)</w:t>
            </w:r>
            <w:r w:rsidRPr="00B16DFD">
              <w:tab/>
              <w:t>at støtte markedsintegration i Unionen"</w:t>
            </w:r>
            <w:r w:rsidRPr="00B16DFD" w:rsidR="00356AEC">
              <w:t>.</w:t>
            </w:r>
          </w:p>
        </w:tc>
      </w:tr>
    </w:tbl>
    <w:p w:rsidR="00365C9B" w:rsidRPr="00734CAA" w:rsidP="00365C9B" w14:paraId="0DD7672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B9DEA9D" w14:textId="77777777">
      <w:pPr>
        <w:rPr>
          <w:lang w:val="en-GB"/>
        </w:rPr>
      </w:pPr>
      <w:r w:rsidRPr="00734CAA">
        <w:rPr>
          <w:rStyle w:val="HideTWBExt"/>
          <w:color w:val="auto"/>
          <w:lang w:val="en-GB"/>
        </w:rPr>
        <w:t>&lt;/Amend&gt;</w:t>
      </w:r>
    </w:p>
    <w:p w:rsidR="00365C9B" w:rsidRPr="00734CAA" w:rsidP="00365C9B" w14:paraId="1DFC900D"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351</w:t>
      </w:r>
      <w:r w:rsidRPr="00734CAA">
        <w:rPr>
          <w:rStyle w:val="HideTWBExt"/>
          <w:color w:val="auto"/>
          <w:lang w:val="en-GB"/>
        </w:rPr>
        <w:t>&lt;/NumAm&gt;</w:t>
      </w:r>
    </w:p>
    <w:p w:rsidR="00365C9B" w:rsidRPr="00734CAA" w:rsidP="00365C9B" w14:paraId="7D2F1597"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125C3E04"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77C3D22D" w14:textId="77777777">
      <w:pPr>
        <w:pStyle w:val="NormalBold"/>
        <w:rPr>
          <w:lang w:val="en-GB"/>
        </w:rPr>
      </w:pPr>
      <w:r w:rsidRPr="00734CAA">
        <w:rPr>
          <w:rStyle w:val="HideTWBExt"/>
          <w:b w:val="0"/>
          <w:color w:val="auto"/>
          <w:lang w:val="en-GB"/>
        </w:rPr>
        <w:t>&lt;/RepeatBlock-By&gt;</w:t>
      </w:r>
    </w:p>
    <w:p w:rsidR="00365C9B" w:rsidRPr="00734CAA" w:rsidP="00365C9B" w14:paraId="2E63076D"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734CAA" w:rsidP="00365C9B" w14:paraId="2820BCD6" w14:textId="77777777">
      <w:pPr>
        <w:pStyle w:val="NormalBold"/>
        <w:rPr>
          <w:lang w:val="fr-FR"/>
        </w:rPr>
      </w:pPr>
      <w:r w:rsidRPr="00734CAA">
        <w:rPr>
          <w:rStyle w:val="HideTWBExt"/>
          <w:color w:val="auto"/>
          <w:lang w:val="fr-FR"/>
        </w:rPr>
        <w:t>&lt;Article&gt;</w:t>
      </w:r>
      <w:r w:rsidRPr="00734CAA">
        <w:rPr>
          <w:lang w:val="fr-FR"/>
        </w:rPr>
        <w:t>Artikel 1 – stk. 1 – nr. 1 – litra b – nr. 3</w:t>
      </w:r>
      <w:r w:rsidRPr="00734CAA">
        <w:rPr>
          <w:rStyle w:val="HideTWBExt"/>
          <w:color w:val="auto"/>
          <w:lang w:val="fr-FR"/>
        </w:rPr>
        <w:t>&lt;/Article&gt;</w:t>
      </w:r>
    </w:p>
    <w:p w:rsidR="00365C9B" w:rsidRPr="00734CAA" w:rsidP="00365C9B" w14:paraId="0AF92839" w14:textId="77777777">
      <w:pPr>
        <w:rPr>
          <w:lang w:val="fr-FR"/>
        </w:rPr>
      </w:pPr>
      <w:r w:rsidRPr="00734CAA">
        <w:rPr>
          <w:rStyle w:val="HideTWBExt"/>
          <w:color w:val="auto"/>
          <w:lang w:val="fr-FR"/>
        </w:rPr>
        <w:t>&lt;DocAmend2&gt;</w:t>
      </w:r>
      <w:r w:rsidRPr="00734CAA">
        <w:rPr>
          <w:lang w:val="fr-FR"/>
        </w:rPr>
        <w:t>Forordning (EU) nr. 1095/2010</w:t>
      </w:r>
      <w:r w:rsidRPr="00734CAA">
        <w:rPr>
          <w:rStyle w:val="HideTWBExt"/>
          <w:color w:val="auto"/>
          <w:lang w:val="fr-FR"/>
        </w:rPr>
        <w:t>&lt;/DocAmend2&gt;</w:t>
      </w:r>
    </w:p>
    <w:p w:rsidR="00365C9B" w:rsidRPr="00734CAA" w:rsidP="00365C9B" w14:paraId="1388DB51" w14:textId="77777777">
      <w:pPr>
        <w:rPr>
          <w:lang w:val="fr-FR"/>
        </w:rPr>
      </w:pPr>
      <w:r w:rsidRPr="00734CAA">
        <w:rPr>
          <w:rStyle w:val="HideTWBExt"/>
          <w:color w:val="auto"/>
          <w:lang w:val="fr-FR"/>
        </w:rPr>
        <w:t>&lt;Article2&gt;</w:t>
      </w:r>
      <w:r w:rsidRPr="00734CAA">
        <w:rPr>
          <w:lang w:val="fr-FR"/>
        </w:rPr>
        <w:t>Artikel 1 – stk. 5 – afsnit 1 – litra h a (nyt)</w:t>
      </w:r>
      <w:r w:rsidRPr="00734CAA">
        <w:rPr>
          <w:rStyle w:val="HideTWBExt"/>
          <w:color w:val="auto"/>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2A7FF1"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04526648" w14:textId="77777777">
            <w:pPr>
              <w:rPr>
                <w:lang w:val="fr-FR"/>
              </w:rPr>
            </w:pPr>
          </w:p>
        </w:tc>
      </w:tr>
      <w:tr w14:paraId="481DA622"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17B2BB3"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D484221" w14:textId="77777777">
            <w:pPr>
              <w:pStyle w:val="AmColumnHeading"/>
            </w:pPr>
            <w:r w:rsidRPr="00B16DFD">
              <w:t>Ændringsforslag</w:t>
            </w:r>
          </w:p>
        </w:tc>
      </w:tr>
      <w:tr w14:paraId="0BF332F9"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47B3E65" w14:textId="77777777">
            <w:pPr>
              <w:pStyle w:val="Normal6a"/>
            </w:pPr>
          </w:p>
        </w:tc>
        <w:tc>
          <w:tcPr>
            <w:tcW w:w="4876" w:type="dxa"/>
            <w:tcBorders>
              <w:top w:val="nil"/>
              <w:left w:val="nil"/>
              <w:bottom w:val="nil"/>
              <w:right w:val="nil"/>
            </w:tcBorders>
            <w:hideMark/>
          </w:tcPr>
          <w:p w:rsidR="00365C9B" w:rsidRPr="00B16DFD" w:rsidP="00F61C80" w14:paraId="77156C93" w14:textId="77777777">
            <w:pPr>
              <w:pStyle w:val="Normal6a"/>
            </w:pPr>
            <w:r w:rsidRPr="00B16DFD">
              <w:rPr>
                <w:b/>
                <w:i/>
              </w:rPr>
              <w:t>ha</w:t>
            </w:r>
            <w:r w:rsidRPr="00B16DFD">
              <w:rPr>
                <w:b/>
                <w:i/>
              </w:rPr>
              <w:t>)</w:t>
            </w:r>
            <w:r w:rsidRPr="00B16DFD">
              <w:tab/>
            </w:r>
            <w:r w:rsidRPr="00B16DFD">
              <w:rPr>
                <w:b/>
                <w:i/>
              </w:rPr>
              <w:t>at støtte tilpasningen af den finansielle sektor til Unionens mål om at opnå klimaneutralitet.</w:t>
            </w:r>
          </w:p>
        </w:tc>
      </w:tr>
    </w:tbl>
    <w:p w:rsidR="00365C9B" w:rsidRPr="00734CAA" w:rsidP="00365C9B" w14:paraId="0BF73FC5"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7561CB8" w14:textId="77777777">
      <w:pPr>
        <w:rPr>
          <w:lang w:val="en-GB"/>
        </w:rPr>
      </w:pPr>
      <w:r w:rsidRPr="00734CAA">
        <w:rPr>
          <w:rStyle w:val="HideTWBExt"/>
          <w:color w:val="auto"/>
          <w:lang w:val="en-GB"/>
        </w:rPr>
        <w:t>&lt;/Amend&gt;</w:t>
      </w:r>
    </w:p>
    <w:p w:rsidR="00365C9B" w:rsidRPr="00734CAA" w:rsidP="00365C9B" w14:paraId="318F263D"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352</w:t>
      </w:r>
      <w:r w:rsidRPr="00734CAA">
        <w:rPr>
          <w:rStyle w:val="HideTWBExt"/>
          <w:color w:val="auto"/>
          <w:lang w:val="en-GB"/>
        </w:rPr>
        <w:t>&lt;/NumAm&gt;</w:t>
      </w:r>
    </w:p>
    <w:p w:rsidR="00365C9B" w:rsidRPr="00734CAA" w:rsidP="00365C9B" w14:paraId="5BBACCBF" w14:textId="77777777">
      <w:pPr>
        <w:pStyle w:val="NormalBold"/>
        <w:rPr>
          <w:lang w:val="en-GB"/>
        </w:rPr>
      </w:pPr>
      <w:r w:rsidRPr="00734CAA">
        <w:rPr>
          <w:rStyle w:val="HideTWBExt"/>
          <w:b w:val="0"/>
          <w:color w:val="auto"/>
          <w:lang w:val="en-GB"/>
        </w:rPr>
        <w:t>&lt;RepeatBlock-By&gt;&lt;Members&gt;</w:t>
      </w:r>
      <w:r w:rsidRPr="00734CAA">
        <w:rPr>
          <w:lang w:val="en-GB"/>
        </w:rPr>
        <w:t>Martine Kemp</w:t>
      </w:r>
      <w:r w:rsidRPr="00734CAA">
        <w:rPr>
          <w:rStyle w:val="HideTWBExt"/>
          <w:b w:val="0"/>
          <w:color w:val="auto"/>
          <w:lang w:val="en-GB"/>
        </w:rPr>
        <w:t>&lt;/Members&gt;</w:t>
      </w:r>
    </w:p>
    <w:p w:rsidR="00365C9B" w:rsidRPr="00734CAA" w:rsidP="00365C9B" w14:paraId="284DAC61" w14:textId="77777777">
      <w:pPr>
        <w:pStyle w:val="NormalBold"/>
        <w:rPr>
          <w:lang w:val="en-GB"/>
        </w:rPr>
      </w:pPr>
      <w:r w:rsidRPr="00734CAA">
        <w:rPr>
          <w:rStyle w:val="HideTWBExt"/>
          <w:b w:val="0"/>
          <w:color w:val="auto"/>
          <w:lang w:val="en-GB"/>
        </w:rPr>
        <w:t>&lt;/RepeatBlock-By&gt;</w:t>
      </w:r>
    </w:p>
    <w:p w:rsidR="00365C9B" w:rsidRPr="00B16DFD" w:rsidP="00365C9B" w14:paraId="46DADBC8"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552E59A0" w14:textId="77777777">
      <w:pPr>
        <w:pStyle w:val="NormalBold"/>
        <w:rPr>
          <w:lang w:val="fr-FR"/>
        </w:rPr>
      </w:pPr>
      <w:r w:rsidRPr="00734CAA">
        <w:rPr>
          <w:rStyle w:val="HideTWBExt"/>
          <w:color w:val="auto"/>
          <w:lang w:val="fr-FR"/>
        </w:rPr>
        <w:t>&lt;Article&gt;</w:t>
      </w:r>
      <w:r w:rsidRPr="00734CAA">
        <w:rPr>
          <w:lang w:val="fr-FR"/>
        </w:rPr>
        <w:t>Artikel 1 – stk. 1 – nr. 1 – litra b – nr. 3</w:t>
      </w:r>
      <w:r w:rsidRPr="00734CAA">
        <w:rPr>
          <w:rStyle w:val="HideTWBExt"/>
          <w:color w:val="auto"/>
          <w:lang w:val="fr-FR"/>
        </w:rPr>
        <w:t>&lt;/Article&gt;</w:t>
      </w:r>
    </w:p>
    <w:p w:rsidR="00365C9B" w:rsidRPr="00734CAA" w:rsidP="00365C9B" w14:paraId="6E314463" w14:textId="77777777">
      <w:pPr>
        <w:rPr>
          <w:lang w:val="fr-FR"/>
        </w:rPr>
      </w:pPr>
      <w:r w:rsidRPr="00734CAA">
        <w:rPr>
          <w:rStyle w:val="HideTWBExt"/>
          <w:color w:val="auto"/>
          <w:lang w:val="fr-FR"/>
        </w:rPr>
        <w:t>&lt;DocAmend2&gt;</w:t>
      </w:r>
      <w:r w:rsidRPr="00734CAA">
        <w:rPr>
          <w:lang w:val="fr-FR"/>
        </w:rPr>
        <w:t>Forordning (EU) nr. 1095/2010</w:t>
      </w:r>
      <w:r w:rsidRPr="00734CAA">
        <w:rPr>
          <w:rStyle w:val="HideTWBExt"/>
          <w:color w:val="auto"/>
          <w:lang w:val="fr-FR"/>
        </w:rPr>
        <w:t>&lt;/DocAmend2&gt;</w:t>
      </w:r>
    </w:p>
    <w:p w:rsidR="00365C9B" w:rsidRPr="00734CAA" w:rsidP="00365C9B" w14:paraId="73196E11" w14:textId="77777777">
      <w:pPr>
        <w:rPr>
          <w:lang w:val="fr-FR"/>
        </w:rPr>
      </w:pPr>
      <w:r w:rsidRPr="00734CAA">
        <w:rPr>
          <w:rStyle w:val="HideTWBExt"/>
          <w:color w:val="auto"/>
          <w:lang w:val="fr-FR"/>
        </w:rPr>
        <w:t>&lt;Article2&gt;</w:t>
      </w:r>
      <w:r w:rsidRPr="00734CAA">
        <w:rPr>
          <w:lang w:val="fr-FR"/>
        </w:rPr>
        <w:t>Artikel 1 – stk. 5 – afsnit 1 – litra h a (nyt)</w:t>
      </w:r>
      <w:r w:rsidRPr="00734CAA">
        <w:rPr>
          <w:rStyle w:val="HideTWBExt"/>
          <w:color w:val="auto"/>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D3AAB5"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31A075CB" w14:textId="77777777">
            <w:pPr>
              <w:rPr>
                <w:lang w:val="fr-FR"/>
              </w:rPr>
            </w:pPr>
          </w:p>
        </w:tc>
      </w:tr>
      <w:tr w14:paraId="773880D7"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A48EA47"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A505778" w14:textId="77777777">
            <w:pPr>
              <w:pStyle w:val="AmColumnHeading"/>
            </w:pPr>
            <w:r w:rsidRPr="00B16DFD">
              <w:t>Ændringsforslag</w:t>
            </w:r>
          </w:p>
        </w:tc>
      </w:tr>
      <w:tr w14:paraId="507375D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DB3A7D3" w14:textId="77777777">
            <w:pPr>
              <w:pStyle w:val="Normal6a"/>
            </w:pPr>
          </w:p>
        </w:tc>
        <w:tc>
          <w:tcPr>
            <w:tcW w:w="4876" w:type="dxa"/>
            <w:tcBorders>
              <w:top w:val="nil"/>
              <w:left w:val="nil"/>
              <w:bottom w:val="nil"/>
              <w:right w:val="nil"/>
            </w:tcBorders>
            <w:hideMark/>
          </w:tcPr>
          <w:p w:rsidR="00365C9B" w:rsidRPr="00B16DFD" w:rsidP="00F61C80" w14:paraId="003A1CE7" w14:textId="77777777">
            <w:pPr>
              <w:pStyle w:val="Normal6a"/>
            </w:pPr>
            <w:r w:rsidRPr="00B16DFD">
              <w:rPr>
                <w:b/>
                <w:i/>
              </w:rPr>
              <w:t>ha</w:t>
            </w:r>
            <w:r w:rsidRPr="00B16DFD">
              <w:rPr>
                <w:b/>
                <w:i/>
              </w:rPr>
              <w:t>) at fremme den internationale konkurrenceevne i Unionens økonomi, navnlig dens finansielle sektor, og dens vækst på mellemlang og lang sigt.</w:t>
            </w:r>
          </w:p>
        </w:tc>
      </w:tr>
    </w:tbl>
    <w:p w:rsidR="00365C9B" w:rsidRPr="00B16DFD" w:rsidP="00365C9B" w14:paraId="787C0A6C"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49A8D99B"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6DB0D943" w14:textId="77777777">
      <w:pPr>
        <w:pStyle w:val="AmJustText"/>
      </w:pPr>
      <w:r w:rsidRPr="00B16DFD">
        <w:t>Selv om finansiel stabilitet og investorbeskyttelse fortsat er kerneelementerne i ESMA's rolle, forsynes ESMA med et sekundært lovbestemt mål for konkurrenceevne i overensstemmelse med den udvikling, der er observeret for andre tredjelandes tilsynsmyndigheders mandat.</w:t>
      </w:r>
    </w:p>
    <w:p w:rsidR="00365C9B" w:rsidRPr="00B16DFD" w:rsidP="00365C9B" w14:paraId="348BC3E5" w14:textId="77777777">
      <w:r w:rsidRPr="00B16DFD">
        <w:rPr>
          <w:rStyle w:val="HideTWBExt"/>
          <w:color w:val="auto"/>
        </w:rPr>
        <w:t>&lt;/Amend&gt;</w:t>
      </w:r>
    </w:p>
    <w:p w:rsidR="00365C9B" w:rsidRPr="00B16DFD" w:rsidP="00365C9B" w14:paraId="6E5C6858"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353</w:t>
      </w:r>
      <w:r w:rsidRPr="00B16DFD">
        <w:rPr>
          <w:rStyle w:val="HideTWBExt"/>
          <w:color w:val="auto"/>
        </w:rPr>
        <w:t>&lt;/NumAm&gt;</w:t>
      </w:r>
    </w:p>
    <w:p w:rsidR="00365C9B" w:rsidRPr="00734CAA" w:rsidP="00365C9B" w14:paraId="6A1BEECE" w14:textId="77777777">
      <w:pPr>
        <w:pStyle w:val="NormalBold"/>
        <w:rPr>
          <w:lang w:val="en-GB"/>
        </w:rPr>
      </w:pPr>
      <w:r w:rsidRPr="00734CAA">
        <w:rPr>
          <w:rStyle w:val="HideTWBExt"/>
          <w:b w:val="0"/>
          <w:color w:val="auto"/>
          <w:lang w:val="en-GB"/>
        </w:rPr>
        <w:t>&lt;RepeatBlock-By&gt;&lt;Members&gt;</w:t>
      </w:r>
      <w:r w:rsidRPr="00734CAA">
        <w:rPr>
          <w:lang w:val="en-GB"/>
        </w:rPr>
        <w:t>Christophe Gomart</w:t>
      </w:r>
      <w:r w:rsidRPr="00734CAA">
        <w:rPr>
          <w:rStyle w:val="HideTWBExt"/>
          <w:b w:val="0"/>
          <w:color w:val="auto"/>
          <w:lang w:val="en-GB"/>
        </w:rPr>
        <w:t>&lt;/Members&gt;</w:t>
      </w:r>
    </w:p>
    <w:p w:rsidR="00365C9B" w:rsidRPr="00B16DFD" w:rsidP="00365C9B" w14:paraId="4CA531F9" w14:textId="77777777">
      <w:pPr>
        <w:pStyle w:val="NormalBold"/>
      </w:pPr>
      <w:r w:rsidRPr="00B16DFD">
        <w:rPr>
          <w:rStyle w:val="HideTWBExt"/>
          <w:b w:val="0"/>
          <w:color w:val="auto"/>
        </w:rPr>
        <w:t>&lt;/RepeatBlock-By&gt;</w:t>
      </w:r>
    </w:p>
    <w:p w:rsidR="00365C9B" w:rsidRPr="00B16DFD" w:rsidP="00365C9B" w14:paraId="787AEED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1F291EE6" w14:textId="77777777">
      <w:pPr>
        <w:pStyle w:val="NormalBold"/>
        <w:rPr>
          <w:lang w:val="fr-FR"/>
        </w:rPr>
      </w:pPr>
      <w:r w:rsidRPr="00734CAA">
        <w:rPr>
          <w:rStyle w:val="HideTWBExt"/>
          <w:color w:val="auto"/>
          <w:lang w:val="fr-FR"/>
        </w:rPr>
        <w:t>&lt;Article&gt;</w:t>
      </w:r>
      <w:r w:rsidRPr="00734CAA">
        <w:rPr>
          <w:lang w:val="fr-FR"/>
        </w:rPr>
        <w:t>Artikel 1 – stk. 1 – nr. 1 – litra b – nr. 3</w:t>
      </w:r>
      <w:r w:rsidRPr="00734CAA">
        <w:rPr>
          <w:rStyle w:val="HideTWBExt"/>
          <w:color w:val="auto"/>
          <w:lang w:val="fr-FR"/>
        </w:rPr>
        <w:t>&lt;/Article&gt;</w:t>
      </w:r>
    </w:p>
    <w:p w:rsidR="00365C9B" w:rsidRPr="00734CAA" w:rsidP="00365C9B" w14:paraId="079315FB" w14:textId="77777777">
      <w:pPr>
        <w:rPr>
          <w:lang w:val="fr-FR"/>
        </w:rPr>
      </w:pPr>
      <w:r w:rsidRPr="00734CAA">
        <w:rPr>
          <w:rStyle w:val="HideTWBExt"/>
          <w:color w:val="auto"/>
          <w:lang w:val="fr-FR"/>
        </w:rPr>
        <w:t>&lt;DocAmend2&gt;</w:t>
      </w:r>
      <w:r w:rsidRPr="00734CAA">
        <w:rPr>
          <w:lang w:val="fr-FR"/>
        </w:rPr>
        <w:t>Forordning (EU) nr. 1095/2010</w:t>
      </w:r>
      <w:r w:rsidRPr="00734CAA">
        <w:rPr>
          <w:rStyle w:val="HideTWBExt"/>
          <w:color w:val="auto"/>
          <w:lang w:val="fr-FR"/>
        </w:rPr>
        <w:t>&lt;/DocAmend2&gt;</w:t>
      </w:r>
    </w:p>
    <w:p w:rsidR="00365C9B" w:rsidRPr="00734CAA" w:rsidP="00365C9B" w14:paraId="30BEE90B" w14:textId="77777777">
      <w:pPr>
        <w:rPr>
          <w:lang w:val="fr-FR"/>
        </w:rPr>
      </w:pPr>
      <w:r w:rsidRPr="00734CAA">
        <w:rPr>
          <w:rStyle w:val="HideTWBExt"/>
          <w:color w:val="auto"/>
          <w:lang w:val="fr-FR"/>
        </w:rPr>
        <w:t>&lt;Article2&gt;</w:t>
      </w:r>
      <w:r w:rsidRPr="00734CAA">
        <w:rPr>
          <w:lang w:val="fr-FR"/>
        </w:rPr>
        <w:t>Artikel 1 – stk. 5 – afsnit 1 – litra h a (nyt)</w:t>
      </w:r>
      <w:r w:rsidRPr="00734CAA">
        <w:rPr>
          <w:rStyle w:val="HideTWBExt"/>
          <w:color w:val="auto"/>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9F7E24"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26FF20F1" w14:textId="77777777">
            <w:pPr>
              <w:rPr>
                <w:lang w:val="fr-FR"/>
              </w:rPr>
            </w:pPr>
          </w:p>
        </w:tc>
      </w:tr>
      <w:tr w14:paraId="5B87BC3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5B6F49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6D1D93D" w14:textId="77777777">
            <w:pPr>
              <w:pStyle w:val="AmColumnHeading"/>
            </w:pPr>
            <w:r w:rsidRPr="00B16DFD">
              <w:t>Ændringsforslag</w:t>
            </w:r>
          </w:p>
        </w:tc>
      </w:tr>
      <w:tr w14:paraId="3B0D1CF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14C9FFE" w14:textId="77777777">
            <w:pPr>
              <w:pStyle w:val="Normal6a"/>
            </w:pPr>
          </w:p>
        </w:tc>
        <w:tc>
          <w:tcPr>
            <w:tcW w:w="4876" w:type="dxa"/>
            <w:tcBorders>
              <w:top w:val="nil"/>
              <w:left w:val="nil"/>
              <w:bottom w:val="nil"/>
              <w:right w:val="nil"/>
            </w:tcBorders>
            <w:hideMark/>
          </w:tcPr>
          <w:p w:rsidR="00365C9B" w:rsidRPr="00B16DFD" w:rsidP="00F61C80" w14:paraId="73A2791C" w14:textId="77777777">
            <w:pPr>
              <w:pStyle w:val="Normal6a"/>
            </w:pPr>
            <w:r w:rsidRPr="00B16DFD">
              <w:rPr>
                <w:b/>
                <w:i/>
              </w:rPr>
              <w:t>ha</w:t>
            </w:r>
            <w:r w:rsidRPr="00B16DFD">
              <w:rPr>
                <w:b/>
                <w:i/>
              </w:rPr>
              <w:t>) at fremme og støtte konkurrenceevnen for aktørerne på Unionens finansmarkeder.</w:t>
            </w:r>
          </w:p>
        </w:tc>
      </w:tr>
    </w:tbl>
    <w:p w:rsidR="00365C9B" w:rsidRPr="00734CAA" w:rsidP="00365C9B" w14:paraId="011CDD11"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{FR}</w:t>
      </w:r>
      <w:r w:rsidRPr="00734CAA">
        <w:rPr>
          <w:lang w:val="en-GB"/>
        </w:rPr>
        <w:t>fr</w:t>
      </w:r>
      <w:r w:rsidRPr="00734CAA">
        <w:rPr>
          <w:rStyle w:val="HideTWBExt"/>
          <w:color w:val="auto"/>
          <w:lang w:val="en-GB"/>
        </w:rPr>
        <w:t>&lt;/Original&gt;</w:t>
      </w:r>
    </w:p>
    <w:p w:rsidR="00365C9B" w:rsidRPr="00734CAA" w:rsidP="00365C9B" w14:paraId="4B598488" w14:textId="77777777">
      <w:pPr>
        <w:rPr>
          <w:lang w:val="en-GB"/>
        </w:rPr>
      </w:pPr>
      <w:r w:rsidRPr="00734CAA">
        <w:rPr>
          <w:rStyle w:val="HideTWBExt"/>
          <w:color w:val="auto"/>
          <w:lang w:val="en-GB"/>
        </w:rPr>
        <w:t>&lt;/Amend&gt;</w:t>
      </w:r>
    </w:p>
    <w:p w:rsidR="00365C9B" w:rsidRPr="00734CAA" w:rsidP="00365C9B" w14:paraId="69C0A856"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354</w:t>
      </w:r>
      <w:r w:rsidRPr="00734CAA">
        <w:rPr>
          <w:rStyle w:val="HideTWBExt"/>
          <w:color w:val="auto"/>
          <w:lang w:val="en-GB"/>
        </w:rPr>
        <w:t>&lt;/NumAm&gt;</w:t>
      </w:r>
    </w:p>
    <w:p w:rsidR="00365C9B" w:rsidRPr="00734CAA" w:rsidP="00365C9B" w14:paraId="1F06E1B5"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660D96E5" w14:textId="77777777">
      <w:pPr>
        <w:pStyle w:val="NormalBold"/>
      </w:pPr>
      <w:r w:rsidRPr="00B16DFD">
        <w:rPr>
          <w:rStyle w:val="HideTWBExt"/>
          <w:b w:val="0"/>
          <w:color w:val="auto"/>
        </w:rPr>
        <w:t>&lt;/RepeatBlock-By&gt;</w:t>
      </w:r>
    </w:p>
    <w:p w:rsidR="00365C9B" w:rsidRPr="00B16DFD" w:rsidP="00365C9B" w14:paraId="3262CD99"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13762A78" w14:textId="77777777">
      <w:pPr>
        <w:pStyle w:val="NormalBold"/>
        <w:rPr>
          <w:lang w:val="fr-FR"/>
        </w:rPr>
      </w:pPr>
      <w:r w:rsidRPr="00734CAA">
        <w:rPr>
          <w:rStyle w:val="HideTWBExt"/>
          <w:color w:val="auto"/>
          <w:lang w:val="fr-FR"/>
        </w:rPr>
        <w:t>&lt;Article&gt;</w:t>
      </w:r>
      <w:r w:rsidRPr="00734CAA">
        <w:rPr>
          <w:lang w:val="fr-FR"/>
        </w:rPr>
        <w:t>Artikel 1 – stk. 1 – nr. 1 – litra b – nr. 3 a (nyt)</w:t>
      </w:r>
      <w:r w:rsidRPr="00734CAA">
        <w:rPr>
          <w:rStyle w:val="HideTWBExt"/>
          <w:color w:val="auto"/>
          <w:lang w:val="fr-FR"/>
        </w:rPr>
        <w:t>&lt;/Article&gt;</w:t>
      </w:r>
    </w:p>
    <w:p w:rsidR="00365C9B" w:rsidRPr="00734CAA" w:rsidP="00365C9B" w14:paraId="374806CD" w14:textId="77777777">
      <w:pPr>
        <w:rPr>
          <w:lang w:val="fr-FR"/>
        </w:rPr>
      </w:pPr>
      <w:r w:rsidRPr="00734CAA">
        <w:rPr>
          <w:rStyle w:val="HideTWBExt"/>
          <w:color w:val="auto"/>
          <w:lang w:val="fr-FR"/>
        </w:rPr>
        <w:t>&lt;DocAmend2&gt;</w:t>
      </w:r>
      <w:r w:rsidRPr="00734CAA">
        <w:rPr>
          <w:lang w:val="fr-FR"/>
        </w:rPr>
        <w:t>Forordning (EU) nr. 1095/2010</w:t>
      </w:r>
      <w:r w:rsidRPr="00734CAA">
        <w:rPr>
          <w:rStyle w:val="HideTWBExt"/>
          <w:color w:val="auto"/>
          <w:lang w:val="fr-FR"/>
        </w:rPr>
        <w:t>&lt;/DocAmend2&gt;</w:t>
      </w:r>
    </w:p>
    <w:p w:rsidR="00365C9B" w:rsidRPr="00734CAA" w:rsidP="00365C9B" w14:paraId="6139ABB4" w14:textId="77777777">
      <w:pPr>
        <w:rPr>
          <w:lang w:val="fr-FR"/>
        </w:rPr>
      </w:pPr>
      <w:r w:rsidRPr="00734CAA">
        <w:rPr>
          <w:rStyle w:val="HideTWBExt"/>
          <w:color w:val="auto"/>
          <w:lang w:val="fr-FR"/>
        </w:rPr>
        <w:t>&lt;Article2&gt;</w:t>
      </w:r>
      <w:r w:rsidRPr="00734CAA">
        <w:rPr>
          <w:lang w:val="fr-FR"/>
        </w:rPr>
        <w:t>Artikel 1 – stk. 5 – afsnit 5 a (nyt)</w:t>
      </w:r>
      <w:r w:rsidRPr="00734CAA">
        <w:rPr>
          <w:rStyle w:val="HideTWBExt"/>
          <w:color w:val="auto"/>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3DBC1"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7C7D124C" w14:textId="77777777">
            <w:pPr>
              <w:rPr>
                <w:lang w:val="fr-FR"/>
              </w:rPr>
            </w:pPr>
          </w:p>
        </w:tc>
      </w:tr>
      <w:tr w14:paraId="6620B39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182558E"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018E547" w14:textId="77777777">
            <w:pPr>
              <w:pStyle w:val="AmColumnHeading"/>
            </w:pPr>
            <w:r w:rsidRPr="00B16DFD">
              <w:t>Ændringsforslag</w:t>
            </w:r>
          </w:p>
        </w:tc>
      </w:tr>
      <w:tr w14:paraId="3E71E22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F9605FE" w14:textId="77777777">
            <w:pPr>
              <w:pStyle w:val="Normal6a"/>
            </w:pPr>
          </w:p>
        </w:tc>
        <w:tc>
          <w:tcPr>
            <w:tcW w:w="4876" w:type="dxa"/>
            <w:tcBorders>
              <w:top w:val="nil"/>
              <w:left w:val="nil"/>
              <w:bottom w:val="nil"/>
              <w:right w:val="nil"/>
            </w:tcBorders>
            <w:hideMark/>
          </w:tcPr>
          <w:p w:rsidR="00365C9B" w:rsidRPr="00B16DFD" w:rsidP="00F61C80" w14:paraId="097090DB" w14:textId="77777777">
            <w:pPr>
              <w:pStyle w:val="Normal6a"/>
            </w:pPr>
            <w:r w:rsidRPr="00B16DFD">
              <w:rPr>
                <w:b/>
                <w:i/>
              </w:rPr>
              <w:t>3a)</w:t>
            </w:r>
            <w:r w:rsidRPr="00B16DFD">
              <w:tab/>
            </w:r>
            <w:r w:rsidRPr="00B16DFD">
              <w:rPr>
                <w:b/>
                <w:i/>
              </w:rPr>
              <w:t>Følgende afsnit indsættes:</w:t>
            </w:r>
          </w:p>
        </w:tc>
      </w:tr>
      <w:tr w14:paraId="406B404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1FD954F" w14:textId="77777777">
            <w:pPr>
              <w:pStyle w:val="Normal6a"/>
            </w:pPr>
          </w:p>
        </w:tc>
        <w:tc>
          <w:tcPr>
            <w:tcW w:w="4876" w:type="dxa"/>
            <w:tcBorders>
              <w:top w:val="nil"/>
              <w:left w:val="nil"/>
              <w:bottom w:val="nil"/>
              <w:right w:val="nil"/>
            </w:tcBorders>
            <w:hideMark/>
          </w:tcPr>
          <w:p w:rsidR="00365C9B" w:rsidRPr="00B16DFD" w:rsidP="00F61C80" w14:paraId="6855D8CE" w14:textId="2CE2F9D4">
            <w:pPr>
              <w:pStyle w:val="Normal6a"/>
            </w:pPr>
            <w:r w:rsidRPr="00B16DFD">
              <w:rPr>
                <w:b/>
                <w:i/>
              </w:rPr>
              <w:t xml:space="preserve">"Når myndigheden udfører de opgaver, som den ved denne forordnings artikel 8, stk. 1, tillægges med henblik på at bidrage til fastlæggelsen af fælles reguleringsmæssige standarder af høj kvalitet, tager den hensyn til de potentielle virkninger for konkurrenceevnen på </w:t>
            </w:r>
            <w:r w:rsidR="00242139">
              <w:rPr>
                <w:b/>
                <w:i/>
              </w:rPr>
              <w:t>finans</w:t>
            </w:r>
            <w:r w:rsidR="00CB6039">
              <w:rPr>
                <w:b/>
                <w:i/>
              </w:rPr>
              <w:t>-</w:t>
            </w:r>
            <w:r w:rsidRPr="00B16DFD">
              <w:rPr>
                <w:b/>
                <w:i/>
              </w:rPr>
              <w:t xml:space="preserve"> og råvaremarkederne i Unionen."</w:t>
            </w:r>
          </w:p>
        </w:tc>
      </w:tr>
    </w:tbl>
    <w:p w:rsidR="00365C9B" w:rsidRPr="00734CAA" w:rsidP="00365C9B" w14:paraId="6D8D139E"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83686F6" w14:textId="77777777">
      <w:pPr>
        <w:rPr>
          <w:lang w:val="en-GB"/>
        </w:rPr>
      </w:pPr>
      <w:r w:rsidRPr="00734CAA">
        <w:rPr>
          <w:rStyle w:val="HideTWBExt"/>
          <w:color w:val="auto"/>
          <w:lang w:val="en-GB"/>
        </w:rPr>
        <w:t>&lt;/Amend&gt;</w:t>
      </w:r>
    </w:p>
    <w:p w:rsidR="00365C9B" w:rsidRPr="00734CAA" w:rsidP="00365C9B" w14:paraId="4BC0E7C9"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355</w:t>
      </w:r>
      <w:r w:rsidRPr="00734CAA">
        <w:rPr>
          <w:rStyle w:val="HideTWBExt"/>
          <w:color w:val="auto"/>
          <w:lang w:val="en-GB"/>
        </w:rPr>
        <w:t>&lt;/NumAm&gt;</w:t>
      </w:r>
    </w:p>
    <w:p w:rsidR="00365C9B" w:rsidRPr="00734CAA" w:rsidP="00365C9B" w14:paraId="4288E090" w14:textId="77777777">
      <w:pPr>
        <w:pStyle w:val="NormalBold"/>
        <w:rPr>
          <w:lang w:val="en-GB"/>
        </w:rPr>
      </w:pPr>
      <w:r w:rsidRPr="00734CAA">
        <w:rPr>
          <w:rStyle w:val="HideTWBExt"/>
          <w:b w:val="0"/>
          <w:color w:val="auto"/>
          <w:lang w:val="en-GB"/>
        </w:rPr>
        <w:t>&lt;RepeatBlock-By&gt;&lt;Members&gt;</w:t>
      </w:r>
      <w:r w:rsidRPr="00734CAA">
        <w:rPr>
          <w:lang w:val="en-GB"/>
        </w:rPr>
        <w:t>Fernando Navarrete Rojas, Isabel Benjumea Benjumea</w:t>
      </w:r>
      <w:r w:rsidRPr="00734CAA">
        <w:rPr>
          <w:rStyle w:val="HideTWBExt"/>
          <w:b w:val="0"/>
          <w:color w:val="auto"/>
          <w:lang w:val="en-GB"/>
        </w:rPr>
        <w:t>&lt;/Members&gt;</w:t>
      </w:r>
    </w:p>
    <w:p w:rsidR="00365C9B" w:rsidRPr="00734CAA" w:rsidP="00365C9B" w14:paraId="181BC649" w14:textId="77777777">
      <w:pPr>
        <w:pStyle w:val="NormalBold"/>
        <w:rPr>
          <w:lang w:val="en-GB"/>
        </w:rPr>
      </w:pPr>
      <w:r w:rsidRPr="00734CAA">
        <w:rPr>
          <w:rStyle w:val="HideTWBExt"/>
          <w:b w:val="0"/>
          <w:color w:val="auto"/>
          <w:lang w:val="en-GB"/>
        </w:rPr>
        <w:t>&lt;/RepeatBlock-By&gt;</w:t>
      </w:r>
    </w:p>
    <w:p w:rsidR="00365C9B" w:rsidRPr="00B16DFD" w:rsidP="00365C9B" w14:paraId="7C92AD6A"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2213C5FA" w14:textId="77777777">
      <w:pPr>
        <w:pStyle w:val="NormalBold"/>
        <w:rPr>
          <w:lang w:val="fr-FR"/>
        </w:rPr>
      </w:pPr>
      <w:r w:rsidRPr="00734CAA">
        <w:rPr>
          <w:rStyle w:val="HideTWBExt"/>
          <w:color w:val="auto"/>
          <w:lang w:val="fr-FR"/>
        </w:rPr>
        <w:t>&lt;Article&gt;</w:t>
      </w:r>
      <w:r w:rsidRPr="00734CAA">
        <w:rPr>
          <w:lang w:val="fr-FR"/>
        </w:rPr>
        <w:t>Artikel 1 – stk. 1 – nr. 2 – litra -a (nyt)</w:t>
      </w:r>
      <w:r w:rsidRPr="00734CAA">
        <w:rPr>
          <w:rStyle w:val="HideTWBExt"/>
          <w:color w:val="auto"/>
          <w:lang w:val="fr-FR"/>
        </w:rPr>
        <w:t>&lt;/Article&gt;</w:t>
      </w:r>
    </w:p>
    <w:p w:rsidR="00365C9B" w:rsidRPr="00734CAA" w:rsidP="00365C9B" w14:paraId="6B9ED512" w14:textId="77777777">
      <w:pPr>
        <w:rPr>
          <w:lang w:val="fr-FR"/>
        </w:rPr>
      </w:pPr>
      <w:r w:rsidRPr="00734CAA">
        <w:rPr>
          <w:rStyle w:val="HideTWBExt"/>
          <w:color w:val="auto"/>
          <w:lang w:val="fr-FR"/>
        </w:rPr>
        <w:t>&lt;DocAmend2&gt;</w:t>
      </w:r>
      <w:r w:rsidRPr="00734CAA">
        <w:rPr>
          <w:lang w:val="fr-FR"/>
        </w:rPr>
        <w:t>Forordning (EU) nr. 1095/2010</w:t>
      </w:r>
      <w:r w:rsidRPr="00734CAA">
        <w:rPr>
          <w:rStyle w:val="HideTWBExt"/>
          <w:color w:val="auto"/>
          <w:lang w:val="fr-FR"/>
        </w:rPr>
        <w:t>&lt;/DocAmend2&gt;</w:t>
      </w:r>
    </w:p>
    <w:p w:rsidR="00365C9B" w:rsidRPr="00734CAA" w:rsidP="00365C9B" w14:paraId="4760F7CB" w14:textId="77777777">
      <w:pPr>
        <w:rPr>
          <w:lang w:val="fr-FR"/>
        </w:rPr>
      </w:pPr>
      <w:r w:rsidRPr="00734CAA">
        <w:rPr>
          <w:rStyle w:val="HideTWBExt"/>
          <w:color w:val="auto"/>
          <w:lang w:val="fr-FR"/>
        </w:rPr>
        <w:t>&lt;Article2&gt;</w:t>
      </w:r>
      <w:r w:rsidRPr="00734CAA">
        <w:rPr>
          <w:lang w:val="fr-FR"/>
        </w:rPr>
        <w:t>Artikel 3 – stk. 3 – afsnit 1 a (nyt)</w:t>
      </w:r>
      <w:r w:rsidRPr="00734CAA">
        <w:rPr>
          <w:rStyle w:val="HideTWBExt"/>
          <w:color w:val="auto"/>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FC994"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6E0F0215" w14:textId="77777777">
            <w:pPr>
              <w:rPr>
                <w:lang w:val="fr-FR"/>
              </w:rPr>
            </w:pPr>
          </w:p>
        </w:tc>
      </w:tr>
      <w:tr w14:paraId="52ADCA52"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E75069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A8B7253" w14:textId="77777777">
            <w:pPr>
              <w:pStyle w:val="AmColumnHeading"/>
            </w:pPr>
            <w:r w:rsidRPr="00B16DFD">
              <w:t>Ændringsforslag</w:t>
            </w:r>
          </w:p>
        </w:tc>
      </w:tr>
      <w:tr w14:paraId="2FA5F5E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037827A" w14:textId="77777777">
            <w:pPr>
              <w:pStyle w:val="Normal6a"/>
            </w:pPr>
          </w:p>
        </w:tc>
        <w:tc>
          <w:tcPr>
            <w:tcW w:w="4876" w:type="dxa"/>
            <w:tcBorders>
              <w:top w:val="nil"/>
              <w:left w:val="nil"/>
              <w:bottom w:val="nil"/>
              <w:right w:val="nil"/>
            </w:tcBorders>
            <w:hideMark/>
          </w:tcPr>
          <w:p w:rsidR="00365C9B" w:rsidRPr="00B16DFD" w:rsidP="00F61C80" w14:paraId="1C958898" w14:textId="77777777">
            <w:pPr>
              <w:pStyle w:val="Normal6a"/>
            </w:pPr>
            <w:r w:rsidRPr="00B16DFD">
              <w:rPr>
                <w:b/>
                <w:i/>
              </w:rPr>
              <w:t>-a)</w:t>
            </w:r>
            <w:r w:rsidRPr="00B16DFD">
              <w:tab/>
            </w:r>
            <w:r w:rsidRPr="00B16DFD">
              <w:rPr>
                <w:b/>
                <w:i/>
              </w:rPr>
              <w:t>I artikel 3, stk. 3, indsættes følgende afsnit:</w:t>
            </w:r>
          </w:p>
        </w:tc>
      </w:tr>
      <w:tr w14:paraId="5A8BECF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CD6773B" w14:textId="77777777">
            <w:pPr>
              <w:pStyle w:val="Normal6a"/>
            </w:pPr>
          </w:p>
        </w:tc>
        <w:tc>
          <w:tcPr>
            <w:tcW w:w="4876" w:type="dxa"/>
            <w:tcBorders>
              <w:top w:val="nil"/>
              <w:left w:val="nil"/>
              <w:bottom w:val="nil"/>
              <w:right w:val="nil"/>
            </w:tcBorders>
            <w:hideMark/>
          </w:tcPr>
          <w:p w:rsidR="00365C9B" w:rsidRPr="00B16DFD" w:rsidP="00F61C80" w14:paraId="1AA8D8A5" w14:textId="77777777">
            <w:pPr>
              <w:pStyle w:val="Normal6a"/>
            </w:pPr>
            <w:r w:rsidRPr="00B16DFD">
              <w:rPr>
                <w:b/>
                <w:i/>
              </w:rPr>
              <w:t>"Myndigheden redegør i sin årsberetning for, hvordan den har opfyldt sin forpligtelse til at fremme Unionens globale konkurrenceevne. Beretningen skal navnlig indeholde en redegørelse for:</w:t>
            </w:r>
          </w:p>
        </w:tc>
      </w:tr>
      <w:tr w14:paraId="4E70F32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50F5E7B" w14:textId="77777777">
            <w:pPr>
              <w:pStyle w:val="Normal6a"/>
            </w:pPr>
          </w:p>
        </w:tc>
        <w:tc>
          <w:tcPr>
            <w:tcW w:w="4876" w:type="dxa"/>
            <w:tcBorders>
              <w:top w:val="nil"/>
              <w:left w:val="nil"/>
              <w:bottom w:val="nil"/>
              <w:right w:val="nil"/>
            </w:tcBorders>
            <w:hideMark/>
          </w:tcPr>
          <w:p w:rsidR="00365C9B" w:rsidRPr="00B16DFD" w:rsidP="00F61C80" w14:paraId="79A873D7" w14:textId="77777777">
            <w:pPr>
              <w:pStyle w:val="Normal6a"/>
            </w:pPr>
            <w:r w:rsidRPr="00B16DFD">
              <w:rPr>
                <w:b/>
                <w:i/>
              </w:rPr>
              <w:t>a) de foranstaltninger, som myndigheden har truffet for at sikre, at Unionens globale konkurrenceevne er forankret i dens aktiviteter, processer og beslutningstagning som tilsynsmyndighed, og</w:t>
            </w:r>
          </w:p>
        </w:tc>
      </w:tr>
      <w:tr w14:paraId="1FF0993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E2DA065" w14:textId="77777777">
            <w:pPr>
              <w:pStyle w:val="Normal6a"/>
            </w:pPr>
          </w:p>
        </w:tc>
        <w:tc>
          <w:tcPr>
            <w:tcW w:w="4876" w:type="dxa"/>
            <w:tcBorders>
              <w:top w:val="nil"/>
              <w:left w:val="nil"/>
              <w:bottom w:val="nil"/>
              <w:right w:val="nil"/>
            </w:tcBorders>
            <w:hideMark/>
          </w:tcPr>
          <w:p w:rsidR="00365C9B" w:rsidRPr="00B16DFD" w:rsidP="00F61C80" w14:paraId="176F327D" w14:textId="77777777">
            <w:pPr>
              <w:pStyle w:val="Normal6a"/>
            </w:pPr>
            <w:r w:rsidRPr="00B16DFD">
              <w:rPr>
                <w:b/>
                <w:i/>
              </w:rPr>
              <w:t>b) hvordan eventuelle regler og retningslinjer, som myndigheden har vedtaget under udøvelsen af sine reguleringsmæssige beføjelser, bidrager til at nå dette mål."</w:t>
            </w:r>
          </w:p>
        </w:tc>
      </w:tr>
    </w:tbl>
    <w:p w:rsidR="00365C9B" w:rsidRPr="00734CAA" w:rsidP="00365C9B" w14:paraId="6C318D9E"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412D5AB" w14:textId="77777777">
      <w:pPr>
        <w:rPr>
          <w:lang w:val="en-GB"/>
        </w:rPr>
      </w:pPr>
      <w:r w:rsidRPr="00734CAA">
        <w:rPr>
          <w:rStyle w:val="HideTWBExt"/>
          <w:color w:val="auto"/>
          <w:lang w:val="en-GB"/>
        </w:rPr>
        <w:t>&lt;/Amend&gt;</w:t>
      </w:r>
    </w:p>
    <w:p w:rsidR="00365C9B" w:rsidRPr="00734CAA" w:rsidP="00365C9B" w14:paraId="277F55A8"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356</w:t>
      </w:r>
      <w:r w:rsidRPr="00734CAA">
        <w:rPr>
          <w:rStyle w:val="HideTWBExt"/>
          <w:color w:val="auto"/>
          <w:lang w:val="en-GB"/>
        </w:rPr>
        <w:t>&lt;/NumAm&gt;</w:t>
      </w:r>
    </w:p>
    <w:p w:rsidR="00365C9B" w:rsidRPr="00734CAA" w:rsidP="00365C9B" w14:paraId="5B05D942" w14:textId="77777777">
      <w:pPr>
        <w:pStyle w:val="NormalBold"/>
        <w:rPr>
          <w:lang w:val="en-GB"/>
        </w:rPr>
      </w:pPr>
      <w:r w:rsidRPr="00734CAA">
        <w:rPr>
          <w:rStyle w:val="HideTWBExt"/>
          <w:b w:val="0"/>
          <w:color w:val="auto"/>
          <w:lang w:val="en-GB"/>
        </w:rPr>
        <w:t>&lt;RepeatBlock-By&gt;&lt;Members&gt;</w:t>
      </w:r>
      <w:r w:rsidRPr="00734CAA">
        <w:rPr>
          <w:lang w:val="en-GB"/>
        </w:rPr>
        <w:t>Christophe Gomart</w:t>
      </w:r>
      <w:r w:rsidRPr="00734CAA">
        <w:rPr>
          <w:rStyle w:val="HideTWBExt"/>
          <w:b w:val="0"/>
          <w:color w:val="auto"/>
          <w:lang w:val="en-GB"/>
        </w:rPr>
        <w:t>&lt;/Members&gt;</w:t>
      </w:r>
    </w:p>
    <w:p w:rsidR="00365C9B" w:rsidRPr="00B16DFD" w:rsidP="00365C9B" w14:paraId="0A6CA0E8" w14:textId="77777777">
      <w:pPr>
        <w:pStyle w:val="NormalBold"/>
      </w:pPr>
      <w:r w:rsidRPr="00B16DFD">
        <w:rPr>
          <w:rStyle w:val="HideTWBExt"/>
          <w:b w:val="0"/>
          <w:color w:val="auto"/>
        </w:rPr>
        <w:t>&lt;/RepeatBlock-By&gt;</w:t>
      </w:r>
    </w:p>
    <w:p w:rsidR="00365C9B" w:rsidRPr="00B16DFD" w:rsidP="00365C9B" w14:paraId="0465954A"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481CE36A" w14:textId="77777777">
      <w:pPr>
        <w:pStyle w:val="NormalBold"/>
        <w:rPr>
          <w:lang w:val="fr-FR"/>
        </w:rPr>
      </w:pPr>
      <w:r w:rsidRPr="00734CAA">
        <w:rPr>
          <w:rStyle w:val="HideTWBExt"/>
          <w:color w:val="auto"/>
          <w:lang w:val="fr-FR"/>
        </w:rPr>
        <w:t>&lt;Article&gt;</w:t>
      </w:r>
      <w:r w:rsidRPr="00734CAA">
        <w:rPr>
          <w:lang w:val="fr-FR"/>
        </w:rPr>
        <w:t>Artikel 1 – stk. 1 – nr. 2 – litra -a (nyt)</w:t>
      </w:r>
      <w:r w:rsidRPr="00734CAA">
        <w:rPr>
          <w:rStyle w:val="HideTWBExt"/>
          <w:color w:val="auto"/>
          <w:lang w:val="fr-FR"/>
        </w:rPr>
        <w:t>&lt;/Article&gt;</w:t>
      </w:r>
    </w:p>
    <w:p w:rsidR="00365C9B" w:rsidRPr="00734CAA" w:rsidP="00365C9B" w14:paraId="174D47CE" w14:textId="77777777">
      <w:pPr>
        <w:rPr>
          <w:lang w:val="fr-FR"/>
        </w:rPr>
      </w:pPr>
      <w:r w:rsidRPr="00734CAA">
        <w:rPr>
          <w:rStyle w:val="HideTWBExt"/>
          <w:color w:val="auto"/>
          <w:lang w:val="fr-FR"/>
        </w:rPr>
        <w:t>&lt;DocAmend2&gt;</w:t>
      </w:r>
      <w:r w:rsidRPr="00734CAA">
        <w:rPr>
          <w:lang w:val="fr-FR"/>
        </w:rPr>
        <w:t>Forordning (EU) nr. 1095/2010</w:t>
      </w:r>
      <w:r w:rsidRPr="00734CAA">
        <w:rPr>
          <w:rStyle w:val="HideTWBExt"/>
          <w:color w:val="auto"/>
          <w:lang w:val="fr-FR"/>
        </w:rPr>
        <w:t>&lt;/DocAmend2&gt;</w:t>
      </w:r>
    </w:p>
    <w:p w:rsidR="00365C9B" w:rsidRPr="00734CAA" w:rsidP="00365C9B" w14:paraId="0AC86BB4" w14:textId="77777777">
      <w:pPr>
        <w:rPr>
          <w:lang w:val="fr-FR"/>
        </w:rPr>
      </w:pPr>
      <w:r w:rsidRPr="00734CAA">
        <w:rPr>
          <w:rStyle w:val="HideTWBExt"/>
          <w:color w:val="auto"/>
          <w:lang w:val="fr-FR"/>
        </w:rPr>
        <w:t>&lt;Article2&gt;</w:t>
      </w:r>
      <w:r w:rsidRPr="00734CAA">
        <w:rPr>
          <w:lang w:val="fr-FR"/>
        </w:rPr>
        <w:t>Artikel 3 – stk. 3 a (nyt)</w:t>
      </w:r>
      <w:r w:rsidRPr="00734CAA">
        <w:rPr>
          <w:rStyle w:val="HideTWBExt"/>
          <w:color w:val="auto"/>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894BB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45D87EE7" w14:textId="77777777">
            <w:pPr>
              <w:rPr>
                <w:lang w:val="fr-FR"/>
              </w:rPr>
            </w:pPr>
          </w:p>
        </w:tc>
      </w:tr>
      <w:tr w14:paraId="0673461C"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729B518"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61533DB" w14:textId="77777777">
            <w:pPr>
              <w:pStyle w:val="AmColumnHeading"/>
            </w:pPr>
            <w:r w:rsidRPr="00B16DFD">
              <w:t>Ændringsforslag</w:t>
            </w:r>
          </w:p>
        </w:tc>
      </w:tr>
      <w:tr w14:paraId="2B454CE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F5542B8" w14:textId="77777777">
            <w:pPr>
              <w:pStyle w:val="Normal6a"/>
            </w:pPr>
          </w:p>
        </w:tc>
        <w:tc>
          <w:tcPr>
            <w:tcW w:w="4876" w:type="dxa"/>
            <w:tcBorders>
              <w:top w:val="nil"/>
              <w:left w:val="nil"/>
              <w:bottom w:val="nil"/>
              <w:right w:val="nil"/>
            </w:tcBorders>
            <w:hideMark/>
          </w:tcPr>
          <w:p w:rsidR="00365C9B" w:rsidRPr="00B16DFD" w:rsidP="00F61C80" w14:paraId="54ED3634" w14:textId="77777777">
            <w:pPr>
              <w:pStyle w:val="Normal6a"/>
            </w:pPr>
            <w:r w:rsidRPr="00B16DFD">
              <w:rPr>
                <w:b/>
                <w:i/>
              </w:rPr>
              <w:t>-a)</w:t>
            </w:r>
            <w:r w:rsidRPr="00B16DFD">
              <w:tab/>
            </w:r>
            <w:r w:rsidRPr="00B16DFD">
              <w:rPr>
                <w:b/>
                <w:i/>
              </w:rPr>
              <w:t>I artikel 3 indsættes som stk. 3a:</w:t>
            </w:r>
          </w:p>
        </w:tc>
      </w:tr>
      <w:tr w14:paraId="4F553CD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1CA4C005" w14:textId="77777777">
            <w:pPr>
              <w:pStyle w:val="Normal6a"/>
            </w:pPr>
          </w:p>
        </w:tc>
        <w:tc>
          <w:tcPr>
            <w:tcW w:w="4876" w:type="dxa"/>
            <w:tcBorders>
              <w:top w:val="nil"/>
              <w:left w:val="nil"/>
              <w:bottom w:val="nil"/>
              <w:right w:val="nil"/>
            </w:tcBorders>
            <w:hideMark/>
          </w:tcPr>
          <w:p w:rsidR="00365C9B" w:rsidRPr="00B16DFD" w:rsidP="00F61C80" w14:paraId="776741D3" w14:textId="77777777">
            <w:pPr>
              <w:pStyle w:val="Normal6a"/>
            </w:pPr>
            <w:r w:rsidRPr="00B16DFD">
              <w:rPr>
                <w:b/>
                <w:i/>
              </w:rPr>
              <w:t>3a. ESMA offentliggør årligt senest den 15. juni en rapport om den måde, hvorpå den har bidraget til gennemførelsen af målsætningerne om konkurrenceevne og vækst. Rapporten skal bl.a. omhandle: de foranstaltninger, der er truffet for at indarbejde disse målsætninger i myndighedens procedurer og beslutningsprocesser, samt den måde, hvorpå de regler og retningslinjer myndigheden har udstukket, bidrager til gennemførelsen af målsætningerne. Rapporten fremsendes til Europa-</w:t>
            </w:r>
            <w:r w:rsidRPr="00B16DFD">
              <w:rPr>
                <w:b/>
                <w:i/>
              </w:rPr>
              <w:t>Parlamentet, Rådet, Kommissionen, Revisionsretten og Det Europæiske Økonomiske og Sociale Udvalg.</w:t>
            </w:r>
          </w:p>
        </w:tc>
      </w:tr>
    </w:tbl>
    <w:p w:rsidR="00365C9B" w:rsidRPr="00734CAA" w:rsidP="00365C9B" w14:paraId="140B708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{FR}</w:t>
      </w:r>
      <w:r w:rsidRPr="00734CAA">
        <w:rPr>
          <w:lang w:val="en-GB"/>
        </w:rPr>
        <w:t>fr</w:t>
      </w:r>
      <w:r w:rsidRPr="00734CAA">
        <w:rPr>
          <w:rStyle w:val="HideTWBExt"/>
          <w:color w:val="auto"/>
          <w:lang w:val="en-GB"/>
        </w:rPr>
        <w:t>&lt;/Original&gt;</w:t>
      </w:r>
    </w:p>
    <w:p w:rsidR="00365C9B" w:rsidRPr="00734CAA" w:rsidP="00365C9B" w14:paraId="15E99B68" w14:textId="77777777">
      <w:pPr>
        <w:rPr>
          <w:lang w:val="en-GB"/>
        </w:rPr>
      </w:pPr>
      <w:r w:rsidRPr="00734CAA">
        <w:rPr>
          <w:rStyle w:val="HideTWBExt"/>
          <w:color w:val="auto"/>
          <w:lang w:val="en-GB"/>
        </w:rPr>
        <w:t>&lt;/Amend&gt;</w:t>
      </w:r>
    </w:p>
    <w:p w:rsidR="00365C9B" w:rsidRPr="00734CAA" w:rsidP="00365C9B" w14:paraId="15C8FBE0"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357</w:t>
      </w:r>
      <w:r w:rsidRPr="00734CAA">
        <w:rPr>
          <w:rStyle w:val="HideTWBExt"/>
          <w:color w:val="auto"/>
          <w:lang w:val="en-GB"/>
        </w:rPr>
        <w:t>&lt;/NumAm&gt;</w:t>
      </w:r>
    </w:p>
    <w:p w:rsidR="00365C9B" w:rsidRPr="00734CAA" w:rsidP="00365C9B" w14:paraId="5A737C04"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1B6995C6" w14:textId="77777777">
      <w:pPr>
        <w:pStyle w:val="NormalBold"/>
      </w:pPr>
      <w:r w:rsidRPr="00B16DFD">
        <w:rPr>
          <w:rStyle w:val="HideTWBExt"/>
          <w:b w:val="0"/>
          <w:color w:val="auto"/>
        </w:rPr>
        <w:t>&lt;/RepeatBlock-By&gt;</w:t>
      </w:r>
    </w:p>
    <w:p w:rsidR="00365C9B" w:rsidRPr="00B16DFD" w:rsidP="00365C9B" w14:paraId="3CA38B1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691CF4F5" w14:textId="77777777">
      <w:pPr>
        <w:pStyle w:val="NormalBold"/>
        <w:rPr>
          <w:lang w:val="fr-FR"/>
        </w:rPr>
      </w:pPr>
      <w:r w:rsidRPr="00734CAA">
        <w:rPr>
          <w:rStyle w:val="HideTWBExt"/>
          <w:color w:val="auto"/>
          <w:lang w:val="fr-FR"/>
        </w:rPr>
        <w:t>&lt;Article&gt;</w:t>
      </w:r>
      <w:r w:rsidRPr="00734CAA">
        <w:rPr>
          <w:lang w:val="fr-FR"/>
        </w:rPr>
        <w:t>Artikel 1 – stk. 1 – nr. 6 – litra a – nr. -1 (nyt)</w:t>
      </w:r>
      <w:r w:rsidRPr="00734CAA">
        <w:rPr>
          <w:rStyle w:val="HideTWBExt"/>
          <w:color w:val="auto"/>
          <w:lang w:val="fr-FR"/>
        </w:rPr>
        <w:t>&lt;/Article&gt;</w:t>
      </w:r>
    </w:p>
    <w:p w:rsidR="00365C9B" w:rsidRPr="00B16DFD" w:rsidP="00365C9B" w14:paraId="16EE4CE6"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4F08CAA0" w14:textId="77777777">
      <w:r w:rsidRPr="00B16DFD">
        <w:rPr>
          <w:rStyle w:val="HideTWBExt"/>
          <w:color w:val="auto"/>
        </w:rPr>
        <w:t>&lt;Article2&gt;</w:t>
      </w:r>
      <w:r w:rsidRPr="00B16DFD">
        <w:t>Artikel 8 – stk. 1 – litra a</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594E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F52495F" w14:textId="77777777"/>
        </w:tc>
      </w:tr>
      <w:tr w14:paraId="5D42A2E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6BE687D" w14:textId="77777777">
            <w:pPr>
              <w:pStyle w:val="AmColumnHeading"/>
            </w:pPr>
            <w:r w:rsidRPr="00B16DFD">
              <w:t>Gældende ordlyd</w:t>
            </w:r>
          </w:p>
        </w:tc>
        <w:tc>
          <w:tcPr>
            <w:tcW w:w="4876" w:type="dxa"/>
            <w:tcBorders>
              <w:top w:val="nil"/>
              <w:left w:val="nil"/>
              <w:bottom w:val="nil"/>
              <w:right w:val="nil"/>
            </w:tcBorders>
            <w:hideMark/>
          </w:tcPr>
          <w:p w:rsidR="00365C9B" w:rsidRPr="00B16DFD" w:rsidP="00F61C80" w14:paraId="11BB65F2" w14:textId="77777777">
            <w:pPr>
              <w:pStyle w:val="AmColumnHeading"/>
            </w:pPr>
            <w:r w:rsidRPr="00B16DFD">
              <w:t>Ændringsforslag</w:t>
            </w:r>
          </w:p>
        </w:tc>
      </w:tr>
      <w:tr w14:paraId="45B1C6C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6070FF70" w14:textId="77777777">
            <w:pPr>
              <w:pStyle w:val="Normal6a"/>
            </w:pPr>
          </w:p>
        </w:tc>
        <w:tc>
          <w:tcPr>
            <w:tcW w:w="4876" w:type="dxa"/>
            <w:tcBorders>
              <w:top w:val="nil"/>
              <w:left w:val="nil"/>
              <w:bottom w:val="nil"/>
              <w:right w:val="nil"/>
            </w:tcBorders>
            <w:hideMark/>
          </w:tcPr>
          <w:p w:rsidR="00365C9B" w:rsidRPr="00B16DFD" w:rsidP="00F61C80" w14:paraId="6A04655E" w14:textId="77777777">
            <w:pPr>
              <w:pStyle w:val="Normal6a"/>
              <w:rPr>
                <w:b/>
                <w:bCs/>
                <w:i/>
                <w:iCs/>
              </w:rPr>
            </w:pPr>
            <w:r w:rsidRPr="00B16DFD">
              <w:rPr>
                <w:b/>
                <w:i/>
              </w:rPr>
              <w:t>-1)</w:t>
            </w:r>
            <w:r w:rsidRPr="00B16DFD">
              <w:tab/>
            </w:r>
            <w:r w:rsidRPr="00B16DFD">
              <w:rPr>
                <w:b/>
                <w:i/>
              </w:rPr>
              <w:t>Artikel 8, stk. 1, litra a), affattes således:</w:t>
            </w:r>
          </w:p>
        </w:tc>
      </w:tr>
      <w:tr w14:paraId="032FEEB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0229A67" w14:textId="77777777">
            <w:pPr>
              <w:pStyle w:val="Normal6a"/>
            </w:pPr>
            <w:r w:rsidRPr="00B16DFD">
              <w:t>a)</w:t>
            </w:r>
            <w:r w:rsidRPr="00B16DFD">
              <w:tab/>
              <w:t>på grundlag af de i artikel 1, stk. 2, omhandlede lovgivningsmæssige retsakter at bidrage til fastlæggelsen af fælles standarder og praksis af høj kvalitet for regulering og tilsynsførelse, navnlig ved at udarbejde udkast til reguleringsmæssige og gennemførelsesmæssige tekniske standarder, retningslinjer, henstillinger og andre foranstaltninger, herunder udtalelser</w:t>
            </w:r>
          </w:p>
        </w:tc>
        <w:tc>
          <w:tcPr>
            <w:tcW w:w="4876" w:type="dxa"/>
            <w:tcBorders>
              <w:top w:val="nil"/>
              <w:left w:val="nil"/>
              <w:bottom w:val="nil"/>
              <w:right w:val="nil"/>
            </w:tcBorders>
            <w:hideMark/>
          </w:tcPr>
          <w:p w:rsidR="00365C9B" w:rsidRPr="00B16DFD" w:rsidP="00F61C80" w14:paraId="5A8A3569" w14:textId="36848E37">
            <w:pPr>
              <w:pStyle w:val="Normal6a"/>
            </w:pPr>
            <w:r w:rsidRPr="00B16DFD">
              <w:t>"</w:t>
            </w:r>
            <w:r w:rsidRPr="00B16DFD">
              <w:t>a)</w:t>
            </w:r>
            <w:r w:rsidRPr="00B16DFD">
              <w:tab/>
              <w:t xml:space="preserve">på grundlag af de i artikel 1, stk. 2, omhandlede lovgivningsmæssige retsakter at bidrage til fastlæggelsen af fælles standarder og praksis af høj kvalitet for regulering og tilsynsførelse, navnlig ved at udarbejde udkast til reguleringsmæssige og gennemførelsesmæssige tekniske standarder, </w:t>
            </w:r>
            <w:r w:rsidRPr="00B16DFD">
              <w:rPr>
                <w:b/>
                <w:i/>
              </w:rPr>
              <w:t xml:space="preserve">ESMA's tekniske specifikationer, </w:t>
            </w:r>
            <w:r w:rsidRPr="00B16DFD">
              <w:t>retningslinjer, henstillinger og andre foranstaltninger, herunder udtalelser</w:t>
            </w:r>
            <w:r w:rsidRPr="00B16DFD">
              <w:t>"</w:t>
            </w:r>
          </w:p>
        </w:tc>
      </w:tr>
    </w:tbl>
    <w:p w:rsidR="00365C9B" w:rsidRPr="00734CAA" w:rsidP="00365C9B" w14:paraId="60E68A39"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7518414" w14:textId="77777777">
      <w:pPr>
        <w:pStyle w:val="AmCrossRef"/>
        <w:rPr>
          <w:lang w:val="en-GB"/>
        </w:rPr>
      </w:pPr>
      <w:r w:rsidRPr="00734CAA">
        <w:rPr>
          <w:lang w:val="en-GB"/>
        </w:rPr>
        <w:t>(https://eur-lex.europa.eu/legal-content/DA/TXT/?uri=CELEX%3A02010R1095-20251110)</w:t>
      </w:r>
    </w:p>
    <w:p w:rsidR="00365C9B" w:rsidRPr="00B16DFD" w:rsidP="00365C9B" w14:paraId="5D44B5CD" w14:textId="77777777">
      <w:r w:rsidRPr="00B16DFD">
        <w:rPr>
          <w:rStyle w:val="HideTWBExt"/>
          <w:color w:val="auto"/>
        </w:rPr>
        <w:t>&lt;/Amend&gt;</w:t>
      </w:r>
    </w:p>
    <w:p w:rsidR="00365C9B" w:rsidRPr="00B16DFD" w:rsidP="00365C9B" w14:paraId="5CD04D03"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358</w:t>
      </w:r>
      <w:r w:rsidRPr="00B16DFD">
        <w:rPr>
          <w:rStyle w:val="HideTWBExt"/>
          <w:color w:val="auto"/>
        </w:rPr>
        <w:t>&lt;/NumAm&gt;</w:t>
      </w:r>
    </w:p>
    <w:p w:rsidR="00365C9B" w:rsidRPr="00734CAA" w:rsidP="00365C9B" w14:paraId="3E275477"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05E0340C"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05396989" w14:textId="77777777">
      <w:pPr>
        <w:pStyle w:val="NormalBold"/>
        <w:rPr>
          <w:lang w:val="en-GB"/>
        </w:rPr>
      </w:pPr>
      <w:r w:rsidRPr="00734CAA">
        <w:rPr>
          <w:rStyle w:val="HideTWBExt"/>
          <w:b w:val="0"/>
          <w:color w:val="auto"/>
          <w:lang w:val="en-GB"/>
        </w:rPr>
        <w:t>&lt;/RepeatBlock-By&gt;</w:t>
      </w:r>
    </w:p>
    <w:p w:rsidR="00365C9B" w:rsidRPr="00734CAA" w:rsidP="00365C9B" w14:paraId="06925097"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734CAA" w:rsidP="00365C9B" w14:paraId="362A5D97" w14:textId="77777777">
      <w:pPr>
        <w:pStyle w:val="NormalBold"/>
        <w:rPr>
          <w:lang w:val="fr-FR"/>
        </w:rPr>
      </w:pPr>
      <w:r w:rsidRPr="00734CAA">
        <w:rPr>
          <w:rStyle w:val="HideTWBExt"/>
          <w:color w:val="auto"/>
          <w:lang w:val="fr-FR"/>
        </w:rPr>
        <w:t>&lt;Article&gt;</w:t>
      </w:r>
      <w:r w:rsidRPr="00734CAA">
        <w:rPr>
          <w:lang w:val="fr-FR"/>
        </w:rPr>
        <w:t>Artikel 1 – stk. 1 – nr. 6 – litra a – nr. 1</w:t>
      </w:r>
      <w:r w:rsidRPr="00734CAA">
        <w:rPr>
          <w:rStyle w:val="HideTWBExt"/>
          <w:color w:val="auto"/>
          <w:lang w:val="fr-FR"/>
        </w:rPr>
        <w:t>&lt;/Article&gt;</w:t>
      </w:r>
    </w:p>
    <w:p w:rsidR="00365C9B" w:rsidRPr="00B16DFD" w:rsidP="00365C9B" w14:paraId="12552E31"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68D9DA73" w14:textId="77777777">
      <w:r w:rsidRPr="00B16DFD">
        <w:rPr>
          <w:rStyle w:val="HideTWBExt"/>
          <w:color w:val="auto"/>
        </w:rPr>
        <w:t>&lt;Article2&gt;</w:t>
      </w:r>
      <w:r w:rsidRPr="00B16DFD">
        <w:t>Artikel 8 – stk. 1 – litra a a</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2B3E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89E6704" w14:textId="77777777"/>
        </w:tc>
      </w:tr>
      <w:tr w14:paraId="445DD860"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71BBE1D"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E5956A4" w14:textId="77777777">
            <w:pPr>
              <w:pStyle w:val="AmColumnHeading"/>
            </w:pPr>
            <w:r w:rsidRPr="00B16DFD">
              <w:t>Ændringsforslag</w:t>
            </w:r>
          </w:p>
        </w:tc>
      </w:tr>
      <w:tr w14:paraId="5040903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F42AC05" w14:textId="12216843">
            <w:pPr>
              <w:pStyle w:val="Normal6a"/>
            </w:pPr>
            <w:r w:rsidRPr="00B16DFD">
              <w:t>aa)</w:t>
            </w:r>
            <w:r w:rsidRPr="00B16DFD">
              <w:tab/>
              <w:t>at udvikle og ajourføre en EU-tilsynshåndbog om tilsyn med deltagere på</w:t>
            </w:r>
            <w:r w:rsidR="00CB6039">
              <w:t xml:space="preserve"> finansmarked</w:t>
            </w:r>
            <w:r w:rsidR="00242139">
              <w:t>et</w:t>
            </w:r>
            <w:r w:rsidRPr="00B16DFD">
              <w:t xml:space="preserve"> i Unionen og håndhævelse af de regler, der regulerer deres aktivitet, som skal indeholde bedste praksis samt metoder og processer af høj kvalitet under hensyntagen til bl.a. skiftende forretningspraksis og forretningsmodeller og størrelsen af deltagerne på</w:t>
            </w:r>
            <w:r w:rsidR="00CB6039">
              <w:t xml:space="preserve"> finansmarked</w:t>
            </w:r>
            <w:r w:rsidR="00242139">
              <w:t>et</w:t>
            </w:r>
            <w:r w:rsidRPr="00B16DFD">
              <w:t xml:space="preserve"> og markederne"</w:t>
            </w:r>
            <w:r w:rsidRPr="00B16DFD">
              <w:rPr>
                <w:b/>
                <w:i/>
              </w:rPr>
              <w:t>.</w:t>
            </w:r>
          </w:p>
        </w:tc>
        <w:tc>
          <w:tcPr>
            <w:tcW w:w="4876" w:type="dxa"/>
            <w:tcBorders>
              <w:top w:val="nil"/>
              <w:left w:val="nil"/>
              <w:bottom w:val="nil"/>
              <w:right w:val="nil"/>
            </w:tcBorders>
            <w:hideMark/>
          </w:tcPr>
          <w:p w:rsidR="00365C9B" w:rsidRPr="00B16DFD" w:rsidP="00F61C80" w14:paraId="1BCE3128" w14:textId="61B663FB">
            <w:pPr>
              <w:pStyle w:val="Normal6a"/>
            </w:pPr>
            <w:r w:rsidRPr="00B16DFD">
              <w:t>aa)</w:t>
            </w:r>
            <w:r w:rsidRPr="00B16DFD">
              <w:tab/>
              <w:t>at udvikle og ajourføre en EU-tilsynshåndbog om tilsyn med deltagere på</w:t>
            </w:r>
            <w:r w:rsidR="00CB6039">
              <w:t xml:space="preserve"> finansmarked</w:t>
            </w:r>
            <w:r w:rsidR="00242139">
              <w:t>et</w:t>
            </w:r>
            <w:r w:rsidRPr="00B16DFD">
              <w:t xml:space="preserve"> i Unionen og håndhævelse af de regler, der regulerer deres aktivitet, som skal indeholde bedste praksis samt metoder og processer af høj kvalitet under hensyntagen til bl.a. skiftende forretningspraksis og forretningsmodeller og størrelsen af </w:t>
            </w:r>
            <w:r w:rsidRPr="00B16DFD">
              <w:rPr>
                <w:b/>
                <w:i/>
              </w:rPr>
              <w:t xml:space="preserve">og risiciene for </w:t>
            </w:r>
            <w:r w:rsidRPr="00B16DFD">
              <w:t>deltagerne på</w:t>
            </w:r>
            <w:r w:rsidR="00CB6039">
              <w:t xml:space="preserve"> finansmarked</w:t>
            </w:r>
            <w:r w:rsidR="00242139">
              <w:t>et</w:t>
            </w:r>
            <w:r w:rsidRPr="00B16DFD">
              <w:t xml:space="preserve"> og markederne"</w:t>
            </w:r>
          </w:p>
        </w:tc>
      </w:tr>
    </w:tbl>
    <w:p w:rsidR="00365C9B" w:rsidRPr="00734CAA" w:rsidP="00365C9B" w14:paraId="57EA63A7"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5FDE24C" w14:textId="77777777">
      <w:pPr>
        <w:rPr>
          <w:lang w:val="en-GB"/>
        </w:rPr>
      </w:pPr>
      <w:r w:rsidRPr="00734CAA">
        <w:rPr>
          <w:rStyle w:val="HideTWBExt"/>
          <w:color w:val="auto"/>
          <w:lang w:val="en-GB"/>
        </w:rPr>
        <w:t>&lt;/Amend&gt;</w:t>
      </w:r>
    </w:p>
    <w:p w:rsidR="00365C9B" w:rsidRPr="00734CAA" w:rsidP="00365C9B" w14:paraId="79F963DA"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359</w:t>
      </w:r>
      <w:r w:rsidRPr="00734CAA">
        <w:rPr>
          <w:rStyle w:val="HideTWBExt"/>
          <w:color w:val="auto"/>
          <w:lang w:val="en-GB"/>
        </w:rPr>
        <w:t>&lt;/NumAm&gt;</w:t>
      </w:r>
    </w:p>
    <w:p w:rsidR="00365C9B" w:rsidRPr="00734CAA" w:rsidP="00365C9B" w14:paraId="6F789548" w14:textId="77777777">
      <w:pPr>
        <w:pStyle w:val="NormalBold"/>
        <w:rPr>
          <w:lang w:val="en-GB"/>
        </w:rPr>
      </w:pPr>
      <w:r w:rsidRPr="00734CAA">
        <w:rPr>
          <w:rStyle w:val="HideTWBExt"/>
          <w:b w:val="0"/>
          <w:color w:val="auto"/>
          <w:lang w:val="en-GB"/>
        </w:rPr>
        <w:t>&lt;RepeatBlock-By&gt;&lt;Members&gt;</w:t>
      </w:r>
      <w:r w:rsidRPr="00734CAA">
        <w:rPr>
          <w:lang w:val="en-GB"/>
        </w:rPr>
        <w:t>Regina Doherty</w:t>
      </w:r>
      <w:r w:rsidRPr="00734CAA">
        <w:rPr>
          <w:rStyle w:val="HideTWBExt"/>
          <w:b w:val="0"/>
          <w:color w:val="auto"/>
          <w:lang w:val="en-GB"/>
        </w:rPr>
        <w:t>&lt;/Members&gt;</w:t>
      </w:r>
    </w:p>
    <w:p w:rsidR="00365C9B" w:rsidRPr="00B16DFD" w:rsidP="00365C9B" w14:paraId="0003EB5D" w14:textId="77777777">
      <w:pPr>
        <w:pStyle w:val="NormalBold"/>
      </w:pPr>
      <w:r w:rsidRPr="00B16DFD">
        <w:rPr>
          <w:rStyle w:val="HideTWBExt"/>
          <w:b w:val="0"/>
          <w:color w:val="auto"/>
        </w:rPr>
        <w:t>&lt;/RepeatBlock-By&gt;</w:t>
      </w:r>
    </w:p>
    <w:p w:rsidR="00365C9B" w:rsidRPr="00B16DFD" w:rsidP="00365C9B" w14:paraId="3168FA2B"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235223FB" w14:textId="77777777">
      <w:pPr>
        <w:pStyle w:val="NormalBold"/>
        <w:rPr>
          <w:lang w:val="fr-FR"/>
        </w:rPr>
      </w:pPr>
      <w:r w:rsidRPr="00734CAA">
        <w:rPr>
          <w:rStyle w:val="HideTWBExt"/>
          <w:color w:val="auto"/>
          <w:lang w:val="fr-FR"/>
        </w:rPr>
        <w:t>&lt;Article&gt;</w:t>
      </w:r>
      <w:r w:rsidRPr="00734CAA">
        <w:rPr>
          <w:lang w:val="fr-FR"/>
        </w:rPr>
        <w:t>Artikel 1 – stk. 1 – nr. 6 – litra a – nr. 1 a (nyt)</w:t>
      </w:r>
      <w:r w:rsidRPr="00734CAA">
        <w:rPr>
          <w:rStyle w:val="HideTWBExt"/>
          <w:color w:val="auto"/>
          <w:lang w:val="fr-FR"/>
        </w:rPr>
        <w:t>&lt;/Article&gt;</w:t>
      </w:r>
    </w:p>
    <w:p w:rsidR="00365C9B" w:rsidRPr="00B16DFD" w:rsidP="00365C9B" w14:paraId="213B2C1D"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76182125" w14:textId="77777777">
      <w:r w:rsidRPr="00B16DFD">
        <w:rPr>
          <w:rStyle w:val="HideTWBExt"/>
          <w:color w:val="auto"/>
        </w:rPr>
        <w:t>&lt;Article2&gt;</w:t>
      </w:r>
      <w:r w:rsidRPr="00B16DFD">
        <w:t>Artikel 8 – stk. 1 – litra a a (nyt)</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21D495"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6BC9160" w14:textId="77777777"/>
        </w:tc>
      </w:tr>
      <w:tr w14:paraId="30326AFF"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BE5479F"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5F98363" w14:textId="77777777">
            <w:pPr>
              <w:pStyle w:val="AmColumnHeading"/>
            </w:pPr>
            <w:r w:rsidRPr="00B16DFD">
              <w:t>Ændringsforslag</w:t>
            </w:r>
          </w:p>
        </w:tc>
      </w:tr>
      <w:tr w14:paraId="4B3EDF8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193F800C" w14:textId="77777777">
            <w:pPr>
              <w:pStyle w:val="Normal6a"/>
            </w:pPr>
          </w:p>
        </w:tc>
        <w:tc>
          <w:tcPr>
            <w:tcW w:w="4876" w:type="dxa"/>
            <w:tcBorders>
              <w:top w:val="nil"/>
              <w:left w:val="nil"/>
              <w:bottom w:val="nil"/>
              <w:right w:val="nil"/>
            </w:tcBorders>
            <w:hideMark/>
          </w:tcPr>
          <w:p w:rsidR="00365C9B" w:rsidRPr="00B16DFD" w:rsidP="00F61C80" w14:paraId="342003CF" w14:textId="77777777">
            <w:pPr>
              <w:pStyle w:val="Normal6a"/>
            </w:pPr>
            <w:r w:rsidRPr="00B16DFD">
              <w:rPr>
                <w:b/>
                <w:i/>
              </w:rPr>
              <w:t>1a)</w:t>
            </w:r>
            <w:r w:rsidRPr="00B16DFD">
              <w:tab/>
            </w:r>
            <w:r w:rsidRPr="00B16DFD">
              <w:rPr>
                <w:b/>
                <w:i/>
              </w:rPr>
              <w:t>Følgende indsættes som litra aaa):</w:t>
            </w:r>
          </w:p>
        </w:tc>
      </w:tr>
      <w:tr w14:paraId="636FDCF7"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613561A" w14:textId="77777777">
            <w:pPr>
              <w:pStyle w:val="Normal6a"/>
            </w:pPr>
          </w:p>
        </w:tc>
        <w:tc>
          <w:tcPr>
            <w:tcW w:w="4876" w:type="dxa"/>
            <w:tcBorders>
              <w:top w:val="nil"/>
              <w:left w:val="nil"/>
              <w:bottom w:val="nil"/>
              <w:right w:val="nil"/>
            </w:tcBorders>
            <w:hideMark/>
          </w:tcPr>
          <w:p w:rsidR="00365C9B" w:rsidRPr="00B16DFD" w:rsidP="00F61C80" w14:paraId="6EDB0586" w14:textId="77777777">
            <w:pPr>
              <w:pStyle w:val="Normal6a"/>
            </w:pPr>
            <w:r w:rsidRPr="00B16DFD">
              <w:rPr>
                <w:b/>
                <w:i/>
              </w:rPr>
              <w:t>"aaa) at overvåge situationer, hvor markedsudviklingen eller EU-lovgivningsmæssige retsakter kan give anledning til trusler mod fair konkurrence mellem virksomheder med hjemsted i Unionen og virksomheder med hjemsted i tredjelande, eller hvor en sådan markedsudvikling kan føre til en uforholdsmæssig stor byrde for virksomheder med hjemsted i Unionen med hensyn til overholdelse af et specifikt krav, der er fastsat i en af de lovgivningsmæssige retsakter, der er omhandlet i artikel 1, stk. 2, og dens værktøjer til tilsynsmæssig konvergens til at håndtere sådanne situationer med henblik på at afbøde sådanne situationer med ulige vilkår, der påvirker virksomheder i Unionen".</w:t>
            </w:r>
          </w:p>
        </w:tc>
      </w:tr>
    </w:tbl>
    <w:p w:rsidR="00365C9B" w:rsidRPr="00734CAA" w:rsidP="00365C9B" w14:paraId="557CD02A"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04AAC55" w14:textId="77777777">
      <w:pPr>
        <w:rPr>
          <w:lang w:val="en-GB"/>
        </w:rPr>
      </w:pPr>
      <w:r w:rsidRPr="00734CAA">
        <w:rPr>
          <w:rStyle w:val="HideTWBExt"/>
          <w:color w:val="auto"/>
          <w:lang w:val="en-GB"/>
        </w:rPr>
        <w:t>&lt;/Amend&gt;</w:t>
      </w:r>
    </w:p>
    <w:p w:rsidR="00365C9B" w:rsidRPr="00734CAA" w:rsidP="00365C9B" w14:paraId="37FE1258"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360</w:t>
      </w:r>
      <w:r w:rsidRPr="00734CAA">
        <w:rPr>
          <w:rStyle w:val="HideTWBExt"/>
          <w:color w:val="auto"/>
          <w:lang w:val="en-GB"/>
        </w:rPr>
        <w:t>&lt;/NumAm&gt;</w:t>
      </w:r>
    </w:p>
    <w:p w:rsidR="00365C9B" w:rsidRPr="00734CAA" w:rsidP="00365C9B" w14:paraId="29129023" w14:textId="77777777">
      <w:pPr>
        <w:pStyle w:val="NormalBold"/>
        <w:rPr>
          <w:lang w:val="en-GB"/>
        </w:rPr>
      </w:pPr>
      <w:r w:rsidRPr="00734CAA">
        <w:rPr>
          <w:rStyle w:val="HideTWBExt"/>
          <w:b w:val="0"/>
          <w:color w:val="auto"/>
          <w:lang w:val="en-GB"/>
        </w:rPr>
        <w:t>&lt;RepeatBlock-By&gt;&lt;Members&gt;</w:t>
      </w:r>
      <w:r w:rsidRPr="00734CAA">
        <w:rPr>
          <w:lang w:val="en-GB"/>
        </w:rPr>
        <w:t>Martine Kemp</w:t>
      </w:r>
      <w:r w:rsidRPr="00734CAA">
        <w:rPr>
          <w:rStyle w:val="HideTWBExt"/>
          <w:b w:val="0"/>
          <w:color w:val="auto"/>
          <w:lang w:val="en-GB"/>
        </w:rPr>
        <w:t>&lt;/Members&gt;</w:t>
      </w:r>
    </w:p>
    <w:p w:rsidR="00365C9B" w:rsidRPr="00734CAA" w:rsidP="00365C9B" w14:paraId="48306435" w14:textId="77777777">
      <w:pPr>
        <w:pStyle w:val="NormalBold"/>
        <w:rPr>
          <w:lang w:val="en-GB"/>
        </w:rPr>
      </w:pPr>
      <w:r w:rsidRPr="00734CAA">
        <w:rPr>
          <w:rStyle w:val="HideTWBExt"/>
          <w:b w:val="0"/>
          <w:color w:val="auto"/>
          <w:lang w:val="en-GB"/>
        </w:rPr>
        <w:t>&lt;/RepeatBlock-By&gt;</w:t>
      </w:r>
    </w:p>
    <w:p w:rsidR="00365C9B" w:rsidRPr="00B16DFD" w:rsidP="00365C9B" w14:paraId="038128C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D057CB6" w14:textId="77777777">
      <w:pPr>
        <w:pStyle w:val="NormalBold"/>
        <w:rPr>
          <w:lang w:val="fr-FR"/>
        </w:rPr>
      </w:pPr>
      <w:r w:rsidRPr="00734CAA">
        <w:rPr>
          <w:rStyle w:val="HideTWBExt"/>
          <w:color w:val="auto"/>
          <w:lang w:val="fr-FR"/>
        </w:rPr>
        <w:t>&lt;Article&gt;</w:t>
      </w:r>
      <w:r w:rsidRPr="00734CAA">
        <w:rPr>
          <w:lang w:val="fr-FR"/>
        </w:rPr>
        <w:t>Artikel 1 – stk. 1 – nr. 6 – litra a – nr. 2</w:t>
      </w:r>
      <w:r w:rsidRPr="00734CAA">
        <w:rPr>
          <w:rStyle w:val="HideTWBExt"/>
          <w:color w:val="auto"/>
          <w:lang w:val="fr-FR"/>
        </w:rPr>
        <w:t>&lt;/Article&gt;</w:t>
      </w:r>
    </w:p>
    <w:p w:rsidR="00365C9B" w:rsidRPr="00B16DFD" w:rsidP="00365C9B" w14:paraId="268E0A9D"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323A013A" w14:textId="77777777">
      <w:r w:rsidRPr="00B16DFD">
        <w:rPr>
          <w:rStyle w:val="HideTWBExt"/>
          <w:color w:val="auto"/>
        </w:rPr>
        <w:t>&lt;Article2&gt;</w:t>
      </w:r>
      <w:r w:rsidRPr="00B16DFD">
        <w:t>Artikel 8 – stk. 1 – litra b</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93152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64DDFE4" w14:textId="77777777"/>
        </w:tc>
      </w:tr>
      <w:tr w14:paraId="00E9C855"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99F6597"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3092554" w14:textId="77777777">
            <w:pPr>
              <w:pStyle w:val="AmColumnHeading"/>
            </w:pPr>
            <w:r w:rsidRPr="00B16DFD">
              <w:t>Ændringsforslag</w:t>
            </w:r>
          </w:p>
        </w:tc>
      </w:tr>
      <w:tr w14:paraId="473E222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3B71CED" w14:textId="38B072D3">
            <w:pPr>
              <w:pStyle w:val="Normal6a"/>
            </w:pPr>
            <w:r w:rsidRPr="00B16DFD">
              <w:t>b)</w:t>
            </w:r>
            <w:r w:rsidRPr="00B16DFD">
              <w:tab/>
              <w:t>at bidrage til den konsekvente anvendelse af juridisk bindende EU-retsakter, navnlig ved at bidrage til en fælles tilsyns- og håndhævelseskultur, sikre konsekvent, virkningsfuld og effektiv anvendelse af de i artikel 1, stk. 2, omhandlede lovgivningsmæssige retsakter, undgå tilsynsarbitrage, fremme og overvåge tilsynsmæssig uafhængighed, mægle i og bilægge tvister mellem kompetente myndigheder, sikre effektivt og konsekvent tilsyn med deltagere på</w:t>
            </w:r>
            <w:r w:rsidR="00CB6039">
              <w:t xml:space="preserve"> finansmarked</w:t>
            </w:r>
            <w:r w:rsidR="00242139">
              <w:t>et</w:t>
            </w:r>
            <w:r w:rsidRPr="00B16DFD">
              <w:t xml:space="preserve"> og håndhævelse af de regler, der regulerer deres aktivitet, og sikre tilsynskollegiers eller andre former for tilsynssamarbejdes konsekvente funktion og gribe ind i bl.a. krisesituationer".</w:t>
            </w:r>
          </w:p>
        </w:tc>
        <w:tc>
          <w:tcPr>
            <w:tcW w:w="4876" w:type="dxa"/>
            <w:tcBorders>
              <w:top w:val="nil"/>
              <w:left w:val="nil"/>
              <w:bottom w:val="nil"/>
              <w:right w:val="nil"/>
            </w:tcBorders>
            <w:hideMark/>
          </w:tcPr>
          <w:p w:rsidR="00365C9B" w:rsidRPr="00B16DFD" w:rsidP="00F61C80" w14:paraId="42DD84D8" w14:textId="66218C18">
            <w:pPr>
              <w:pStyle w:val="Normal6a"/>
            </w:pPr>
            <w:r w:rsidRPr="00B16DFD">
              <w:t>b)</w:t>
            </w:r>
            <w:r w:rsidRPr="00B16DFD">
              <w:tab/>
              <w:t>at bidrage til den konsekvente anvendelse af juridisk bindende EU-retsakter, navnlig ved at bidrage til en fælles tilsyns- og håndhævelseskultur, sikre konsekvent, virkningsfuld og effektiv anvendelse af de i artikel 1, stk. 2, omhandlede lovgivningsmæssige retsakter</w:t>
            </w:r>
            <w:r w:rsidRPr="00B16DFD">
              <w:rPr>
                <w:b/>
                <w:i/>
              </w:rPr>
              <w:t>, navnlig ved at kortlægge nationale krav eller forpligtelser, der overstiger kravene eller forpligtelserne i ovennævnte lovgivningsmæssige retsakter</w:t>
            </w:r>
            <w:r w:rsidRPr="00B16DFD">
              <w:t>, undgå tilsynsarbitrage, fremme og overvåge tilsynsmæssig uafhængighed, mægle i og bilægge tvister mellem kompetente myndigheder, sikre effektivt og konsekvent tilsyn med deltagere på</w:t>
            </w:r>
            <w:r w:rsidR="00CB6039">
              <w:t xml:space="preserve"> finansmarked</w:t>
            </w:r>
            <w:r w:rsidR="00242139">
              <w:t>et</w:t>
            </w:r>
            <w:r w:rsidRPr="00B16DFD">
              <w:t xml:space="preserve"> og håndhævelse af de regler, der regulerer deres aktivitet, og sikre tilsynskollegiers eller andre former for tilsynssamarbejdes konsekvente funktion og gribe ind i bl.a. krisesituationer".</w:t>
            </w:r>
          </w:p>
        </w:tc>
      </w:tr>
    </w:tbl>
    <w:p w:rsidR="00365C9B" w:rsidRPr="00B16DFD" w:rsidP="00365C9B" w14:paraId="35B125DC"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68062DC7"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501728B9" w14:textId="77777777">
      <w:pPr>
        <w:pStyle w:val="AmJustText"/>
      </w:pPr>
      <w:r w:rsidRPr="00B16DFD">
        <w:t>Praksis med overregulering er en kilde til fragmentering, der hindrer udviklingen af det indre marked. ESMA bør have til opgave at kortlægge nationale krav eller forpligtelser, der overstiger kravene eller forpligtelserne i ovennævnte lovgivningsmæssige retsakter, jf. artikel 1, stk. 2.</w:t>
      </w:r>
    </w:p>
    <w:p w:rsidR="00365C9B" w:rsidRPr="00B16DFD" w:rsidP="00365C9B" w14:paraId="23821D98" w14:textId="77777777">
      <w:r w:rsidRPr="00B16DFD">
        <w:rPr>
          <w:rStyle w:val="HideTWBExt"/>
          <w:color w:val="auto"/>
        </w:rPr>
        <w:t>&lt;/Amend&gt;</w:t>
      </w:r>
    </w:p>
    <w:p w:rsidR="00365C9B" w:rsidRPr="00B16DFD" w:rsidP="00365C9B" w14:paraId="019386CF"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361</w:t>
      </w:r>
      <w:r w:rsidRPr="00B16DFD">
        <w:rPr>
          <w:rStyle w:val="HideTWBExt"/>
          <w:color w:val="auto"/>
        </w:rPr>
        <w:t>&lt;/NumAm&gt;</w:t>
      </w:r>
    </w:p>
    <w:p w:rsidR="00365C9B" w:rsidRPr="00734CAA" w:rsidP="00365C9B" w14:paraId="13A76448" w14:textId="77777777">
      <w:pPr>
        <w:pStyle w:val="NormalBold"/>
        <w:rPr>
          <w:lang w:val="en-GB"/>
        </w:rPr>
      </w:pPr>
      <w:r w:rsidRPr="00734CAA">
        <w:rPr>
          <w:rStyle w:val="HideTWBExt"/>
          <w:b w:val="0"/>
          <w:color w:val="auto"/>
          <w:lang w:val="en-GB"/>
        </w:rPr>
        <w:t>&lt;RepeatBlock-By&gt;&lt;Members&gt;</w:t>
      </w:r>
      <w:r w:rsidRPr="00734CAA">
        <w:rPr>
          <w:lang w:val="en-GB"/>
        </w:rPr>
        <w:t>Christophe Gomart</w:t>
      </w:r>
      <w:r w:rsidRPr="00734CAA">
        <w:rPr>
          <w:rStyle w:val="HideTWBExt"/>
          <w:b w:val="0"/>
          <w:color w:val="auto"/>
          <w:lang w:val="en-GB"/>
        </w:rPr>
        <w:t>&lt;/Members&gt;</w:t>
      </w:r>
    </w:p>
    <w:p w:rsidR="00365C9B" w:rsidRPr="00B16DFD" w:rsidP="00365C9B" w14:paraId="17BED0A9" w14:textId="77777777">
      <w:pPr>
        <w:pStyle w:val="NormalBold"/>
      </w:pPr>
      <w:r w:rsidRPr="00B16DFD">
        <w:rPr>
          <w:rStyle w:val="HideTWBExt"/>
          <w:b w:val="0"/>
          <w:color w:val="auto"/>
        </w:rPr>
        <w:t>&lt;/RepeatBlock-By&gt;</w:t>
      </w:r>
    </w:p>
    <w:p w:rsidR="00365C9B" w:rsidRPr="00B16DFD" w:rsidP="00365C9B" w14:paraId="0E57B2B6"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556F9AA3" w14:textId="77777777">
      <w:pPr>
        <w:pStyle w:val="NormalBold"/>
        <w:rPr>
          <w:lang w:val="fr-FR"/>
        </w:rPr>
      </w:pPr>
      <w:r w:rsidRPr="00734CAA">
        <w:rPr>
          <w:rStyle w:val="HideTWBExt"/>
          <w:color w:val="auto"/>
          <w:lang w:val="fr-FR"/>
        </w:rPr>
        <w:t>&lt;Article&gt;</w:t>
      </w:r>
      <w:r w:rsidRPr="00734CAA">
        <w:rPr>
          <w:lang w:val="fr-FR"/>
        </w:rPr>
        <w:t>Artikel 1 – stk. 1 – nr. 6 – litra a – nr. 2</w:t>
      </w:r>
      <w:r w:rsidRPr="00734CAA">
        <w:rPr>
          <w:rStyle w:val="HideTWBExt"/>
          <w:color w:val="auto"/>
          <w:lang w:val="fr-FR"/>
        </w:rPr>
        <w:t>&lt;/Article&gt;</w:t>
      </w:r>
    </w:p>
    <w:p w:rsidR="00365C9B" w:rsidRPr="00B16DFD" w:rsidP="00365C9B" w14:paraId="358C4F59"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62CCC952" w14:textId="77777777">
      <w:r w:rsidRPr="00B16DFD">
        <w:rPr>
          <w:rStyle w:val="HideTWBExt"/>
          <w:color w:val="auto"/>
        </w:rPr>
        <w:t>&lt;Article2&gt;</w:t>
      </w:r>
      <w:r w:rsidRPr="00B16DFD">
        <w:t>Artikel 8 – stk. 1 – litra b</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59B224"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5542D46" w14:textId="77777777"/>
        </w:tc>
      </w:tr>
      <w:tr w14:paraId="4DF66A04"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113F582"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5BE3B50" w14:textId="77777777">
            <w:pPr>
              <w:pStyle w:val="AmColumnHeading"/>
            </w:pPr>
            <w:r w:rsidRPr="00B16DFD">
              <w:t>Ændringsforslag</w:t>
            </w:r>
          </w:p>
        </w:tc>
      </w:tr>
      <w:tr w14:paraId="69AD12D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14E0242" w14:textId="4C4CD801">
            <w:pPr>
              <w:pStyle w:val="Normal6a"/>
              <w:rPr>
                <w:bCs/>
                <w:iCs/>
              </w:rPr>
            </w:pPr>
            <w:bookmarkStart w:id="0" w:name="_Hlk235715228"/>
            <w:r w:rsidRPr="00B16DFD">
              <w:t>b)</w:t>
            </w:r>
            <w:r w:rsidRPr="00B16DFD">
              <w:tab/>
              <w:t xml:space="preserve">at bidrage til den konsekvente anvendelse af juridisk bindende EU-retsakter, navnlig ved at bidrage til en fælles </w:t>
            </w:r>
            <w:r w:rsidRPr="00B16DFD">
              <w:rPr>
                <w:b/>
                <w:i/>
              </w:rPr>
              <w:t>tilsyns- og håndhævelseskultur, sikre konsekvent, virkningsfuld og effektiv anvendelse af de i artikel 1, stk. 2, omhandlede lovgivningsmæssige retsakter, undgå tilsynsarbitrage, fremme og overvåge tilsynsmæssig uafhængighed, mægle i og bilægge tvister mellem kompetente myndigheder,</w:t>
            </w:r>
            <w:r w:rsidRPr="00B16DFD">
              <w:t xml:space="preserve"> sikre effektivt</w:t>
            </w:r>
            <w:r w:rsidRPr="00B16DFD">
              <w:rPr>
                <w:b/>
                <w:i/>
              </w:rPr>
              <w:t xml:space="preserve"> og konsekvent</w:t>
            </w:r>
            <w:r w:rsidRPr="00B16DFD">
              <w:t xml:space="preserve"> tilsyn med deltagere på</w:t>
            </w:r>
            <w:r w:rsidR="00CB6039">
              <w:t xml:space="preserve"> finansmarked</w:t>
            </w:r>
            <w:r w:rsidR="00242139">
              <w:t>et</w:t>
            </w:r>
            <w:r w:rsidRPr="00B16DFD">
              <w:rPr>
                <w:b/>
                <w:i/>
              </w:rPr>
              <w:t xml:space="preserve"> og håndhævelse af de regler, der regulerer deres aktivitet,</w:t>
            </w:r>
            <w:r w:rsidRPr="00B16DFD">
              <w:t xml:space="preserve"> og sikre tilsynskollegiers </w:t>
            </w:r>
            <w:r w:rsidRPr="00B16DFD">
              <w:rPr>
                <w:b/>
                <w:i/>
              </w:rPr>
              <w:t>eller andre former for tilsynssamarbejdes</w:t>
            </w:r>
            <w:r w:rsidRPr="00B16DFD">
              <w:t xml:space="preserve"> konsekvente funktion og gribe ind i bl.a. krisesituationer</w:t>
            </w:r>
            <w:r w:rsidRPr="00B16DFD">
              <w:rPr>
                <w:b/>
                <w:i/>
              </w:rPr>
              <w:t>.</w:t>
            </w:r>
            <w:bookmarkEnd w:id="0"/>
          </w:p>
        </w:tc>
        <w:tc>
          <w:tcPr>
            <w:tcW w:w="4876" w:type="dxa"/>
            <w:tcBorders>
              <w:top w:val="nil"/>
              <w:left w:val="nil"/>
              <w:bottom w:val="nil"/>
              <w:right w:val="nil"/>
            </w:tcBorders>
            <w:hideMark/>
          </w:tcPr>
          <w:p w:rsidR="00365C9B" w:rsidRPr="00B16DFD" w:rsidP="00F61C80" w14:paraId="28B9598C" w14:textId="2AD73AD4">
            <w:pPr>
              <w:pStyle w:val="Normal6a"/>
            </w:pPr>
            <w:bookmarkStart w:id="1" w:name="_Hlk235715298"/>
            <w:r w:rsidRPr="00B16DFD">
              <w:t>b)</w:t>
            </w:r>
            <w:r w:rsidRPr="00B16DFD">
              <w:tab/>
              <w:t xml:space="preserve">at bidrage til den konsekvente anvendelse af juridisk bindende EU-retsakter, navnlig ved at bidrage til en fælles </w:t>
            </w:r>
            <w:r w:rsidRPr="00B16DFD">
              <w:rPr>
                <w:b/>
                <w:i/>
              </w:rPr>
              <w:t>tilsynsmetode</w:t>
            </w:r>
            <w:r w:rsidRPr="00B16DFD">
              <w:t>, sikre effektivt tilsyn med deltagere på</w:t>
            </w:r>
            <w:r w:rsidR="00CB6039">
              <w:t xml:space="preserve"> finansmarked</w:t>
            </w:r>
            <w:r w:rsidR="00242139">
              <w:t>et</w:t>
            </w:r>
            <w:r w:rsidRPr="00B16DFD">
              <w:t xml:space="preserve"> og sikre tilsynskollegiers konsekvente funktion og gribe ind i bl.a. krisesituationer</w:t>
            </w:r>
            <w:r w:rsidRPr="00B16DFD">
              <w:rPr>
                <w:b/>
                <w:i/>
              </w:rPr>
              <w:t xml:space="preserve"> samt føre tilsyn med situationer, hvor markedsudviklingen kan skade lige konkurrencevilkår mellem de virksomheder, der er etableret i Unionen, og dem, der er etableret i tredjelande, eller indebære uforholdsmæssige overholdelsesbyrder for virksomheder i Unionen som følge af krav, der følger af artikel 1, stk. 2. Med henblik herpå bør ESMA anvende konvergensværktøjer i tilsynet for at rette op på sådanne situationer og begrænse forvridningen af konkurrencevilkårene for virksomheder i Unionen.</w:t>
            </w:r>
            <w:bookmarkEnd w:id="1"/>
          </w:p>
        </w:tc>
      </w:tr>
    </w:tbl>
    <w:p w:rsidR="00365C9B" w:rsidRPr="00734CAA" w:rsidP="00365C9B" w14:paraId="2FB8DCA5"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{FR}</w:t>
      </w:r>
      <w:r w:rsidRPr="00734CAA">
        <w:rPr>
          <w:lang w:val="en-GB"/>
        </w:rPr>
        <w:t>fr</w:t>
      </w:r>
      <w:r w:rsidRPr="00734CAA">
        <w:rPr>
          <w:rStyle w:val="HideTWBExt"/>
          <w:color w:val="auto"/>
          <w:lang w:val="en-GB"/>
        </w:rPr>
        <w:t>&lt;/Original&gt;</w:t>
      </w:r>
    </w:p>
    <w:p w:rsidR="00365C9B" w:rsidRPr="00734CAA" w:rsidP="00365C9B" w14:paraId="61F584F3" w14:textId="77777777">
      <w:pPr>
        <w:rPr>
          <w:lang w:val="en-GB"/>
        </w:rPr>
      </w:pPr>
      <w:r w:rsidRPr="00734CAA">
        <w:rPr>
          <w:rStyle w:val="HideTWBExt"/>
          <w:color w:val="auto"/>
          <w:lang w:val="en-GB"/>
        </w:rPr>
        <w:t>&lt;/Amend&gt;</w:t>
      </w:r>
    </w:p>
    <w:p w:rsidR="00365C9B" w:rsidRPr="00734CAA" w:rsidP="00365C9B" w14:paraId="494079FA"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362</w:t>
      </w:r>
      <w:r w:rsidRPr="00734CAA">
        <w:rPr>
          <w:rStyle w:val="HideTWBExt"/>
          <w:color w:val="auto"/>
          <w:lang w:val="en-GB"/>
        </w:rPr>
        <w:t>&lt;/NumAm&gt;</w:t>
      </w:r>
    </w:p>
    <w:p w:rsidR="00365C9B" w:rsidRPr="00734CAA" w:rsidP="00365C9B" w14:paraId="499437A6"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5627AE40" w14:textId="77777777">
      <w:pPr>
        <w:pStyle w:val="NormalBold"/>
      </w:pPr>
      <w:r w:rsidRPr="00B16DFD">
        <w:rPr>
          <w:rStyle w:val="HideTWBExt"/>
          <w:b w:val="0"/>
          <w:color w:val="auto"/>
        </w:rPr>
        <w:t>&lt;/RepeatBlock-By&gt;</w:t>
      </w:r>
    </w:p>
    <w:p w:rsidR="00365C9B" w:rsidRPr="00B16DFD" w:rsidP="00365C9B" w14:paraId="4B54AA0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A0B09FD" w14:textId="77777777">
      <w:pPr>
        <w:pStyle w:val="NormalBold"/>
        <w:rPr>
          <w:lang w:val="fr-FR"/>
        </w:rPr>
      </w:pPr>
      <w:r w:rsidRPr="00734CAA">
        <w:rPr>
          <w:rStyle w:val="HideTWBExt"/>
          <w:color w:val="auto"/>
          <w:lang w:val="fr-FR"/>
        </w:rPr>
        <w:t>&lt;Article&gt;</w:t>
      </w:r>
      <w:r w:rsidRPr="00734CAA">
        <w:rPr>
          <w:lang w:val="fr-FR"/>
        </w:rPr>
        <w:t>Artikel 1 – stk. 1 – nr. 6 – litra a – nr. 2</w:t>
      </w:r>
      <w:r w:rsidRPr="00734CAA">
        <w:rPr>
          <w:rStyle w:val="HideTWBExt"/>
          <w:color w:val="auto"/>
          <w:lang w:val="fr-FR"/>
        </w:rPr>
        <w:t>&lt;/Article&gt;</w:t>
      </w:r>
    </w:p>
    <w:p w:rsidR="00365C9B" w:rsidRPr="00734CAA" w:rsidP="00365C9B" w14:paraId="648ADAAB" w14:textId="77777777">
      <w:pPr>
        <w:rPr>
          <w:lang w:val="fr-FR"/>
        </w:rPr>
      </w:pPr>
      <w:r w:rsidRPr="00734CAA">
        <w:rPr>
          <w:rStyle w:val="HideTWBExt"/>
          <w:color w:val="auto"/>
          <w:lang w:val="fr-FR"/>
        </w:rPr>
        <w:t>&lt;DocAmend2&gt;</w:t>
      </w:r>
      <w:r w:rsidRPr="00734CAA">
        <w:rPr>
          <w:lang w:val="fr-FR"/>
        </w:rPr>
        <w:t>Forordning (EU) nr. 1095/2010</w:t>
      </w:r>
      <w:r w:rsidRPr="00734CAA">
        <w:rPr>
          <w:rStyle w:val="HideTWBExt"/>
          <w:color w:val="auto"/>
          <w:lang w:val="fr-FR"/>
        </w:rPr>
        <w:t>&lt;/DocAmend2&gt;</w:t>
      </w:r>
    </w:p>
    <w:p w:rsidR="00365C9B" w:rsidRPr="00734CAA" w:rsidP="00365C9B" w14:paraId="3DF3AEF5" w14:textId="77777777">
      <w:pPr>
        <w:rPr>
          <w:lang w:val="fr-FR"/>
        </w:rPr>
      </w:pPr>
      <w:r w:rsidRPr="00734CAA">
        <w:rPr>
          <w:rStyle w:val="HideTWBExt"/>
          <w:color w:val="auto"/>
          <w:lang w:val="fr-FR"/>
        </w:rPr>
        <w:t>&lt;Article2&gt;</w:t>
      </w:r>
      <w:r w:rsidRPr="00734CAA">
        <w:rPr>
          <w:lang w:val="fr-FR"/>
        </w:rPr>
        <w:t>Artikel 8 – stk. 1 – litra b a (nyt)</w:t>
      </w:r>
      <w:r w:rsidRPr="00734CAA">
        <w:rPr>
          <w:rStyle w:val="HideTWBExt"/>
          <w:color w:val="auto"/>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A5BAA6"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488BC8DE" w14:textId="77777777">
            <w:pPr>
              <w:rPr>
                <w:lang w:val="fr-FR"/>
              </w:rPr>
            </w:pPr>
          </w:p>
        </w:tc>
      </w:tr>
      <w:tr w14:paraId="51694401"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1F64F84"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155534B" w14:textId="77777777">
            <w:pPr>
              <w:pStyle w:val="AmColumnHeading"/>
            </w:pPr>
            <w:r w:rsidRPr="00B16DFD">
              <w:t>Ændringsforslag</w:t>
            </w:r>
          </w:p>
        </w:tc>
      </w:tr>
      <w:tr w14:paraId="5E6B620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E62B972" w14:textId="77777777">
            <w:pPr>
              <w:pStyle w:val="Normal6a"/>
            </w:pPr>
          </w:p>
        </w:tc>
        <w:tc>
          <w:tcPr>
            <w:tcW w:w="4876" w:type="dxa"/>
            <w:tcBorders>
              <w:top w:val="nil"/>
              <w:left w:val="nil"/>
              <w:bottom w:val="nil"/>
              <w:right w:val="nil"/>
            </w:tcBorders>
            <w:hideMark/>
          </w:tcPr>
          <w:p w:rsidR="00365C9B" w:rsidRPr="00B16DFD" w:rsidP="00F61C80" w14:paraId="3C713783" w14:textId="77777777">
            <w:pPr>
              <w:pStyle w:val="Normal6a"/>
            </w:pPr>
            <w:r w:rsidRPr="00B16DFD">
              <w:rPr>
                <w:b/>
                <w:i/>
              </w:rPr>
              <w:t>ba)</w:t>
            </w:r>
            <w:r w:rsidRPr="00B16DFD">
              <w:tab/>
            </w:r>
            <w:r w:rsidRPr="00B16DFD">
              <w:rPr>
                <w:b/>
                <w:i/>
              </w:rPr>
              <w:t>at udarbejde ESMA's tekniske specifikationer i specifikke tilfælde, jf. artikel 15a.</w:t>
            </w:r>
          </w:p>
        </w:tc>
      </w:tr>
    </w:tbl>
    <w:p w:rsidR="00365C9B" w:rsidRPr="00734CAA" w:rsidP="00365C9B" w14:paraId="589D4ECF"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5E53CFC" w14:textId="77777777">
      <w:pPr>
        <w:rPr>
          <w:lang w:val="en-GB"/>
        </w:rPr>
      </w:pPr>
      <w:r w:rsidRPr="00734CAA">
        <w:rPr>
          <w:rStyle w:val="HideTWBExt"/>
          <w:color w:val="auto"/>
          <w:lang w:val="en-GB"/>
        </w:rPr>
        <w:t>&lt;/Amend&gt;</w:t>
      </w:r>
    </w:p>
    <w:p w:rsidR="00365C9B" w:rsidRPr="00734CAA" w:rsidP="00365C9B" w14:paraId="53DE8163"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363</w:t>
      </w:r>
      <w:r w:rsidRPr="00734CAA">
        <w:rPr>
          <w:rStyle w:val="HideTWBExt"/>
          <w:color w:val="auto"/>
          <w:lang w:val="en-GB"/>
        </w:rPr>
        <w:t>&lt;/NumAm&gt;</w:t>
      </w:r>
    </w:p>
    <w:p w:rsidR="00365C9B" w:rsidRPr="00734CAA" w:rsidP="00365C9B" w14:paraId="1A16926D" w14:textId="77777777">
      <w:pPr>
        <w:pStyle w:val="NormalBold"/>
        <w:rPr>
          <w:lang w:val="en-GB"/>
        </w:rPr>
      </w:pPr>
      <w:r w:rsidRPr="00734CAA">
        <w:rPr>
          <w:rStyle w:val="HideTWBExt"/>
          <w:b w:val="0"/>
          <w:color w:val="auto"/>
          <w:lang w:val="en-GB"/>
        </w:rPr>
        <w:t>&lt;RepeatBlock-By&gt;&lt;Members&gt;</w:t>
      </w:r>
      <w:r w:rsidRPr="00734CAA">
        <w:rPr>
          <w:lang w:val="en-GB"/>
        </w:rPr>
        <w:t>Martine Kemp</w:t>
      </w:r>
      <w:r w:rsidRPr="00734CAA">
        <w:rPr>
          <w:rStyle w:val="HideTWBExt"/>
          <w:b w:val="0"/>
          <w:color w:val="auto"/>
          <w:lang w:val="en-GB"/>
        </w:rPr>
        <w:t>&lt;/Members&gt;</w:t>
      </w:r>
    </w:p>
    <w:p w:rsidR="00365C9B" w:rsidRPr="00734CAA" w:rsidP="00365C9B" w14:paraId="6EFC22CE" w14:textId="77777777">
      <w:pPr>
        <w:pStyle w:val="NormalBold"/>
        <w:rPr>
          <w:lang w:val="en-GB"/>
        </w:rPr>
      </w:pPr>
      <w:r w:rsidRPr="00734CAA">
        <w:rPr>
          <w:rStyle w:val="HideTWBExt"/>
          <w:b w:val="0"/>
          <w:color w:val="auto"/>
          <w:lang w:val="en-GB"/>
        </w:rPr>
        <w:t>&lt;/RepeatBlock-By&gt;</w:t>
      </w:r>
    </w:p>
    <w:p w:rsidR="00365C9B" w:rsidRPr="00B16DFD" w:rsidP="00365C9B" w14:paraId="59D0366A"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23C46AD5" w14:textId="77777777">
      <w:pPr>
        <w:pStyle w:val="NormalBold"/>
        <w:rPr>
          <w:lang w:val="fr-FR"/>
        </w:rPr>
      </w:pPr>
      <w:r w:rsidRPr="00734CAA">
        <w:rPr>
          <w:rStyle w:val="HideTWBExt"/>
          <w:color w:val="auto"/>
          <w:lang w:val="fr-FR"/>
        </w:rPr>
        <w:t>&lt;Article&gt;</w:t>
      </w:r>
      <w:r w:rsidRPr="00734CAA">
        <w:rPr>
          <w:lang w:val="fr-FR"/>
        </w:rPr>
        <w:t>Artikel 1 – stk. 1 – nr. 6 – litra a – nr. 3 a (nyt)</w:t>
      </w:r>
      <w:r w:rsidRPr="00734CAA">
        <w:rPr>
          <w:rStyle w:val="HideTWBExt"/>
          <w:color w:val="auto"/>
          <w:lang w:val="fr-FR"/>
        </w:rPr>
        <w:t>&lt;/Article&gt;</w:t>
      </w:r>
    </w:p>
    <w:p w:rsidR="00365C9B" w:rsidRPr="00B16DFD" w:rsidP="00365C9B" w14:paraId="41433D8D"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4B9D31B3" w14:textId="77777777">
      <w:r w:rsidRPr="00B16DFD">
        <w:rPr>
          <w:rStyle w:val="HideTWBExt"/>
          <w:color w:val="auto"/>
        </w:rPr>
        <w:t>&lt;Article2&gt;</w:t>
      </w:r>
      <w:r w:rsidRPr="00B16DFD">
        <w:t>Artikel 8 – stk. 1 – litra e a (nyt)</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D4F58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88873F2" w14:textId="77777777"/>
        </w:tc>
      </w:tr>
      <w:tr w14:paraId="4FE5A8CA"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5DC74D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57A4CEB" w14:textId="77777777">
            <w:pPr>
              <w:pStyle w:val="AmColumnHeading"/>
            </w:pPr>
            <w:r w:rsidRPr="00B16DFD">
              <w:t>Ændringsforslag</w:t>
            </w:r>
          </w:p>
        </w:tc>
      </w:tr>
      <w:tr w14:paraId="5DE751B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88929EC" w14:textId="77777777">
            <w:pPr>
              <w:pStyle w:val="Normal6a"/>
            </w:pPr>
          </w:p>
        </w:tc>
        <w:tc>
          <w:tcPr>
            <w:tcW w:w="4876" w:type="dxa"/>
            <w:tcBorders>
              <w:top w:val="nil"/>
              <w:left w:val="nil"/>
              <w:bottom w:val="nil"/>
              <w:right w:val="nil"/>
            </w:tcBorders>
            <w:hideMark/>
          </w:tcPr>
          <w:p w:rsidR="00365C9B" w:rsidRPr="00B16DFD" w:rsidP="00F61C80" w14:paraId="011A02BA" w14:textId="77777777">
            <w:pPr>
              <w:pStyle w:val="Normal6a"/>
            </w:pPr>
            <w:r w:rsidRPr="00B16DFD">
              <w:rPr>
                <w:b/>
                <w:i/>
              </w:rPr>
              <w:t>3a)</w:t>
            </w:r>
            <w:r w:rsidRPr="00B16DFD">
              <w:tab/>
            </w:r>
            <w:r w:rsidRPr="00B16DFD">
              <w:rPr>
                <w:b/>
                <w:i/>
              </w:rPr>
              <w:t>Følgende indsættes som litra ea):</w:t>
            </w:r>
          </w:p>
        </w:tc>
      </w:tr>
      <w:tr w14:paraId="3EFA559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E35CF04" w14:textId="77777777">
            <w:pPr>
              <w:pStyle w:val="Normal6a"/>
            </w:pPr>
          </w:p>
        </w:tc>
        <w:tc>
          <w:tcPr>
            <w:tcW w:w="4876" w:type="dxa"/>
            <w:tcBorders>
              <w:top w:val="nil"/>
              <w:left w:val="nil"/>
              <w:bottom w:val="nil"/>
              <w:right w:val="nil"/>
            </w:tcBorders>
            <w:hideMark/>
          </w:tcPr>
          <w:p w:rsidR="00365C9B" w:rsidRPr="00B16DFD" w:rsidP="00F61C80" w14:paraId="415397FB" w14:textId="77777777">
            <w:pPr>
              <w:pStyle w:val="Normal6a"/>
            </w:pPr>
            <w:r w:rsidRPr="00B16DFD">
              <w:rPr>
                <w:b/>
                <w:i/>
              </w:rPr>
              <w:t>"ea) at foretage undersøgelser af de kompetente myndigheders tilsynsaktiviteter og i den forbindelse at kortlægge årsagen til divergenser i tilsynspraksis og at foreslå afhjælpende foranstaltninger"</w:t>
            </w:r>
          </w:p>
        </w:tc>
      </w:tr>
    </w:tbl>
    <w:p w:rsidR="00365C9B" w:rsidRPr="00B16DFD" w:rsidP="00365C9B" w14:paraId="24B37BA5"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149B3C57"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22668F74" w14:textId="77777777">
      <w:pPr>
        <w:pStyle w:val="AmJustText"/>
      </w:pPr>
      <w:r w:rsidRPr="00B16DFD">
        <w:t>Forskelle i tilsynspraksis kan være en kilde til fragmentering, der hindrer udviklingen af det indre marked. ESMA bør have til opgave at kortlægge årsagen til divergenser i tilsynspraksis, gennemføre revisioner og foreslå afhjælpende foranstaltninger.</w:t>
      </w:r>
    </w:p>
    <w:p w:rsidR="00365C9B" w:rsidRPr="00B16DFD" w:rsidP="00365C9B" w14:paraId="539A114F" w14:textId="77777777">
      <w:r w:rsidRPr="00B16DFD">
        <w:rPr>
          <w:rStyle w:val="HideTWBExt"/>
          <w:color w:val="auto"/>
        </w:rPr>
        <w:t>&lt;/Amend&gt;</w:t>
      </w:r>
    </w:p>
    <w:p w:rsidR="00365C9B" w:rsidRPr="00B16DFD" w:rsidP="00365C9B" w14:paraId="6FD61E55"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364</w:t>
      </w:r>
      <w:r w:rsidRPr="00B16DFD">
        <w:rPr>
          <w:rStyle w:val="HideTWBExt"/>
          <w:color w:val="auto"/>
        </w:rPr>
        <w:t>&lt;/NumAm&gt;</w:t>
      </w:r>
    </w:p>
    <w:p w:rsidR="00365C9B" w:rsidRPr="00734CAA" w:rsidP="00365C9B" w14:paraId="04569586" w14:textId="77777777">
      <w:pPr>
        <w:pStyle w:val="NormalBold"/>
        <w:rPr>
          <w:lang w:val="en-GB"/>
        </w:rPr>
      </w:pPr>
      <w:r w:rsidRPr="00734CAA">
        <w:rPr>
          <w:rStyle w:val="HideTWBExt"/>
          <w:b w:val="0"/>
          <w:color w:val="auto"/>
          <w:lang w:val="en-GB"/>
        </w:rPr>
        <w:t>&lt;RepeatBlock-By&gt;&lt;Members&gt;</w:t>
      </w:r>
      <w:r w:rsidRPr="00734CAA">
        <w:rPr>
          <w:lang w:val="en-GB"/>
        </w:rPr>
        <w:t>Martine Kemp</w:t>
      </w:r>
      <w:r w:rsidRPr="00734CAA">
        <w:rPr>
          <w:rStyle w:val="HideTWBExt"/>
          <w:b w:val="0"/>
          <w:color w:val="auto"/>
          <w:lang w:val="en-GB"/>
        </w:rPr>
        <w:t>&lt;/Members&gt;</w:t>
      </w:r>
    </w:p>
    <w:p w:rsidR="00365C9B" w:rsidRPr="00B16DFD" w:rsidP="00365C9B" w14:paraId="08B2E5DD" w14:textId="77777777">
      <w:pPr>
        <w:pStyle w:val="NormalBold"/>
      </w:pPr>
      <w:r w:rsidRPr="00B16DFD">
        <w:rPr>
          <w:rStyle w:val="HideTWBExt"/>
          <w:b w:val="0"/>
          <w:color w:val="auto"/>
        </w:rPr>
        <w:t>&lt;/RepeatBlock-By&gt;</w:t>
      </w:r>
    </w:p>
    <w:p w:rsidR="00365C9B" w:rsidRPr="00B16DFD" w:rsidP="00365C9B" w14:paraId="5228FAE5"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92DF218" w14:textId="77777777">
      <w:pPr>
        <w:pStyle w:val="NormalBold"/>
        <w:rPr>
          <w:lang w:val="fr-FR"/>
        </w:rPr>
      </w:pPr>
      <w:r w:rsidRPr="00734CAA">
        <w:rPr>
          <w:rStyle w:val="HideTWBExt"/>
          <w:color w:val="auto"/>
          <w:lang w:val="fr-FR"/>
        </w:rPr>
        <w:t>&lt;Article&gt;</w:t>
      </w:r>
      <w:r w:rsidRPr="00734CAA">
        <w:rPr>
          <w:lang w:val="fr-FR"/>
        </w:rPr>
        <w:t>Artikel 1 – stk. 1 – nr. 6 – litra a – nr. 5 a (nyt)</w:t>
      </w:r>
      <w:r w:rsidRPr="00734CAA">
        <w:rPr>
          <w:rStyle w:val="HideTWBExt"/>
          <w:color w:val="auto"/>
          <w:lang w:val="fr-FR"/>
        </w:rPr>
        <w:t>&lt;/Article&gt;</w:t>
      </w:r>
    </w:p>
    <w:p w:rsidR="00365C9B" w:rsidRPr="00B16DFD" w:rsidP="00365C9B" w14:paraId="42AD4076"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0B8EBC1F" w14:textId="77777777">
      <w:r w:rsidRPr="00B16DFD">
        <w:rPr>
          <w:rStyle w:val="HideTWBExt"/>
          <w:color w:val="auto"/>
        </w:rPr>
        <w:t>&lt;Article2&gt;</w:t>
      </w:r>
      <w:r w:rsidRPr="00B16DFD">
        <w:t>Artikel 8 – stk. 1 – litra k a (nyt)</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3465B"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DD3AF26" w14:textId="77777777"/>
        </w:tc>
      </w:tr>
      <w:tr w14:paraId="3721322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BDEED25"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23C875A" w14:textId="77777777">
            <w:pPr>
              <w:pStyle w:val="AmColumnHeading"/>
            </w:pPr>
            <w:r w:rsidRPr="00B16DFD">
              <w:t>Ændringsforslag</w:t>
            </w:r>
          </w:p>
        </w:tc>
      </w:tr>
      <w:tr w14:paraId="298C2B2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F8EE82E" w14:textId="77777777">
            <w:pPr>
              <w:pStyle w:val="Normal6a"/>
            </w:pPr>
          </w:p>
        </w:tc>
        <w:tc>
          <w:tcPr>
            <w:tcW w:w="4876" w:type="dxa"/>
            <w:tcBorders>
              <w:top w:val="nil"/>
              <w:left w:val="nil"/>
              <w:bottom w:val="nil"/>
              <w:right w:val="nil"/>
            </w:tcBorders>
            <w:hideMark/>
          </w:tcPr>
          <w:p w:rsidR="00365C9B" w:rsidRPr="00B16DFD" w:rsidP="00F61C80" w14:paraId="786DDB8A" w14:textId="77777777">
            <w:pPr>
              <w:pStyle w:val="Normal6a"/>
            </w:pPr>
            <w:r w:rsidRPr="00B16DFD">
              <w:rPr>
                <w:b/>
                <w:i/>
              </w:rPr>
              <w:t>5a)</w:t>
            </w:r>
            <w:r w:rsidRPr="00B16DFD">
              <w:tab/>
            </w:r>
            <w:r w:rsidRPr="00B16DFD">
              <w:rPr>
                <w:b/>
                <w:i/>
              </w:rPr>
              <w:t>Følgende indsættes som litra kaa):</w:t>
            </w:r>
          </w:p>
        </w:tc>
      </w:tr>
      <w:tr w14:paraId="2A477D0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15F5D58" w14:textId="77777777">
            <w:pPr>
              <w:pStyle w:val="Normal6a"/>
            </w:pPr>
          </w:p>
        </w:tc>
        <w:tc>
          <w:tcPr>
            <w:tcW w:w="4876" w:type="dxa"/>
            <w:tcBorders>
              <w:top w:val="nil"/>
              <w:left w:val="nil"/>
              <w:bottom w:val="nil"/>
              <w:right w:val="nil"/>
            </w:tcBorders>
            <w:hideMark/>
          </w:tcPr>
          <w:p w:rsidR="00365C9B" w:rsidRPr="00B16DFD" w:rsidP="00F61C80" w14:paraId="428CAFF7" w14:textId="77777777">
            <w:pPr>
              <w:pStyle w:val="Normal6a"/>
            </w:pPr>
            <w:r w:rsidRPr="00B16DFD">
              <w:rPr>
                <w:b/>
                <w:i/>
              </w:rPr>
              <w:t xml:space="preserve">"kaa) at offentliggøre oplysninger om nationale krav eller forpligtelser, der overstiger kravene eller forpligtelserne i de lovgivningsmæssige retsakter, jf. artikel 8, stk. 1, litra b), på sit websted og </w:t>
            </w:r>
            <w:r w:rsidRPr="00B16DFD">
              <w:rPr>
                <w:b/>
                <w:i/>
              </w:rPr>
              <w:t>regelmæssigt ajourføre dem"</w:t>
            </w:r>
          </w:p>
        </w:tc>
      </w:tr>
    </w:tbl>
    <w:p w:rsidR="00365C9B" w:rsidRPr="00B16DFD" w:rsidP="00365C9B" w14:paraId="139398B6"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20562F92"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256BC962" w14:textId="77777777">
      <w:pPr>
        <w:pStyle w:val="AmJustText"/>
      </w:pPr>
      <w:r w:rsidRPr="00B16DFD">
        <w:t>Praksis med overregulering er en kilde til fragmentering, der hindrer udviklingen af det indre marked. ESMA bør have til opgave at kortlægge national og tilsynsmæssig overregulering, og for at sikre gennemsigtighed skal den offentliggøre oplysninger i forbindelse hermed på sit websted.</w:t>
      </w:r>
    </w:p>
    <w:p w:rsidR="00365C9B" w:rsidRPr="00B16DFD" w:rsidP="00365C9B" w14:paraId="33198A2C" w14:textId="77777777">
      <w:r w:rsidRPr="00B16DFD">
        <w:rPr>
          <w:rStyle w:val="HideTWBExt"/>
          <w:color w:val="auto"/>
        </w:rPr>
        <w:t>&lt;/Amend&gt;</w:t>
      </w:r>
    </w:p>
    <w:p w:rsidR="00365C9B" w:rsidRPr="00B16DFD" w:rsidP="00365C9B" w14:paraId="3F52EE83"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365</w:t>
      </w:r>
      <w:r w:rsidRPr="00B16DFD">
        <w:rPr>
          <w:rStyle w:val="HideTWBExt"/>
          <w:color w:val="auto"/>
        </w:rPr>
        <w:t>&lt;/NumAm&gt;</w:t>
      </w:r>
    </w:p>
    <w:p w:rsidR="00365C9B" w:rsidRPr="00734CAA" w:rsidP="00365C9B" w14:paraId="6B94F207"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4C15D999" w14:textId="77777777">
      <w:pPr>
        <w:pStyle w:val="NormalBold"/>
      </w:pPr>
      <w:r w:rsidRPr="00B16DFD">
        <w:rPr>
          <w:rStyle w:val="HideTWBExt"/>
          <w:b w:val="0"/>
          <w:color w:val="auto"/>
        </w:rPr>
        <w:t>&lt;/RepeatBlock-By&gt;</w:t>
      </w:r>
    </w:p>
    <w:p w:rsidR="00365C9B" w:rsidRPr="00B16DFD" w:rsidP="00365C9B" w14:paraId="7D49A18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CC6241E" w14:textId="77777777">
      <w:pPr>
        <w:pStyle w:val="NormalBold"/>
        <w:rPr>
          <w:lang w:val="fr-FR"/>
        </w:rPr>
      </w:pPr>
      <w:r w:rsidRPr="00734CAA">
        <w:rPr>
          <w:rStyle w:val="HideTWBExt"/>
          <w:color w:val="auto"/>
          <w:lang w:val="fr-FR"/>
        </w:rPr>
        <w:t>&lt;Article&gt;</w:t>
      </w:r>
      <w:r w:rsidRPr="00734CAA">
        <w:rPr>
          <w:lang w:val="fr-FR"/>
        </w:rPr>
        <w:t>Artikel 1 – stk. 1 – nr. 6 – litra a – nr. 6</w:t>
      </w:r>
      <w:r w:rsidRPr="00734CAA">
        <w:rPr>
          <w:rStyle w:val="HideTWBExt"/>
          <w:color w:val="auto"/>
          <w:lang w:val="fr-FR"/>
        </w:rPr>
        <w:t>&lt;/Article&gt;</w:t>
      </w:r>
    </w:p>
    <w:p w:rsidR="00365C9B" w:rsidRPr="00B16DFD" w:rsidP="00365C9B" w14:paraId="28643A63"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2820B73E" w14:textId="77777777">
      <w:r w:rsidRPr="00B16DFD">
        <w:rPr>
          <w:rStyle w:val="HideTWBExt"/>
          <w:color w:val="auto"/>
        </w:rPr>
        <w:t>&lt;Article2&gt;</w:t>
      </w:r>
      <w:r w:rsidRPr="00B16DFD">
        <w:t>Artikel 8 – stk. 1 – litra m</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8B7B0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A227FBF" w14:textId="77777777"/>
        </w:tc>
      </w:tr>
      <w:tr w14:paraId="39B3CEE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9FBC809"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B35CAD9" w14:textId="77777777">
            <w:pPr>
              <w:pStyle w:val="AmColumnHeading"/>
            </w:pPr>
            <w:r w:rsidRPr="00B16DFD">
              <w:t>Ændringsforslag</w:t>
            </w:r>
          </w:p>
        </w:tc>
      </w:tr>
      <w:tr w14:paraId="359DE57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2157F96" w14:textId="77777777">
            <w:pPr>
              <w:pStyle w:val="Normal6a"/>
            </w:pPr>
            <w:r w:rsidRPr="00B16DFD">
              <w:t>m)</w:t>
            </w:r>
            <w:r w:rsidRPr="00B16DFD">
              <w:tab/>
              <w:t xml:space="preserve">at føre tilsyn med centrale modparter og værdipapircentraler, når de udøver deres beføjelser i henhold til forordning (EU) nr. 648/2012 og forordning (EU) nr. 909/2014*, og i forbindelse hermed at samarbejde med Den Europæiske Centralbank og de </w:t>
            </w:r>
            <w:r w:rsidRPr="00B16DFD">
              <w:rPr>
                <w:b/>
                <w:i/>
              </w:rPr>
              <w:t>andre relevante</w:t>
            </w:r>
            <w:r w:rsidRPr="00B16DFD">
              <w:t xml:space="preserve"> centralbanker, der udsteder EU-valutaer</w:t>
            </w:r>
          </w:p>
        </w:tc>
        <w:tc>
          <w:tcPr>
            <w:tcW w:w="4876" w:type="dxa"/>
            <w:tcBorders>
              <w:top w:val="nil"/>
              <w:left w:val="nil"/>
              <w:bottom w:val="nil"/>
              <w:right w:val="nil"/>
            </w:tcBorders>
            <w:hideMark/>
          </w:tcPr>
          <w:p w:rsidR="00365C9B" w:rsidRPr="00B16DFD" w:rsidP="00F61C80" w14:paraId="4DCC6725" w14:textId="77777777">
            <w:pPr>
              <w:pStyle w:val="Normal6a"/>
            </w:pPr>
            <w:r w:rsidRPr="00B16DFD">
              <w:t>m)</w:t>
            </w:r>
            <w:r w:rsidRPr="00B16DFD">
              <w:tab/>
              <w:t xml:space="preserve">at føre tilsyn med centrale modparter og værdipapircentraler, når de udøver deres beføjelser i henhold til forordning (EU) nr. 648/2012 og forordning (EU) nr. 909/2014*, og i forbindelse hermed at samarbejde med Den Europæiske Centralbank og de centralbanker, der udsteder </w:t>
            </w:r>
            <w:r w:rsidRPr="00B16DFD">
              <w:rPr>
                <w:b/>
                <w:i/>
              </w:rPr>
              <w:t xml:space="preserve">andre </w:t>
            </w:r>
            <w:r w:rsidRPr="00B16DFD">
              <w:t xml:space="preserve">EU-valutaer </w:t>
            </w:r>
            <w:r w:rsidRPr="00B16DFD">
              <w:rPr>
                <w:b/>
                <w:i/>
              </w:rPr>
              <w:t>end euroen</w:t>
            </w:r>
          </w:p>
        </w:tc>
      </w:tr>
    </w:tbl>
    <w:p w:rsidR="00365C9B" w:rsidRPr="00B16DFD" w:rsidP="00365C9B" w14:paraId="0579A73C"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27114C77"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5DAF3663" w14:textId="77777777">
      <w:pPr>
        <w:pStyle w:val="AmJustText"/>
      </w:pPr>
      <w:r w:rsidRPr="00B16DFD">
        <w:t>Denne præcisering er navnlig nødvendig for at undgå en alt for restriktiv fortolkning af udtrykket "relevante".</w:t>
      </w:r>
    </w:p>
    <w:p w:rsidR="00365C9B" w:rsidRPr="00B16DFD" w:rsidP="00365C9B" w14:paraId="25C666E8" w14:textId="77777777">
      <w:r w:rsidRPr="00B16DFD">
        <w:rPr>
          <w:rStyle w:val="HideTWBExt"/>
          <w:color w:val="auto"/>
        </w:rPr>
        <w:t>&lt;/Amend&gt;</w:t>
      </w:r>
    </w:p>
    <w:p w:rsidR="00365C9B" w:rsidRPr="00B16DFD" w:rsidP="00365C9B" w14:paraId="368440CF"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366</w:t>
      </w:r>
      <w:r w:rsidRPr="00B16DFD">
        <w:rPr>
          <w:rStyle w:val="HideTWBExt"/>
          <w:color w:val="auto"/>
        </w:rPr>
        <w:t>&lt;/NumAm&gt;</w:t>
      </w:r>
    </w:p>
    <w:p w:rsidR="00365C9B" w:rsidRPr="00734CAA" w:rsidP="00365C9B" w14:paraId="0AB70CD6"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2B7413BB"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1F25CA4C" w14:textId="77777777">
      <w:pPr>
        <w:pStyle w:val="NormalBold"/>
        <w:rPr>
          <w:lang w:val="en-GB"/>
        </w:rPr>
      </w:pPr>
      <w:r w:rsidRPr="00734CAA">
        <w:rPr>
          <w:rStyle w:val="HideTWBExt"/>
          <w:b w:val="0"/>
          <w:color w:val="auto"/>
          <w:lang w:val="en-GB"/>
        </w:rPr>
        <w:t>&lt;/RepeatBlock-By&gt;</w:t>
      </w:r>
    </w:p>
    <w:p w:rsidR="00365C9B" w:rsidRPr="00734CAA" w:rsidP="00365C9B" w14:paraId="07CE8587"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734CAA" w:rsidP="00365C9B" w14:paraId="18E53D33" w14:textId="77777777">
      <w:pPr>
        <w:pStyle w:val="NormalBold"/>
        <w:rPr>
          <w:lang w:val="fr-FR"/>
        </w:rPr>
      </w:pPr>
      <w:r w:rsidRPr="00734CAA">
        <w:rPr>
          <w:rStyle w:val="HideTWBExt"/>
          <w:color w:val="auto"/>
          <w:lang w:val="fr-FR"/>
        </w:rPr>
        <w:t>&lt;Article&gt;</w:t>
      </w:r>
      <w:r w:rsidRPr="00734CAA">
        <w:rPr>
          <w:lang w:val="fr-FR"/>
        </w:rPr>
        <w:t>Artikel 1 – stk. 1 – nr. 6 – litra a – nr. 6</w:t>
      </w:r>
      <w:r w:rsidRPr="00734CAA">
        <w:rPr>
          <w:rStyle w:val="HideTWBExt"/>
          <w:color w:val="auto"/>
          <w:lang w:val="fr-FR"/>
        </w:rPr>
        <w:t>&lt;/Article&gt;</w:t>
      </w:r>
    </w:p>
    <w:p w:rsidR="00365C9B" w:rsidRPr="00B16DFD" w:rsidP="00365C9B" w14:paraId="2D698700"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446CCAB0" w14:textId="77777777">
      <w:r w:rsidRPr="00B16DFD">
        <w:rPr>
          <w:rStyle w:val="HideTWBExt"/>
          <w:color w:val="auto"/>
        </w:rPr>
        <w:t>&lt;Article2&gt;</w:t>
      </w:r>
      <w:r w:rsidRPr="00B16DFD">
        <w:t>Artikel 8 – stk. 1 – litra m</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198D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CA8AAEA" w14:textId="77777777"/>
        </w:tc>
      </w:tr>
      <w:tr w14:paraId="1BF27DDA"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1415508"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2680771" w14:textId="77777777">
            <w:pPr>
              <w:pStyle w:val="AmColumnHeading"/>
            </w:pPr>
            <w:r w:rsidRPr="00B16DFD">
              <w:t>Ændringsforslag</w:t>
            </w:r>
          </w:p>
        </w:tc>
      </w:tr>
      <w:tr w14:paraId="2D94DA7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0D2DB27" w14:textId="77777777">
            <w:pPr>
              <w:pStyle w:val="Normal6a"/>
            </w:pPr>
            <w:r w:rsidRPr="00B16DFD">
              <w:t>m)</w:t>
            </w:r>
            <w:r w:rsidRPr="00B16DFD">
              <w:tab/>
              <w:t xml:space="preserve">at føre tilsyn med centrale modparter og værdipapircentraler, når de udøver deres beføjelser i henhold til forordning (EU) nr. 648/2012 og forordning (EU) nr. 909/2014*, og i forbindelse hermed at samarbejde med Den Europæiske Centralbank og </w:t>
            </w:r>
            <w:r w:rsidRPr="00B16DFD">
              <w:rPr>
                <w:b/>
                <w:i/>
              </w:rPr>
              <w:t>de andre relevante</w:t>
            </w:r>
            <w:r w:rsidRPr="00B16DFD">
              <w:t xml:space="preserve"> centralbanker, der udsteder EU-valutaer</w:t>
            </w:r>
          </w:p>
        </w:tc>
        <w:tc>
          <w:tcPr>
            <w:tcW w:w="4876" w:type="dxa"/>
            <w:tcBorders>
              <w:top w:val="nil"/>
              <w:left w:val="nil"/>
              <w:bottom w:val="nil"/>
              <w:right w:val="nil"/>
            </w:tcBorders>
            <w:hideMark/>
          </w:tcPr>
          <w:p w:rsidR="00365C9B" w:rsidRPr="00B16DFD" w:rsidP="00F61C80" w14:paraId="742E4187" w14:textId="77777777">
            <w:pPr>
              <w:pStyle w:val="Normal6a"/>
            </w:pPr>
            <w:r w:rsidRPr="00B16DFD">
              <w:t>m)</w:t>
            </w:r>
            <w:r w:rsidRPr="00B16DFD">
              <w:tab/>
              <w:t xml:space="preserve">at føre tilsyn med centrale modparter og værdipapircentraler, når de udøver deres beføjelser i henhold til forordning (EU) nr. 648/2012 og forordning (EU) nr. 909/2014*, og i forbindelse hermed at samarbejde med Den Europæiske Centralbank og de centralbanker, der udsteder </w:t>
            </w:r>
            <w:r w:rsidRPr="00B16DFD">
              <w:rPr>
                <w:b/>
                <w:i/>
              </w:rPr>
              <w:t xml:space="preserve">andre </w:t>
            </w:r>
            <w:r w:rsidRPr="00B16DFD">
              <w:t xml:space="preserve">EU-valutaer </w:t>
            </w:r>
            <w:r w:rsidRPr="00B16DFD">
              <w:rPr>
                <w:b/>
                <w:i/>
              </w:rPr>
              <w:t>end euroen</w:t>
            </w:r>
          </w:p>
        </w:tc>
      </w:tr>
    </w:tbl>
    <w:p w:rsidR="00365C9B" w:rsidRPr="00734CAA" w:rsidP="00365C9B" w14:paraId="428EF6C1"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19D21EF" w14:textId="77777777">
      <w:pPr>
        <w:rPr>
          <w:lang w:val="en-GB"/>
        </w:rPr>
      </w:pPr>
      <w:r w:rsidRPr="00734CAA">
        <w:rPr>
          <w:rStyle w:val="HideTWBExt"/>
          <w:color w:val="auto"/>
          <w:lang w:val="en-GB"/>
        </w:rPr>
        <w:t>&lt;/Amend&gt;</w:t>
      </w:r>
    </w:p>
    <w:p w:rsidR="00365C9B" w:rsidRPr="00734CAA" w:rsidP="00365C9B" w14:paraId="0FA3F485"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367</w:t>
      </w:r>
      <w:r w:rsidRPr="00734CAA">
        <w:rPr>
          <w:rStyle w:val="HideTWBExt"/>
          <w:color w:val="auto"/>
          <w:lang w:val="en-GB"/>
        </w:rPr>
        <w:t>&lt;/NumAm&gt;</w:t>
      </w:r>
    </w:p>
    <w:p w:rsidR="00365C9B" w:rsidRPr="00734CAA" w:rsidP="00365C9B" w14:paraId="1FE8421F" w14:textId="77777777">
      <w:pPr>
        <w:pStyle w:val="NormalBold"/>
        <w:rPr>
          <w:lang w:val="en-GB"/>
        </w:rPr>
      </w:pPr>
      <w:r w:rsidRPr="00734CAA">
        <w:rPr>
          <w:rStyle w:val="HideTWBExt"/>
          <w:b w:val="0"/>
          <w:color w:val="auto"/>
          <w:lang w:val="en-GB"/>
        </w:rPr>
        <w:t>&lt;RepeatBlock-By&gt;&lt;Members&gt;</w:t>
      </w:r>
      <w:r w:rsidRPr="00734CAA">
        <w:rPr>
          <w:lang w:val="en-GB"/>
        </w:rPr>
        <w:t>Gaetano Pedulla', Pasquale Tridico</w:t>
      </w:r>
      <w:r w:rsidRPr="00734CAA">
        <w:rPr>
          <w:rStyle w:val="HideTWBExt"/>
          <w:b w:val="0"/>
          <w:color w:val="auto"/>
          <w:lang w:val="en-GB"/>
        </w:rPr>
        <w:t>&lt;/Members&gt;</w:t>
      </w:r>
    </w:p>
    <w:p w:rsidR="00365C9B" w:rsidRPr="00B16DFD" w:rsidP="00365C9B" w14:paraId="2C3D74C2" w14:textId="77777777">
      <w:pPr>
        <w:pStyle w:val="NormalBold"/>
      </w:pPr>
      <w:r w:rsidRPr="00B16DFD">
        <w:rPr>
          <w:rStyle w:val="HideTWBExt"/>
          <w:b w:val="0"/>
          <w:color w:val="auto"/>
        </w:rPr>
        <w:t>&lt;/RepeatBlock-By&gt;</w:t>
      </w:r>
    </w:p>
    <w:p w:rsidR="00365C9B" w:rsidRPr="00B16DFD" w:rsidP="00365C9B" w14:paraId="4CB4F39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54F2D6A1" w14:textId="77777777">
      <w:pPr>
        <w:pStyle w:val="NormalBold"/>
        <w:rPr>
          <w:lang w:val="fr-FR"/>
        </w:rPr>
      </w:pPr>
      <w:r w:rsidRPr="00734CAA">
        <w:rPr>
          <w:rStyle w:val="HideTWBExt"/>
          <w:color w:val="auto"/>
          <w:lang w:val="fr-FR"/>
        </w:rPr>
        <w:t>&lt;Article&gt;</w:t>
      </w:r>
      <w:r w:rsidRPr="00734CAA">
        <w:rPr>
          <w:lang w:val="fr-FR"/>
        </w:rPr>
        <w:t>Artikel 1 – stk. 1 – nr. 6 – litra a – nr. 6</w:t>
      </w:r>
      <w:r w:rsidRPr="00734CAA">
        <w:rPr>
          <w:rStyle w:val="HideTWBExt"/>
          <w:color w:val="auto"/>
          <w:lang w:val="fr-FR"/>
        </w:rPr>
        <w:t>&lt;/Article&gt;</w:t>
      </w:r>
    </w:p>
    <w:p w:rsidR="00365C9B" w:rsidRPr="00B16DFD" w:rsidP="00365C9B" w14:paraId="0320BD5A"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1A0CD786" w14:textId="77777777">
      <w:r w:rsidRPr="00B16DFD">
        <w:rPr>
          <w:rStyle w:val="HideTWBExt"/>
          <w:color w:val="auto"/>
        </w:rPr>
        <w:t>&lt;Article2&gt;</w:t>
      </w:r>
      <w:r w:rsidRPr="00B16DFD">
        <w:t>Artikel 8 – stk. 1 – litra n</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0789D5"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9B50180" w14:textId="77777777"/>
        </w:tc>
      </w:tr>
      <w:tr w14:paraId="4AEC94D4"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C3F6D72"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85689AE" w14:textId="77777777">
            <w:pPr>
              <w:pStyle w:val="AmColumnHeading"/>
            </w:pPr>
            <w:r w:rsidRPr="00B16DFD">
              <w:t>Ændringsforslag</w:t>
            </w:r>
          </w:p>
        </w:tc>
      </w:tr>
      <w:tr w14:paraId="0E5BAED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11660D4" w14:textId="77777777">
            <w:pPr>
              <w:pStyle w:val="Normal6a"/>
            </w:pPr>
            <w:r w:rsidRPr="00B16DFD">
              <w:t>n)</w:t>
            </w:r>
            <w:r w:rsidRPr="00B16DFD">
              <w:tab/>
              <w:t>at vurdere modstandsdygtigheden i Unionens finansielle system samt risici, der opstår som følge af finansielle markedsdeltageres grænseoverskridende aktiviteter under myndighedens tilsyn, herunder risici som følge af indbyrdes forbundethed, indbyrdes forbindelser eller koncentrationsrisici</w:t>
            </w:r>
            <w:r w:rsidRPr="00B16DFD">
              <w:rPr>
                <w:b/>
                <w:i/>
              </w:rPr>
              <w:t xml:space="preserve">, </w:t>
            </w:r>
            <w:r w:rsidRPr="00B16DFD">
              <w:t xml:space="preserve">når </w:t>
            </w:r>
            <w:r w:rsidRPr="00B16DFD">
              <w:rPr>
                <w:b/>
                <w:i/>
              </w:rPr>
              <w:t>de</w:t>
            </w:r>
            <w:r w:rsidRPr="00B16DFD">
              <w:t xml:space="preserve"> udfører </w:t>
            </w:r>
            <w:r w:rsidRPr="00B16DFD">
              <w:rPr>
                <w:b/>
                <w:i/>
              </w:rPr>
              <w:t>tilsynsopgaver i overensstemmelse med denne forordning eller andre EU-retsakter."</w:t>
            </w:r>
            <w:r w:rsidRPr="00B16DFD">
              <w:t>.</w:t>
            </w:r>
          </w:p>
        </w:tc>
        <w:tc>
          <w:tcPr>
            <w:tcW w:w="4876" w:type="dxa"/>
            <w:tcBorders>
              <w:top w:val="nil"/>
              <w:left w:val="nil"/>
              <w:bottom w:val="nil"/>
              <w:right w:val="nil"/>
            </w:tcBorders>
            <w:hideMark/>
          </w:tcPr>
          <w:p w:rsidR="00365C9B" w:rsidRPr="00B16DFD" w:rsidP="00F61C80" w14:paraId="028DA0BA" w14:textId="77777777">
            <w:pPr>
              <w:pStyle w:val="Normal6a"/>
            </w:pPr>
            <w:r w:rsidRPr="00B16DFD">
              <w:t>n)</w:t>
            </w:r>
            <w:r w:rsidRPr="00B16DFD">
              <w:tab/>
              <w:t>at vurdere modstandsdygtigheden i Unionens finansielle system samt risici, der opstår som følge af finansielle markedsdeltageres grænseoverskridende aktiviteter under myndighedens tilsyn, herunder risici som følge af indbyrdes forbundethed, indbyrdes forbindelser eller koncentrationsrisici</w:t>
            </w:r>
            <w:r w:rsidRPr="00B16DFD">
              <w:rPr>
                <w:b/>
                <w:i/>
              </w:rPr>
              <w:t>.</w:t>
            </w:r>
            <w:r w:rsidRPr="00B16DFD">
              <w:t xml:space="preserve"> Når </w:t>
            </w:r>
            <w:r w:rsidRPr="00B16DFD">
              <w:rPr>
                <w:b/>
                <w:i/>
              </w:rPr>
              <w:t xml:space="preserve">myndigheden </w:t>
            </w:r>
            <w:r w:rsidRPr="00B16DFD">
              <w:t xml:space="preserve">udfører </w:t>
            </w:r>
            <w:r w:rsidRPr="00B16DFD">
              <w:rPr>
                <w:b/>
                <w:i/>
              </w:rPr>
              <w:t>disse vurderinger for store grænseoverskridende kapitalforvaltningsgrupper, kortlægger den potentielle risici for markedsdiversiteten og investorernes valgmuligheder ved at analysere markedskoncentrationen og den komparative stilling, som udbydere i Unionen indtager sammenlignet med udbydere uden for Unionen</w:t>
            </w:r>
            <w:r w:rsidRPr="00B16DFD">
              <w:t xml:space="preserve">. </w:t>
            </w:r>
            <w:r w:rsidRPr="00B16DFD">
              <w:rPr>
                <w:b/>
                <w:i/>
              </w:rPr>
              <w:t xml:space="preserve">Myndigheden offentliggør årlige anonymiserede statistikker og fremsender en begrundet rapport til Kommissionen, </w:t>
            </w:r>
            <w:r w:rsidRPr="00B16DFD">
              <w:rPr>
                <w:b/>
                <w:i/>
              </w:rPr>
              <w:t>hvor den udpeger væsentlige risici for markedets konkurrencestruktur for at lette udøvelsen af Kommissionens beføjelser i henhold til EU-konkurrenceretten. Ved udførelsen af denne opgave koordinerer myndigheden tæt med Det Europæiske Udvalg for Systemiske Risici (ESRB) og Den Europæiske Centralbank (ECB), navnlig med hensyn til likviditetsmismatch og gearingsrelaterede sårbarheder i store grænseoverskridende koncerner. Myndigheden rapporterer hvert år sine resultater og eventuelle anbefalede makroprudentielle foranstaltninger til Kommissionen og ESRB.</w:t>
            </w:r>
          </w:p>
        </w:tc>
      </w:tr>
    </w:tbl>
    <w:p w:rsidR="00365C9B" w:rsidRPr="00734CAA" w:rsidP="00365C9B" w14:paraId="6E4FAC46"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190EA6D" w14:textId="77777777">
      <w:pPr>
        <w:pStyle w:val="AmJustTitle"/>
        <w:rPr>
          <w:lang w:val="en-GB"/>
        </w:rPr>
      </w:pPr>
      <w:r w:rsidRPr="00734CAA">
        <w:rPr>
          <w:rStyle w:val="HideTWBExt"/>
          <w:color w:val="auto"/>
          <w:lang w:val="en-GB"/>
        </w:rPr>
        <w:t>&lt;TitreJust&gt;</w:t>
      </w:r>
      <w:r w:rsidRPr="00734CAA">
        <w:rPr>
          <w:lang w:val="en-GB"/>
        </w:rPr>
        <w:t>Begrundelse</w:t>
      </w:r>
      <w:r w:rsidRPr="00734CAA">
        <w:rPr>
          <w:rStyle w:val="HideTWBExt"/>
          <w:color w:val="auto"/>
          <w:lang w:val="en-GB"/>
        </w:rPr>
        <w:t>&lt;/TitreJust&gt;</w:t>
      </w:r>
    </w:p>
    <w:p w:rsidR="00365C9B" w:rsidRPr="00734CAA" w:rsidP="00365C9B" w14:paraId="2F7E07C7" w14:textId="77777777">
      <w:pPr>
        <w:pStyle w:val="AmJustText"/>
        <w:rPr>
          <w:lang w:val="en-GB"/>
        </w:rPr>
      </w:pPr>
      <w:r w:rsidRPr="00734CAA">
        <w:rPr>
          <w:lang w:val="en-GB"/>
        </w:rPr>
        <w:t>This amendment introduces a technical mandate for ESMA to perform market concentration analyses and identify barriers to entry for small and medium-sized providers. By requiring the publication of anonymized statistics and the transmission of reasoned reports to the Commission, it creates a data-driven mechanism to monitor the competitive structure of the asset management sector. This structural oversight facilitates the application of Union competition law to ensure that market integration preserves investor choice and maintains transparent fee structures. Integrates a specific obligation into ESMA’s review powers to assess "systemic and cross-border contagion risks in the asset management sector", requiring close coordination with the ESRB and the ECB. It focuses on liquidity mismatches and leverage vulnerabilities.</w:t>
      </w:r>
    </w:p>
    <w:p w:rsidR="00365C9B" w:rsidRPr="00734CAA" w:rsidP="00365C9B" w14:paraId="10FD2F45" w14:textId="77777777">
      <w:pPr>
        <w:rPr>
          <w:lang w:val="en-GB"/>
        </w:rPr>
      </w:pPr>
      <w:r w:rsidRPr="00734CAA">
        <w:rPr>
          <w:rStyle w:val="HideTWBExt"/>
          <w:color w:val="auto"/>
          <w:lang w:val="en-GB"/>
        </w:rPr>
        <w:t>&lt;/Amend&gt;</w:t>
      </w:r>
    </w:p>
    <w:p w:rsidR="00365C9B" w:rsidRPr="00734CAA" w:rsidP="00365C9B" w14:paraId="2E520D7E"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368</w:t>
      </w:r>
      <w:r w:rsidRPr="00734CAA">
        <w:rPr>
          <w:rStyle w:val="HideTWBExt"/>
          <w:color w:val="auto"/>
          <w:lang w:val="en-GB"/>
        </w:rPr>
        <w:t>&lt;/NumAm&gt;</w:t>
      </w:r>
    </w:p>
    <w:p w:rsidR="00365C9B" w:rsidRPr="00734CAA" w:rsidP="00365C9B" w14:paraId="1CDC63C2" w14:textId="77777777">
      <w:pPr>
        <w:pStyle w:val="NormalBold"/>
        <w:rPr>
          <w:lang w:val="en-GB"/>
        </w:rPr>
      </w:pPr>
      <w:r w:rsidRPr="00734CAA">
        <w:rPr>
          <w:rStyle w:val="HideTWBExt"/>
          <w:b w:val="0"/>
          <w:color w:val="auto"/>
          <w:lang w:val="en-GB"/>
        </w:rPr>
        <w:t>&lt;RepeatBlock-By&gt;&lt;Members&gt;</w:t>
      </w:r>
      <w:r w:rsidRPr="00734CAA">
        <w:rPr>
          <w:lang w:val="en-GB"/>
        </w:rPr>
        <w:t>Martine Kemp</w:t>
      </w:r>
      <w:r w:rsidRPr="00734CAA">
        <w:rPr>
          <w:rStyle w:val="HideTWBExt"/>
          <w:b w:val="0"/>
          <w:color w:val="auto"/>
          <w:lang w:val="en-GB"/>
        </w:rPr>
        <w:t>&lt;/Members&gt;</w:t>
      </w:r>
    </w:p>
    <w:p w:rsidR="00365C9B" w:rsidRPr="00B16DFD" w:rsidP="00365C9B" w14:paraId="4DEBB9CE" w14:textId="77777777">
      <w:pPr>
        <w:pStyle w:val="NormalBold"/>
      </w:pPr>
      <w:r w:rsidRPr="00B16DFD">
        <w:rPr>
          <w:rStyle w:val="HideTWBExt"/>
          <w:b w:val="0"/>
          <w:color w:val="auto"/>
        </w:rPr>
        <w:t>&lt;/RepeatBlock-By&gt;</w:t>
      </w:r>
    </w:p>
    <w:p w:rsidR="00365C9B" w:rsidRPr="00B16DFD" w:rsidP="00365C9B" w14:paraId="6743F3B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34EAAD0C" w14:textId="77777777">
      <w:pPr>
        <w:pStyle w:val="NormalBold"/>
        <w:rPr>
          <w:lang w:val="fr-FR"/>
        </w:rPr>
      </w:pPr>
      <w:r w:rsidRPr="00734CAA">
        <w:rPr>
          <w:rStyle w:val="HideTWBExt"/>
          <w:color w:val="auto"/>
          <w:lang w:val="fr-FR"/>
        </w:rPr>
        <w:t>&lt;Article&gt;</w:t>
      </w:r>
      <w:r w:rsidRPr="00734CAA">
        <w:rPr>
          <w:lang w:val="fr-FR"/>
        </w:rPr>
        <w:t>Artikel 1 – stk. 1 – nr. 6 – litra a – nr. 6</w:t>
      </w:r>
      <w:r w:rsidRPr="00734CAA">
        <w:rPr>
          <w:rStyle w:val="HideTWBExt"/>
          <w:color w:val="auto"/>
          <w:lang w:val="fr-FR"/>
        </w:rPr>
        <w:t>&lt;/Article&gt;</w:t>
      </w:r>
    </w:p>
    <w:p w:rsidR="00365C9B" w:rsidRPr="00B16DFD" w:rsidP="00365C9B" w14:paraId="29FD63DA"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78EC6866" w14:textId="77777777">
      <w:r w:rsidRPr="00B16DFD">
        <w:rPr>
          <w:rStyle w:val="HideTWBExt"/>
          <w:color w:val="auto"/>
        </w:rPr>
        <w:t>&lt;Article2&gt;</w:t>
      </w:r>
      <w:r w:rsidRPr="00B16DFD">
        <w:t>Artikel 8 – stk. 1 – litra n</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B3596"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06E18D4" w14:textId="77777777"/>
        </w:tc>
      </w:tr>
      <w:tr w14:paraId="79D6EBD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B039AA7"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450C65F" w14:textId="77777777">
            <w:pPr>
              <w:pStyle w:val="AmColumnHeading"/>
            </w:pPr>
            <w:r w:rsidRPr="00B16DFD">
              <w:t>Ændringsforslag</w:t>
            </w:r>
          </w:p>
        </w:tc>
      </w:tr>
      <w:tr w14:paraId="4A7D0EE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522CCA8" w14:textId="77777777">
            <w:pPr>
              <w:pStyle w:val="Normal6a"/>
            </w:pPr>
            <w:r w:rsidRPr="00B16DFD">
              <w:t>n)</w:t>
            </w:r>
            <w:r w:rsidRPr="00B16DFD">
              <w:tab/>
              <w:t xml:space="preserve">at vurdere modstandsdygtigheden i Unionens finansielle system samt risici, der opstår som følge af finansielle markedsdeltageres </w:t>
            </w:r>
            <w:r w:rsidRPr="00B16DFD">
              <w:rPr>
                <w:b/>
                <w:i/>
              </w:rPr>
              <w:t>grænseoverskridende</w:t>
            </w:r>
            <w:r w:rsidRPr="00B16DFD">
              <w:t xml:space="preserve"> aktiviteter under myndighedens tilsyn, </w:t>
            </w:r>
            <w:r w:rsidRPr="00B16DFD">
              <w:t>herunder risici som følge af indbyrdes forbundethed, indbyrdes forbindelser eller koncentrationsrisici, når de udfører tilsynsopgaver i overensstemmelse med denne forordning eller andre EU-retsakter.".</w:t>
            </w:r>
          </w:p>
        </w:tc>
        <w:tc>
          <w:tcPr>
            <w:tcW w:w="4876" w:type="dxa"/>
            <w:tcBorders>
              <w:top w:val="nil"/>
              <w:left w:val="nil"/>
              <w:bottom w:val="nil"/>
              <w:right w:val="nil"/>
            </w:tcBorders>
            <w:hideMark/>
          </w:tcPr>
          <w:p w:rsidR="00365C9B" w:rsidRPr="00B16DFD" w:rsidP="00F61C80" w14:paraId="6312275D" w14:textId="77777777">
            <w:pPr>
              <w:pStyle w:val="Normal6a"/>
            </w:pPr>
            <w:r w:rsidRPr="00B16DFD">
              <w:t>n)</w:t>
            </w:r>
            <w:r w:rsidRPr="00B16DFD">
              <w:tab/>
              <w:t xml:space="preserve">at vurdere modstandsdygtigheden i Unionens finansielle system samt risici, der opstår som følge af finansielle markedsdeltageres aktiviteter under myndighedens tilsyn, herunder risici som </w:t>
            </w:r>
            <w:r w:rsidRPr="00B16DFD">
              <w:t>følge af indbyrdes forbundethed, indbyrdes forbindelser eller koncentrationsrisici, når de udfører tilsynsopgaver i overensstemmelse med denne forordning eller andre EU-retsakter.".</w:t>
            </w:r>
          </w:p>
        </w:tc>
      </w:tr>
    </w:tbl>
    <w:p w:rsidR="00365C9B" w:rsidRPr="00B16DFD" w:rsidP="00365C9B" w14:paraId="3AB26267"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6875EE1F"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0F3CF9E6" w14:textId="66698CF7">
      <w:pPr>
        <w:pStyle w:val="AmJustText"/>
      </w:pPr>
      <w:r w:rsidRPr="00B16DFD">
        <w:t>Kortlægningen og vurderingen af risici skal omfatte alle deltagere på</w:t>
      </w:r>
      <w:r w:rsidR="00CB6039">
        <w:t xml:space="preserve"> finansmarked</w:t>
      </w:r>
      <w:r w:rsidR="00242139">
        <w:t>et</w:t>
      </w:r>
      <w:r w:rsidRPr="00B16DFD">
        <w:t xml:space="preserve"> i stedet for specifikt at fokusere på den grænseoverskridende dimension af sådanne aktiviteter. Det er i strid med det indre markeds grundlæggende princip at betragte grænseoverskridende aktiviteter som i sig selv risikable.</w:t>
      </w:r>
    </w:p>
    <w:p w:rsidR="00365C9B" w:rsidRPr="00B16DFD" w:rsidP="00365C9B" w14:paraId="314BAFD7" w14:textId="77777777">
      <w:r w:rsidRPr="00B16DFD">
        <w:rPr>
          <w:rStyle w:val="HideTWBExt"/>
          <w:color w:val="auto"/>
        </w:rPr>
        <w:t>&lt;/Amend&gt;</w:t>
      </w:r>
    </w:p>
    <w:p w:rsidR="00365C9B" w:rsidRPr="00B16DFD" w:rsidP="00365C9B" w14:paraId="6DEF1D3F"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369</w:t>
      </w:r>
      <w:r w:rsidRPr="00B16DFD">
        <w:rPr>
          <w:rStyle w:val="HideTWBExt"/>
          <w:color w:val="auto"/>
        </w:rPr>
        <w:t>&lt;/NumAm&gt;</w:t>
      </w:r>
    </w:p>
    <w:p w:rsidR="00365C9B" w:rsidRPr="00734CAA" w:rsidP="00365C9B" w14:paraId="0941E603" w14:textId="77777777">
      <w:pPr>
        <w:pStyle w:val="NormalBold"/>
        <w:rPr>
          <w:lang w:val="en-GB"/>
        </w:rPr>
      </w:pPr>
      <w:r w:rsidRPr="00734CAA">
        <w:rPr>
          <w:rStyle w:val="HideTWBExt"/>
          <w:b w:val="0"/>
          <w:color w:val="auto"/>
          <w:lang w:val="en-GB"/>
        </w:rPr>
        <w:t>&lt;RepeatBlock-By&gt;&lt;Members&gt;</w:t>
      </w:r>
      <w:r w:rsidRPr="00734CAA">
        <w:rPr>
          <w:lang w:val="en-GB"/>
        </w:rPr>
        <w:t>Gaetano Pedulla'</w:t>
      </w:r>
      <w:r w:rsidRPr="00734CAA">
        <w:rPr>
          <w:rStyle w:val="HideTWBExt"/>
          <w:b w:val="0"/>
          <w:color w:val="auto"/>
          <w:lang w:val="en-GB"/>
        </w:rPr>
        <w:t>&lt;/Members&gt;</w:t>
      </w:r>
    </w:p>
    <w:p w:rsidR="00365C9B" w:rsidRPr="00B16DFD" w:rsidP="00365C9B" w14:paraId="4021B8C3" w14:textId="77777777">
      <w:pPr>
        <w:pStyle w:val="NormalBold"/>
      </w:pPr>
      <w:r w:rsidRPr="00B16DFD">
        <w:rPr>
          <w:rStyle w:val="HideTWBExt"/>
          <w:b w:val="0"/>
          <w:color w:val="auto"/>
        </w:rPr>
        <w:t>&lt;/RepeatBlock-By&gt;</w:t>
      </w:r>
    </w:p>
    <w:p w:rsidR="00365C9B" w:rsidRPr="00B16DFD" w:rsidP="00365C9B" w14:paraId="68B9E91A"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3F308999" w14:textId="77777777">
      <w:pPr>
        <w:pStyle w:val="NormalBold"/>
        <w:rPr>
          <w:lang w:val="fr-FR"/>
        </w:rPr>
      </w:pPr>
      <w:r w:rsidRPr="00734CAA">
        <w:rPr>
          <w:rStyle w:val="HideTWBExt"/>
          <w:color w:val="auto"/>
          <w:lang w:val="fr-FR"/>
        </w:rPr>
        <w:t>&lt;Article&gt;</w:t>
      </w:r>
      <w:r w:rsidRPr="00734CAA">
        <w:rPr>
          <w:lang w:val="fr-FR"/>
        </w:rPr>
        <w:t>Artikel 1 – stk. 1 – nr. 6 – litra a – nr. 6</w:t>
      </w:r>
      <w:r w:rsidRPr="00734CAA">
        <w:rPr>
          <w:rStyle w:val="HideTWBExt"/>
          <w:color w:val="auto"/>
          <w:lang w:val="fr-FR"/>
        </w:rPr>
        <w:t>&lt;/Article&gt;</w:t>
      </w:r>
    </w:p>
    <w:p w:rsidR="00365C9B" w:rsidRPr="00B16DFD" w:rsidP="00365C9B" w14:paraId="441B95CA"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714E2CBD" w14:textId="77777777">
      <w:r w:rsidRPr="00B16DFD">
        <w:rPr>
          <w:rStyle w:val="HideTWBExt"/>
          <w:color w:val="auto"/>
        </w:rPr>
        <w:t>&lt;Article2&gt;</w:t>
      </w:r>
      <w:r w:rsidRPr="00B16DFD">
        <w:t>Artikel 8 – stk. 1 – litra n a (nyt)</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28335"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F173E01" w14:textId="77777777"/>
        </w:tc>
      </w:tr>
      <w:tr w14:paraId="5871F294"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0604FB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9DFC413" w14:textId="77777777">
            <w:pPr>
              <w:pStyle w:val="AmColumnHeading"/>
            </w:pPr>
            <w:r w:rsidRPr="00B16DFD">
              <w:t>Ændringsforslag</w:t>
            </w:r>
          </w:p>
        </w:tc>
      </w:tr>
      <w:tr w14:paraId="2C5EAD5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26740444" w14:textId="77777777">
            <w:pPr>
              <w:pStyle w:val="Normal6a"/>
            </w:pPr>
          </w:p>
        </w:tc>
        <w:tc>
          <w:tcPr>
            <w:tcW w:w="4876" w:type="dxa"/>
            <w:tcBorders>
              <w:top w:val="nil"/>
              <w:left w:val="nil"/>
              <w:bottom w:val="nil"/>
              <w:right w:val="nil"/>
            </w:tcBorders>
            <w:hideMark/>
          </w:tcPr>
          <w:p w:rsidR="00365C9B" w:rsidRPr="00B16DFD" w:rsidP="00F61C80" w14:paraId="4BD458C7" w14:textId="77777777">
            <w:pPr>
              <w:pStyle w:val="Normal6a"/>
            </w:pPr>
            <w:r w:rsidRPr="00B16DFD">
              <w:rPr>
                <w:b/>
                <w:i/>
              </w:rPr>
              <w:t>na)</w:t>
            </w:r>
            <w:r w:rsidRPr="00B16DFD">
              <w:tab/>
            </w:r>
            <w:r w:rsidRPr="00B16DFD">
              <w:rPr>
                <w:b/>
                <w:i/>
              </w:rPr>
              <w:t>at sikre, at afhængigheden af koncerninterne ressourcer, der er tilladt i henhold til direktiv 2009/65/EF og 2011/61/EU, ikke fører til oprettelse af skuffeselskaber eller regelarbitrage. Myndighedens periodiske gennemgange af store grænseoverskridende koncerner skal udtrykkeligt vurdere indvirkningen af delegationskæder og koncernstrukturer, der involverer moderselskaber uden for Unionen, på Unionens tilsynsmæssige synlighed og effektive beslutningskapacitet. Hvis det konstateres, at sådanne ordninger svækker det EU-baserede tilsyn, udsteder myndigheden henstillinger til de relevante kompetente myndigheder for at sikre, at den godkendte enhed bevarer tilstrækkelig egen substans.</w:t>
            </w:r>
          </w:p>
        </w:tc>
      </w:tr>
    </w:tbl>
    <w:p w:rsidR="00365C9B" w:rsidRPr="00734CAA" w:rsidP="00365C9B" w14:paraId="472D0E1E"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683661F" w14:textId="77777777">
      <w:pPr>
        <w:pStyle w:val="AmJustTitle"/>
        <w:rPr>
          <w:lang w:val="en-GB"/>
        </w:rPr>
      </w:pPr>
      <w:r w:rsidRPr="00734CAA">
        <w:rPr>
          <w:rStyle w:val="HideTWBExt"/>
          <w:color w:val="auto"/>
          <w:lang w:val="en-GB"/>
        </w:rPr>
        <w:t>&lt;TitreJust&gt;</w:t>
      </w:r>
      <w:r w:rsidRPr="00734CAA">
        <w:rPr>
          <w:lang w:val="en-GB"/>
        </w:rPr>
        <w:t>Begrundelse</w:t>
      </w:r>
      <w:r w:rsidRPr="00734CAA">
        <w:rPr>
          <w:rStyle w:val="HideTWBExt"/>
          <w:color w:val="auto"/>
          <w:lang w:val="en-GB"/>
        </w:rPr>
        <w:t>&lt;/TitreJust&gt;</w:t>
      </w:r>
    </w:p>
    <w:p w:rsidR="00365C9B" w:rsidRPr="00734CAA" w:rsidP="00365C9B" w14:paraId="19F18935" w14:textId="77777777">
      <w:pPr>
        <w:pStyle w:val="AmJustText"/>
        <w:rPr>
          <w:lang w:val="en-GB"/>
        </w:rPr>
      </w:pPr>
      <w:r w:rsidRPr="00734CAA">
        <w:rPr>
          <w:lang w:val="en-GB"/>
        </w:rPr>
        <w:t>This amendment introduces technical safeguards to ensure that the simplified regime for intra-group resource sharing does not facilitate the creation of letter-box entities or regulatory arbitrage. By requiring ESMA to evaluate the impact of third-country delegation chains and group structures on Union-based oversight, it preserves supervisory visibility and effective decision-making capacity. The provision enables ESMA to issue corrective recommendations to competent authorities when specific arrangements are found to weaken effective oversight, thereby ensuring that authorized entities maintain adequate substance.</w:t>
      </w:r>
    </w:p>
    <w:p w:rsidR="00365C9B" w:rsidRPr="00B16DFD" w:rsidP="00365C9B" w14:paraId="622976D7" w14:textId="77777777">
      <w:r w:rsidRPr="00B16DFD">
        <w:rPr>
          <w:rStyle w:val="HideTWBExt"/>
          <w:color w:val="auto"/>
        </w:rPr>
        <w:t>&lt;/Amend&gt;</w:t>
      </w:r>
    </w:p>
    <w:p w:rsidR="00365C9B" w:rsidRPr="00B16DFD" w:rsidP="00365C9B" w14:paraId="6ECBE76C"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370</w:t>
      </w:r>
      <w:r w:rsidRPr="00B16DFD">
        <w:rPr>
          <w:rStyle w:val="HideTWBExt"/>
          <w:color w:val="auto"/>
        </w:rPr>
        <w:t>&lt;/NumAm&gt;</w:t>
      </w:r>
    </w:p>
    <w:p w:rsidR="00365C9B" w:rsidRPr="00734CAA" w:rsidP="00365C9B" w14:paraId="1F79FBF1" w14:textId="77777777">
      <w:pPr>
        <w:pStyle w:val="NormalBold"/>
        <w:rPr>
          <w:lang w:val="en-GB"/>
        </w:rPr>
      </w:pPr>
      <w:r w:rsidRPr="00734CAA">
        <w:rPr>
          <w:rStyle w:val="HideTWBExt"/>
          <w:b w:val="0"/>
          <w:color w:val="auto"/>
          <w:lang w:val="en-GB"/>
        </w:rPr>
        <w:t>&lt;RepeatBlock-By&gt;&lt;Members&gt;</w:t>
      </w:r>
      <w:r w:rsidRPr="00734CAA">
        <w:rPr>
          <w:lang w:val="en-GB"/>
        </w:rPr>
        <w:t>Sirpa Pietikäinen</w:t>
      </w:r>
      <w:r w:rsidRPr="00734CAA">
        <w:rPr>
          <w:rStyle w:val="HideTWBExt"/>
          <w:b w:val="0"/>
          <w:color w:val="auto"/>
          <w:lang w:val="en-GB"/>
        </w:rPr>
        <w:t>&lt;/Members&gt;</w:t>
      </w:r>
    </w:p>
    <w:p w:rsidR="00365C9B" w:rsidRPr="00B16DFD" w:rsidP="00365C9B" w14:paraId="25C320FF" w14:textId="77777777">
      <w:pPr>
        <w:pStyle w:val="NormalBold"/>
      </w:pPr>
      <w:r w:rsidRPr="00B16DFD">
        <w:rPr>
          <w:rStyle w:val="HideTWBExt"/>
          <w:b w:val="0"/>
          <w:color w:val="auto"/>
        </w:rPr>
        <w:t>&lt;/RepeatBlock-By&gt;</w:t>
      </w:r>
    </w:p>
    <w:p w:rsidR="00365C9B" w:rsidRPr="00B16DFD" w:rsidP="00365C9B" w14:paraId="49D5A550"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2433BD44" w14:textId="77777777">
      <w:pPr>
        <w:pStyle w:val="NormalBold"/>
        <w:rPr>
          <w:lang w:val="fr-FR"/>
        </w:rPr>
      </w:pPr>
      <w:r w:rsidRPr="00734CAA">
        <w:rPr>
          <w:rStyle w:val="HideTWBExt"/>
          <w:color w:val="auto"/>
          <w:lang w:val="fr-FR"/>
        </w:rPr>
        <w:t>&lt;Article&gt;</w:t>
      </w:r>
      <w:r w:rsidRPr="00734CAA">
        <w:rPr>
          <w:lang w:val="fr-FR"/>
        </w:rPr>
        <w:t xml:space="preserve">Artikel 1 – stk. 1 – nr. 6 – litra a </w:t>
      </w:r>
      <w:r w:rsidRPr="00734CAA">
        <w:rPr>
          <w:lang w:val="fr-FR"/>
        </w:rPr>
        <w:t>a</w:t>
      </w:r>
      <w:r w:rsidRPr="00734CAA">
        <w:rPr>
          <w:lang w:val="fr-FR"/>
        </w:rPr>
        <w:t xml:space="preserve"> (nyt)</w:t>
      </w:r>
      <w:r w:rsidRPr="00734CAA">
        <w:rPr>
          <w:rStyle w:val="HideTWBExt"/>
          <w:color w:val="auto"/>
          <w:lang w:val="fr-FR"/>
        </w:rPr>
        <w:t>&lt;/Article&gt;</w:t>
      </w:r>
    </w:p>
    <w:p w:rsidR="00365C9B" w:rsidRPr="00B16DFD" w:rsidP="00365C9B" w14:paraId="6FF08CF4"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7A5C4FC4" w14:textId="77777777">
      <w:r w:rsidRPr="00B16DFD">
        <w:rPr>
          <w:rStyle w:val="HideTWBExt"/>
          <w:color w:val="auto"/>
        </w:rPr>
        <w:t>&lt;Article2&gt;</w:t>
      </w:r>
      <w:r w:rsidRPr="00B16DFD">
        <w:t>Artikel 8 – stk. 1a – litra c a (nyt)</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33DCD5"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26D1E65" w14:textId="77777777"/>
        </w:tc>
      </w:tr>
      <w:tr w14:paraId="26A0D897"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3ABD6E8"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260621D" w14:textId="77777777">
            <w:pPr>
              <w:pStyle w:val="AmColumnHeading"/>
            </w:pPr>
            <w:r w:rsidRPr="00B16DFD">
              <w:t>Ændringsforslag</w:t>
            </w:r>
          </w:p>
        </w:tc>
      </w:tr>
      <w:tr w14:paraId="43B34A87"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3A1DB79" w14:textId="77777777">
            <w:pPr>
              <w:pStyle w:val="Normal6a"/>
            </w:pPr>
          </w:p>
        </w:tc>
        <w:tc>
          <w:tcPr>
            <w:tcW w:w="4876" w:type="dxa"/>
            <w:tcBorders>
              <w:top w:val="nil"/>
              <w:left w:val="nil"/>
              <w:bottom w:val="nil"/>
              <w:right w:val="nil"/>
            </w:tcBorders>
            <w:hideMark/>
          </w:tcPr>
          <w:p w:rsidR="00365C9B" w:rsidRPr="00B16DFD" w:rsidP="00F61C80" w14:paraId="736D506D" w14:textId="77777777">
            <w:pPr>
              <w:pStyle w:val="Normal6a"/>
              <w:rPr>
                <w:b/>
                <w:bCs/>
                <w:i/>
                <w:iCs/>
              </w:rPr>
            </w:pPr>
            <w:r w:rsidRPr="00B16DFD">
              <w:rPr>
                <w:b/>
                <w:i/>
              </w:rPr>
              <w:t>aa)</w:t>
            </w:r>
            <w:r w:rsidRPr="00B16DFD">
              <w:rPr>
                <w:b/>
                <w:i/>
              </w:rPr>
              <w:tab/>
              <w:t>I artikel 8, stk. 1a, tilføjes følgende litra:</w:t>
            </w:r>
          </w:p>
        </w:tc>
      </w:tr>
      <w:tr w14:paraId="11F1C0B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03EEA4B" w14:textId="77777777">
            <w:pPr>
              <w:pStyle w:val="Normal6a"/>
            </w:pPr>
          </w:p>
        </w:tc>
        <w:tc>
          <w:tcPr>
            <w:tcW w:w="4876" w:type="dxa"/>
            <w:tcBorders>
              <w:top w:val="nil"/>
              <w:left w:val="nil"/>
              <w:bottom w:val="nil"/>
              <w:right w:val="nil"/>
            </w:tcBorders>
            <w:hideMark/>
          </w:tcPr>
          <w:p w:rsidR="00365C9B" w:rsidRPr="00B16DFD" w:rsidP="00F61C80" w14:paraId="18AF2381" w14:textId="77777777">
            <w:pPr>
              <w:pStyle w:val="Normal6a"/>
            </w:pPr>
            <w:r w:rsidRPr="00B16DFD">
              <w:rPr>
                <w:b/>
                <w:i/>
              </w:rPr>
              <w:t>"ca) hvis finansielle markedsdeltagere opererer som en koncern som defineret i artikel 2, nr. 34), i direktiv 2014/65/EU, afspejles dette behørigt i tilsynet."</w:t>
            </w:r>
          </w:p>
        </w:tc>
      </w:tr>
    </w:tbl>
    <w:p w:rsidR="00365C9B" w:rsidRPr="00734CAA" w:rsidP="00365C9B" w14:paraId="0279FBF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CC37538" w14:textId="77777777">
      <w:pPr>
        <w:rPr>
          <w:lang w:val="en-GB"/>
        </w:rPr>
      </w:pPr>
      <w:r w:rsidRPr="00734CAA">
        <w:rPr>
          <w:rStyle w:val="HideTWBExt"/>
          <w:color w:val="auto"/>
          <w:lang w:val="en-GB"/>
        </w:rPr>
        <w:t>&lt;/Amend&gt;</w:t>
      </w:r>
    </w:p>
    <w:p w:rsidR="00365C9B" w:rsidRPr="00734CAA" w:rsidP="00365C9B" w14:paraId="2BA6AADF"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371</w:t>
      </w:r>
      <w:r w:rsidRPr="00734CAA">
        <w:rPr>
          <w:rStyle w:val="HideTWBExt"/>
          <w:color w:val="auto"/>
          <w:lang w:val="en-GB"/>
        </w:rPr>
        <w:t>&lt;/NumAm&gt;</w:t>
      </w:r>
    </w:p>
    <w:p w:rsidR="00365C9B" w:rsidRPr="00734CAA" w:rsidP="00365C9B" w14:paraId="33F602BB" w14:textId="77777777">
      <w:pPr>
        <w:pStyle w:val="NormalBold"/>
        <w:rPr>
          <w:lang w:val="en-GB"/>
        </w:rPr>
      </w:pPr>
      <w:r w:rsidRPr="00734CAA">
        <w:rPr>
          <w:rStyle w:val="HideTWBExt"/>
          <w:b w:val="0"/>
          <w:color w:val="auto"/>
          <w:lang w:val="en-GB"/>
        </w:rPr>
        <w:t>&lt;RepeatBlock-By&gt;&lt;Members&gt;</w:t>
      </w:r>
      <w:r w:rsidRPr="00734CAA">
        <w:rPr>
          <w:lang w:val="en-GB"/>
        </w:rPr>
        <w:t>Regina Doherty</w:t>
      </w:r>
      <w:r w:rsidRPr="00734CAA">
        <w:rPr>
          <w:rStyle w:val="HideTWBExt"/>
          <w:b w:val="0"/>
          <w:color w:val="auto"/>
          <w:lang w:val="en-GB"/>
        </w:rPr>
        <w:t>&lt;/Members&gt;</w:t>
      </w:r>
    </w:p>
    <w:p w:rsidR="00365C9B" w:rsidRPr="00B16DFD" w:rsidP="00365C9B" w14:paraId="7FD391FA" w14:textId="77777777">
      <w:pPr>
        <w:pStyle w:val="NormalBold"/>
      </w:pPr>
      <w:r w:rsidRPr="00B16DFD">
        <w:rPr>
          <w:rStyle w:val="HideTWBExt"/>
          <w:b w:val="0"/>
          <w:color w:val="auto"/>
        </w:rPr>
        <w:t>&lt;/RepeatBlock-By&gt;</w:t>
      </w:r>
    </w:p>
    <w:p w:rsidR="00365C9B" w:rsidRPr="00B16DFD" w:rsidP="00365C9B" w14:paraId="7294200C"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379E72DB" w14:textId="77777777">
      <w:pPr>
        <w:pStyle w:val="NormalBold"/>
        <w:rPr>
          <w:lang w:val="fr-FR"/>
        </w:rPr>
      </w:pPr>
      <w:r w:rsidRPr="00734CAA">
        <w:rPr>
          <w:rStyle w:val="HideTWBExt"/>
          <w:color w:val="auto"/>
          <w:lang w:val="fr-FR"/>
        </w:rPr>
        <w:t>&lt;Article&gt;</w:t>
      </w:r>
      <w:r w:rsidRPr="00734CAA">
        <w:rPr>
          <w:lang w:val="fr-FR"/>
        </w:rPr>
        <w:t xml:space="preserve">Artikel 1 – stk. 1 – nr. 6 – litra a </w:t>
      </w:r>
      <w:r w:rsidRPr="00734CAA">
        <w:rPr>
          <w:lang w:val="fr-FR"/>
        </w:rPr>
        <w:t>a</w:t>
      </w:r>
      <w:r w:rsidRPr="00734CAA">
        <w:rPr>
          <w:lang w:val="fr-FR"/>
        </w:rPr>
        <w:t xml:space="preserve"> (nyt)</w:t>
      </w:r>
      <w:r w:rsidRPr="00734CAA">
        <w:rPr>
          <w:rStyle w:val="HideTWBExt"/>
          <w:color w:val="auto"/>
          <w:lang w:val="fr-FR"/>
        </w:rPr>
        <w:t>&lt;/Article&gt;</w:t>
      </w:r>
    </w:p>
    <w:p w:rsidR="00365C9B" w:rsidRPr="00B16DFD" w:rsidP="00365C9B" w14:paraId="54A91732"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75EBB89F" w14:textId="77777777">
      <w:r w:rsidRPr="00B16DFD">
        <w:rPr>
          <w:rStyle w:val="HideTWBExt"/>
          <w:color w:val="auto"/>
        </w:rPr>
        <w:t>&lt;Article2&gt;</w:t>
      </w:r>
      <w:r w:rsidRPr="00B16DFD">
        <w:t>Artikel 8 – stk. 1a – litra c a (nyt)</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6BDB8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F169555" w14:textId="77777777"/>
        </w:tc>
      </w:tr>
      <w:tr w14:paraId="333BBD02"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4D1E1C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2CF3BF4" w14:textId="77777777">
            <w:pPr>
              <w:pStyle w:val="AmColumnHeading"/>
            </w:pPr>
            <w:r w:rsidRPr="00B16DFD">
              <w:t>Ændringsforslag</w:t>
            </w:r>
          </w:p>
        </w:tc>
      </w:tr>
      <w:tr w14:paraId="375A85F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15CEC681" w14:textId="77777777">
            <w:pPr>
              <w:pStyle w:val="Normal6a"/>
            </w:pPr>
          </w:p>
        </w:tc>
        <w:tc>
          <w:tcPr>
            <w:tcW w:w="4876" w:type="dxa"/>
            <w:tcBorders>
              <w:top w:val="nil"/>
              <w:left w:val="nil"/>
              <w:bottom w:val="nil"/>
              <w:right w:val="nil"/>
            </w:tcBorders>
            <w:hideMark/>
          </w:tcPr>
          <w:p w:rsidR="00365C9B" w:rsidRPr="00B16DFD" w:rsidP="00F61C80" w14:paraId="38A1EEFF" w14:textId="77777777">
            <w:pPr>
              <w:pStyle w:val="Normal6a"/>
            </w:pPr>
            <w:r w:rsidRPr="00B16DFD">
              <w:rPr>
                <w:b/>
                <w:i/>
              </w:rPr>
              <w:t>aa)</w:t>
            </w:r>
            <w:r w:rsidRPr="00B16DFD">
              <w:rPr>
                <w:b/>
                <w:i/>
              </w:rPr>
              <w:tab/>
              <w:t>I artikel 8, stk. 1a, tilføjes følgende litra:</w:t>
            </w:r>
          </w:p>
        </w:tc>
      </w:tr>
      <w:tr w14:paraId="1B78FA9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26D1A8E6" w14:textId="77777777">
            <w:pPr>
              <w:pStyle w:val="Normal6a"/>
            </w:pPr>
          </w:p>
        </w:tc>
        <w:tc>
          <w:tcPr>
            <w:tcW w:w="4876" w:type="dxa"/>
            <w:tcBorders>
              <w:top w:val="nil"/>
              <w:left w:val="nil"/>
              <w:bottom w:val="nil"/>
              <w:right w:val="nil"/>
            </w:tcBorders>
            <w:hideMark/>
          </w:tcPr>
          <w:p w:rsidR="00365C9B" w:rsidRPr="00B16DFD" w:rsidP="00F61C80" w14:paraId="54494F6D" w14:textId="77777777">
            <w:pPr>
              <w:pStyle w:val="Normal6a"/>
            </w:pPr>
            <w:r w:rsidRPr="00B16DFD">
              <w:rPr>
                <w:b/>
                <w:i/>
              </w:rPr>
              <w:t xml:space="preserve">"ca) hvis finansielle markedsdeltagere opererer som en koncern som defineret i artikel 2, nr. 34), i direktiv 2014/65/EU, </w:t>
            </w:r>
            <w:r w:rsidRPr="00B16DFD">
              <w:rPr>
                <w:b/>
                <w:i/>
              </w:rPr>
              <w:t>afspejles dette behørigt i tilsynet."</w:t>
            </w:r>
          </w:p>
        </w:tc>
      </w:tr>
    </w:tbl>
    <w:p w:rsidR="00365C9B" w:rsidRPr="00734CAA" w:rsidP="00365C9B" w14:paraId="0B314AB8"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D0C379A" w14:textId="77777777">
      <w:pPr>
        <w:rPr>
          <w:lang w:val="en-GB"/>
        </w:rPr>
      </w:pPr>
      <w:r w:rsidRPr="00734CAA">
        <w:rPr>
          <w:rStyle w:val="HideTWBExt"/>
          <w:color w:val="auto"/>
          <w:lang w:val="en-GB"/>
        </w:rPr>
        <w:t>&lt;/Amend&gt;</w:t>
      </w:r>
    </w:p>
    <w:p w:rsidR="00365C9B" w:rsidRPr="00734CAA" w:rsidP="00365C9B" w14:paraId="7E12CF82"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372</w:t>
      </w:r>
      <w:r w:rsidRPr="00734CAA">
        <w:rPr>
          <w:rStyle w:val="HideTWBExt"/>
          <w:color w:val="auto"/>
          <w:lang w:val="en-GB"/>
        </w:rPr>
        <w:t>&lt;/NumAm&gt;</w:t>
      </w:r>
    </w:p>
    <w:p w:rsidR="00365C9B" w:rsidRPr="00734CAA" w:rsidP="00365C9B" w14:paraId="32AF9B53" w14:textId="77777777">
      <w:pPr>
        <w:pStyle w:val="NormalBold"/>
        <w:rPr>
          <w:lang w:val="en-GB"/>
        </w:rPr>
      </w:pPr>
      <w:r w:rsidRPr="00734CAA">
        <w:rPr>
          <w:rStyle w:val="HideTWBExt"/>
          <w:b w:val="0"/>
          <w:color w:val="auto"/>
          <w:lang w:val="en-GB"/>
        </w:rPr>
        <w:t>&lt;RepeatBlock-By&gt;&lt;Members&gt;</w:t>
      </w:r>
      <w:r w:rsidRPr="00734CAA">
        <w:rPr>
          <w:lang w:val="en-GB"/>
        </w:rPr>
        <w:t>Martine Kemp</w:t>
      </w:r>
      <w:r w:rsidRPr="00734CAA">
        <w:rPr>
          <w:rStyle w:val="HideTWBExt"/>
          <w:b w:val="0"/>
          <w:color w:val="auto"/>
          <w:lang w:val="en-GB"/>
        </w:rPr>
        <w:t>&lt;/Members&gt;</w:t>
      </w:r>
    </w:p>
    <w:p w:rsidR="00365C9B" w:rsidRPr="00734CAA" w:rsidP="00365C9B" w14:paraId="15E6849D" w14:textId="77777777">
      <w:pPr>
        <w:pStyle w:val="NormalBold"/>
        <w:rPr>
          <w:lang w:val="en-GB"/>
        </w:rPr>
      </w:pPr>
      <w:r w:rsidRPr="00734CAA">
        <w:rPr>
          <w:rStyle w:val="HideTWBExt"/>
          <w:b w:val="0"/>
          <w:color w:val="auto"/>
          <w:lang w:val="en-GB"/>
        </w:rPr>
        <w:t>&lt;/RepeatBlock-By&gt;</w:t>
      </w:r>
    </w:p>
    <w:p w:rsidR="00365C9B" w:rsidRPr="00B16DFD" w:rsidP="00365C9B" w14:paraId="477A3D1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3787B00B" w14:textId="77777777">
      <w:pPr>
        <w:pStyle w:val="NormalBold"/>
        <w:rPr>
          <w:lang w:val="fr-FR"/>
        </w:rPr>
      </w:pPr>
      <w:r w:rsidRPr="00734CAA">
        <w:rPr>
          <w:rStyle w:val="HideTWBExt"/>
          <w:color w:val="auto"/>
          <w:lang w:val="fr-FR"/>
        </w:rPr>
        <w:t>&lt;Article&gt;</w:t>
      </w:r>
      <w:r w:rsidRPr="00734CAA">
        <w:rPr>
          <w:lang w:val="fr-FR"/>
        </w:rPr>
        <w:t>Artikel 1 – stk. 1 – nr. 6 – litra b – nr. 2</w:t>
      </w:r>
      <w:r w:rsidRPr="00734CAA">
        <w:rPr>
          <w:rStyle w:val="HideTWBExt"/>
          <w:color w:val="auto"/>
          <w:lang w:val="fr-FR"/>
        </w:rPr>
        <w:t>&lt;/Article&gt;</w:t>
      </w:r>
    </w:p>
    <w:p w:rsidR="00365C9B" w:rsidRPr="00B16DFD" w:rsidP="00365C9B" w14:paraId="6B797168"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2D0093B3" w14:textId="77777777">
      <w:r w:rsidRPr="00B16DFD">
        <w:rPr>
          <w:rStyle w:val="HideTWBExt"/>
          <w:color w:val="auto"/>
        </w:rPr>
        <w:t>&lt;Article2&gt;</w:t>
      </w:r>
      <w:r w:rsidRPr="00B16DFD">
        <w:t>Artikel 8 – stk. 2 – litra f</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930EE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A2F09AE" w14:textId="77777777"/>
        </w:tc>
      </w:tr>
      <w:tr w14:paraId="170F6EC2"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9AFCB0D"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80D735C" w14:textId="77777777">
            <w:pPr>
              <w:pStyle w:val="AmColumnHeading"/>
            </w:pPr>
            <w:r w:rsidRPr="00B16DFD">
              <w:t>Ændringsforslag</w:t>
            </w:r>
          </w:p>
        </w:tc>
      </w:tr>
      <w:tr w14:paraId="539A731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618D641" w14:textId="2E626F87">
            <w:pPr>
              <w:pStyle w:val="Normal6a"/>
            </w:pPr>
            <w:r w:rsidRPr="00B16DFD">
              <w:t>f)</w:t>
            </w:r>
            <w:r w:rsidRPr="00B16DFD">
              <w:tab/>
              <w:t>at træffe individuelle afgørelser rettet til deltagere på</w:t>
            </w:r>
            <w:r w:rsidR="00CB6039">
              <w:t xml:space="preserve"> finansmarked</w:t>
            </w:r>
            <w:r w:rsidR="00242139">
              <w:t>et</w:t>
            </w:r>
            <w:r w:rsidRPr="00B16DFD">
              <w:t xml:space="preserve"> i de specifikke tilfælde, der er omhandlet i artikel 17, stk. 6, </w:t>
            </w:r>
            <w:r w:rsidRPr="00B16DFD">
              <w:rPr>
                <w:b/>
                <w:i/>
              </w:rPr>
              <w:t>artikel 17aaa,</w:t>
            </w:r>
            <w:r w:rsidRPr="00B16DFD">
              <w:t xml:space="preserve"> artikel 18, stk. 4, og artikel 19, stk. 4".</w:t>
            </w:r>
          </w:p>
        </w:tc>
        <w:tc>
          <w:tcPr>
            <w:tcW w:w="4876" w:type="dxa"/>
            <w:tcBorders>
              <w:top w:val="nil"/>
              <w:left w:val="nil"/>
              <w:bottom w:val="nil"/>
              <w:right w:val="nil"/>
            </w:tcBorders>
            <w:hideMark/>
          </w:tcPr>
          <w:p w:rsidR="00365C9B" w:rsidRPr="00B16DFD" w:rsidP="00F61C80" w14:paraId="41E043EB" w14:textId="46D7613D">
            <w:pPr>
              <w:pStyle w:val="Normal6a"/>
            </w:pPr>
            <w:r w:rsidRPr="00B16DFD">
              <w:t>f)</w:t>
            </w:r>
            <w:r w:rsidRPr="00B16DFD">
              <w:tab/>
              <w:t>at træffe individuelle afgørelser rettet til deltagere på</w:t>
            </w:r>
            <w:r w:rsidR="00CB6039">
              <w:t xml:space="preserve"> finansmarked</w:t>
            </w:r>
            <w:r w:rsidR="00242139">
              <w:t>et</w:t>
            </w:r>
            <w:r w:rsidRPr="00B16DFD">
              <w:t xml:space="preserve"> i de specifikke tilfælde, der er omhandlet i artikel 17, stk. 6, artikel 18, stk. 4, og artikel 19, stk. 4".</w:t>
            </w:r>
          </w:p>
        </w:tc>
      </w:tr>
    </w:tbl>
    <w:p w:rsidR="00365C9B" w:rsidRPr="00B16DFD" w:rsidP="00365C9B" w14:paraId="673D7E89"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3D2C376B"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6456E20E" w14:textId="77777777">
      <w:pPr>
        <w:pStyle w:val="AmJustText"/>
      </w:pPr>
      <w:r w:rsidRPr="00B16DFD">
        <w:t>Dette er en logisk konsekvens af at slette artikel 17aaa.</w:t>
      </w:r>
    </w:p>
    <w:p w:rsidR="00365C9B" w:rsidRPr="00B16DFD" w:rsidP="00365C9B" w14:paraId="742B1949" w14:textId="77777777">
      <w:r w:rsidRPr="00B16DFD">
        <w:rPr>
          <w:rStyle w:val="HideTWBExt"/>
          <w:color w:val="auto"/>
        </w:rPr>
        <w:t>&lt;/Amend&gt;</w:t>
      </w:r>
    </w:p>
    <w:p w:rsidR="00365C9B" w:rsidRPr="00B16DFD" w:rsidP="00365C9B" w14:paraId="13B2750B"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373</w:t>
      </w:r>
      <w:r w:rsidRPr="00B16DFD">
        <w:rPr>
          <w:rStyle w:val="HideTWBExt"/>
          <w:color w:val="auto"/>
        </w:rPr>
        <w:t>&lt;/NumAm&gt;</w:t>
      </w:r>
    </w:p>
    <w:p w:rsidR="00365C9B" w:rsidRPr="00734CAA" w:rsidP="00365C9B" w14:paraId="4040EFE7" w14:textId="77777777">
      <w:pPr>
        <w:pStyle w:val="NormalBold"/>
        <w:rPr>
          <w:lang w:val="en-GB"/>
        </w:rPr>
      </w:pPr>
      <w:r w:rsidRPr="00734CAA">
        <w:rPr>
          <w:rStyle w:val="HideTWBExt"/>
          <w:b w:val="0"/>
          <w:color w:val="auto"/>
          <w:lang w:val="en-GB"/>
        </w:rPr>
        <w:t>&lt;RepeatBlock-By&gt;&lt;Members&gt;</w:t>
      </w:r>
      <w:r w:rsidRPr="00734CAA">
        <w:rPr>
          <w:lang w:val="en-GB"/>
        </w:rPr>
        <w:t>Fernando Navarrete Rojas, Isabel Benjumea Benjumea</w:t>
      </w:r>
      <w:r w:rsidRPr="00734CAA">
        <w:rPr>
          <w:rStyle w:val="HideTWBExt"/>
          <w:b w:val="0"/>
          <w:color w:val="auto"/>
          <w:lang w:val="en-GB"/>
        </w:rPr>
        <w:t>&lt;/Members&gt;</w:t>
      </w:r>
    </w:p>
    <w:p w:rsidR="00365C9B" w:rsidRPr="00B16DFD" w:rsidP="00365C9B" w14:paraId="164040A5" w14:textId="77777777">
      <w:pPr>
        <w:pStyle w:val="NormalBold"/>
      </w:pPr>
      <w:r w:rsidRPr="00B16DFD">
        <w:rPr>
          <w:rStyle w:val="HideTWBExt"/>
          <w:b w:val="0"/>
          <w:color w:val="auto"/>
        </w:rPr>
        <w:t>&lt;/RepeatBlock-By&gt;</w:t>
      </w:r>
    </w:p>
    <w:p w:rsidR="00365C9B" w:rsidRPr="00B16DFD" w:rsidP="00365C9B" w14:paraId="39FCB79C"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2F1CA1F5" w14:textId="77777777">
      <w:pPr>
        <w:pStyle w:val="NormalBold"/>
        <w:rPr>
          <w:lang w:val="fr-FR"/>
        </w:rPr>
      </w:pPr>
      <w:r w:rsidRPr="00734CAA">
        <w:rPr>
          <w:rStyle w:val="HideTWBExt"/>
          <w:color w:val="auto"/>
          <w:lang w:val="fr-FR"/>
        </w:rPr>
        <w:t>&lt;Article&gt;</w:t>
      </w:r>
      <w:r w:rsidRPr="00734CAA">
        <w:rPr>
          <w:lang w:val="fr-FR"/>
        </w:rPr>
        <w:t>Artikel 1 – stk. 1 – nr. 6 – litra b – nr. 2</w:t>
      </w:r>
      <w:r w:rsidRPr="00734CAA">
        <w:rPr>
          <w:rStyle w:val="HideTWBExt"/>
          <w:color w:val="auto"/>
          <w:lang w:val="fr-FR"/>
        </w:rPr>
        <w:t>&lt;/Article&gt;</w:t>
      </w:r>
    </w:p>
    <w:p w:rsidR="00365C9B" w:rsidRPr="00B16DFD" w:rsidP="00365C9B" w14:paraId="787DF603"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1353D245" w14:textId="77777777">
      <w:r w:rsidRPr="00B16DFD">
        <w:rPr>
          <w:rStyle w:val="HideTWBExt"/>
          <w:color w:val="auto"/>
        </w:rPr>
        <w:t>&lt;Article2&gt;</w:t>
      </w:r>
      <w:r w:rsidRPr="00B16DFD">
        <w:t>Artikel 8 – stk. 2 – litra f</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B0A057"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1B65A3D" w14:textId="77777777"/>
        </w:tc>
      </w:tr>
      <w:tr w14:paraId="48D3313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203FCB3"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E0249BA" w14:textId="77777777">
            <w:pPr>
              <w:pStyle w:val="AmColumnHeading"/>
            </w:pPr>
            <w:r w:rsidRPr="00B16DFD">
              <w:t>Ændringsforslag</w:t>
            </w:r>
          </w:p>
        </w:tc>
      </w:tr>
      <w:tr w14:paraId="632357F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9142A93" w14:textId="388728E0">
            <w:pPr>
              <w:pStyle w:val="Normal6a"/>
            </w:pPr>
            <w:r w:rsidRPr="00B16DFD">
              <w:t>f)</w:t>
            </w:r>
            <w:r w:rsidRPr="00B16DFD">
              <w:tab/>
              <w:t>at træffe individuelle afgørelser rettet til deltagere på</w:t>
            </w:r>
            <w:r w:rsidR="00CB6039">
              <w:t xml:space="preserve"> finansmarked</w:t>
            </w:r>
            <w:r w:rsidR="00242139">
              <w:t>et</w:t>
            </w:r>
            <w:r w:rsidRPr="00B16DFD">
              <w:t xml:space="preserve"> i de specifikke tilfælde, der er omhandlet i artikel 17, stk. 6, </w:t>
            </w:r>
            <w:r w:rsidRPr="00B16DFD">
              <w:rPr>
                <w:b/>
                <w:i/>
              </w:rPr>
              <w:t>artikel 17aaa,</w:t>
            </w:r>
            <w:r w:rsidRPr="00B16DFD">
              <w:t xml:space="preserve"> artikel 18, stk. 4, og artikel 19, stk. 4".</w:t>
            </w:r>
          </w:p>
        </w:tc>
        <w:tc>
          <w:tcPr>
            <w:tcW w:w="4876" w:type="dxa"/>
            <w:tcBorders>
              <w:top w:val="nil"/>
              <w:left w:val="nil"/>
              <w:bottom w:val="nil"/>
              <w:right w:val="nil"/>
            </w:tcBorders>
            <w:hideMark/>
          </w:tcPr>
          <w:p w:rsidR="00365C9B" w:rsidRPr="00B16DFD" w:rsidP="00F61C80" w14:paraId="45B2458F" w14:textId="62C207E8">
            <w:pPr>
              <w:pStyle w:val="Normal6a"/>
            </w:pPr>
            <w:r w:rsidRPr="00B16DFD">
              <w:t>f)</w:t>
            </w:r>
            <w:r w:rsidRPr="00B16DFD">
              <w:tab/>
              <w:t>at træffe individuelle afgørelser rettet til deltagere på</w:t>
            </w:r>
            <w:r w:rsidR="00CB6039">
              <w:t xml:space="preserve"> finansmarked</w:t>
            </w:r>
            <w:r w:rsidR="00242139">
              <w:t>et</w:t>
            </w:r>
            <w:r w:rsidRPr="00B16DFD">
              <w:t xml:space="preserve"> i de specifikke tilfælde, der er omhandlet i artikel 17, stk. 6, artikel 18, stk. 4, og artikel 19, stk. 4".</w:t>
            </w:r>
          </w:p>
        </w:tc>
      </w:tr>
    </w:tbl>
    <w:p w:rsidR="00365C9B" w:rsidRPr="00734CAA" w:rsidP="00365C9B" w14:paraId="5DF2707A"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8D1D8AE" w14:textId="77777777">
      <w:pPr>
        <w:rPr>
          <w:lang w:val="en-GB"/>
        </w:rPr>
      </w:pPr>
      <w:r w:rsidRPr="00734CAA">
        <w:rPr>
          <w:rStyle w:val="HideTWBExt"/>
          <w:color w:val="auto"/>
          <w:lang w:val="en-GB"/>
        </w:rPr>
        <w:t>&lt;/Amend&gt;</w:t>
      </w:r>
    </w:p>
    <w:p w:rsidR="00365C9B" w:rsidRPr="00734CAA" w:rsidP="00365C9B" w14:paraId="1866F035"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374</w:t>
      </w:r>
      <w:r w:rsidRPr="00734CAA">
        <w:rPr>
          <w:rStyle w:val="HideTWBExt"/>
          <w:color w:val="auto"/>
          <w:lang w:val="en-GB"/>
        </w:rPr>
        <w:t>&lt;/NumAm&gt;</w:t>
      </w:r>
    </w:p>
    <w:p w:rsidR="00365C9B" w:rsidRPr="00734CAA" w:rsidP="00365C9B" w14:paraId="4019D986"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3ABAD354" w14:textId="77777777">
      <w:pPr>
        <w:pStyle w:val="NormalBold"/>
      </w:pPr>
      <w:r w:rsidRPr="00B16DFD">
        <w:rPr>
          <w:rStyle w:val="HideTWBExt"/>
          <w:b w:val="0"/>
          <w:color w:val="auto"/>
        </w:rPr>
        <w:t>&lt;/RepeatBlock-By&gt;</w:t>
      </w:r>
    </w:p>
    <w:p w:rsidR="00365C9B" w:rsidRPr="00B16DFD" w:rsidP="00365C9B" w14:paraId="2C4A1BB4"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3215883B" w14:textId="77777777">
      <w:pPr>
        <w:pStyle w:val="NormalBold"/>
        <w:rPr>
          <w:lang w:val="fr-FR"/>
        </w:rPr>
      </w:pPr>
      <w:r w:rsidRPr="00734CAA">
        <w:rPr>
          <w:rStyle w:val="HideTWBExt"/>
          <w:color w:val="auto"/>
          <w:lang w:val="fr-FR"/>
        </w:rPr>
        <w:t>&lt;Article&gt;</w:t>
      </w:r>
      <w:r w:rsidRPr="00734CAA">
        <w:rPr>
          <w:lang w:val="fr-FR"/>
        </w:rPr>
        <w:t>Artikel 1 – stk. 1 – nr. 6 – litra b – nr. 3</w:t>
      </w:r>
      <w:r w:rsidRPr="00734CAA">
        <w:rPr>
          <w:rStyle w:val="HideTWBExt"/>
          <w:color w:val="auto"/>
          <w:lang w:val="fr-FR"/>
        </w:rPr>
        <w:t>&lt;/Article&gt;</w:t>
      </w:r>
    </w:p>
    <w:p w:rsidR="00365C9B" w:rsidRPr="00B16DFD" w:rsidP="00365C9B" w14:paraId="7F180FFA"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5929F423" w14:textId="77777777">
      <w:r w:rsidRPr="00B16DFD">
        <w:rPr>
          <w:rStyle w:val="HideTWBExt"/>
          <w:color w:val="auto"/>
        </w:rPr>
        <w:t>&lt;Article2&gt;</w:t>
      </w:r>
      <w:r w:rsidRPr="00B16DFD">
        <w:t>Artikel 8 – stk. 2 – litra ga</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55091"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987C88B" w14:textId="77777777"/>
        </w:tc>
      </w:tr>
      <w:tr w14:paraId="0248FBAC"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7909CE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1DEFAD2" w14:textId="77777777">
            <w:pPr>
              <w:pStyle w:val="AmColumnHeading"/>
            </w:pPr>
            <w:r w:rsidRPr="00B16DFD">
              <w:t>Ændringsforslag</w:t>
            </w:r>
          </w:p>
        </w:tc>
      </w:tr>
      <w:tr w14:paraId="640EA1C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4EB9D7F" w14:textId="77777777">
            <w:pPr>
              <w:pStyle w:val="Normal6a"/>
            </w:pPr>
            <w:r w:rsidRPr="00B16DFD">
              <w:t>3)</w:t>
            </w:r>
            <w:r w:rsidRPr="00B16DFD">
              <w:tab/>
            </w:r>
            <w:r w:rsidRPr="00B16DFD">
              <w:rPr>
                <w:b/>
                <w:i/>
              </w:rPr>
              <w:t>Litra ga) udgår.</w:t>
            </w:r>
          </w:p>
        </w:tc>
        <w:tc>
          <w:tcPr>
            <w:tcW w:w="4876" w:type="dxa"/>
            <w:tcBorders>
              <w:top w:val="nil"/>
              <w:left w:val="nil"/>
              <w:bottom w:val="nil"/>
              <w:right w:val="nil"/>
            </w:tcBorders>
            <w:hideMark/>
          </w:tcPr>
          <w:p w:rsidR="00365C9B" w:rsidRPr="00B16DFD" w:rsidP="00F61C80" w14:paraId="1E05EAD5" w14:textId="77777777">
            <w:pPr>
              <w:pStyle w:val="Normal6a"/>
            </w:pPr>
            <w:r w:rsidRPr="00B16DFD">
              <w:t>3)</w:t>
            </w:r>
            <w:r w:rsidRPr="00B16DFD">
              <w:tab/>
            </w:r>
            <w:r w:rsidRPr="00B16DFD">
              <w:rPr>
                <w:b/>
                <w:bCs/>
                <w:i/>
                <w:iCs/>
              </w:rPr>
              <w:t>udgår</w:t>
            </w:r>
          </w:p>
        </w:tc>
      </w:tr>
    </w:tbl>
    <w:p w:rsidR="00365C9B" w:rsidRPr="00B16DFD" w:rsidP="00365C9B" w14:paraId="206041AE"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27C47E83" w14:textId="77777777">
      <w:r w:rsidRPr="00B16DFD">
        <w:rPr>
          <w:rStyle w:val="HideTWBExt"/>
          <w:color w:val="auto"/>
        </w:rPr>
        <w:t>&lt;/Amend&gt;</w:t>
      </w:r>
    </w:p>
    <w:p w:rsidR="00365C9B" w:rsidRPr="00B16DFD" w:rsidP="00365C9B" w14:paraId="39488728"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375</w:t>
      </w:r>
      <w:r w:rsidRPr="00B16DFD">
        <w:rPr>
          <w:rStyle w:val="HideTWBExt"/>
          <w:color w:val="auto"/>
        </w:rPr>
        <w:t>&lt;/NumAm&gt;</w:t>
      </w:r>
    </w:p>
    <w:p w:rsidR="00365C9B" w:rsidRPr="00B16DFD" w:rsidP="00365C9B" w14:paraId="2E75DFDA" w14:textId="77777777">
      <w:pPr>
        <w:pStyle w:val="NormalBold"/>
      </w:pPr>
      <w:r w:rsidRPr="00B16DFD">
        <w:rPr>
          <w:rStyle w:val="HideTWBExt"/>
          <w:b w:val="0"/>
          <w:color w:val="auto"/>
        </w:rPr>
        <w:t>&lt;RepeatBlock-By&gt;&lt;Members&gt;</w:t>
      </w:r>
      <w:r w:rsidRPr="00B16DFD">
        <w:t>Eero Heinäluoma, Francisco Assis, Jonás Fernández, César Luena, Evelyn Regner, Aurore Lalucq, Nikos Papandreou, Claire Fita</w:t>
      </w:r>
      <w:r w:rsidRPr="00B16DFD">
        <w:rPr>
          <w:rStyle w:val="HideTWBExt"/>
          <w:b w:val="0"/>
          <w:color w:val="auto"/>
        </w:rPr>
        <w:t>&lt;/Members&gt;</w:t>
      </w:r>
    </w:p>
    <w:p w:rsidR="00365C9B" w:rsidRPr="00B16DFD" w:rsidP="00365C9B" w14:paraId="7B196B42" w14:textId="77777777">
      <w:pPr>
        <w:pStyle w:val="NormalBold"/>
      </w:pPr>
      <w:r w:rsidRPr="00B16DFD">
        <w:rPr>
          <w:rStyle w:val="HideTWBExt"/>
          <w:b w:val="0"/>
          <w:color w:val="auto"/>
        </w:rPr>
        <w:t>&lt;/RepeatBlock-By&gt;</w:t>
      </w:r>
    </w:p>
    <w:p w:rsidR="00365C9B" w:rsidRPr="00B16DFD" w:rsidP="00365C9B" w14:paraId="1934C49B"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18672B14" w14:textId="77777777">
      <w:pPr>
        <w:pStyle w:val="NormalBold"/>
        <w:rPr>
          <w:lang w:val="fr-FR"/>
        </w:rPr>
      </w:pPr>
      <w:r w:rsidRPr="00734CAA">
        <w:rPr>
          <w:rStyle w:val="HideTWBExt"/>
          <w:color w:val="auto"/>
          <w:lang w:val="fr-FR"/>
        </w:rPr>
        <w:t>&lt;Article&gt;</w:t>
      </w:r>
      <w:r w:rsidRPr="00734CAA">
        <w:rPr>
          <w:lang w:val="fr-FR"/>
        </w:rPr>
        <w:t>Artikel 1 – stk. 1 – nr. 6 – litra b – nr. 4</w:t>
      </w:r>
      <w:r w:rsidRPr="00734CAA">
        <w:rPr>
          <w:rStyle w:val="HideTWBExt"/>
          <w:color w:val="auto"/>
          <w:lang w:val="fr-FR"/>
        </w:rPr>
        <w:t>&lt;/Article&gt;</w:t>
      </w:r>
    </w:p>
    <w:p w:rsidR="00365C9B" w:rsidRPr="00B16DFD" w:rsidP="00365C9B" w14:paraId="48EC5DA8"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2ED1C322" w14:textId="77777777">
      <w:r w:rsidRPr="00B16DFD">
        <w:rPr>
          <w:rStyle w:val="HideTWBExt"/>
          <w:color w:val="auto"/>
        </w:rPr>
        <w:t>&lt;Article2&gt;</w:t>
      </w:r>
      <w:r w:rsidRPr="00B16DFD">
        <w:t>Artikel 8 – stk. 2 – litra k</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A7148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037C5AB" w14:textId="77777777"/>
        </w:tc>
      </w:tr>
      <w:tr w14:paraId="1EEABC5C"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2CC407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0D2B807" w14:textId="77777777">
            <w:pPr>
              <w:pStyle w:val="AmColumnHeading"/>
            </w:pPr>
            <w:r w:rsidRPr="00B16DFD">
              <w:t>Ændringsforslag</w:t>
            </w:r>
          </w:p>
        </w:tc>
      </w:tr>
      <w:tr w14:paraId="7F390E09"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E48EAC4" w14:textId="1398AACB">
            <w:pPr>
              <w:pStyle w:val="Normal6a"/>
            </w:pPr>
            <w:r w:rsidRPr="00B16DFD">
              <w:t>k)</w:t>
            </w:r>
            <w:r w:rsidRPr="00B16DFD">
              <w:tab/>
              <w:t>at træffe individuelle afgørelser rettet til deltagere på</w:t>
            </w:r>
            <w:r w:rsidR="00CB6039">
              <w:t xml:space="preserve"> finansmarked</w:t>
            </w:r>
            <w:r w:rsidR="00242139">
              <w:t>et</w:t>
            </w:r>
            <w:r w:rsidRPr="00B16DFD">
              <w:t xml:space="preserve">, når de udøver direkte </w:t>
            </w:r>
            <w:r w:rsidRPr="00B16DFD">
              <w:rPr>
                <w:b/>
                <w:i/>
              </w:rPr>
              <w:t>tilsynsopgaver</w:t>
            </w:r>
            <w:r w:rsidRPr="00B16DFD">
              <w:t>, og vedtage tilsyns-, undersøgelses- og håndhævelsesforanstaltninger som omhandlet i kapitel IIa i denne forordning og andre EU-retsakter</w:t>
            </w:r>
          </w:p>
        </w:tc>
        <w:tc>
          <w:tcPr>
            <w:tcW w:w="4876" w:type="dxa"/>
            <w:tcBorders>
              <w:top w:val="nil"/>
              <w:left w:val="nil"/>
              <w:bottom w:val="nil"/>
              <w:right w:val="nil"/>
            </w:tcBorders>
            <w:hideMark/>
          </w:tcPr>
          <w:p w:rsidR="00365C9B" w:rsidRPr="00B16DFD" w:rsidP="00F61C80" w14:paraId="3E6336C6" w14:textId="4FB04E42">
            <w:pPr>
              <w:pStyle w:val="Normal6a"/>
            </w:pPr>
            <w:r w:rsidRPr="00B16DFD">
              <w:t>k)</w:t>
            </w:r>
            <w:r w:rsidRPr="00B16DFD">
              <w:tab/>
              <w:t>at træffe individuelle afgørelser rettet til deltagere på</w:t>
            </w:r>
            <w:r w:rsidR="00CB6039">
              <w:t xml:space="preserve"> finansmarked</w:t>
            </w:r>
            <w:r w:rsidR="00242139">
              <w:t>et</w:t>
            </w:r>
            <w:r w:rsidRPr="00B16DFD">
              <w:t xml:space="preserve"> </w:t>
            </w:r>
            <w:r w:rsidRPr="00B16DFD">
              <w:rPr>
                <w:b/>
                <w:i/>
              </w:rPr>
              <w:t>eller andre fysiske eller juridiske personer</w:t>
            </w:r>
            <w:r w:rsidRPr="00B16DFD">
              <w:t xml:space="preserve">, når de udøver direkte </w:t>
            </w:r>
            <w:r w:rsidRPr="00B16DFD">
              <w:rPr>
                <w:b/>
                <w:i/>
              </w:rPr>
              <w:t>tilsyns- eller markedsovervågningsopgaver eller opgaver i forbindelse med undersøgelse og håndhævelse af markedsmisbrug</w:t>
            </w:r>
            <w:r w:rsidRPr="00B16DFD">
              <w:t>, og vedtage tilsyns-, undersøgelses- og håndhævelsesforanstaltninger som omhandlet i kapitel IIa i denne forordning og andre EU-retsakter</w:t>
            </w:r>
          </w:p>
        </w:tc>
      </w:tr>
    </w:tbl>
    <w:p w:rsidR="00365C9B" w:rsidRPr="00734CAA" w:rsidP="00365C9B" w14:paraId="4ADC73BE"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6511F43" w14:textId="77777777">
      <w:pPr>
        <w:rPr>
          <w:lang w:val="en-GB"/>
        </w:rPr>
      </w:pPr>
      <w:r w:rsidRPr="00734CAA">
        <w:rPr>
          <w:rStyle w:val="HideTWBExt"/>
          <w:color w:val="auto"/>
          <w:lang w:val="en-GB"/>
        </w:rPr>
        <w:t>&lt;/Amend&gt;</w:t>
      </w:r>
    </w:p>
    <w:p w:rsidR="00365C9B" w:rsidRPr="00734CAA" w:rsidP="00365C9B" w14:paraId="17D5B00D"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376</w:t>
      </w:r>
      <w:r w:rsidRPr="00734CAA">
        <w:rPr>
          <w:rStyle w:val="HideTWBExt"/>
          <w:color w:val="auto"/>
          <w:lang w:val="en-GB"/>
        </w:rPr>
        <w:t>&lt;/NumAm&gt;</w:t>
      </w:r>
    </w:p>
    <w:p w:rsidR="00365C9B" w:rsidRPr="00734CAA" w:rsidP="00365C9B" w14:paraId="7BCF8F01"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64AE009D" w14:textId="77777777">
      <w:pPr>
        <w:pStyle w:val="NormalBold"/>
      </w:pPr>
      <w:r w:rsidRPr="00B16DFD">
        <w:rPr>
          <w:rStyle w:val="HideTWBExt"/>
          <w:b w:val="0"/>
          <w:color w:val="auto"/>
        </w:rPr>
        <w:t>&lt;/RepeatBlock-By&gt;</w:t>
      </w:r>
    </w:p>
    <w:p w:rsidR="00365C9B" w:rsidRPr="00B16DFD" w:rsidP="00365C9B" w14:paraId="025A6C91"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6203AEDF" w14:textId="77777777">
      <w:pPr>
        <w:pStyle w:val="NormalBold"/>
        <w:rPr>
          <w:lang w:val="fr-FR"/>
        </w:rPr>
      </w:pPr>
      <w:r w:rsidRPr="00734CAA">
        <w:rPr>
          <w:rStyle w:val="HideTWBExt"/>
          <w:color w:val="auto"/>
          <w:lang w:val="fr-FR"/>
        </w:rPr>
        <w:t>&lt;Article&gt;</w:t>
      </w:r>
      <w:r w:rsidRPr="00734CAA">
        <w:rPr>
          <w:lang w:val="fr-FR"/>
        </w:rPr>
        <w:t>Artikel 1 – stk. 1 – nr. 6 – litra b – nr. 4</w:t>
      </w:r>
      <w:r w:rsidRPr="00734CAA">
        <w:rPr>
          <w:rStyle w:val="HideTWBExt"/>
          <w:color w:val="auto"/>
          <w:lang w:val="fr-FR"/>
        </w:rPr>
        <w:t>&lt;/Article&gt;</w:t>
      </w:r>
    </w:p>
    <w:p w:rsidR="00365C9B" w:rsidRPr="00734CAA" w:rsidP="00365C9B" w14:paraId="425883B2" w14:textId="77777777">
      <w:pPr>
        <w:rPr>
          <w:lang w:val="fr-FR"/>
        </w:rPr>
      </w:pPr>
      <w:r w:rsidRPr="00734CAA">
        <w:rPr>
          <w:rStyle w:val="HideTWBExt"/>
          <w:color w:val="auto"/>
          <w:lang w:val="fr-FR"/>
        </w:rPr>
        <w:t>&lt;DocAmend2&gt;</w:t>
      </w:r>
      <w:r w:rsidRPr="00734CAA">
        <w:rPr>
          <w:lang w:val="fr-FR"/>
        </w:rPr>
        <w:t>Forordning (EU) nr. 1095/2010</w:t>
      </w:r>
      <w:r w:rsidRPr="00734CAA">
        <w:rPr>
          <w:rStyle w:val="HideTWBExt"/>
          <w:color w:val="auto"/>
          <w:lang w:val="fr-FR"/>
        </w:rPr>
        <w:t>&lt;/DocAmend2&gt;</w:t>
      </w:r>
    </w:p>
    <w:p w:rsidR="00365C9B" w:rsidRPr="00734CAA" w:rsidP="00365C9B" w14:paraId="58C1169C" w14:textId="77777777">
      <w:pPr>
        <w:rPr>
          <w:lang w:val="fr-FR"/>
        </w:rPr>
      </w:pPr>
      <w:r w:rsidRPr="00734CAA">
        <w:rPr>
          <w:rStyle w:val="HideTWBExt"/>
          <w:color w:val="auto"/>
          <w:lang w:val="fr-FR"/>
        </w:rPr>
        <w:t>&lt;Article2&gt;</w:t>
      </w:r>
      <w:r w:rsidRPr="00734CAA">
        <w:rPr>
          <w:lang w:val="fr-FR"/>
        </w:rPr>
        <w:t>Artikel 8 – stk. 1 – nr. 1 a (nyt)</w:t>
      </w:r>
      <w:r w:rsidRPr="00734CAA">
        <w:rPr>
          <w:rStyle w:val="HideTWBExt"/>
          <w:color w:val="auto"/>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2DE637"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028D3B70" w14:textId="77777777">
            <w:pPr>
              <w:rPr>
                <w:lang w:val="fr-FR"/>
              </w:rPr>
            </w:pPr>
          </w:p>
        </w:tc>
      </w:tr>
      <w:tr w14:paraId="27324E35"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EE5C478"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FAEFD24" w14:textId="77777777">
            <w:pPr>
              <w:pStyle w:val="AmColumnHeading"/>
            </w:pPr>
            <w:r w:rsidRPr="00B16DFD">
              <w:t>Ændringsforslag</w:t>
            </w:r>
          </w:p>
        </w:tc>
      </w:tr>
      <w:tr w14:paraId="25E9869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FEF121B" w14:textId="77777777">
            <w:pPr>
              <w:pStyle w:val="Normal6a"/>
            </w:pPr>
          </w:p>
        </w:tc>
        <w:tc>
          <w:tcPr>
            <w:tcW w:w="4876" w:type="dxa"/>
            <w:tcBorders>
              <w:top w:val="nil"/>
              <w:left w:val="nil"/>
              <w:bottom w:val="nil"/>
              <w:right w:val="nil"/>
            </w:tcBorders>
            <w:hideMark/>
          </w:tcPr>
          <w:p w:rsidR="00365C9B" w:rsidRPr="00B16DFD" w:rsidP="00F61C80" w14:paraId="21968142" w14:textId="77777777">
            <w:pPr>
              <w:pStyle w:val="Normal6a"/>
            </w:pPr>
            <w:r w:rsidRPr="00B16DFD">
              <w:rPr>
                <w:b/>
                <w:i/>
              </w:rPr>
              <w:t>la)</w:t>
            </w:r>
            <w:r w:rsidRPr="00B16DFD">
              <w:tab/>
            </w:r>
            <w:r w:rsidRPr="00B16DFD">
              <w:rPr>
                <w:b/>
                <w:i/>
              </w:rPr>
              <w:t>træffe</w:t>
            </w:r>
            <w:r w:rsidRPr="00B16DFD">
              <w:rPr>
                <w:b/>
                <w:i/>
              </w:rPr>
              <w:t xml:space="preserve"> afgørelser om suspension, jf. artikel 9, stk. 6.</w:t>
            </w:r>
          </w:p>
        </w:tc>
      </w:tr>
    </w:tbl>
    <w:p w:rsidR="00365C9B" w:rsidRPr="00734CAA" w:rsidP="00365C9B" w14:paraId="0ADCF885"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A36B97E" w14:textId="77777777">
      <w:pPr>
        <w:rPr>
          <w:lang w:val="en-GB"/>
        </w:rPr>
      </w:pPr>
      <w:r w:rsidRPr="00734CAA">
        <w:rPr>
          <w:rStyle w:val="HideTWBExt"/>
          <w:color w:val="auto"/>
          <w:lang w:val="en-GB"/>
        </w:rPr>
        <w:t>&lt;/Amend&gt;</w:t>
      </w:r>
    </w:p>
    <w:p w:rsidR="00365C9B" w:rsidRPr="00734CAA" w:rsidP="00365C9B" w14:paraId="3789FFC7"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377</w:t>
      </w:r>
      <w:r w:rsidRPr="00734CAA">
        <w:rPr>
          <w:rStyle w:val="HideTWBExt"/>
          <w:color w:val="auto"/>
          <w:lang w:val="en-GB"/>
        </w:rPr>
        <w:t>&lt;/NumAm&gt;</w:t>
      </w:r>
    </w:p>
    <w:p w:rsidR="00365C9B" w:rsidRPr="00734CAA" w:rsidP="00365C9B" w14:paraId="4426355B" w14:textId="77777777">
      <w:pPr>
        <w:pStyle w:val="NormalBold"/>
        <w:rPr>
          <w:lang w:val="en-GB"/>
        </w:rPr>
      </w:pPr>
      <w:r w:rsidRPr="00734CAA">
        <w:rPr>
          <w:rStyle w:val="HideTWBExt"/>
          <w:b w:val="0"/>
          <w:color w:val="auto"/>
          <w:lang w:val="en-GB"/>
        </w:rPr>
        <w:t>&lt;RepeatBlock-By&gt;&lt;Members&gt;</w:t>
      </w:r>
      <w:r w:rsidRPr="00734CAA">
        <w:rPr>
          <w:lang w:val="en-GB"/>
        </w:rPr>
        <w:t>Christophe Gomart</w:t>
      </w:r>
      <w:r w:rsidRPr="00734CAA">
        <w:rPr>
          <w:rStyle w:val="HideTWBExt"/>
          <w:b w:val="0"/>
          <w:color w:val="auto"/>
          <w:lang w:val="en-GB"/>
        </w:rPr>
        <w:t>&lt;/Members&gt;</w:t>
      </w:r>
    </w:p>
    <w:p w:rsidR="00365C9B" w:rsidRPr="00B16DFD" w:rsidP="00365C9B" w14:paraId="08D9C984" w14:textId="77777777">
      <w:pPr>
        <w:pStyle w:val="NormalBold"/>
      </w:pPr>
      <w:r w:rsidRPr="00B16DFD">
        <w:rPr>
          <w:rStyle w:val="HideTWBExt"/>
          <w:b w:val="0"/>
          <w:color w:val="auto"/>
        </w:rPr>
        <w:t>&lt;/RepeatBlock-By&gt;</w:t>
      </w:r>
    </w:p>
    <w:p w:rsidR="00365C9B" w:rsidRPr="00B16DFD" w:rsidP="00365C9B" w14:paraId="26147E2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7B399182" w14:textId="77777777">
      <w:pPr>
        <w:pStyle w:val="NormalBold"/>
        <w:rPr>
          <w:lang w:val="fr-FR"/>
        </w:rPr>
      </w:pPr>
      <w:r w:rsidRPr="00734CAA">
        <w:rPr>
          <w:rStyle w:val="HideTWBExt"/>
          <w:color w:val="auto"/>
          <w:lang w:val="fr-FR"/>
        </w:rPr>
        <w:t>&lt;Article&gt;</w:t>
      </w:r>
      <w:r w:rsidRPr="00734CAA">
        <w:rPr>
          <w:lang w:val="fr-FR"/>
        </w:rPr>
        <w:t>Artikel 1 – stk. 1 – nr. 6 – litra b a (nyt)</w:t>
      </w:r>
      <w:r w:rsidRPr="00734CAA">
        <w:rPr>
          <w:rStyle w:val="HideTWBExt"/>
          <w:color w:val="auto"/>
          <w:lang w:val="fr-FR"/>
        </w:rPr>
        <w:t>&lt;/Article&gt;</w:t>
      </w:r>
    </w:p>
    <w:p w:rsidR="00365C9B" w:rsidRPr="00734CAA" w:rsidP="00365C9B" w14:paraId="6A903085" w14:textId="77777777">
      <w:pPr>
        <w:rPr>
          <w:lang w:val="fr-FR"/>
        </w:rPr>
      </w:pPr>
      <w:r w:rsidRPr="00734CAA">
        <w:rPr>
          <w:rStyle w:val="HideTWBExt"/>
          <w:color w:val="auto"/>
          <w:lang w:val="fr-FR"/>
        </w:rPr>
        <w:t>&lt;DocAmend2&gt;</w:t>
      </w:r>
      <w:r w:rsidRPr="00734CAA">
        <w:rPr>
          <w:lang w:val="fr-FR"/>
        </w:rPr>
        <w:t>Forordning (EU) nr. 1095/2010</w:t>
      </w:r>
      <w:r w:rsidRPr="00734CAA">
        <w:rPr>
          <w:rStyle w:val="HideTWBExt"/>
          <w:color w:val="auto"/>
          <w:lang w:val="fr-FR"/>
        </w:rPr>
        <w:t>&lt;/DocAmend2&gt;</w:t>
      </w:r>
    </w:p>
    <w:p w:rsidR="00365C9B" w:rsidRPr="00734CAA" w:rsidP="00365C9B" w14:paraId="38A247BE" w14:textId="77777777">
      <w:pPr>
        <w:rPr>
          <w:lang w:val="fr-FR"/>
        </w:rPr>
      </w:pPr>
      <w:r w:rsidRPr="00734CAA">
        <w:rPr>
          <w:rStyle w:val="HideTWBExt"/>
          <w:color w:val="auto"/>
          <w:lang w:val="fr-FR"/>
        </w:rPr>
        <w:t>&lt;Article2&gt;</w:t>
      </w:r>
      <w:r w:rsidRPr="00734CAA">
        <w:rPr>
          <w:lang w:val="fr-FR"/>
        </w:rPr>
        <w:t>Artikel 8 – stk. 3 – afsnit 2 a (nyt)</w:t>
      </w:r>
      <w:r w:rsidRPr="00734CAA">
        <w:rPr>
          <w:rStyle w:val="HideTWBExt"/>
          <w:color w:val="auto"/>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B6358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734CAA" w:rsidP="00F61C80" w14:paraId="44A70D4E" w14:textId="77777777">
            <w:pPr>
              <w:rPr>
                <w:lang w:val="fr-FR"/>
              </w:rPr>
            </w:pPr>
          </w:p>
        </w:tc>
      </w:tr>
      <w:tr w14:paraId="130DAE94"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430BE9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D0B3C1B" w14:textId="77777777">
            <w:pPr>
              <w:pStyle w:val="AmColumnHeading"/>
            </w:pPr>
            <w:r w:rsidRPr="00B16DFD">
              <w:t>Ændringsforslag</w:t>
            </w:r>
          </w:p>
        </w:tc>
      </w:tr>
      <w:tr w14:paraId="14D48B8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EEF2448" w14:textId="77777777">
            <w:pPr>
              <w:pStyle w:val="Normal6a"/>
            </w:pPr>
          </w:p>
        </w:tc>
        <w:tc>
          <w:tcPr>
            <w:tcW w:w="4876" w:type="dxa"/>
            <w:tcBorders>
              <w:top w:val="nil"/>
              <w:left w:val="nil"/>
              <w:bottom w:val="nil"/>
              <w:right w:val="nil"/>
            </w:tcBorders>
            <w:hideMark/>
          </w:tcPr>
          <w:p w:rsidR="00365C9B" w:rsidRPr="00B16DFD" w:rsidP="00F61C80" w14:paraId="074FA0B2" w14:textId="77777777">
            <w:pPr>
              <w:pStyle w:val="Normal6a"/>
            </w:pPr>
            <w:r w:rsidRPr="00B16DFD">
              <w:rPr>
                <w:b/>
                <w:i/>
              </w:rPr>
              <w:t>ba)</w:t>
            </w:r>
            <w:bookmarkStart w:id="2" w:name="_Hlk235717366"/>
            <w:r w:rsidRPr="00B16DFD">
              <w:tab/>
            </w:r>
            <w:bookmarkEnd w:id="2"/>
            <w:r w:rsidRPr="00B16DFD">
              <w:rPr>
                <w:b/>
                <w:i/>
              </w:rPr>
              <w:t>I artikel 8, stk. 3, tilføjes følgende afsnit:</w:t>
            </w:r>
          </w:p>
        </w:tc>
      </w:tr>
      <w:tr w14:paraId="056B7B2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8F9A318" w14:textId="77777777">
            <w:pPr>
              <w:pStyle w:val="Normal6a"/>
            </w:pPr>
          </w:p>
        </w:tc>
        <w:tc>
          <w:tcPr>
            <w:tcW w:w="4876" w:type="dxa"/>
            <w:tcBorders>
              <w:top w:val="nil"/>
              <w:left w:val="nil"/>
              <w:bottom w:val="nil"/>
              <w:right w:val="nil"/>
            </w:tcBorders>
            <w:hideMark/>
          </w:tcPr>
          <w:p w:rsidR="00365C9B" w:rsidRPr="00B16DFD" w:rsidP="00F61C80" w14:paraId="5BF29C85" w14:textId="77777777">
            <w:pPr>
              <w:pStyle w:val="Normal6a"/>
            </w:pPr>
            <w:r w:rsidRPr="00B16DFD">
              <w:rPr>
                <w:b/>
                <w:i/>
              </w:rPr>
              <w:t>Under varetagelsen af de opgaver, der påhviler den i medfør af de i stk. 2 omhandlede retsakter, bidrager ESMA til at fremme:</w:t>
            </w:r>
          </w:p>
        </w:tc>
      </w:tr>
      <w:tr w14:paraId="33B6E33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75F482E" w14:textId="77777777">
            <w:pPr>
              <w:pStyle w:val="Normal6a"/>
            </w:pPr>
          </w:p>
        </w:tc>
        <w:tc>
          <w:tcPr>
            <w:tcW w:w="4876" w:type="dxa"/>
            <w:tcBorders>
              <w:top w:val="nil"/>
              <w:left w:val="nil"/>
              <w:bottom w:val="nil"/>
              <w:right w:val="nil"/>
            </w:tcBorders>
            <w:hideMark/>
          </w:tcPr>
          <w:p w:rsidR="00365C9B" w:rsidRPr="00B16DFD" w:rsidP="00F61C80" w14:paraId="6D60C01C" w14:textId="77777777">
            <w:pPr>
              <w:pStyle w:val="Normal6a"/>
            </w:pPr>
            <w:r w:rsidRPr="00B16DFD">
              <w:rPr>
                <w:b/>
                <w:i/>
              </w:rPr>
              <w:t>a)</w:t>
            </w:r>
            <w:r w:rsidRPr="00B16DFD">
              <w:tab/>
            </w:r>
            <w:r w:rsidRPr="00B16DFD">
              <w:rPr>
                <w:b/>
                <w:i/>
              </w:rPr>
              <w:t>den internationale konkurrenceevne for Unionens økonomi, herunder i sektoren for finansielle tjenesteydelser</w:t>
            </w:r>
          </w:p>
        </w:tc>
      </w:tr>
      <w:tr w14:paraId="5F4A186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A3878C0" w14:textId="77777777">
            <w:pPr>
              <w:pStyle w:val="Normal6a"/>
            </w:pPr>
          </w:p>
        </w:tc>
        <w:tc>
          <w:tcPr>
            <w:tcW w:w="4876" w:type="dxa"/>
            <w:tcBorders>
              <w:top w:val="nil"/>
              <w:left w:val="nil"/>
              <w:bottom w:val="nil"/>
              <w:right w:val="nil"/>
            </w:tcBorders>
            <w:hideMark/>
          </w:tcPr>
          <w:p w:rsidR="00365C9B" w:rsidRPr="00B16DFD" w:rsidP="00F61C80" w14:paraId="337D0C35" w14:textId="77777777">
            <w:pPr>
              <w:pStyle w:val="Normal6a"/>
            </w:pPr>
            <w:r w:rsidRPr="00B16DFD">
              <w:rPr>
                <w:b/>
                <w:i/>
              </w:rPr>
              <w:t>b)</w:t>
            </w:r>
            <w:r w:rsidRPr="00B16DFD">
              <w:tab/>
            </w:r>
            <w:r w:rsidRPr="00B16DFD">
              <w:rPr>
                <w:b/>
                <w:i/>
              </w:rPr>
              <w:t>en bæredygtig vækst i Unionens økonomi på mellemlang og lang sigt.</w:t>
            </w:r>
          </w:p>
        </w:tc>
      </w:tr>
    </w:tbl>
    <w:p w:rsidR="00365C9B" w:rsidRPr="00734CAA" w:rsidP="00365C9B" w14:paraId="38972EB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{FR}</w:t>
      </w:r>
      <w:r w:rsidRPr="00734CAA">
        <w:rPr>
          <w:lang w:val="en-GB"/>
        </w:rPr>
        <w:t>fr</w:t>
      </w:r>
      <w:r w:rsidRPr="00734CAA">
        <w:rPr>
          <w:rStyle w:val="HideTWBExt"/>
          <w:color w:val="auto"/>
          <w:lang w:val="en-GB"/>
        </w:rPr>
        <w:t>&lt;/Original&gt;</w:t>
      </w:r>
    </w:p>
    <w:p w:rsidR="00365C9B" w:rsidRPr="00734CAA" w:rsidP="00365C9B" w14:paraId="1965AEEA" w14:textId="663F1FD4">
      <w:pPr>
        <w:rPr>
          <w:lang w:val="en-GB"/>
        </w:rPr>
      </w:pPr>
      <w:r w:rsidRPr="00734CAA">
        <w:rPr>
          <w:rStyle w:val="HideTWBExt"/>
          <w:color w:val="auto"/>
          <w:lang w:val="en-GB"/>
        </w:rPr>
        <w:t>&lt;/Amend&gt;</w:t>
      </w:r>
    </w:p>
    <w:p w:rsidR="00365C9B" w:rsidRPr="00734CAA" w:rsidP="00365C9B" w14:paraId="54377A3F"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378</w:t>
      </w:r>
      <w:r w:rsidRPr="00734CAA">
        <w:rPr>
          <w:rStyle w:val="HideTWBExt"/>
          <w:color w:val="auto"/>
          <w:lang w:val="en-GB"/>
        </w:rPr>
        <w:t>&lt;/NumAm&gt;</w:t>
      </w:r>
    </w:p>
    <w:p w:rsidR="00365C9B" w:rsidRPr="00734CAA" w:rsidP="00365C9B" w14:paraId="6F599A07" w14:textId="77777777">
      <w:pPr>
        <w:pStyle w:val="NormalBold"/>
        <w:rPr>
          <w:lang w:val="en-GB"/>
        </w:rPr>
      </w:pPr>
      <w:r w:rsidRPr="00734CAA">
        <w:rPr>
          <w:rStyle w:val="HideTWBExt"/>
          <w:b w:val="0"/>
          <w:color w:val="auto"/>
          <w:lang w:val="en-GB"/>
        </w:rPr>
        <w:t>&lt;RepeatBlock-By&gt;&lt;Members&gt;</w:t>
      </w:r>
      <w:r w:rsidRPr="00734CAA">
        <w:rPr>
          <w:lang w:val="en-GB"/>
        </w:rPr>
        <w:t>Gaetano Pedulla'</w:t>
      </w:r>
      <w:r w:rsidRPr="00734CAA">
        <w:rPr>
          <w:rStyle w:val="HideTWBExt"/>
          <w:b w:val="0"/>
          <w:color w:val="auto"/>
          <w:lang w:val="en-GB"/>
        </w:rPr>
        <w:t>&lt;/Members&gt;</w:t>
      </w:r>
    </w:p>
    <w:p w:rsidR="00365C9B" w:rsidRPr="00B16DFD" w:rsidP="00365C9B" w14:paraId="5B76E1E6" w14:textId="77777777">
      <w:pPr>
        <w:pStyle w:val="NormalBold"/>
      </w:pPr>
      <w:r w:rsidRPr="00B16DFD">
        <w:rPr>
          <w:rStyle w:val="HideTWBExt"/>
          <w:b w:val="0"/>
          <w:color w:val="auto"/>
        </w:rPr>
        <w:t>&lt;/RepeatBlock-By&gt;</w:t>
      </w:r>
    </w:p>
    <w:p w:rsidR="00365C9B" w:rsidRPr="00B16DFD" w:rsidP="00365C9B" w14:paraId="7AC508F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73F713AC"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68BAA332"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5B139CCA" w14:textId="77777777">
      <w:r w:rsidRPr="00B16DFD">
        <w:rPr>
          <w:rStyle w:val="HideTWBExt"/>
          <w:color w:val="auto"/>
        </w:rPr>
        <w:t>&lt;Article2&gt;</w:t>
      </w:r>
      <w:r w:rsidRPr="00B16DFD">
        <w:t>Artikel 8a – stk. 2</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1EAD8B"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A72D33E" w14:textId="77777777"/>
        </w:tc>
      </w:tr>
      <w:tr w14:paraId="08AA2BB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DF473EE"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610416A" w14:textId="77777777">
            <w:pPr>
              <w:pStyle w:val="AmColumnHeading"/>
            </w:pPr>
            <w:r w:rsidRPr="00B16DFD">
              <w:t>Ændringsforslag</w:t>
            </w:r>
          </w:p>
        </w:tc>
      </w:tr>
      <w:tr w14:paraId="0F1EB6D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35BEBC4" w14:textId="77777777">
            <w:pPr>
              <w:pStyle w:val="Normal6a"/>
            </w:pPr>
            <w:r w:rsidRPr="00B16DFD">
              <w:t>2.</w:t>
            </w:r>
            <w:r w:rsidRPr="00B16DFD">
              <w:tab/>
              <w:t xml:space="preserve">Både myndigheden og myndighederne er underlagt en forpligtelse til loyalt samarbejde og en forpligtelse til at udveksle oplysninger for effektivt at kunne udføre deres opgaver. Myndigheden </w:t>
            </w:r>
            <w:r w:rsidRPr="00B16DFD">
              <w:rPr>
                <w:b/>
                <w:i/>
              </w:rPr>
              <w:t>kan</w:t>
            </w:r>
            <w:r w:rsidRPr="00B16DFD">
              <w:t xml:space="preserve"> under udførelsen af sine opgaver </w:t>
            </w:r>
            <w:r w:rsidRPr="00B16DFD">
              <w:rPr>
                <w:b/>
                <w:i/>
              </w:rPr>
              <w:t>trække</w:t>
            </w:r>
            <w:r w:rsidRPr="00B16DFD">
              <w:t xml:space="preserve"> på myndighedernes ekspertise og viden, herunder deres tilsynsmæssige erfaring og forståelse af særlige økonomiske, organisatoriske og kulturelle forhold. Myndighederne er, hvor det er relevant, og uden at det berører myndighedens ansvar og ansvarlighed for de opgaver, som overdrages til den ved denne forordning og den i artikel 1, stk. 2, omhandlede lovgivning, ansvarlige for at bistå myndigheden på de betingelser, der er fastsat i ordningerne i denne artikel.</w:t>
            </w:r>
            <w:r w:rsidRPr="00B16DFD">
              <w:rPr>
                <w:b/>
                <w:i/>
              </w:rPr>
              <w:t xml:space="preserve"> </w:t>
            </w:r>
            <w:r w:rsidRPr="00B16DFD">
              <w:t xml:space="preserve">Dette </w:t>
            </w:r>
            <w:r w:rsidRPr="00B16DFD">
              <w:rPr>
                <w:b/>
                <w:i/>
              </w:rPr>
              <w:t xml:space="preserve">kan omfatte </w:t>
            </w:r>
            <w:r w:rsidRPr="00B16DFD">
              <w:t>støtte til udarbejdelse og gennemførelse af retsakter vedrørende de opgaver, der er omhandlet i artikel 8, stk. 1, litra l), herunder bistand til verifikationsaktiviteter eller udførelse af specifikke operationelle opgaver. Myndighederne følger myndighedens instrukser, når de yder støtte og udfører opgaver i henhold til disse ordninger.</w:t>
            </w:r>
          </w:p>
        </w:tc>
        <w:tc>
          <w:tcPr>
            <w:tcW w:w="4876" w:type="dxa"/>
            <w:tcBorders>
              <w:top w:val="nil"/>
              <w:left w:val="nil"/>
              <w:bottom w:val="nil"/>
              <w:right w:val="nil"/>
            </w:tcBorders>
            <w:hideMark/>
          </w:tcPr>
          <w:p w:rsidR="00365C9B" w:rsidRPr="00B16DFD" w:rsidP="00F61C80" w14:paraId="78708156" w14:textId="77777777">
            <w:pPr>
              <w:pStyle w:val="Normal6a"/>
            </w:pPr>
            <w:r w:rsidRPr="00B16DFD">
              <w:t>2.</w:t>
            </w:r>
            <w:r w:rsidRPr="00B16DFD">
              <w:tab/>
              <w:t xml:space="preserve">Både myndigheden og myndighederne er underlagt en forpligtelse til loyalt samarbejde og en forpligtelse til at udveksle oplysninger for effektivt at kunne udføre deres opgaver. Myndigheden </w:t>
            </w:r>
            <w:r w:rsidRPr="00B16DFD">
              <w:rPr>
                <w:b/>
                <w:i/>
              </w:rPr>
              <w:t>trækker</w:t>
            </w:r>
            <w:r w:rsidRPr="00B16DFD">
              <w:t xml:space="preserve"> under udførelsen af sine opgaver på myndighedernes ekspertise og viden, herunder deres tilsynsmæssige erfaring og forståelse af særlige økonomiske, organisatoriske og kulturelle forhold. Myndighederne er, hvor det er relevant, og uden at det berører myndighedens ansvar og ansvarlighed for de opgaver, som overdrages til den ved denne forordning og den i artikel 1, stk. 2, omhandlede lovgivning, ansvarlige for at bistå myndigheden på de betingelser, der er fastsat i ordningerne i denne artikel </w:t>
            </w:r>
            <w:r w:rsidRPr="00B16DFD">
              <w:rPr>
                <w:b/>
                <w:i/>
              </w:rPr>
              <w:t>og i artikel 8b</w:t>
            </w:r>
            <w:r w:rsidRPr="00B16DFD">
              <w:t>.</w:t>
            </w:r>
            <w:r w:rsidRPr="00B16DFD">
              <w:rPr>
                <w:b/>
                <w:i/>
              </w:rPr>
              <w:t xml:space="preserve"> Udøvelsen af disse ansvarsområder skal følge den sekventielle integrationsmekanisme og den tofasede arkitektur, der er fastsat i artikel 8b. </w:t>
            </w:r>
            <w:r w:rsidRPr="00B16DFD">
              <w:t xml:space="preserve">Dette </w:t>
            </w:r>
            <w:r w:rsidRPr="00B16DFD">
              <w:rPr>
                <w:b/>
                <w:i/>
              </w:rPr>
              <w:t>omfatter</w:t>
            </w:r>
            <w:r w:rsidRPr="00B16DFD">
              <w:t xml:space="preserve"> støtte til udarbejdelse og gennemførelse af retsakter vedrørende de opgaver, der er omhandlet i artikel 8, stk. 1, litra l), herunder bistand til verifikationsaktiviteter eller udførelse af specifikke operationelle opgaver. Myndighederne følger myndighedens instrukser, når de yder støtte og udfører opgaver i henhold til disse ordninger.</w:t>
            </w:r>
          </w:p>
        </w:tc>
      </w:tr>
    </w:tbl>
    <w:p w:rsidR="00365C9B" w:rsidRPr="00734CAA" w:rsidP="00365C9B" w14:paraId="2859B7B7"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4E9BE40" w14:textId="77777777">
      <w:pPr>
        <w:rPr>
          <w:lang w:val="en-GB"/>
        </w:rPr>
      </w:pPr>
      <w:r w:rsidRPr="00734CAA">
        <w:rPr>
          <w:rStyle w:val="HideTWBExt"/>
          <w:color w:val="auto"/>
          <w:lang w:val="en-GB"/>
        </w:rPr>
        <w:t>&lt;/Amend&gt;</w:t>
      </w:r>
    </w:p>
    <w:p w:rsidR="00365C9B" w:rsidRPr="00734CAA" w:rsidP="00365C9B" w14:paraId="10FDE383"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379</w:t>
      </w:r>
      <w:r w:rsidRPr="00734CAA">
        <w:rPr>
          <w:rStyle w:val="HideTWBExt"/>
          <w:color w:val="auto"/>
          <w:lang w:val="en-GB"/>
        </w:rPr>
        <w:t>&lt;/NumAm&gt;</w:t>
      </w:r>
    </w:p>
    <w:p w:rsidR="00365C9B" w:rsidRPr="00734CAA" w:rsidP="00365C9B" w14:paraId="770DE1B8"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6A993478" w14:textId="77777777">
      <w:pPr>
        <w:pStyle w:val="NormalBold"/>
      </w:pPr>
      <w:r w:rsidRPr="00B16DFD">
        <w:rPr>
          <w:rStyle w:val="HideTWBExt"/>
          <w:b w:val="0"/>
          <w:color w:val="auto"/>
        </w:rPr>
        <w:t>&lt;/RepeatBlock-By&gt;</w:t>
      </w:r>
    </w:p>
    <w:p w:rsidR="00365C9B" w:rsidRPr="00B16DFD" w:rsidP="00365C9B" w14:paraId="127EDDB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280BEA67"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6C2C4B1B"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7A4A34E7" w14:textId="77777777">
      <w:r w:rsidRPr="00B16DFD">
        <w:rPr>
          <w:rStyle w:val="HideTWBExt"/>
          <w:color w:val="auto"/>
        </w:rPr>
        <w:t>&lt;Article2&gt;</w:t>
      </w:r>
      <w:r w:rsidRPr="00B16DFD">
        <w:t>Artikel 8a – stk. 2</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A3A38F"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BDC89EB" w14:textId="77777777"/>
        </w:tc>
      </w:tr>
      <w:tr w14:paraId="77B8D1A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EC67EB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FF7FD2F" w14:textId="77777777">
            <w:pPr>
              <w:pStyle w:val="AmColumnHeading"/>
            </w:pPr>
            <w:r w:rsidRPr="00B16DFD">
              <w:t>Ændringsforslag</w:t>
            </w:r>
          </w:p>
        </w:tc>
      </w:tr>
      <w:tr w14:paraId="626DBB4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8501538" w14:textId="77777777">
            <w:pPr>
              <w:pStyle w:val="Normal6a"/>
            </w:pPr>
            <w:r w:rsidRPr="00B16DFD">
              <w:t>2.</w:t>
            </w:r>
            <w:r w:rsidRPr="00B16DFD">
              <w:tab/>
              <w:t>Både myndigheden og myndighederne er underlagt en forpligtelse til loyalt samarbejde og en forpligtelse til at udveksle oplysninger for effektivt at kunne udføre deres opgaver. Myndigheden kan under udførelsen af sine opgaver trække på myndighedernes ekspertise og viden, herunder deres tilsynsmæssige erfaring og forståelse af særlige økonomiske, organisatoriske og kulturelle forhold. Myndighederne er, hvor det er relevant, og uden at det berører myndighedens ansvar og ansvarlighed for de opgaver, som overdrages til den ved denne forordning og den i artikel 1, stk. 2, omhandlede lovgivning, ansvarlige for at bistå myndigheden på de betingelser, der er fastsat i ordningerne i denne artikel. Dette kan omfatte støtte til udarbejdelse og gennemførelse af retsakter vedrørende de opgaver, der er omhandlet i artikel 8, stk. 1, litra l), herunder bistand til verifikationsaktiviteter eller udførelse af specifikke operationelle opgaver. Myndighederne følger myndighedens instrukser, når de yder støtte og udfører opgaver i henhold til disse ordninger.</w:t>
            </w:r>
          </w:p>
        </w:tc>
        <w:tc>
          <w:tcPr>
            <w:tcW w:w="4876" w:type="dxa"/>
            <w:tcBorders>
              <w:top w:val="nil"/>
              <w:left w:val="nil"/>
              <w:bottom w:val="nil"/>
              <w:right w:val="nil"/>
            </w:tcBorders>
            <w:hideMark/>
          </w:tcPr>
          <w:p w:rsidR="00365C9B" w:rsidRPr="00B16DFD" w:rsidP="00F61C80" w14:paraId="034AAA23" w14:textId="77777777">
            <w:pPr>
              <w:pStyle w:val="Normal6a"/>
            </w:pPr>
            <w:r w:rsidRPr="00B16DFD">
              <w:t>2.</w:t>
            </w:r>
            <w:r w:rsidRPr="00B16DFD">
              <w:tab/>
              <w:t xml:space="preserve">Både myndigheden og myndighederne er underlagt en forpligtelse til loyalt samarbejde og en forpligtelse til at udveksle oplysninger </w:t>
            </w:r>
            <w:r w:rsidRPr="00B16DFD">
              <w:rPr>
                <w:b/>
                <w:i/>
              </w:rPr>
              <w:t xml:space="preserve">og yde gensidig bistand </w:t>
            </w:r>
            <w:r w:rsidRPr="00B16DFD">
              <w:t xml:space="preserve">for effektivt at kunne udføre deres opgaver </w:t>
            </w:r>
            <w:r w:rsidRPr="00B16DFD">
              <w:rPr>
                <w:b/>
                <w:i/>
              </w:rPr>
              <w:t>og beføjelser i forbindelse med de i artikel 1, stk. 2, omhandlede retsakter</w:t>
            </w:r>
            <w:r w:rsidRPr="00B16DFD">
              <w:t>. Myndigheden kan under udførelsen af sine opgaver trække på myndighedernes ekspertise og viden, herunder deres tilsynsmæssige erfaring og forståelse af særlige økonomiske, organisatoriske og kulturelle forhold. Myndighederne er, hvor det er relevant, og uden at det berører myndighedens ansvar og ansvarlighed for de opgaver, som overdrages til den ved denne forordning og den i artikel 1, stk. 2, omhandlede lovgivning, ansvarlige for at bistå myndigheden på de betingelser, der er fastsat i ordningerne i denne artikel. Dette kan omfatte støtte til udarbejdelse og gennemførelse af retsakter vedrørende de opgaver, der er omhandlet i artikel 8, stk. 1, litra l), herunder bistand til verifikationsaktiviteter eller udførelse af specifikke operationelle opgaver. Myndighederne følger myndighedens instrukser, når de yder støtte og udfører opgaver i henhold til disse ordninger.</w:t>
            </w:r>
          </w:p>
        </w:tc>
      </w:tr>
    </w:tbl>
    <w:p w:rsidR="00365C9B" w:rsidRPr="00734CAA" w:rsidP="00365C9B" w14:paraId="26B7A131"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DAF96F6" w14:textId="77777777">
      <w:pPr>
        <w:rPr>
          <w:lang w:val="en-GB"/>
        </w:rPr>
      </w:pPr>
      <w:r w:rsidRPr="00734CAA">
        <w:rPr>
          <w:rStyle w:val="HideTWBExt"/>
          <w:color w:val="auto"/>
          <w:lang w:val="en-GB"/>
        </w:rPr>
        <w:t>&lt;/Amend&gt;</w:t>
      </w:r>
    </w:p>
    <w:p w:rsidR="00365C9B" w:rsidRPr="00734CAA" w:rsidP="00365C9B" w14:paraId="4DBE6573"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380</w:t>
      </w:r>
      <w:r w:rsidRPr="00734CAA">
        <w:rPr>
          <w:rStyle w:val="HideTWBExt"/>
          <w:color w:val="auto"/>
          <w:lang w:val="en-GB"/>
        </w:rPr>
        <w:t>&lt;/NumAm&gt;</w:t>
      </w:r>
    </w:p>
    <w:p w:rsidR="00365C9B" w:rsidRPr="00734CAA" w:rsidP="00365C9B" w14:paraId="1C46B948" w14:textId="77777777">
      <w:pPr>
        <w:pStyle w:val="NormalBold"/>
        <w:rPr>
          <w:lang w:val="en-GB"/>
        </w:rPr>
      </w:pPr>
      <w:r w:rsidRPr="00734CAA">
        <w:rPr>
          <w:rStyle w:val="HideTWBExt"/>
          <w:b w:val="0"/>
          <w:color w:val="auto"/>
          <w:lang w:val="en-GB"/>
        </w:rPr>
        <w:t>&lt;RepeatBlock-By&gt;&lt;Members&gt;</w:t>
      </w:r>
      <w:r w:rsidRPr="00734CAA">
        <w:rPr>
          <w:lang w:val="en-GB"/>
        </w:rPr>
        <w:t>Janusz Lewandowski</w:t>
      </w:r>
      <w:r w:rsidRPr="00734CAA">
        <w:rPr>
          <w:rStyle w:val="HideTWBExt"/>
          <w:b w:val="0"/>
          <w:color w:val="auto"/>
          <w:lang w:val="en-GB"/>
        </w:rPr>
        <w:t>&lt;/Members&gt;</w:t>
      </w:r>
    </w:p>
    <w:p w:rsidR="00365C9B" w:rsidRPr="00B16DFD" w:rsidP="00365C9B" w14:paraId="603EC417" w14:textId="77777777">
      <w:pPr>
        <w:pStyle w:val="NormalBold"/>
      </w:pPr>
      <w:r w:rsidRPr="00B16DFD">
        <w:rPr>
          <w:rStyle w:val="HideTWBExt"/>
          <w:b w:val="0"/>
          <w:color w:val="auto"/>
        </w:rPr>
        <w:t>&lt;/RepeatBlock-By&gt;</w:t>
      </w:r>
    </w:p>
    <w:p w:rsidR="00365C9B" w:rsidRPr="00B16DFD" w:rsidP="00365C9B" w14:paraId="62F5846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7FE4C897"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06F04803"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4B075802" w14:textId="77777777">
      <w:r w:rsidRPr="00B16DFD">
        <w:rPr>
          <w:rStyle w:val="HideTWBExt"/>
          <w:color w:val="auto"/>
        </w:rPr>
        <w:t>&lt;Article2&gt;</w:t>
      </w:r>
      <w:r w:rsidRPr="00B16DFD">
        <w:t>Artikel 8a – stk. 2</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6967F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3C8120D" w14:textId="77777777"/>
        </w:tc>
      </w:tr>
      <w:tr w14:paraId="78FB855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FC5860F"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7B4AA71" w14:textId="77777777">
            <w:pPr>
              <w:pStyle w:val="AmColumnHeading"/>
            </w:pPr>
            <w:r w:rsidRPr="00B16DFD">
              <w:t>Ændringsforslag</w:t>
            </w:r>
          </w:p>
        </w:tc>
      </w:tr>
      <w:tr w14:paraId="6D75E30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4376811" w14:textId="77777777">
            <w:pPr>
              <w:pStyle w:val="Normal6a"/>
            </w:pPr>
            <w:r w:rsidRPr="00B16DFD">
              <w:t>2.</w:t>
            </w:r>
            <w:r w:rsidRPr="00B16DFD">
              <w:tab/>
              <w:t xml:space="preserve">Både myndigheden og myndighederne er underlagt en forpligtelse til loyalt samarbejde og en forpligtelse til at udveksle oplysninger for effektivt at kunne udføre deres opgaver. Myndigheden </w:t>
            </w:r>
            <w:r w:rsidRPr="00B16DFD">
              <w:rPr>
                <w:b/>
                <w:i/>
              </w:rPr>
              <w:t>kan</w:t>
            </w:r>
            <w:r w:rsidRPr="00B16DFD">
              <w:t xml:space="preserve"> </w:t>
            </w:r>
            <w:r w:rsidRPr="00B16DFD">
              <w:t xml:space="preserve">under udførelsen af sine opgaver </w:t>
            </w:r>
            <w:r w:rsidRPr="00B16DFD">
              <w:rPr>
                <w:b/>
                <w:i/>
              </w:rPr>
              <w:t xml:space="preserve">trække </w:t>
            </w:r>
            <w:r w:rsidRPr="00B16DFD">
              <w:t>på myndighedernes ekspertise og viden, herunder deres tilsynsmæssige erfaring og forståelse af særlige økonomiske, organisatoriske og kulturelle forhold. Myndighederne er, hvor det er relevant, og uden at det berører myndighedens ansvar og ansvarlighed for de opgaver, som overdrages til den ved denne forordning og den i artikel 1, stk. 2, omhandlede lovgivning, ansvarlige for at bistå myndigheden på de betingelser, der er fastsat i ordningerne i denne artikel. Dette kan omfatte støtte til udarbejdelse og gennemførelse af retsakter vedrørende de opgaver, der er omhandlet i artikel 8, stk. 1, litra l), herunder bistand til verifikationsaktiviteter eller udførelse af specifikke operationelle opgaver. Myndighederne følger myndighedens instrukser, når de yder støtte og udfører opgaver i henhold til disse ordninger.</w:t>
            </w:r>
          </w:p>
        </w:tc>
        <w:tc>
          <w:tcPr>
            <w:tcW w:w="4876" w:type="dxa"/>
            <w:tcBorders>
              <w:top w:val="nil"/>
              <w:left w:val="nil"/>
              <w:bottom w:val="nil"/>
              <w:right w:val="nil"/>
            </w:tcBorders>
            <w:hideMark/>
          </w:tcPr>
          <w:p w:rsidR="00365C9B" w:rsidRPr="00B16DFD" w:rsidP="00F61C80" w14:paraId="3CA051FB" w14:textId="77777777">
            <w:pPr>
              <w:pStyle w:val="Normal6a"/>
            </w:pPr>
            <w:r w:rsidRPr="00B16DFD">
              <w:t>2.</w:t>
            </w:r>
            <w:r w:rsidRPr="00B16DFD">
              <w:tab/>
              <w:t xml:space="preserve">Både myndigheden og myndighederne er underlagt en forpligtelse til loyalt samarbejde og en forpligtelse til at udveksle oplysninger for effektivt at kunne udføre deres opgaver. Myndigheden </w:t>
            </w:r>
            <w:r w:rsidRPr="00B16DFD">
              <w:rPr>
                <w:b/>
                <w:i/>
              </w:rPr>
              <w:t>trækker</w:t>
            </w:r>
            <w:r w:rsidRPr="00B16DFD">
              <w:t xml:space="preserve"> under udførelsen af sine opgaver på myndighedernes ekspertise og viden, herunder deres tilsynsmæssige erfaring og forståelse af særlige økonomiske, organisatoriske og kulturelle forhold. Myndighederne er, hvor det er relevant, og uden at det berører myndighedens ansvar og ansvarlighed for de opgaver, som overdrages til den ved denne forordning og den i artikel 1, stk. 2, omhandlede lovgivning, ansvarlige for at bistå myndigheden på de betingelser, der er fastsat i ordningerne i denne artikel. Dette kan omfatte støtte til udarbejdelse og gennemførelse af retsakter vedrørende de opgaver, der er omhandlet i artikel 8, stk. 1, litra l), herunder bistand til verifikationsaktiviteter eller udførelse af specifikke operationelle opgaver. Myndighederne følger myndighedens instrukser, når de yder støtte og udfører opgaver i henhold til disse ordninger.</w:t>
            </w:r>
          </w:p>
        </w:tc>
      </w:tr>
    </w:tbl>
    <w:p w:rsidR="00365C9B" w:rsidRPr="00B16DFD" w:rsidP="00365C9B" w14:paraId="5E942D88"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75A3A314"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21B42CF4" w14:textId="77777777">
      <w:pPr>
        <w:pStyle w:val="AmJustText"/>
      </w:pPr>
      <w:r w:rsidRPr="00B16DFD">
        <w:t>De nationale kompetente myndigheder har værdifuld tilsynsmæssig erfaring og viden om lokale markeder. ESMA bør derfor trække på denne ekspertise, hvor det er relevant. Dette styrker samarbejdet og hjælper med at sikre informerede beslutninger, samtidig med at ESMA's skøn bevares for at afgøre, fra sag til sag, om og hvordan national ekspertise er relevant, uden at det påvirker dens ansvar for den endelige beslutning.</w:t>
      </w:r>
    </w:p>
    <w:p w:rsidR="00365C9B" w:rsidRPr="00B16DFD" w:rsidP="00365C9B" w14:paraId="182D5BB1" w14:textId="77777777">
      <w:r w:rsidRPr="00B16DFD">
        <w:rPr>
          <w:rStyle w:val="HideTWBExt"/>
          <w:color w:val="auto"/>
        </w:rPr>
        <w:t>&lt;/Amend&gt;</w:t>
      </w:r>
    </w:p>
    <w:p w:rsidR="00365C9B" w:rsidRPr="00B16DFD" w:rsidP="00365C9B" w14:paraId="16730069"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381</w:t>
      </w:r>
      <w:r w:rsidRPr="00B16DFD">
        <w:rPr>
          <w:rStyle w:val="HideTWBExt"/>
          <w:color w:val="auto"/>
        </w:rPr>
        <w:t>&lt;/NumAm&gt;</w:t>
      </w:r>
    </w:p>
    <w:p w:rsidR="00365C9B" w:rsidRPr="00B16DFD" w:rsidP="00365C9B" w14:paraId="54E37264" w14:textId="77777777">
      <w:pPr>
        <w:pStyle w:val="NormalBold"/>
      </w:pPr>
      <w:r w:rsidRPr="00B16DFD">
        <w:rPr>
          <w:rStyle w:val="HideTWBExt"/>
          <w:b w:val="0"/>
          <w:color w:val="auto"/>
        </w:rPr>
        <w:t>&lt;RepeatBlock-By&gt;&lt;Members&gt;</w:t>
      </w:r>
      <w:r w:rsidRPr="00B16DFD">
        <w:t>Johan Van Overtveldt, Giovanni Crosetto, Francesco Ventola, Mariateresa Vivaldini, Marco Squarta, Denis Nesci</w:t>
      </w:r>
      <w:r w:rsidRPr="00B16DFD">
        <w:rPr>
          <w:rStyle w:val="HideTWBExt"/>
          <w:b w:val="0"/>
          <w:color w:val="auto"/>
        </w:rPr>
        <w:t>&lt;/Members&gt;</w:t>
      </w:r>
    </w:p>
    <w:p w:rsidR="00365C9B" w:rsidRPr="00B16DFD" w:rsidP="00365C9B" w14:paraId="34A853A6" w14:textId="77777777">
      <w:pPr>
        <w:pStyle w:val="NormalBold"/>
      </w:pPr>
      <w:r w:rsidRPr="00B16DFD">
        <w:rPr>
          <w:rStyle w:val="HideTWBExt"/>
          <w:b w:val="0"/>
          <w:color w:val="auto"/>
        </w:rPr>
        <w:t>&lt;/RepeatBlock-By&gt;</w:t>
      </w:r>
    </w:p>
    <w:p w:rsidR="00365C9B" w:rsidRPr="00B16DFD" w:rsidP="00365C9B" w14:paraId="389DE1AB"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1BE73936"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108A892A"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2DBCBABE" w14:textId="77777777">
      <w:r w:rsidRPr="00B16DFD">
        <w:rPr>
          <w:rStyle w:val="HideTWBExt"/>
          <w:color w:val="auto"/>
        </w:rPr>
        <w:t>&lt;Article2&gt;</w:t>
      </w:r>
      <w:r w:rsidRPr="00B16DFD">
        <w:t>Artikel 8a – stk. 2</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CE649B"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C54E47D" w14:textId="77777777"/>
        </w:tc>
      </w:tr>
      <w:tr w14:paraId="2AB3DD4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BF655F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44BCAE7" w14:textId="77777777">
            <w:pPr>
              <w:pStyle w:val="AmColumnHeading"/>
            </w:pPr>
            <w:r w:rsidRPr="00B16DFD">
              <w:t>Ændringsforslag</w:t>
            </w:r>
          </w:p>
        </w:tc>
      </w:tr>
      <w:tr w14:paraId="5BB8C5E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13CD312" w14:textId="77777777">
            <w:pPr>
              <w:pStyle w:val="Normal6a"/>
            </w:pPr>
            <w:r w:rsidRPr="00B16DFD">
              <w:t>2.</w:t>
            </w:r>
            <w:r w:rsidRPr="00B16DFD">
              <w:tab/>
              <w:t xml:space="preserve">Både myndigheden og myndighederne er underlagt en forpligtelse til loyalt samarbejde og en forpligtelse til at </w:t>
            </w:r>
            <w:r w:rsidRPr="00B16DFD">
              <w:t xml:space="preserve">udveksle oplysninger for effektivt at kunne udføre deres opgaver. Myndigheden </w:t>
            </w:r>
            <w:r w:rsidRPr="00B16DFD">
              <w:rPr>
                <w:b/>
                <w:i/>
              </w:rPr>
              <w:t>kan</w:t>
            </w:r>
            <w:r w:rsidRPr="00B16DFD">
              <w:t xml:space="preserve"> under udførelsen af sine opgaver trække på myndighedernes ekspertise og viden, herunder deres tilsynsmæssige erfaring og forståelse af særlige økonomiske, organisatoriske og kulturelle forhold. Myndighederne er, hvor det er relevant, og uden at det berører myndighedens ansvar og ansvarlighed for de opgaver, som overdrages til den ved denne forordning og den i artikel 1, stk. 2, omhandlede lovgivning, ansvarlige for at bistå myndigheden på de betingelser, der er fastsat i ordningerne i denne artikel. Dette kan omfatte støtte til udarbejdelse og gennemførelse af retsakter vedrørende de opgaver, der er omhandlet i artikel 8, stk. 1, litra l), herunder bistand til verifikationsaktiviteter eller udførelse af specifikke operationelle opgaver. Myndighederne følger myndighedens instrukser, når de yder støtte og udfører opgaver i henhold til disse ordninger.</w:t>
            </w:r>
          </w:p>
        </w:tc>
        <w:tc>
          <w:tcPr>
            <w:tcW w:w="4876" w:type="dxa"/>
            <w:tcBorders>
              <w:top w:val="nil"/>
              <w:left w:val="nil"/>
              <w:bottom w:val="nil"/>
              <w:right w:val="nil"/>
            </w:tcBorders>
            <w:hideMark/>
          </w:tcPr>
          <w:p w:rsidR="00365C9B" w:rsidRPr="00B16DFD" w:rsidP="00F61C80" w14:paraId="257A310F" w14:textId="77777777">
            <w:pPr>
              <w:pStyle w:val="Normal6a"/>
            </w:pPr>
            <w:r w:rsidRPr="00B16DFD">
              <w:t>2.</w:t>
            </w:r>
            <w:r w:rsidRPr="00B16DFD">
              <w:tab/>
              <w:t xml:space="preserve">Både myndigheden og myndighederne er underlagt en forpligtelse til loyalt samarbejde og en forpligtelse til at </w:t>
            </w:r>
            <w:r w:rsidRPr="00B16DFD">
              <w:t xml:space="preserve">udveksle oplysninger for effektivt at kunne udføre deres opgaver. Myndigheden </w:t>
            </w:r>
            <w:r w:rsidRPr="00B16DFD">
              <w:rPr>
                <w:b/>
                <w:i/>
              </w:rPr>
              <w:t>trækker</w:t>
            </w:r>
            <w:r w:rsidRPr="00B16DFD">
              <w:t xml:space="preserve"> under udførelsen af sine opgaver på myndighedernes ekspertise og viden, herunder deres tilsynsmæssige erfaring og forståelse af særlige økonomiske, organisatoriske og kulturelle forhold. Myndighederne er, hvor det er relevant, og uden at det berører myndighedens ansvar og ansvarlighed for de opgaver, som overdrages til den ved denne forordning og den i artikel 1, stk. 2, omhandlede lovgivning, ansvarlige for at bistå myndigheden på de betingelser, der er fastsat i ordningerne i denne artikel. Dette kan omfatte støtte til udarbejdelse og gennemførelse af retsakter vedrørende de opgaver, der er omhandlet i artikel 8, stk. 1, litra l), herunder bistand til verifikationsaktiviteter eller udførelse af specifikke operationelle opgaver. Myndighederne følger myndighedens instrukser, når de yder støtte og udfører opgaver i henhold til disse ordninger.</w:t>
            </w:r>
          </w:p>
        </w:tc>
      </w:tr>
    </w:tbl>
    <w:p w:rsidR="00365C9B" w:rsidRPr="00734CAA" w:rsidP="00365C9B" w14:paraId="5A8DAE6C"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8694E36" w14:textId="77777777">
      <w:pPr>
        <w:rPr>
          <w:lang w:val="en-GB"/>
        </w:rPr>
      </w:pPr>
      <w:r w:rsidRPr="00734CAA">
        <w:rPr>
          <w:rStyle w:val="HideTWBExt"/>
          <w:color w:val="auto"/>
          <w:lang w:val="en-GB"/>
        </w:rPr>
        <w:t>&lt;/Amend&gt;</w:t>
      </w:r>
    </w:p>
    <w:p w:rsidR="00365C9B" w:rsidRPr="00734CAA" w:rsidP="00365C9B" w14:paraId="65B218C8"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382</w:t>
      </w:r>
      <w:r w:rsidRPr="00734CAA">
        <w:rPr>
          <w:rStyle w:val="HideTWBExt"/>
          <w:color w:val="auto"/>
          <w:lang w:val="en-GB"/>
        </w:rPr>
        <w:t>&lt;/NumAm&gt;</w:t>
      </w:r>
    </w:p>
    <w:p w:rsidR="00365C9B" w:rsidRPr="00734CAA" w:rsidP="00365C9B" w14:paraId="7C6D94C2"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12F0CA18" w14:textId="77777777">
      <w:pPr>
        <w:pStyle w:val="NormalBold"/>
      </w:pPr>
      <w:r w:rsidRPr="00B16DFD">
        <w:rPr>
          <w:rStyle w:val="HideTWBExt"/>
          <w:b w:val="0"/>
          <w:color w:val="auto"/>
        </w:rPr>
        <w:t>&lt;/RepeatBlock-By&gt;</w:t>
      </w:r>
    </w:p>
    <w:p w:rsidR="00365C9B" w:rsidRPr="00B16DFD" w:rsidP="00365C9B" w14:paraId="3A85B8A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370AF3BB"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3A3524D3"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23D28EF7" w14:textId="77777777">
      <w:r w:rsidRPr="00B16DFD">
        <w:rPr>
          <w:rStyle w:val="HideTWBExt"/>
          <w:color w:val="auto"/>
        </w:rPr>
        <w:t>&lt;Article2&gt;</w:t>
      </w:r>
      <w:r w:rsidRPr="00B16DFD">
        <w:t>Artikel 8a – stk. 2</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F38831"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FC36B2D" w14:textId="77777777"/>
        </w:tc>
      </w:tr>
      <w:tr w14:paraId="77472D90"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7BCC0C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F3B76BF" w14:textId="77777777">
            <w:pPr>
              <w:pStyle w:val="AmColumnHeading"/>
            </w:pPr>
            <w:r w:rsidRPr="00B16DFD">
              <w:t>Ændringsforslag</w:t>
            </w:r>
          </w:p>
        </w:tc>
      </w:tr>
      <w:tr w14:paraId="59CCCEB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0ABE5A7" w14:textId="77777777">
            <w:pPr>
              <w:pStyle w:val="Normal6a"/>
            </w:pPr>
            <w:r w:rsidRPr="00B16DFD">
              <w:t>2.</w:t>
            </w:r>
            <w:r w:rsidRPr="00B16DFD">
              <w:tab/>
              <w:t xml:space="preserve">Både myndigheden og myndighederne er underlagt en forpligtelse til loyalt samarbejde og en forpligtelse til at udveksle oplysninger for effektivt at kunne udføre deres opgaver. Myndigheden </w:t>
            </w:r>
            <w:r w:rsidRPr="00B16DFD">
              <w:rPr>
                <w:b/>
                <w:i/>
              </w:rPr>
              <w:t>kan</w:t>
            </w:r>
            <w:r w:rsidRPr="00B16DFD">
              <w:t xml:space="preserve"> under udførelsen af sine opgaver trække på myndighedernes ekspertise og viden, herunder deres tilsynsmæssige erfaring og forståelse af særlige økonomiske, organisatoriske og kulturelle forhold. </w:t>
            </w:r>
            <w:r w:rsidRPr="00B16DFD">
              <w:t>Myndighederne er, hvor det er relevant, og uden at det berører myndighedens ansvar og ansvarlighed for de opgaver, som overdrages til den ved denne forordning og den i artikel 1, stk. 2, omhandlede lovgivning, ansvarlige for at bistå myndigheden på de betingelser, der er fastsat i ordningerne i denne artikel. Dette kan omfatte støtte til udarbejdelse og gennemførelse af retsakter vedrørende de opgaver, der er omhandlet i artikel 8, stk. 1, litra l), herunder bistand til verifikationsaktiviteter eller udførelse af specifikke operationelle opgaver. Myndighederne følger myndighedens instrukser, når de yder støtte og udfører opgaver i henhold til disse ordninger.</w:t>
            </w:r>
          </w:p>
        </w:tc>
        <w:tc>
          <w:tcPr>
            <w:tcW w:w="4876" w:type="dxa"/>
            <w:tcBorders>
              <w:top w:val="nil"/>
              <w:left w:val="nil"/>
              <w:bottom w:val="nil"/>
              <w:right w:val="nil"/>
            </w:tcBorders>
            <w:hideMark/>
          </w:tcPr>
          <w:p w:rsidR="00365C9B" w:rsidRPr="00B16DFD" w:rsidP="00F61C80" w14:paraId="5D95E05A" w14:textId="77777777">
            <w:pPr>
              <w:pStyle w:val="Normal6a"/>
            </w:pPr>
            <w:r w:rsidRPr="00B16DFD">
              <w:t>2.</w:t>
            </w:r>
            <w:r w:rsidRPr="00B16DFD">
              <w:tab/>
              <w:t xml:space="preserve">Både myndigheden og myndighederne er underlagt en forpligtelse til loyalt samarbejde og en forpligtelse til at udveksle oplysninger for effektivt at kunne udføre deres opgaver. Myndigheden </w:t>
            </w:r>
            <w:r w:rsidRPr="00B16DFD">
              <w:rPr>
                <w:b/>
                <w:i/>
              </w:rPr>
              <w:t>trækker</w:t>
            </w:r>
            <w:r w:rsidRPr="00B16DFD">
              <w:t xml:space="preserve"> under udførelsen af sine opgaver på myndighedernes ekspertise og viden, herunder deres tilsynsmæssige erfaring og forståelse af særlige økonomiske, organisatoriske og kulturelle forhold. </w:t>
            </w:r>
            <w:r w:rsidRPr="00B16DFD">
              <w:t>Myndighederne er, hvor det er relevant, og uden at det berører myndighedens ansvar og ansvarlighed for de opgaver, som overdrages til den ved denne forordning og den i artikel 1, stk. 2, omhandlede lovgivning, ansvarlige for at bistå myndigheden på de betingelser, der er fastsat i ordningerne i denne artikel. Dette kan omfatte støtte til udarbejdelse og gennemførelse af retsakter vedrørende de opgaver, der er omhandlet i artikel 8, stk. 1, litra l), herunder bistand til verifikationsaktiviteter eller udførelse af specifikke operationelle opgaver. Myndighederne følger myndighedens instrukser, når de yder støtte og udfører opgaver i henhold til disse ordninger.</w:t>
            </w:r>
          </w:p>
        </w:tc>
      </w:tr>
    </w:tbl>
    <w:p w:rsidR="00365C9B" w:rsidRPr="00734CAA" w:rsidP="00365C9B" w14:paraId="2123F923"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C196A56" w14:textId="77777777">
      <w:pPr>
        <w:rPr>
          <w:lang w:val="en-GB"/>
        </w:rPr>
      </w:pPr>
      <w:r w:rsidRPr="00734CAA">
        <w:rPr>
          <w:rStyle w:val="HideTWBExt"/>
          <w:color w:val="auto"/>
          <w:lang w:val="en-GB"/>
        </w:rPr>
        <w:t>&lt;/Amend&gt;</w:t>
      </w:r>
    </w:p>
    <w:p w:rsidR="00365C9B" w:rsidRPr="00734CAA" w:rsidP="00365C9B" w14:paraId="6799495E"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383</w:t>
      </w:r>
      <w:r w:rsidRPr="00734CAA">
        <w:rPr>
          <w:rStyle w:val="HideTWBExt"/>
          <w:color w:val="auto"/>
          <w:lang w:val="en-GB"/>
        </w:rPr>
        <w:t>&lt;/NumAm&gt;</w:t>
      </w:r>
    </w:p>
    <w:p w:rsidR="00365C9B" w:rsidRPr="00734CAA" w:rsidP="00365C9B" w14:paraId="7EA092A8" w14:textId="77777777">
      <w:pPr>
        <w:pStyle w:val="NormalBold"/>
        <w:rPr>
          <w:lang w:val="en-GB"/>
        </w:rPr>
      </w:pPr>
      <w:r w:rsidRPr="00734CAA">
        <w:rPr>
          <w:rStyle w:val="HideTWBExt"/>
          <w:b w:val="0"/>
          <w:color w:val="auto"/>
          <w:lang w:val="en-GB"/>
        </w:rPr>
        <w:t>&lt;RepeatBlock-By&gt;&lt;Members&gt;</w:t>
      </w:r>
      <w:r w:rsidRPr="00734CAA">
        <w:rPr>
          <w:lang w:val="en-GB"/>
        </w:rPr>
        <w:t>Gaetano Pedulla'</w:t>
      </w:r>
      <w:r w:rsidRPr="00734CAA">
        <w:rPr>
          <w:rStyle w:val="HideTWBExt"/>
          <w:b w:val="0"/>
          <w:color w:val="auto"/>
          <w:lang w:val="en-GB"/>
        </w:rPr>
        <w:t>&lt;/Members&gt;</w:t>
      </w:r>
    </w:p>
    <w:p w:rsidR="00365C9B" w:rsidRPr="00B16DFD" w:rsidP="00365C9B" w14:paraId="71272C5E" w14:textId="77777777">
      <w:pPr>
        <w:pStyle w:val="NormalBold"/>
      </w:pPr>
      <w:r w:rsidRPr="00B16DFD">
        <w:rPr>
          <w:rStyle w:val="HideTWBExt"/>
          <w:b w:val="0"/>
          <w:color w:val="auto"/>
        </w:rPr>
        <w:t>&lt;/RepeatBlock-By&gt;</w:t>
      </w:r>
    </w:p>
    <w:p w:rsidR="00365C9B" w:rsidRPr="00B16DFD" w:rsidP="00365C9B" w14:paraId="06DDFD60"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D4DFCA8"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03E27607"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21D6987A" w14:textId="77777777">
      <w:r w:rsidRPr="00B16DFD">
        <w:rPr>
          <w:rStyle w:val="HideTWBExt"/>
          <w:color w:val="auto"/>
        </w:rPr>
        <w:t>&lt;Article2&gt;</w:t>
      </w:r>
      <w:r w:rsidRPr="00B16DFD">
        <w:t>Artikel 8a – stk. 3</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0B3E3"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0A4410F" w14:textId="77777777"/>
        </w:tc>
      </w:tr>
      <w:tr w14:paraId="0BF4544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0E20AB2"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AC1129F" w14:textId="77777777">
            <w:pPr>
              <w:pStyle w:val="AmColumnHeading"/>
            </w:pPr>
            <w:r w:rsidRPr="00B16DFD">
              <w:t>Ændringsforslag</w:t>
            </w:r>
          </w:p>
        </w:tc>
      </w:tr>
      <w:tr w14:paraId="587C9F4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3752CF16" w14:textId="77777777">
            <w:pPr>
              <w:pStyle w:val="Normal6a"/>
            </w:pPr>
            <w:r w:rsidRPr="00B16DFD">
              <w:t>3.</w:t>
            </w:r>
            <w:r w:rsidRPr="00B16DFD">
              <w:tab/>
              <w:t>Med henblik på at udføre opgaver i henhold til artikel 8, stk. 1, litra l), og uden at det berører særlige ordninger, der er fastsat i andre EU-retsakter, fastlægger myndigheden</w:t>
            </w:r>
            <w:r w:rsidRPr="00B16DFD">
              <w:rPr>
                <w:b/>
                <w:i/>
              </w:rPr>
              <w:t xml:space="preserve"> under sit overordnede ansvar </w:t>
            </w:r>
            <w:r w:rsidRPr="00B16DFD">
              <w:t xml:space="preserve">og </w:t>
            </w:r>
            <w:r w:rsidRPr="00B16DFD">
              <w:rPr>
                <w:b/>
                <w:i/>
              </w:rPr>
              <w:t xml:space="preserve">efter høring af myndighederne </w:t>
            </w:r>
            <w:r w:rsidRPr="00B16DFD">
              <w:t>de praktiske ordninger for samarbejdet.</w:t>
            </w:r>
          </w:p>
        </w:tc>
        <w:tc>
          <w:tcPr>
            <w:tcW w:w="4876" w:type="dxa"/>
            <w:tcBorders>
              <w:top w:val="nil"/>
              <w:left w:val="nil"/>
              <w:bottom w:val="nil"/>
              <w:right w:val="nil"/>
            </w:tcBorders>
            <w:hideMark/>
          </w:tcPr>
          <w:p w:rsidR="00365C9B" w:rsidRPr="00B16DFD" w:rsidP="00F61C80" w14:paraId="7EDF52E9" w14:textId="77777777">
            <w:pPr>
              <w:pStyle w:val="Normal6a"/>
            </w:pPr>
            <w:r w:rsidRPr="00B16DFD">
              <w:t>3.</w:t>
            </w:r>
            <w:r w:rsidRPr="00B16DFD">
              <w:tab/>
              <w:t xml:space="preserve">Med henblik på at udføre opgaver i henhold til artikel 8, stk. 1, litra l), og uden at det berører særlige ordninger, der er fastsat i </w:t>
            </w:r>
            <w:r w:rsidRPr="00B16DFD">
              <w:rPr>
                <w:b/>
                <w:i/>
              </w:rPr>
              <w:t xml:space="preserve">artikel 8b eller </w:t>
            </w:r>
            <w:r w:rsidRPr="00B16DFD">
              <w:t xml:space="preserve">andre EU-retsakter, fastlægger myndigheden og </w:t>
            </w:r>
            <w:r w:rsidRPr="00B16DFD">
              <w:rPr>
                <w:b/>
                <w:i/>
              </w:rPr>
              <w:t xml:space="preserve">de myndigheder, der er udpeget i stk. 1, </w:t>
            </w:r>
            <w:r w:rsidRPr="00B16DFD">
              <w:t xml:space="preserve">de praktiske ordninger for samarbejdet. </w:t>
            </w:r>
            <w:r w:rsidRPr="00B16DFD">
              <w:rPr>
                <w:b/>
                <w:i/>
              </w:rPr>
              <w:t>De relevante nationale kompetente myndigheder samt de andre myndigheder, der er udpeget i stk. 1, inddrages rettidigt i forhandlingerne og udarbejdelsen af samarbejdsordningerne. Sådanne samarbejdsordninger skal godkendes af myndighederne, inden de sendes til direktionen i overensstemmelse med stk. 6.</w:t>
            </w:r>
          </w:p>
        </w:tc>
      </w:tr>
    </w:tbl>
    <w:p w:rsidR="00365C9B" w:rsidRPr="00734CAA" w:rsidP="00365C9B" w14:paraId="3FF6DFD3"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CF57F9C" w14:textId="77777777">
      <w:pPr>
        <w:rPr>
          <w:lang w:val="en-GB"/>
        </w:rPr>
      </w:pPr>
      <w:r w:rsidRPr="00734CAA">
        <w:rPr>
          <w:rStyle w:val="HideTWBExt"/>
          <w:color w:val="auto"/>
          <w:lang w:val="en-GB"/>
        </w:rPr>
        <w:t>&lt;/Amend&gt;</w:t>
      </w:r>
    </w:p>
    <w:p w:rsidR="00365C9B" w:rsidRPr="00734CAA" w:rsidP="00365C9B" w14:paraId="795946A8"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384</w:t>
      </w:r>
      <w:r w:rsidRPr="00734CAA">
        <w:rPr>
          <w:rStyle w:val="HideTWBExt"/>
          <w:color w:val="auto"/>
          <w:lang w:val="en-GB"/>
        </w:rPr>
        <w:t>&lt;/NumAm&gt;</w:t>
      </w:r>
    </w:p>
    <w:p w:rsidR="00365C9B" w:rsidRPr="00734CAA" w:rsidP="00365C9B" w14:paraId="70F8A426"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0DBE2F3B" w14:textId="77777777">
      <w:pPr>
        <w:pStyle w:val="NormalBold"/>
      </w:pPr>
      <w:r w:rsidRPr="00B16DFD">
        <w:rPr>
          <w:rStyle w:val="HideTWBExt"/>
          <w:b w:val="0"/>
          <w:color w:val="auto"/>
        </w:rPr>
        <w:t>&lt;/RepeatBlock-By&gt;</w:t>
      </w:r>
    </w:p>
    <w:p w:rsidR="00365C9B" w:rsidRPr="00B16DFD" w:rsidP="00365C9B" w14:paraId="5426B3CA"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6BCC1F8D"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10E355E4"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7C62D46E" w14:textId="77777777">
      <w:r w:rsidRPr="00B16DFD">
        <w:rPr>
          <w:rStyle w:val="HideTWBExt"/>
          <w:color w:val="auto"/>
        </w:rPr>
        <w:t>&lt;Article2&gt;</w:t>
      </w:r>
      <w:r w:rsidRPr="00B16DFD">
        <w:t>Artikel 8a – stk. 3</w:t>
      </w:r>
      <w:r w:rsidRPr="00B16DFD">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5BFC49" w14:textId="77777777" w:rsidTr="00F61C8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67C8089" w14:textId="77777777"/>
        </w:tc>
      </w:tr>
      <w:tr w14:paraId="0D3475BA" w14:textId="77777777" w:rsidTr="00F61C8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0EA416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5DAFD4F" w14:textId="77777777">
            <w:pPr>
              <w:pStyle w:val="AmColumnHeading"/>
            </w:pPr>
            <w:r w:rsidRPr="00B16DFD">
              <w:t>Ændringsforslag</w:t>
            </w:r>
          </w:p>
        </w:tc>
      </w:tr>
      <w:tr w14:paraId="0C684A60" w14:textId="77777777" w:rsidTr="00F61C8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309512A0" w14:textId="77777777">
            <w:pPr>
              <w:pStyle w:val="Normal6a"/>
            </w:pPr>
            <w:r w:rsidRPr="00B16DFD">
              <w:t>3.</w:t>
            </w:r>
            <w:r w:rsidRPr="00B16DFD">
              <w:tab/>
              <w:t xml:space="preserve">Med henblik på at udføre opgaver i henhold til artikel 8, stk. 1, litra l), og uden at det berører særlige ordninger, der er fastsat i andre EU-retsakter, fastlægger myndigheden under sit overordnede ansvar og </w:t>
            </w:r>
            <w:r w:rsidRPr="00B16DFD">
              <w:rPr>
                <w:b/>
                <w:i/>
              </w:rPr>
              <w:t>efter høring</w:t>
            </w:r>
            <w:r w:rsidRPr="00B16DFD">
              <w:t xml:space="preserve"> af myndighederne de praktiske ordninger for samarbejdet.</w:t>
            </w:r>
          </w:p>
        </w:tc>
        <w:tc>
          <w:tcPr>
            <w:tcW w:w="4876" w:type="dxa"/>
            <w:tcBorders>
              <w:top w:val="nil"/>
              <w:left w:val="nil"/>
              <w:bottom w:val="nil"/>
              <w:right w:val="nil"/>
            </w:tcBorders>
            <w:hideMark/>
          </w:tcPr>
          <w:p w:rsidR="00365C9B" w:rsidRPr="00B16DFD" w:rsidP="00F61C80" w14:paraId="61F8447D" w14:textId="77777777">
            <w:pPr>
              <w:pStyle w:val="Normal6a"/>
            </w:pPr>
            <w:r w:rsidRPr="00B16DFD">
              <w:t>3.</w:t>
            </w:r>
            <w:r w:rsidRPr="00B16DFD">
              <w:tab/>
              <w:t xml:space="preserve">Med henblik på at udføre opgaver i henhold til artikel 8, stk. 1, litra l), og uden at det berører særlige ordninger, der er fastsat i andre EU-retsakter, fastlægger myndigheden under sit overordnede ansvar og </w:t>
            </w:r>
            <w:r w:rsidRPr="00B16DFD">
              <w:rPr>
                <w:b/>
                <w:i/>
              </w:rPr>
              <w:t>med tæt inddragelse</w:t>
            </w:r>
            <w:r w:rsidRPr="00B16DFD">
              <w:t xml:space="preserve"> af myndighederne de praktiske ordninger for samarbejdet. </w:t>
            </w:r>
            <w:r w:rsidRPr="00B16DFD">
              <w:rPr>
                <w:b/>
                <w:i/>
              </w:rPr>
              <w:t>Myndigheden sikrer tæt inddragelse af myndighederne i hele udarbejdelses- og revisionsprocessen for de praktiske ordninger for samarbejdet og sikrer derved en inklusiv proces, der i tilstrækkelig grad afspejler myndighedernes legitime bekymringer i det daglige samarbejde.</w:t>
            </w:r>
          </w:p>
        </w:tc>
      </w:tr>
    </w:tbl>
    <w:p w:rsidR="00365C9B" w:rsidRPr="00B16DFD" w:rsidP="00365C9B" w14:paraId="17FA0BFC"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6EAA847B"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1EA95CE5" w14:textId="77777777">
      <w:pPr>
        <w:pStyle w:val="AmJustText"/>
      </w:pPr>
      <w:r w:rsidRPr="00B16DFD">
        <w:t>De kompetente myndigheder og de relevante myndigheder bør inddrages tæt af ESMA under udarbejdelsen og revisionen af samarbejdsordninger og derved sikre en inklusiv proces, der i tilstrækkelig grad afspejler deres legitime bekymringer i det daglige samarbejde.</w:t>
      </w:r>
    </w:p>
    <w:p w:rsidR="00365C9B" w:rsidRPr="00B16DFD" w:rsidP="00365C9B" w14:paraId="625D7A8E" w14:textId="77777777">
      <w:r w:rsidRPr="00B16DFD">
        <w:rPr>
          <w:rStyle w:val="HideTWBExt"/>
          <w:color w:val="auto"/>
        </w:rPr>
        <w:t>&lt;/Amend&gt;</w:t>
      </w:r>
    </w:p>
    <w:p w:rsidR="00365C9B" w:rsidRPr="00B16DFD" w:rsidP="00365C9B" w14:paraId="157E8A45"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385</w:t>
      </w:r>
      <w:r w:rsidRPr="00B16DFD">
        <w:rPr>
          <w:rStyle w:val="HideTWBExt"/>
          <w:color w:val="auto"/>
        </w:rPr>
        <w:t>&lt;/NumAm&gt;</w:t>
      </w:r>
    </w:p>
    <w:p w:rsidR="00365C9B" w:rsidRPr="00B16DFD" w:rsidP="00365C9B" w14:paraId="328B24FA" w14:textId="77777777">
      <w:pPr>
        <w:pStyle w:val="NormalBold"/>
      </w:pPr>
      <w:r w:rsidRPr="00B16DFD">
        <w:rPr>
          <w:rStyle w:val="HideTWBExt"/>
          <w:b w:val="0"/>
          <w:color w:val="auto"/>
        </w:rPr>
        <w:t>&lt;RepeatBlock-By&gt;&lt;Members&gt;</w:t>
      </w:r>
      <w:r w:rsidRPr="00B16DFD">
        <w:t>Jaroslav Knot, Auke Zijlstra, Enikő Győri, Pierre Pimpie, Tomáš Kubín</w:t>
      </w:r>
      <w:r w:rsidRPr="00B16DFD">
        <w:rPr>
          <w:rStyle w:val="HideTWBExt"/>
          <w:b w:val="0"/>
          <w:color w:val="auto"/>
        </w:rPr>
        <w:t>&lt;/Members&gt;</w:t>
      </w:r>
    </w:p>
    <w:p w:rsidR="00365C9B" w:rsidRPr="00B16DFD" w:rsidP="00365C9B" w14:paraId="1F164F3B" w14:textId="77777777">
      <w:pPr>
        <w:pStyle w:val="NormalBold"/>
      </w:pPr>
      <w:r w:rsidRPr="00B16DFD">
        <w:rPr>
          <w:rStyle w:val="HideTWBExt"/>
          <w:b w:val="0"/>
          <w:color w:val="auto"/>
        </w:rPr>
        <w:t>&lt;/RepeatBlock-By&gt;</w:t>
      </w:r>
    </w:p>
    <w:p w:rsidR="00365C9B" w:rsidRPr="00B16DFD" w:rsidP="00365C9B" w14:paraId="35EA5E0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7B270DD5"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244AA0E9"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5E0BE049" w14:textId="77777777">
      <w:r w:rsidRPr="00B16DFD">
        <w:rPr>
          <w:rStyle w:val="HideTWBExt"/>
          <w:color w:val="auto"/>
        </w:rPr>
        <w:t>&lt;Article2&gt;</w:t>
      </w:r>
      <w:r w:rsidRPr="00B16DFD">
        <w:t>Artikel 8a – stk. 3</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7545B"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8A841F7" w14:textId="77777777"/>
        </w:tc>
      </w:tr>
      <w:tr w14:paraId="1C12E90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06C06AA"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B489F45" w14:textId="77777777">
            <w:pPr>
              <w:pStyle w:val="AmColumnHeading"/>
            </w:pPr>
            <w:r w:rsidRPr="00B16DFD">
              <w:t>Ændringsforslag</w:t>
            </w:r>
          </w:p>
        </w:tc>
      </w:tr>
      <w:tr w14:paraId="3B17D1B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C830FB5" w14:textId="77777777">
            <w:pPr>
              <w:pStyle w:val="Normal6a"/>
            </w:pPr>
            <w:r w:rsidRPr="00B16DFD">
              <w:t>3.</w:t>
            </w:r>
            <w:r w:rsidRPr="00B16DFD">
              <w:tab/>
              <w:t>Med henblik på at udføre opgaver i henhold til artikel 8, stk. 1, litra l), og uden at det berører særlige ordninger, der er fastsat i andre EU-retsakter, fastlægger myndigheden under sit overordnede ansvar og efter høring af myndighederne de praktiske ordninger for samarbejdet.</w:t>
            </w:r>
          </w:p>
        </w:tc>
        <w:tc>
          <w:tcPr>
            <w:tcW w:w="4876" w:type="dxa"/>
            <w:tcBorders>
              <w:top w:val="nil"/>
              <w:left w:val="nil"/>
              <w:bottom w:val="nil"/>
              <w:right w:val="nil"/>
            </w:tcBorders>
            <w:hideMark/>
          </w:tcPr>
          <w:p w:rsidR="00365C9B" w:rsidRPr="00B16DFD" w:rsidP="00F61C80" w14:paraId="6AFE5BE2" w14:textId="77777777">
            <w:pPr>
              <w:pStyle w:val="Normal6a"/>
            </w:pPr>
            <w:r w:rsidRPr="00B16DFD">
              <w:t>3.</w:t>
            </w:r>
            <w:r w:rsidRPr="00B16DFD">
              <w:tab/>
              <w:t xml:space="preserve">Med henblik på at udføre opgaver i henhold til artikel 8, stk. 1, litra l), og uden at det berører særlige ordninger, der er fastsat i andre EU-retsakter, fastlægger myndigheden under sit overordnede ansvar og efter høring af </w:t>
            </w:r>
            <w:r w:rsidRPr="00B16DFD">
              <w:rPr>
                <w:b/>
                <w:i/>
              </w:rPr>
              <w:t xml:space="preserve">og efter aftale med </w:t>
            </w:r>
            <w:r w:rsidRPr="00B16DFD">
              <w:t xml:space="preserve">myndighederne de praktiske ordninger for samarbejdet. </w:t>
            </w:r>
            <w:r w:rsidRPr="00B16DFD">
              <w:rPr>
                <w:b/>
                <w:i/>
              </w:rPr>
              <w:t>Disse ordninger skal respektere de pågældende myndigheders lovbestemte ansvar, retlige begrænsninger, tilgængelige ressourcer og operationelle kapacitet og må ikke pålægge forpligtelser, der går videre end de opgaver, der udtrykkeligt er tillagt disse myndigheder i henhold til EU-retten eller national ret.</w:t>
            </w:r>
          </w:p>
        </w:tc>
      </w:tr>
    </w:tbl>
    <w:p w:rsidR="00365C9B" w:rsidRPr="00734CAA" w:rsidP="00365C9B" w14:paraId="1BD5CAA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3CD1D38" w14:textId="77777777">
      <w:pPr>
        <w:rPr>
          <w:lang w:val="en-GB"/>
        </w:rPr>
      </w:pPr>
      <w:r w:rsidRPr="00734CAA">
        <w:rPr>
          <w:rStyle w:val="HideTWBExt"/>
          <w:color w:val="auto"/>
          <w:lang w:val="en-GB"/>
        </w:rPr>
        <w:t>&lt;/Amend&gt;</w:t>
      </w:r>
    </w:p>
    <w:p w:rsidR="00365C9B" w:rsidRPr="00734CAA" w:rsidP="00365C9B" w14:paraId="17FBB1D2"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386</w:t>
      </w:r>
      <w:r w:rsidRPr="00734CAA">
        <w:rPr>
          <w:rStyle w:val="HideTWBExt"/>
          <w:color w:val="auto"/>
          <w:lang w:val="en-GB"/>
        </w:rPr>
        <w:t>&lt;/NumAm&gt;</w:t>
      </w:r>
    </w:p>
    <w:p w:rsidR="00365C9B" w:rsidRPr="00734CAA" w:rsidP="00365C9B" w14:paraId="2DE18C79"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40D6C6DD"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0A97DC03" w14:textId="77777777">
      <w:pPr>
        <w:pStyle w:val="NormalBold"/>
        <w:rPr>
          <w:lang w:val="en-GB"/>
        </w:rPr>
      </w:pPr>
      <w:r w:rsidRPr="00734CAA">
        <w:rPr>
          <w:rStyle w:val="HideTWBExt"/>
          <w:b w:val="0"/>
          <w:color w:val="auto"/>
          <w:lang w:val="en-GB"/>
        </w:rPr>
        <w:t>&lt;/RepeatBlock-By&gt;</w:t>
      </w:r>
    </w:p>
    <w:p w:rsidR="00365C9B" w:rsidRPr="00734CAA" w:rsidP="00365C9B" w14:paraId="7EE01CC1"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734CAA" w:rsidP="00365C9B" w14:paraId="76BC04C2"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260F6F01"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39223BD3" w14:textId="77777777">
      <w:r w:rsidRPr="00B16DFD">
        <w:rPr>
          <w:rStyle w:val="HideTWBExt"/>
          <w:color w:val="auto"/>
        </w:rPr>
        <w:t>&lt;Article2&gt;</w:t>
      </w:r>
      <w:r w:rsidRPr="00B16DFD">
        <w:t>Artikel 8a – stk. 3</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3036D1"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15DEBE9" w14:textId="77777777"/>
        </w:tc>
      </w:tr>
      <w:tr w14:paraId="6A3A0B3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3B3BC6D"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1508CE5" w14:textId="77777777">
            <w:pPr>
              <w:pStyle w:val="AmColumnHeading"/>
            </w:pPr>
            <w:r w:rsidRPr="00B16DFD">
              <w:t>Ændringsforslag</w:t>
            </w:r>
          </w:p>
        </w:tc>
      </w:tr>
      <w:tr w14:paraId="23172A1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FCD8856" w14:textId="77777777">
            <w:pPr>
              <w:pStyle w:val="Normal6a"/>
            </w:pPr>
            <w:r w:rsidRPr="00B16DFD">
              <w:t>3.</w:t>
            </w:r>
            <w:r w:rsidRPr="00B16DFD">
              <w:tab/>
              <w:t>Med henblik på at udføre opgaver i henhold til artikel 8, stk. 1, litra l), og uden at det berører særlige ordninger, der er fastsat i andre EU-retsakter, fastlægger myndigheden under sit overordnede ansvar og efter høring af myndighederne de praktiske ordninger for samarbejdet.</w:t>
            </w:r>
          </w:p>
        </w:tc>
        <w:tc>
          <w:tcPr>
            <w:tcW w:w="4876" w:type="dxa"/>
            <w:tcBorders>
              <w:top w:val="nil"/>
              <w:left w:val="nil"/>
              <w:bottom w:val="nil"/>
              <w:right w:val="nil"/>
            </w:tcBorders>
            <w:hideMark/>
          </w:tcPr>
          <w:p w:rsidR="00365C9B" w:rsidRPr="00B16DFD" w:rsidP="00F61C80" w14:paraId="1AF42409" w14:textId="77777777">
            <w:pPr>
              <w:pStyle w:val="Normal6a"/>
            </w:pPr>
            <w:r w:rsidRPr="00B16DFD">
              <w:t>3.</w:t>
            </w:r>
            <w:r w:rsidRPr="00B16DFD">
              <w:tab/>
              <w:t xml:space="preserve">Med henblik på at udføre opgaver i henhold til artikel 8, stk. 1, litra l), og uden at det berører særlige ordninger, der er fastsat i andre EU-retsakter, fastlægger myndigheden under sit overordnede ansvar og efter høring af myndighederne de praktiske ordninger for samarbejdet. </w:t>
            </w:r>
            <w:r w:rsidRPr="00B16DFD">
              <w:rPr>
                <w:b/>
                <w:i/>
              </w:rPr>
              <w:t xml:space="preserve">Myndigheden sikrer tæt inddragelse af myndighederne i hele udarbejdelses- og revisionsprocessen for de praktiske ordninger for samarbejdet og sikrer derved en inklusiv proces, der i tilstrækkelig grad afspejler myndighedernes legitime bekymringer i </w:t>
            </w:r>
            <w:r w:rsidRPr="00B16DFD">
              <w:rPr>
                <w:b/>
                <w:i/>
              </w:rPr>
              <w:t>det daglige samarbejde.</w:t>
            </w:r>
          </w:p>
        </w:tc>
      </w:tr>
    </w:tbl>
    <w:p w:rsidR="00365C9B" w:rsidRPr="00734CAA" w:rsidP="00365C9B" w14:paraId="4AB760E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80CFA2B" w14:textId="77777777">
      <w:pPr>
        <w:rPr>
          <w:lang w:val="en-GB"/>
        </w:rPr>
      </w:pPr>
      <w:r w:rsidRPr="00734CAA">
        <w:rPr>
          <w:rStyle w:val="HideTWBExt"/>
          <w:color w:val="auto"/>
          <w:lang w:val="en-GB"/>
        </w:rPr>
        <w:t>&lt;/Amend&gt;</w:t>
      </w:r>
    </w:p>
    <w:p w:rsidR="00365C9B" w:rsidRPr="00734CAA" w:rsidP="00365C9B" w14:paraId="4602D83F"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387</w:t>
      </w:r>
      <w:r w:rsidRPr="00734CAA">
        <w:rPr>
          <w:rStyle w:val="HideTWBExt"/>
          <w:color w:val="auto"/>
          <w:lang w:val="en-GB"/>
        </w:rPr>
        <w:t>&lt;/NumAm&gt;</w:t>
      </w:r>
    </w:p>
    <w:p w:rsidR="00365C9B" w:rsidRPr="00734CAA" w:rsidP="00365C9B" w14:paraId="762ED2E8"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Aurore Lalucq, Nikos Papandreou, Claire Fita</w:t>
      </w:r>
      <w:r w:rsidRPr="00734CAA">
        <w:rPr>
          <w:rStyle w:val="HideTWBExt"/>
          <w:b w:val="0"/>
          <w:color w:val="auto"/>
          <w:lang w:val="en-GB"/>
        </w:rPr>
        <w:t>&lt;/Members&gt;</w:t>
      </w:r>
    </w:p>
    <w:p w:rsidR="00365C9B" w:rsidRPr="00B16DFD" w:rsidP="00365C9B" w14:paraId="7D5E0F4E" w14:textId="77777777">
      <w:pPr>
        <w:pStyle w:val="NormalBold"/>
      </w:pPr>
      <w:r w:rsidRPr="00B16DFD">
        <w:rPr>
          <w:rStyle w:val="HideTWBExt"/>
          <w:b w:val="0"/>
          <w:color w:val="auto"/>
        </w:rPr>
        <w:t>&lt;/RepeatBlock-By&gt;</w:t>
      </w:r>
    </w:p>
    <w:p w:rsidR="00365C9B" w:rsidRPr="00B16DFD" w:rsidP="00365C9B" w14:paraId="1C7E1B7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2CEFC4D9"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055F89E9"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3D3A514A" w14:textId="77777777">
      <w:r w:rsidRPr="00B16DFD">
        <w:rPr>
          <w:rStyle w:val="HideTWBExt"/>
          <w:color w:val="auto"/>
        </w:rPr>
        <w:t>&lt;Article2&gt;</w:t>
      </w:r>
      <w:r w:rsidRPr="00B16DFD">
        <w:t>Artikel 8a – stk. 3</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84D13D"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14D4CB8" w14:textId="77777777"/>
        </w:tc>
      </w:tr>
      <w:tr w14:paraId="5DED852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B5BD2F3"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CB885B0" w14:textId="77777777">
            <w:pPr>
              <w:pStyle w:val="AmColumnHeading"/>
            </w:pPr>
            <w:r w:rsidRPr="00B16DFD">
              <w:t>Ændringsforslag</w:t>
            </w:r>
          </w:p>
        </w:tc>
      </w:tr>
      <w:tr w14:paraId="7EE5EA6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7C1A2FA9" w14:textId="77777777">
            <w:pPr>
              <w:pStyle w:val="Normal6a"/>
            </w:pPr>
            <w:r w:rsidRPr="00B16DFD">
              <w:t>3.</w:t>
            </w:r>
            <w:r w:rsidRPr="00B16DFD">
              <w:tab/>
              <w:t xml:space="preserve">Med henblik på at udføre opgaver i henhold til artikel 8, stk. 1, litra l), og uden at det berører særlige ordninger, der er fastsat i andre EU-retsakter, fastlægger myndigheden under sit overordnede ansvar og efter høring af myndighederne </w:t>
            </w:r>
            <w:r w:rsidRPr="00B16DFD">
              <w:rPr>
                <w:b/>
                <w:i/>
              </w:rPr>
              <w:t>de praktiske ordninger for samarbejdet</w:t>
            </w:r>
            <w:r w:rsidRPr="00B16DFD">
              <w:t>.</w:t>
            </w:r>
          </w:p>
        </w:tc>
        <w:tc>
          <w:tcPr>
            <w:tcW w:w="4876" w:type="dxa"/>
            <w:tcBorders>
              <w:top w:val="nil"/>
              <w:left w:val="nil"/>
              <w:bottom w:val="nil"/>
              <w:right w:val="nil"/>
            </w:tcBorders>
            <w:hideMark/>
          </w:tcPr>
          <w:p w:rsidR="00365C9B" w:rsidRPr="00B16DFD" w:rsidP="00F61C80" w14:paraId="13A36853" w14:textId="77777777">
            <w:pPr>
              <w:pStyle w:val="Normal6a"/>
            </w:pPr>
            <w:r w:rsidRPr="00B16DFD">
              <w:t>3.</w:t>
            </w:r>
            <w:r w:rsidRPr="00B16DFD">
              <w:tab/>
              <w:t xml:space="preserve">Med henblik på at udføre opgaver i henhold til artikel 8, stk. 1, litra l), og uden at det berører særlige ordninger, der er fastsat i andre EU-retsakter, fastlægger myndigheden under sit overordnede ansvar og efter høring af myndighederne </w:t>
            </w:r>
            <w:r w:rsidRPr="00B16DFD">
              <w:rPr>
                <w:b/>
                <w:i/>
              </w:rPr>
              <w:t>en ramme for gennemførelsen af denne artikel</w:t>
            </w:r>
            <w:r w:rsidRPr="00B16DFD">
              <w:t xml:space="preserve">. </w:t>
            </w:r>
            <w:r w:rsidRPr="00B16DFD">
              <w:rPr>
                <w:b/>
                <w:i/>
              </w:rPr>
              <w:t>Den ramme, der gælder for en given sektor, vedtages inden udgangen af den overgangsperiode, der er fastsat for denne sektor. Nøgleaspekter af denne ramme, der kan påvirke forholdet til enheder under tilsyn, offentliggøres.</w:t>
            </w:r>
          </w:p>
        </w:tc>
      </w:tr>
    </w:tbl>
    <w:p w:rsidR="00365C9B" w:rsidRPr="00734CAA" w:rsidP="00365C9B" w14:paraId="555F533A"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508CD2F" w14:textId="77777777">
      <w:pPr>
        <w:rPr>
          <w:lang w:val="en-GB"/>
        </w:rPr>
      </w:pPr>
      <w:r w:rsidRPr="00734CAA">
        <w:rPr>
          <w:rStyle w:val="HideTWBExt"/>
          <w:color w:val="auto"/>
          <w:lang w:val="en-GB"/>
        </w:rPr>
        <w:t>&lt;/Amend&gt;</w:t>
      </w:r>
    </w:p>
    <w:p w:rsidR="00365C9B" w:rsidRPr="00734CAA" w:rsidP="00365C9B" w14:paraId="61A91753"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388</w:t>
      </w:r>
      <w:r w:rsidRPr="00734CAA">
        <w:rPr>
          <w:rStyle w:val="HideTWBExt"/>
          <w:color w:val="auto"/>
          <w:lang w:val="en-GB"/>
        </w:rPr>
        <w:t>&lt;/NumAm&gt;</w:t>
      </w:r>
    </w:p>
    <w:p w:rsidR="00365C9B" w:rsidRPr="00734CAA" w:rsidP="00365C9B" w14:paraId="2EF0C776" w14:textId="77777777">
      <w:pPr>
        <w:pStyle w:val="NormalBold"/>
        <w:rPr>
          <w:lang w:val="en-GB"/>
        </w:rPr>
      </w:pPr>
      <w:r w:rsidRPr="00734CAA">
        <w:rPr>
          <w:rStyle w:val="HideTWBExt"/>
          <w:b w:val="0"/>
          <w:color w:val="auto"/>
          <w:lang w:val="en-GB"/>
        </w:rPr>
        <w:t>&lt;RepeatBlock-By&gt;&lt;Members&gt;</w:t>
      </w:r>
      <w:r w:rsidRPr="00734CAA">
        <w:rPr>
          <w:lang w:val="en-GB"/>
        </w:rPr>
        <w:t>Gaetano Pedulla'</w:t>
      </w:r>
      <w:r w:rsidRPr="00734CAA">
        <w:rPr>
          <w:rStyle w:val="HideTWBExt"/>
          <w:b w:val="0"/>
          <w:color w:val="auto"/>
          <w:lang w:val="en-GB"/>
        </w:rPr>
        <w:t>&lt;/Members&gt;</w:t>
      </w:r>
    </w:p>
    <w:p w:rsidR="00365C9B" w:rsidRPr="00B16DFD" w:rsidP="00365C9B" w14:paraId="6620BA74" w14:textId="77777777">
      <w:pPr>
        <w:pStyle w:val="NormalBold"/>
      </w:pPr>
      <w:r w:rsidRPr="00B16DFD">
        <w:rPr>
          <w:rStyle w:val="HideTWBExt"/>
          <w:b w:val="0"/>
          <w:color w:val="auto"/>
        </w:rPr>
        <w:t>&lt;/RepeatBlock-By&gt;</w:t>
      </w:r>
    </w:p>
    <w:p w:rsidR="00365C9B" w:rsidRPr="00B16DFD" w:rsidP="00365C9B" w14:paraId="109DE40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144101D6"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1CF031CE"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45B3751E" w14:textId="77777777">
      <w:r w:rsidRPr="00B16DFD">
        <w:rPr>
          <w:rStyle w:val="HideTWBExt"/>
          <w:color w:val="auto"/>
        </w:rPr>
        <w:t>&lt;Article2&gt;</w:t>
      </w:r>
      <w:r w:rsidRPr="00B16DFD">
        <w:t>Artikel 8a – stk. 4</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2D0E0"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10A0CC1B" w14:textId="77777777"/>
        </w:tc>
      </w:tr>
      <w:tr w14:paraId="0307FFD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3D3C32A"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DF31F63" w14:textId="77777777">
            <w:pPr>
              <w:pStyle w:val="AmColumnHeading"/>
            </w:pPr>
            <w:r w:rsidRPr="00B16DFD">
              <w:t>Ændringsforslag</w:t>
            </w:r>
          </w:p>
        </w:tc>
      </w:tr>
      <w:tr w14:paraId="20AE83E9"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4EEC401" w14:textId="77777777">
            <w:pPr>
              <w:pStyle w:val="Normal6a"/>
            </w:pPr>
            <w:r w:rsidRPr="00B16DFD">
              <w:t>4.</w:t>
            </w:r>
            <w:r w:rsidRPr="00B16DFD">
              <w:tab/>
              <w:t>Myndigheden bærer alle omkostninger, som afholdes af myndighederne i forbindelse med samarbejdet i henhold til denne artikel</w:t>
            </w:r>
            <w:r w:rsidRPr="00B16DFD">
              <w:rPr>
                <w:b/>
                <w:i/>
              </w:rPr>
              <w:t xml:space="preserve">, </w:t>
            </w:r>
            <w:r w:rsidRPr="00B16DFD">
              <w:rPr>
                <w:b/>
                <w:i/>
              </w:rPr>
              <w:t>medmindre andet aftales</w:t>
            </w:r>
            <w:r w:rsidRPr="00B16DFD">
              <w:t>.</w:t>
            </w:r>
          </w:p>
        </w:tc>
        <w:tc>
          <w:tcPr>
            <w:tcW w:w="4876" w:type="dxa"/>
            <w:tcBorders>
              <w:top w:val="nil"/>
              <w:left w:val="nil"/>
              <w:bottom w:val="nil"/>
              <w:right w:val="nil"/>
            </w:tcBorders>
            <w:hideMark/>
          </w:tcPr>
          <w:p w:rsidR="00365C9B" w:rsidRPr="00B16DFD" w:rsidP="00F61C80" w14:paraId="36E23F98" w14:textId="77777777">
            <w:pPr>
              <w:pStyle w:val="Normal6a"/>
            </w:pPr>
            <w:r w:rsidRPr="00B16DFD">
              <w:t>4.</w:t>
            </w:r>
            <w:r w:rsidRPr="00B16DFD">
              <w:tab/>
              <w:t>Myndigheden bærer alle omkostninger, som afholdes af myndighederne i forbindelse med samarbejdet i henhold til denne artikel</w:t>
            </w:r>
            <w:r w:rsidRPr="00B16DFD">
              <w:rPr>
                <w:b/>
                <w:i/>
              </w:rPr>
              <w:t xml:space="preserve"> og </w:t>
            </w:r>
            <w:r w:rsidRPr="00B16DFD">
              <w:rPr>
                <w:b/>
                <w:i/>
              </w:rPr>
              <w:t>artikel 8b</w:t>
            </w:r>
            <w:r w:rsidRPr="00B16DFD">
              <w:t>.</w:t>
            </w:r>
          </w:p>
        </w:tc>
      </w:tr>
    </w:tbl>
    <w:p w:rsidR="00365C9B" w:rsidRPr="00734CAA" w:rsidP="00365C9B" w14:paraId="62074561"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BFD7BDF" w14:textId="77777777">
      <w:pPr>
        <w:rPr>
          <w:lang w:val="en-GB"/>
        </w:rPr>
      </w:pPr>
      <w:r w:rsidRPr="00734CAA">
        <w:rPr>
          <w:rStyle w:val="HideTWBExt"/>
          <w:color w:val="auto"/>
          <w:lang w:val="en-GB"/>
        </w:rPr>
        <w:t>&lt;/Amend&gt;</w:t>
      </w:r>
    </w:p>
    <w:p w:rsidR="00365C9B" w:rsidRPr="00734CAA" w:rsidP="00365C9B" w14:paraId="0C325F24"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389</w:t>
      </w:r>
      <w:r w:rsidRPr="00734CAA">
        <w:rPr>
          <w:rStyle w:val="HideTWBExt"/>
          <w:color w:val="auto"/>
          <w:lang w:val="en-GB"/>
        </w:rPr>
        <w:t>&lt;/NumAm&gt;</w:t>
      </w:r>
    </w:p>
    <w:p w:rsidR="00365C9B" w:rsidRPr="00734CAA" w:rsidP="00365C9B" w14:paraId="0378A3CD" w14:textId="77777777">
      <w:pPr>
        <w:pStyle w:val="NormalBold"/>
        <w:rPr>
          <w:lang w:val="en-GB"/>
        </w:rPr>
      </w:pPr>
      <w:r w:rsidRPr="00734CAA">
        <w:rPr>
          <w:rStyle w:val="HideTWBExt"/>
          <w:b w:val="0"/>
          <w:color w:val="auto"/>
          <w:lang w:val="en-GB"/>
        </w:rPr>
        <w:t>&lt;RepeatBlock-By&gt;&lt;Members&gt;</w:t>
      </w:r>
      <w:r w:rsidRPr="00734CAA">
        <w:rPr>
          <w:lang w:val="en-GB"/>
        </w:rPr>
        <w:t>Isabel Benjumea Benjumea, Fernando Navarrete Rojas</w:t>
      </w:r>
      <w:r w:rsidRPr="00734CAA">
        <w:rPr>
          <w:rStyle w:val="HideTWBExt"/>
          <w:b w:val="0"/>
          <w:color w:val="auto"/>
          <w:lang w:val="en-GB"/>
        </w:rPr>
        <w:t>&lt;/Members&gt;</w:t>
      </w:r>
    </w:p>
    <w:p w:rsidR="00365C9B" w:rsidRPr="00734CAA" w:rsidP="00365C9B" w14:paraId="46309A08" w14:textId="77777777">
      <w:pPr>
        <w:pStyle w:val="NormalBold"/>
        <w:rPr>
          <w:lang w:val="en-GB"/>
        </w:rPr>
      </w:pPr>
      <w:r w:rsidRPr="00734CAA">
        <w:rPr>
          <w:rStyle w:val="HideTWBExt"/>
          <w:b w:val="0"/>
          <w:color w:val="auto"/>
          <w:lang w:val="en-GB"/>
        </w:rPr>
        <w:t>&lt;/RepeatBlock-By&gt;</w:t>
      </w:r>
    </w:p>
    <w:p w:rsidR="00365C9B" w:rsidRPr="00B16DFD" w:rsidP="00365C9B" w14:paraId="51920557"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69E3ABAD"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5E3DFA37"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0AB4FF2D" w14:textId="77777777">
      <w:r w:rsidRPr="00B16DFD">
        <w:rPr>
          <w:rStyle w:val="HideTWBExt"/>
          <w:color w:val="auto"/>
        </w:rPr>
        <w:t>&lt;Article2&gt;</w:t>
      </w:r>
      <w:r w:rsidRPr="00B16DFD">
        <w:t>Artikel 8a – stk. 5</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20F99"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CAE2A1A" w14:textId="77777777"/>
        </w:tc>
      </w:tr>
      <w:tr w14:paraId="7B2320C0"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E6D267E"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C6A754E" w14:textId="77777777">
            <w:pPr>
              <w:pStyle w:val="AmColumnHeading"/>
            </w:pPr>
            <w:r w:rsidRPr="00B16DFD">
              <w:t>Ændringsforslag</w:t>
            </w:r>
          </w:p>
        </w:tc>
      </w:tr>
      <w:tr w14:paraId="268E959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0DAC69C7" w14:textId="77777777">
            <w:pPr>
              <w:pStyle w:val="Normal6a"/>
            </w:pPr>
            <w:r w:rsidRPr="00B16DFD">
              <w:t>5.</w:t>
            </w:r>
            <w:r w:rsidRPr="00B16DFD">
              <w:tab/>
              <w:t xml:space="preserve">De praktiske samarbejdsordninger fastlægger de nærmere bestemmelser for støtte, procedurer og processer, herunder tidsfrister, for samarbejdet mellem myndigheden og myndighederne </w:t>
            </w:r>
            <w:r w:rsidRPr="00B16DFD">
              <w:rPr>
                <w:b/>
                <w:i/>
              </w:rPr>
              <w:t>og bygger</w:t>
            </w:r>
            <w:r w:rsidRPr="00B16DFD">
              <w:rPr>
                <w:b/>
              </w:rPr>
              <w:t xml:space="preserve"> </w:t>
            </w:r>
            <w:r w:rsidRPr="00B16DFD">
              <w:rPr>
                <w:b/>
                <w:i/>
              </w:rPr>
              <w:t>på</w:t>
            </w:r>
            <w:r w:rsidRPr="00B16DFD">
              <w:t xml:space="preserve"> følgende principper:</w:t>
            </w:r>
          </w:p>
        </w:tc>
        <w:tc>
          <w:tcPr>
            <w:tcW w:w="4876" w:type="dxa"/>
            <w:tcBorders>
              <w:top w:val="nil"/>
              <w:left w:val="nil"/>
              <w:bottom w:val="nil"/>
              <w:right w:val="nil"/>
            </w:tcBorders>
            <w:hideMark/>
          </w:tcPr>
          <w:p w:rsidR="00365C9B" w:rsidRPr="00B16DFD" w:rsidP="00F61C80" w14:paraId="2A62ACDE" w14:textId="3E101B27">
            <w:pPr>
              <w:pStyle w:val="Normal6a"/>
            </w:pPr>
            <w:r w:rsidRPr="00B16DFD">
              <w:t>5.</w:t>
            </w:r>
            <w:r w:rsidRPr="00B16DFD">
              <w:tab/>
              <w:t>De praktiske samarbejdsordninger fastlægger de nærmere bestemmelser for støtte, procedurer og processer, herunder tidsfrister, for samarbejdet mellem myndigheden og myndighederne</w:t>
            </w:r>
            <w:r w:rsidRPr="00B16DFD">
              <w:rPr>
                <w:b/>
                <w:i/>
              </w:rPr>
              <w:t xml:space="preserve">. De sikrer, at samarbejdet mellem myndigheden og de kompetente myndigheder ikke fører til parallelle eller modstridende anmodninger om oplysninger, overlappende inspektioner, divergerende kriterier, der gælder for den samme enhed og aktivitet, eller </w:t>
            </w:r>
            <w:r w:rsidR="00AA1655">
              <w:rPr>
                <w:b/>
                <w:i/>
              </w:rPr>
              <w:t>unødig</w:t>
            </w:r>
            <w:r w:rsidRPr="00B16DFD">
              <w:rPr>
                <w:b/>
                <w:i/>
              </w:rPr>
              <w:t>e operationelle byrder for deltagere på</w:t>
            </w:r>
            <w:r w:rsidR="00CB6039">
              <w:rPr>
                <w:b/>
                <w:i/>
              </w:rPr>
              <w:t xml:space="preserve"> finansmarked</w:t>
            </w:r>
            <w:r w:rsidR="00242139">
              <w:rPr>
                <w:b/>
                <w:i/>
              </w:rPr>
              <w:t>et</w:t>
            </w:r>
            <w:r w:rsidRPr="00B16DFD">
              <w:rPr>
                <w:b/>
                <w:i/>
              </w:rPr>
              <w:t>. Hvis en enhed berøres af en samarbejdsaftale, udpeger den eller de kompetente myndigheder, hvor det er relevant, et centralt kontaktpunkt for den pågældende enhed. Myndighederne følger</w:t>
            </w:r>
            <w:r w:rsidRPr="00B16DFD">
              <w:t xml:space="preserve"> følgende principper:</w:t>
            </w:r>
          </w:p>
        </w:tc>
      </w:tr>
    </w:tbl>
    <w:p w:rsidR="00365C9B" w:rsidRPr="00B16DFD" w:rsidP="00365C9B" w14:paraId="470EA77D" w14:textId="77777777">
      <w:pPr>
        <w:pStyle w:val="AmOrLang"/>
      </w:pPr>
      <w:r w:rsidRPr="00B16DFD">
        <w:t xml:space="preserve">Or. </w:t>
      </w:r>
      <w:r w:rsidRPr="00B16DFD">
        <w:rPr>
          <w:rStyle w:val="HideTWBExt"/>
          <w:color w:val="auto"/>
        </w:rPr>
        <w:t>&lt;Original&gt;</w:t>
      </w:r>
      <w:r w:rsidRPr="00B16DFD">
        <w:rPr>
          <w:rStyle w:val="HideTWBInt"/>
          <w:color w:val="auto"/>
        </w:rPr>
        <w:t>{ES}</w:t>
      </w:r>
      <w:r w:rsidRPr="00B16DFD">
        <w:t>es</w:t>
      </w:r>
      <w:r w:rsidRPr="00B16DFD">
        <w:rPr>
          <w:rStyle w:val="HideTWBExt"/>
          <w:color w:val="auto"/>
        </w:rPr>
        <w:t>&lt;/Original&gt;</w:t>
      </w:r>
    </w:p>
    <w:p w:rsidR="00365C9B" w:rsidRPr="00B16DFD" w:rsidP="00365C9B" w14:paraId="4A912103" w14:textId="372A31D1">
      <w:r w:rsidRPr="00B16DFD">
        <w:rPr>
          <w:rStyle w:val="HideTWBExt"/>
          <w:color w:val="auto"/>
        </w:rPr>
        <w:t>&lt;/Amend&gt;</w:t>
      </w:r>
    </w:p>
    <w:p w:rsidR="00365C9B" w:rsidRPr="00B16DFD" w:rsidP="00365C9B" w14:paraId="32EB77BD"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390</w:t>
      </w:r>
      <w:r w:rsidRPr="00B16DFD">
        <w:rPr>
          <w:rStyle w:val="HideTWBExt"/>
          <w:color w:val="auto"/>
        </w:rPr>
        <w:t>&lt;/NumAm&gt;</w:t>
      </w:r>
    </w:p>
    <w:p w:rsidR="00365C9B" w:rsidRPr="00734CAA" w:rsidP="00365C9B" w14:paraId="0E5D5405"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2D6D0CCC" w14:textId="77777777">
      <w:pPr>
        <w:pStyle w:val="NormalBold"/>
      </w:pPr>
      <w:r w:rsidRPr="00B16DFD">
        <w:rPr>
          <w:rStyle w:val="HideTWBExt"/>
          <w:b w:val="0"/>
          <w:color w:val="auto"/>
        </w:rPr>
        <w:t>&lt;/RepeatBlock-By&gt;</w:t>
      </w:r>
    </w:p>
    <w:p w:rsidR="00365C9B" w:rsidRPr="00B16DFD" w:rsidP="00365C9B" w14:paraId="4B90C4CD"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BDACC62"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63DF9242"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12FAD2D5" w14:textId="77777777">
      <w:r w:rsidRPr="00B16DFD">
        <w:rPr>
          <w:rStyle w:val="HideTWBExt"/>
          <w:color w:val="auto"/>
        </w:rPr>
        <w:t>&lt;Article2&gt;</w:t>
      </w:r>
      <w:r w:rsidRPr="00B16DFD">
        <w:t>Artikel 8a – stk. 5</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9E8AE6"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B76FB96" w14:textId="77777777"/>
        </w:tc>
      </w:tr>
      <w:tr w14:paraId="0E0AD8BF"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343787E"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E723292" w14:textId="77777777">
            <w:pPr>
              <w:pStyle w:val="AmColumnHeading"/>
            </w:pPr>
            <w:r w:rsidRPr="00B16DFD">
              <w:t>Ændringsforslag</w:t>
            </w:r>
          </w:p>
        </w:tc>
      </w:tr>
      <w:tr w14:paraId="78CCB79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5129C95D" w14:textId="77777777">
            <w:pPr>
              <w:pStyle w:val="Normal6a"/>
            </w:pPr>
            <w:r w:rsidRPr="00B16DFD">
              <w:t>5.</w:t>
            </w:r>
            <w:r w:rsidRPr="00B16DFD">
              <w:tab/>
              <w:t>De praktiske samarbejdsordninger fastlægger de nærmere bestemmelser for støtte, procedurer og processer, herunder tidsfrister, for samarbejdet mellem myndigheden og myndighederne og bygger på følgende principper:</w:t>
            </w:r>
          </w:p>
        </w:tc>
        <w:tc>
          <w:tcPr>
            <w:tcW w:w="4876" w:type="dxa"/>
            <w:tcBorders>
              <w:top w:val="nil"/>
              <w:left w:val="nil"/>
              <w:bottom w:val="nil"/>
              <w:right w:val="nil"/>
            </w:tcBorders>
            <w:hideMark/>
          </w:tcPr>
          <w:p w:rsidR="00365C9B" w:rsidRPr="00B16DFD" w:rsidP="00F61C80" w14:paraId="4B1ED48B" w14:textId="77777777">
            <w:pPr>
              <w:pStyle w:val="Normal6a"/>
            </w:pPr>
            <w:r w:rsidRPr="00B16DFD">
              <w:t>5.</w:t>
            </w:r>
            <w:r w:rsidRPr="00B16DFD">
              <w:tab/>
              <w:t>De praktiske samarbejdsordninger fastlægger de nærmere bestemmelser for støtte, procedurer og processer, herunder tidsfrister, for samarbejdet mellem myndigheden og myndighederne</w:t>
            </w:r>
            <w:r w:rsidRPr="00B16DFD">
              <w:rPr>
                <w:b/>
                <w:i/>
              </w:rPr>
              <w:t>, fastlægger en systematisk ramme for udveksling af ekspertise og viden om lokale markeder mellem myndigheden og myndighederne</w:t>
            </w:r>
            <w:r w:rsidRPr="00B16DFD">
              <w:t xml:space="preserve"> og bygger på følgende principper:</w:t>
            </w:r>
          </w:p>
        </w:tc>
      </w:tr>
    </w:tbl>
    <w:p w:rsidR="00365C9B" w:rsidRPr="00734CAA" w:rsidP="00365C9B" w14:paraId="60AB95DC"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1A104BF" w14:textId="77777777">
      <w:pPr>
        <w:rPr>
          <w:lang w:val="en-GB"/>
        </w:rPr>
      </w:pPr>
      <w:r w:rsidRPr="00734CAA">
        <w:rPr>
          <w:rStyle w:val="HideTWBExt"/>
          <w:color w:val="auto"/>
          <w:lang w:val="en-GB"/>
        </w:rPr>
        <w:t>&lt;/Amend&gt;</w:t>
      </w:r>
    </w:p>
    <w:p w:rsidR="00365C9B" w:rsidRPr="00734CAA" w:rsidP="00365C9B" w14:paraId="2631A313"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391</w:t>
      </w:r>
      <w:r w:rsidRPr="00734CAA">
        <w:rPr>
          <w:rStyle w:val="HideTWBExt"/>
          <w:color w:val="auto"/>
          <w:lang w:val="en-GB"/>
        </w:rPr>
        <w:t>&lt;/NumAm&gt;</w:t>
      </w:r>
    </w:p>
    <w:p w:rsidR="00365C9B" w:rsidRPr="00734CAA" w:rsidP="00365C9B" w14:paraId="5949E9F7"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03A18F50"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680396B9" w14:textId="77777777">
      <w:pPr>
        <w:pStyle w:val="NormalBold"/>
        <w:rPr>
          <w:lang w:val="en-GB"/>
        </w:rPr>
      </w:pPr>
      <w:r w:rsidRPr="00734CAA">
        <w:rPr>
          <w:rStyle w:val="HideTWBExt"/>
          <w:b w:val="0"/>
          <w:color w:val="auto"/>
          <w:lang w:val="en-GB"/>
        </w:rPr>
        <w:t>&lt;/RepeatBlock-By&gt;</w:t>
      </w:r>
    </w:p>
    <w:p w:rsidR="00365C9B" w:rsidRPr="00734CAA" w:rsidP="00365C9B" w14:paraId="6CBA2CEB"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734CAA" w:rsidP="00365C9B" w14:paraId="3D5A1AEC"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44C7AAC6"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3AEF3C01" w14:textId="77777777">
      <w:r w:rsidRPr="00B16DFD">
        <w:rPr>
          <w:rStyle w:val="HideTWBExt"/>
          <w:color w:val="auto"/>
        </w:rPr>
        <w:t>&lt;Article2&gt;</w:t>
      </w:r>
      <w:r w:rsidRPr="00B16DFD">
        <w:t>Artikel 8a – stk. 5</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7C66B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6DDD68C" w14:textId="77777777"/>
        </w:tc>
      </w:tr>
      <w:tr w14:paraId="0BC50A13"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A7D5A9D"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60A1499" w14:textId="77777777">
            <w:pPr>
              <w:pStyle w:val="AmColumnHeading"/>
            </w:pPr>
            <w:r w:rsidRPr="00B16DFD">
              <w:t>Ændringsforslag</w:t>
            </w:r>
          </w:p>
        </w:tc>
      </w:tr>
      <w:tr w14:paraId="4099310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120423C" w14:textId="77777777">
            <w:pPr>
              <w:pStyle w:val="Normal6a"/>
            </w:pPr>
            <w:r w:rsidRPr="00B16DFD">
              <w:t>5.</w:t>
            </w:r>
            <w:r w:rsidRPr="00B16DFD">
              <w:tab/>
              <w:t>De praktiske samarbejdsordninger fastlægger de nærmere bestemmelser for støtte, procedurer og processer, herunder tidsfrister, for samarbejdet mellem myndigheden og myndighederne og bygger på følgende principper:</w:t>
            </w:r>
          </w:p>
        </w:tc>
        <w:tc>
          <w:tcPr>
            <w:tcW w:w="4876" w:type="dxa"/>
            <w:tcBorders>
              <w:top w:val="nil"/>
              <w:left w:val="nil"/>
              <w:bottom w:val="nil"/>
              <w:right w:val="nil"/>
            </w:tcBorders>
            <w:hideMark/>
          </w:tcPr>
          <w:p w:rsidR="00365C9B" w:rsidRPr="00B16DFD" w:rsidP="00F61C80" w14:paraId="6D99CEA3" w14:textId="77777777">
            <w:pPr>
              <w:pStyle w:val="Normal6a"/>
            </w:pPr>
            <w:r w:rsidRPr="00B16DFD">
              <w:t>5.</w:t>
            </w:r>
            <w:r w:rsidRPr="00B16DFD">
              <w:tab/>
              <w:t xml:space="preserve">De praktiske samarbejdsordninger fastlægger de nærmere bestemmelser for støtte, procedurer og processer, herunder tidsfrister, for samarbejdet mellem myndigheden og myndighederne og </w:t>
            </w:r>
            <w:r w:rsidRPr="00B16DFD">
              <w:rPr>
                <w:b/>
                <w:i/>
              </w:rPr>
              <w:t>definerer klart ansvarsfordelingen og forvaltningen og</w:t>
            </w:r>
            <w:r w:rsidRPr="00B16DFD">
              <w:t xml:space="preserve"> bygger på følgende principper:</w:t>
            </w:r>
          </w:p>
        </w:tc>
      </w:tr>
    </w:tbl>
    <w:p w:rsidR="00365C9B" w:rsidRPr="00734CAA" w:rsidP="00365C9B" w14:paraId="4FFBF161"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F67E36B" w14:textId="77777777">
      <w:pPr>
        <w:rPr>
          <w:lang w:val="en-GB"/>
        </w:rPr>
      </w:pPr>
      <w:r w:rsidRPr="00734CAA">
        <w:rPr>
          <w:rStyle w:val="HideTWBExt"/>
          <w:color w:val="auto"/>
          <w:lang w:val="en-GB"/>
        </w:rPr>
        <w:t>&lt;/Amend&gt;</w:t>
      </w:r>
    </w:p>
    <w:p w:rsidR="00365C9B" w:rsidRPr="00734CAA" w:rsidP="00365C9B" w14:paraId="762D4FCD"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392</w:t>
      </w:r>
      <w:r w:rsidRPr="00734CAA">
        <w:rPr>
          <w:rStyle w:val="HideTWBExt"/>
          <w:color w:val="auto"/>
          <w:lang w:val="en-GB"/>
        </w:rPr>
        <w:t>&lt;/NumAm&gt;</w:t>
      </w:r>
    </w:p>
    <w:p w:rsidR="00365C9B" w:rsidRPr="00734CAA" w:rsidP="00365C9B" w14:paraId="435B624F"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23D74DD6" w14:textId="77777777">
      <w:pPr>
        <w:pStyle w:val="NormalBold"/>
      </w:pPr>
      <w:r w:rsidRPr="00B16DFD">
        <w:rPr>
          <w:rStyle w:val="HideTWBExt"/>
          <w:b w:val="0"/>
          <w:color w:val="auto"/>
        </w:rPr>
        <w:t>&lt;/RepeatBlock-By&gt;</w:t>
      </w:r>
    </w:p>
    <w:p w:rsidR="00365C9B" w:rsidRPr="00B16DFD" w:rsidP="00365C9B" w14:paraId="15D1DC1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2EF6286A"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34794938"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2BFAB399" w14:textId="77777777">
      <w:r w:rsidRPr="00B16DFD">
        <w:rPr>
          <w:rStyle w:val="HideTWBExt"/>
          <w:color w:val="auto"/>
        </w:rPr>
        <w:t>&lt;Article2&gt;</w:t>
      </w:r>
      <w:r w:rsidRPr="00B16DFD">
        <w:t>Artikel 8a – stk. 5 – indledning</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AC7684"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BC8CEA5" w14:textId="77777777"/>
        </w:tc>
      </w:tr>
      <w:tr w14:paraId="01B4CEFB"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04B9959"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F469451" w14:textId="77777777">
            <w:pPr>
              <w:pStyle w:val="AmColumnHeading"/>
            </w:pPr>
            <w:r w:rsidRPr="00B16DFD">
              <w:t>Ændringsforslag</w:t>
            </w:r>
          </w:p>
        </w:tc>
      </w:tr>
      <w:tr w14:paraId="211AF90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0753619" w14:textId="77777777">
            <w:pPr>
              <w:pStyle w:val="Normal6a"/>
            </w:pPr>
            <w:r w:rsidRPr="00B16DFD">
              <w:t>5.</w:t>
            </w:r>
            <w:r w:rsidRPr="00B16DFD">
              <w:tab/>
              <w:t>De praktiske samarbejdsordninger fastlægger de nærmere bestemmelser for støtte, procedurer og processer, herunder tidsfrister, for samarbejdet mellem myndigheden og myndighederne og bygger på følgende principper:</w:t>
            </w:r>
          </w:p>
        </w:tc>
        <w:tc>
          <w:tcPr>
            <w:tcW w:w="4876" w:type="dxa"/>
            <w:tcBorders>
              <w:top w:val="nil"/>
              <w:left w:val="nil"/>
              <w:bottom w:val="nil"/>
              <w:right w:val="nil"/>
            </w:tcBorders>
            <w:hideMark/>
          </w:tcPr>
          <w:p w:rsidR="00365C9B" w:rsidRPr="00B16DFD" w:rsidP="00F61C80" w14:paraId="7BA9186D" w14:textId="77777777">
            <w:pPr>
              <w:pStyle w:val="Normal6a"/>
            </w:pPr>
            <w:r w:rsidRPr="00B16DFD">
              <w:t>5.</w:t>
            </w:r>
            <w:r w:rsidRPr="00B16DFD">
              <w:tab/>
              <w:t xml:space="preserve">De praktiske samarbejdsordninger fastlægger de nærmere bestemmelser for støtte, procedurer og processer, herunder tidsfrister, for samarbejdet mellem myndigheden og myndighederne og </w:t>
            </w:r>
            <w:r w:rsidRPr="00B16DFD">
              <w:rPr>
                <w:b/>
                <w:i/>
              </w:rPr>
              <w:t>definerer klart ansvarsfordelingen og forvaltningen og</w:t>
            </w:r>
            <w:r w:rsidRPr="00B16DFD">
              <w:t xml:space="preserve"> bygger på følgende principper:</w:t>
            </w:r>
          </w:p>
        </w:tc>
      </w:tr>
    </w:tbl>
    <w:p w:rsidR="00365C9B" w:rsidRPr="00B16DFD" w:rsidP="00365C9B" w14:paraId="22D1071F"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480AE7DC"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656DB438" w14:textId="77777777">
      <w:pPr>
        <w:pStyle w:val="AmJustText"/>
      </w:pPr>
      <w:r w:rsidRPr="00B16DFD">
        <w:t>De praktiske ordninger for samarbejdet, der skal etableres af ESMA, bør sikre et tæt samarbejde mellem ESMA og de nationale kompetente myndigheder og, hvor det er relevant, de andre relevante myndigheder, der er involveret i disse ordninger.</w:t>
      </w:r>
    </w:p>
    <w:p w:rsidR="00365C9B" w:rsidRPr="00B16DFD" w:rsidP="00365C9B" w14:paraId="3CA7A541" w14:textId="77777777">
      <w:r w:rsidRPr="00B16DFD">
        <w:rPr>
          <w:rStyle w:val="HideTWBExt"/>
          <w:color w:val="auto"/>
        </w:rPr>
        <w:t>&lt;/Amend&gt;</w:t>
      </w:r>
    </w:p>
    <w:p w:rsidR="00365C9B" w:rsidRPr="00B16DFD" w:rsidP="00365C9B" w14:paraId="643A4BD2"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393</w:t>
      </w:r>
      <w:r w:rsidRPr="00B16DFD">
        <w:rPr>
          <w:rStyle w:val="HideTWBExt"/>
          <w:color w:val="auto"/>
        </w:rPr>
        <w:t>&lt;/NumAm&gt;</w:t>
      </w:r>
    </w:p>
    <w:p w:rsidR="00365C9B" w:rsidRPr="00B16DFD" w:rsidP="00365C9B" w14:paraId="2B7B9746" w14:textId="77777777">
      <w:pPr>
        <w:pStyle w:val="NormalBold"/>
      </w:pPr>
      <w:r w:rsidRPr="00B16DFD">
        <w:rPr>
          <w:rStyle w:val="HideTWBExt"/>
          <w:b w:val="0"/>
          <w:color w:val="auto"/>
        </w:rPr>
        <w:t>&lt;RepeatBlock-By&gt;&lt;Members&gt;</w:t>
      </w:r>
      <w:r w:rsidRPr="00B16DFD">
        <w:t>Johan Van Overtveldt, Giovanni Crosetto, Francesco Ventola, Mariateresa Vivaldini, Marco Squarta, Denis Nesci</w:t>
      </w:r>
      <w:r w:rsidRPr="00B16DFD">
        <w:rPr>
          <w:rStyle w:val="HideTWBExt"/>
          <w:b w:val="0"/>
          <w:color w:val="auto"/>
        </w:rPr>
        <w:t>&lt;/Members&gt;</w:t>
      </w:r>
    </w:p>
    <w:p w:rsidR="00365C9B" w:rsidRPr="00B16DFD" w:rsidP="00365C9B" w14:paraId="3F67260E" w14:textId="77777777">
      <w:pPr>
        <w:pStyle w:val="NormalBold"/>
      </w:pPr>
      <w:r w:rsidRPr="00B16DFD">
        <w:rPr>
          <w:rStyle w:val="HideTWBExt"/>
          <w:b w:val="0"/>
          <w:color w:val="auto"/>
        </w:rPr>
        <w:t>&lt;/RepeatBlock-By&gt;</w:t>
      </w:r>
    </w:p>
    <w:p w:rsidR="00365C9B" w:rsidRPr="00B16DFD" w:rsidP="00365C9B" w14:paraId="732BC7D1"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719D89DE"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43BF0E0C"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138ABAB4" w14:textId="77777777">
      <w:r w:rsidRPr="00B16DFD">
        <w:rPr>
          <w:rStyle w:val="HideTWBExt"/>
          <w:color w:val="auto"/>
        </w:rPr>
        <w:t>&lt;Article2&gt;</w:t>
      </w:r>
      <w:r w:rsidRPr="00B16DFD">
        <w:t>Artikel 8a – stk. 5 – litra b</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40B21A"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C2944C9" w14:textId="77777777"/>
        </w:tc>
      </w:tr>
      <w:tr w14:paraId="0CAE6A1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AFD7C8A"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99FA5F4" w14:textId="77777777">
            <w:pPr>
              <w:pStyle w:val="AmColumnHeading"/>
            </w:pPr>
            <w:r w:rsidRPr="00B16DFD">
              <w:t>Ændringsforslag</w:t>
            </w:r>
          </w:p>
        </w:tc>
      </w:tr>
      <w:tr w14:paraId="7A8F348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A28D624" w14:textId="77777777">
            <w:pPr>
              <w:pStyle w:val="Normal6a"/>
            </w:pPr>
            <w:r w:rsidRPr="00B16DFD">
              <w:rPr>
                <w:b/>
                <w:bCs/>
                <w:i/>
                <w:iCs/>
              </w:rPr>
              <w:t>(b)</w:t>
            </w:r>
            <w:r w:rsidRPr="00B16DFD">
              <w:tab/>
              <w:t>de giver mulighed for overgangsløsninger for at sikre kontinuitet og gnidningsløs overførsel af ansvarsområder fra myndighederne til myndigheden og fra myndigheden til myndighederne</w:t>
            </w:r>
          </w:p>
        </w:tc>
        <w:tc>
          <w:tcPr>
            <w:tcW w:w="4876" w:type="dxa"/>
            <w:tcBorders>
              <w:top w:val="nil"/>
              <w:left w:val="nil"/>
              <w:bottom w:val="nil"/>
              <w:right w:val="nil"/>
            </w:tcBorders>
            <w:hideMark/>
          </w:tcPr>
          <w:p w:rsidR="00365C9B" w:rsidRPr="00B16DFD" w:rsidP="00F61C80" w14:paraId="2BABD821" w14:textId="5FE64CF2">
            <w:pPr>
              <w:pStyle w:val="Normal6a"/>
            </w:pPr>
            <w:r w:rsidRPr="00B16DFD">
              <w:rPr>
                <w:b/>
                <w:i/>
              </w:rPr>
              <w:t>b)</w:t>
            </w:r>
            <w:r w:rsidRPr="00B16DFD">
              <w:tab/>
              <w:t>de giver mulighed for overgangsløsninger for at sikre kontinuitet og gnidningsløs overførsel af ansvarsområder fra myndighederne til myndigheden og fra myndigheden til myndighederne</w:t>
            </w:r>
            <w:r w:rsidRPr="00B16DFD">
              <w:rPr>
                <w:b/>
                <w:i/>
              </w:rPr>
              <w:t>, herunder gradvis opbygning af myndighedens tilsynskapacitet gennem integr</w:t>
            </w:r>
            <w:r w:rsidR="00AA1655">
              <w:rPr>
                <w:b/>
                <w:i/>
              </w:rPr>
              <w:t>ering</w:t>
            </w:r>
            <w:r w:rsidRPr="00B16DFD">
              <w:rPr>
                <w:b/>
                <w:i/>
              </w:rPr>
              <w:t xml:space="preserve"> af ekspertise og personale fra myndighederne</w:t>
            </w:r>
          </w:p>
        </w:tc>
      </w:tr>
    </w:tbl>
    <w:p w:rsidR="00365C9B" w:rsidRPr="00734CAA" w:rsidP="00365C9B" w14:paraId="62DF8811"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473F0C8" w14:textId="77777777">
      <w:pPr>
        <w:rPr>
          <w:lang w:val="en-GB"/>
        </w:rPr>
      </w:pPr>
      <w:r w:rsidRPr="00734CAA">
        <w:rPr>
          <w:rStyle w:val="HideTWBExt"/>
          <w:color w:val="auto"/>
          <w:lang w:val="en-GB"/>
        </w:rPr>
        <w:t>&lt;/Amend&gt;</w:t>
      </w:r>
    </w:p>
    <w:p w:rsidR="00365C9B" w:rsidRPr="00734CAA" w:rsidP="00365C9B" w14:paraId="11AB48DC"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394</w:t>
      </w:r>
      <w:r w:rsidRPr="00734CAA">
        <w:rPr>
          <w:rStyle w:val="HideTWBExt"/>
          <w:color w:val="auto"/>
          <w:lang w:val="en-GB"/>
        </w:rPr>
        <w:t>&lt;/NumAm&gt;</w:t>
      </w:r>
    </w:p>
    <w:p w:rsidR="00365C9B" w:rsidRPr="00734CAA" w:rsidP="00365C9B" w14:paraId="7316EC0C" w14:textId="77777777">
      <w:pPr>
        <w:pStyle w:val="NormalBold"/>
        <w:rPr>
          <w:lang w:val="en-GB"/>
        </w:rPr>
      </w:pPr>
      <w:r w:rsidRPr="00734CAA">
        <w:rPr>
          <w:rStyle w:val="HideTWBExt"/>
          <w:b w:val="0"/>
          <w:color w:val="auto"/>
          <w:lang w:val="en-GB"/>
        </w:rPr>
        <w:t>&lt;RepeatBlock-By&gt;&lt;Members&gt;</w:t>
      </w:r>
      <w:r w:rsidRPr="00734CAA">
        <w:rPr>
          <w:lang w:val="en-GB"/>
        </w:rPr>
        <w:t>Markus Ferber</w:t>
      </w:r>
      <w:r w:rsidRPr="00734CAA">
        <w:rPr>
          <w:rStyle w:val="HideTWBExt"/>
          <w:b w:val="0"/>
          <w:color w:val="auto"/>
          <w:lang w:val="en-GB"/>
        </w:rPr>
        <w:t>&lt;/Members&gt;</w:t>
      </w:r>
    </w:p>
    <w:p w:rsidR="00365C9B" w:rsidRPr="00734CAA" w:rsidP="00365C9B" w14:paraId="516A772D" w14:textId="77777777">
      <w:pPr>
        <w:pStyle w:val="NormalBold"/>
        <w:rPr>
          <w:lang w:val="en-GB"/>
        </w:rPr>
      </w:pPr>
      <w:r w:rsidRPr="00734CAA">
        <w:rPr>
          <w:rStyle w:val="HideTWBExt"/>
          <w:b w:val="0"/>
          <w:color w:val="auto"/>
          <w:lang w:val="en-GB"/>
        </w:rPr>
        <w:t>&lt;/RepeatBlock-By&gt;</w:t>
      </w:r>
    </w:p>
    <w:p w:rsidR="00365C9B" w:rsidRPr="00B16DFD" w:rsidP="00365C9B" w14:paraId="7C6AEC0F"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2CEEFF2D"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67C02169"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50CE9E99" w14:textId="77777777">
      <w:r w:rsidRPr="00B16DFD">
        <w:rPr>
          <w:rStyle w:val="HideTWBExt"/>
          <w:color w:val="auto"/>
        </w:rPr>
        <w:t>&lt;Article2&gt;</w:t>
      </w:r>
      <w:r w:rsidRPr="00B16DFD">
        <w:t>Artikel 8a – stk. 5 – litra c</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301DCA"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1A72B2D" w14:textId="77777777"/>
        </w:tc>
      </w:tr>
      <w:tr w14:paraId="19BD9AC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1F389F3"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70018A1" w14:textId="77777777">
            <w:pPr>
              <w:pStyle w:val="AmColumnHeading"/>
            </w:pPr>
            <w:r w:rsidRPr="00B16DFD">
              <w:t>Ændringsforslag</w:t>
            </w:r>
          </w:p>
        </w:tc>
      </w:tr>
      <w:tr w14:paraId="69D4F792"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9E87ACC" w14:textId="77777777">
            <w:pPr>
              <w:pStyle w:val="Normal6a"/>
            </w:pPr>
            <w:r w:rsidRPr="00B16DFD">
              <w:rPr>
                <w:b/>
                <w:bCs/>
                <w:i/>
                <w:iCs/>
              </w:rPr>
              <w:t>(c)</w:t>
            </w:r>
            <w:r w:rsidRPr="00B16DFD">
              <w:tab/>
              <w:t>de fremmer effektivitet med hensyn til både tid og ressourcer og tager behørigt hensyn til ressourcemæssige konsekvenser og omkostningseffektivitet</w:t>
            </w:r>
          </w:p>
        </w:tc>
        <w:tc>
          <w:tcPr>
            <w:tcW w:w="4876" w:type="dxa"/>
            <w:tcBorders>
              <w:top w:val="nil"/>
              <w:left w:val="nil"/>
              <w:bottom w:val="nil"/>
              <w:right w:val="nil"/>
            </w:tcBorders>
            <w:hideMark/>
          </w:tcPr>
          <w:p w:rsidR="00365C9B" w:rsidRPr="00B16DFD" w:rsidP="00F61C80" w14:paraId="06BBB32A" w14:textId="77777777">
            <w:pPr>
              <w:pStyle w:val="Normal6a"/>
            </w:pPr>
            <w:r w:rsidRPr="00B16DFD">
              <w:rPr>
                <w:b/>
                <w:i/>
              </w:rPr>
              <w:t>c)</w:t>
            </w:r>
            <w:r w:rsidRPr="00B16DFD">
              <w:tab/>
              <w:t>de fremmer effektivitet med hensyn til både tid og ressourcer og tager behørigt hensyn til ressourcemæssige konsekvenser og omkostningseffektivitet</w:t>
            </w:r>
            <w:r w:rsidRPr="00B16DFD">
              <w:rPr>
                <w:b/>
                <w:i/>
              </w:rPr>
              <w:t xml:space="preserve"> med udgangspunkt i den tilsynskapacitet, der allerede er etableret hos myndighederne, således at væksten i myndighedens eget ressourcegrundlag begrænses til det strengt nødvendige</w:t>
            </w:r>
          </w:p>
        </w:tc>
      </w:tr>
    </w:tbl>
    <w:p w:rsidR="00365C9B" w:rsidRPr="00B16DFD" w:rsidP="00365C9B" w14:paraId="2A2A876A"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3C99AC26"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6E6E01F2" w14:textId="77777777">
      <w:pPr>
        <w:pStyle w:val="AmJustText"/>
      </w:pPr>
      <w:r w:rsidRPr="00B16DFD">
        <w:t>Der bør opbygges samarbejdsordninger for at trække på den tilsynskapacitet, der allerede findes på nationalt plan, og ikke for at kopiere den. Dette sikrer, at ESMA's vækst i egne indtægter står i et rimeligt forhold til reelle kapacitetsmangler i overensstemmelse med den målsætning om omkostningseffektivitet, der allerede er fastsat i dette stykke.</w:t>
      </w:r>
    </w:p>
    <w:p w:rsidR="00365C9B" w:rsidRPr="00B16DFD" w:rsidP="00365C9B" w14:paraId="0D4DA072" w14:textId="77777777">
      <w:r w:rsidRPr="00B16DFD">
        <w:rPr>
          <w:rStyle w:val="HideTWBExt"/>
          <w:color w:val="auto"/>
        </w:rPr>
        <w:t>&lt;/Amend&gt;</w:t>
      </w:r>
    </w:p>
    <w:p w:rsidR="00365C9B" w:rsidRPr="00B16DFD" w:rsidP="00365C9B" w14:paraId="29EAF3CA"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395</w:t>
      </w:r>
      <w:r w:rsidRPr="00B16DFD">
        <w:rPr>
          <w:rStyle w:val="HideTWBExt"/>
          <w:color w:val="auto"/>
        </w:rPr>
        <w:t>&lt;/NumAm&gt;</w:t>
      </w:r>
    </w:p>
    <w:p w:rsidR="00365C9B" w:rsidRPr="00B16DFD" w:rsidP="00365C9B" w14:paraId="359768D8" w14:textId="77777777">
      <w:pPr>
        <w:pStyle w:val="NormalBold"/>
      </w:pPr>
      <w:r w:rsidRPr="00B16DFD">
        <w:rPr>
          <w:rStyle w:val="HideTWBExt"/>
          <w:b w:val="0"/>
          <w:color w:val="auto"/>
        </w:rPr>
        <w:t>&lt;RepeatBlock-By&gt;&lt;Members&gt;</w:t>
      </w:r>
      <w:r w:rsidRPr="00B16DFD">
        <w:t>Johan Van Overtveldt, Giovanni Crosetto, Francesco Ventola, Mariateresa Vivaldini, Marco Squarta, Denis Nesci</w:t>
      </w:r>
      <w:r w:rsidRPr="00B16DFD">
        <w:rPr>
          <w:rStyle w:val="HideTWBExt"/>
          <w:b w:val="0"/>
          <w:color w:val="auto"/>
        </w:rPr>
        <w:t>&lt;/Members&gt;</w:t>
      </w:r>
    </w:p>
    <w:p w:rsidR="00365C9B" w:rsidRPr="00B16DFD" w:rsidP="00365C9B" w14:paraId="0C9E05DB" w14:textId="77777777">
      <w:pPr>
        <w:pStyle w:val="NormalBold"/>
      </w:pPr>
      <w:r w:rsidRPr="00B16DFD">
        <w:rPr>
          <w:rStyle w:val="HideTWBExt"/>
          <w:b w:val="0"/>
          <w:color w:val="auto"/>
        </w:rPr>
        <w:t>&lt;/RepeatBlock-By&gt;</w:t>
      </w:r>
    </w:p>
    <w:p w:rsidR="00365C9B" w:rsidRPr="00B16DFD" w:rsidP="00365C9B" w14:paraId="25535EC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A68B9D0"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6EAD2425"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03509981" w14:textId="77777777">
      <w:r w:rsidRPr="00B16DFD">
        <w:rPr>
          <w:rStyle w:val="HideTWBExt"/>
          <w:color w:val="auto"/>
        </w:rPr>
        <w:t>&lt;Article2&gt;</w:t>
      </w:r>
      <w:r w:rsidRPr="00B16DFD">
        <w:t>Artikel 8a – stk. 5 – litra c</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8EAB43"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461D994B" w14:textId="77777777"/>
        </w:tc>
      </w:tr>
      <w:tr w14:paraId="1FB911FA"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44D1218"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BBBD3CB" w14:textId="77777777">
            <w:pPr>
              <w:pStyle w:val="AmColumnHeading"/>
            </w:pPr>
            <w:r w:rsidRPr="00B16DFD">
              <w:t>Ændringsforslag</w:t>
            </w:r>
          </w:p>
        </w:tc>
      </w:tr>
      <w:tr w14:paraId="3F8E337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9F367C8" w14:textId="77777777">
            <w:pPr>
              <w:pStyle w:val="Normal6a"/>
            </w:pPr>
            <w:r w:rsidRPr="00B16DFD">
              <w:rPr>
                <w:b/>
                <w:bCs/>
                <w:i/>
                <w:iCs/>
              </w:rPr>
              <w:t>(c)</w:t>
            </w:r>
            <w:r w:rsidRPr="00B16DFD">
              <w:tab/>
              <w:t>de fremmer effektivitet med hensyn til både tid og ressourcer og tager behørigt hensyn til ressourcemæssige konsekvenser og omkostningseffektivitet</w:t>
            </w:r>
          </w:p>
        </w:tc>
        <w:tc>
          <w:tcPr>
            <w:tcW w:w="4876" w:type="dxa"/>
            <w:tcBorders>
              <w:top w:val="nil"/>
              <w:left w:val="nil"/>
              <w:bottom w:val="nil"/>
              <w:right w:val="nil"/>
            </w:tcBorders>
            <w:hideMark/>
          </w:tcPr>
          <w:p w:rsidR="00365C9B" w:rsidRPr="00B16DFD" w:rsidP="00F61C80" w14:paraId="29E133D5" w14:textId="2EC5B1D6">
            <w:pPr>
              <w:pStyle w:val="Normal6a"/>
            </w:pPr>
            <w:r w:rsidRPr="00B16DFD">
              <w:rPr>
                <w:b/>
                <w:i/>
              </w:rPr>
              <w:t>c)</w:t>
            </w:r>
            <w:r w:rsidRPr="00B16DFD">
              <w:tab/>
              <w:t>de fremmer effektivitet med hensyn til både tid og ressourcer og tager behørigt hensyn til ressourcemæssige konsekvenser og omkostningseffektivitet</w:t>
            </w:r>
            <w:r w:rsidRPr="00B16DFD">
              <w:rPr>
                <w:b/>
                <w:i/>
              </w:rPr>
              <w:t xml:space="preserve">, herunder ved at gøre effektiv brug af eksisterende ekspertise inden for myndighederne for at undgå </w:t>
            </w:r>
            <w:r w:rsidR="00AA1655">
              <w:rPr>
                <w:b/>
                <w:i/>
              </w:rPr>
              <w:t>unødig</w:t>
            </w:r>
            <w:r w:rsidRPr="00B16DFD">
              <w:rPr>
                <w:b/>
                <w:i/>
              </w:rPr>
              <w:t xml:space="preserve"> overlapning af tilsynskapacitet</w:t>
            </w:r>
          </w:p>
        </w:tc>
      </w:tr>
    </w:tbl>
    <w:p w:rsidR="00365C9B" w:rsidRPr="00734CAA" w:rsidP="00365C9B" w14:paraId="4D5A3CB1"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9D73CED" w14:textId="77777777">
      <w:pPr>
        <w:rPr>
          <w:lang w:val="en-GB"/>
        </w:rPr>
      </w:pPr>
      <w:r w:rsidRPr="00734CAA">
        <w:rPr>
          <w:rStyle w:val="HideTWBExt"/>
          <w:color w:val="auto"/>
          <w:lang w:val="en-GB"/>
        </w:rPr>
        <w:t>&lt;/Amend&gt;</w:t>
      </w:r>
    </w:p>
    <w:p w:rsidR="00365C9B" w:rsidRPr="00734CAA" w:rsidP="00365C9B" w14:paraId="6E22B7B0"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396</w:t>
      </w:r>
      <w:r w:rsidRPr="00734CAA">
        <w:rPr>
          <w:rStyle w:val="HideTWBExt"/>
          <w:color w:val="auto"/>
          <w:lang w:val="en-GB"/>
        </w:rPr>
        <w:t>&lt;/NumAm&gt;</w:t>
      </w:r>
    </w:p>
    <w:p w:rsidR="00365C9B" w:rsidRPr="00734CAA" w:rsidP="00365C9B" w14:paraId="44EDDF56"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749DBE94" w14:textId="77777777">
      <w:pPr>
        <w:pStyle w:val="NormalBold"/>
      </w:pPr>
      <w:r w:rsidRPr="00B16DFD">
        <w:rPr>
          <w:rStyle w:val="HideTWBExt"/>
          <w:b w:val="0"/>
          <w:color w:val="auto"/>
        </w:rPr>
        <w:t>&lt;/RepeatBlock-By&gt;</w:t>
      </w:r>
    </w:p>
    <w:p w:rsidR="00365C9B" w:rsidRPr="00B16DFD" w:rsidP="00365C9B" w14:paraId="62A539E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77AA98B2"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66B0DFB2"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2A829365" w14:textId="77777777">
      <w:r w:rsidRPr="00B16DFD">
        <w:rPr>
          <w:rStyle w:val="HideTWBExt"/>
          <w:color w:val="auto"/>
        </w:rPr>
        <w:t>&lt;Article2&gt;</w:t>
      </w:r>
      <w:r w:rsidRPr="00B16DFD">
        <w:t>Artikel 8a – stk. 5 – litra c</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459BB"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E5D5A76" w14:textId="77777777"/>
        </w:tc>
      </w:tr>
      <w:tr w14:paraId="0EDEE6F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AD30DF6"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4DCB6498" w14:textId="77777777">
            <w:pPr>
              <w:pStyle w:val="AmColumnHeading"/>
            </w:pPr>
            <w:r w:rsidRPr="00B16DFD">
              <w:t>Ændringsforslag</w:t>
            </w:r>
          </w:p>
        </w:tc>
      </w:tr>
      <w:tr w14:paraId="134DD6C7"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84FAA70" w14:textId="77777777">
            <w:pPr>
              <w:pStyle w:val="Normal6a"/>
            </w:pPr>
            <w:r w:rsidRPr="00B16DFD">
              <w:rPr>
                <w:b/>
                <w:bCs/>
                <w:i/>
                <w:iCs/>
              </w:rPr>
              <w:t>(c)</w:t>
            </w:r>
            <w:r w:rsidRPr="00B16DFD">
              <w:tab/>
              <w:t>de fremmer effektivitet med hensyn til både tid og ressourcer og tager behørigt hensyn til ressourcemæssige konsekvenser og omkostningseffektivitet</w:t>
            </w:r>
          </w:p>
        </w:tc>
        <w:tc>
          <w:tcPr>
            <w:tcW w:w="4876" w:type="dxa"/>
            <w:tcBorders>
              <w:top w:val="nil"/>
              <w:left w:val="nil"/>
              <w:bottom w:val="nil"/>
              <w:right w:val="nil"/>
            </w:tcBorders>
            <w:hideMark/>
          </w:tcPr>
          <w:p w:rsidR="00365C9B" w:rsidRPr="00B16DFD" w:rsidP="00F61C80" w14:paraId="434A4535" w14:textId="77777777">
            <w:pPr>
              <w:pStyle w:val="Normal6a"/>
            </w:pPr>
            <w:r w:rsidRPr="00B16DFD">
              <w:rPr>
                <w:b/>
                <w:i/>
              </w:rPr>
              <w:t>c)</w:t>
            </w:r>
            <w:r w:rsidRPr="00B16DFD">
              <w:tab/>
              <w:t>de fremmer effektivitet med hensyn til både tid og ressourcer og tager behørigt hensyn til ressourcemæssige konsekvenser og omkostningseffektivitet</w:t>
            </w:r>
            <w:r w:rsidRPr="00B16DFD">
              <w:rPr>
                <w:b/>
                <w:i/>
              </w:rPr>
              <w:t>, herunder ved at gøre effektiv brug af eksisterende ekspertise inden for myndighederne</w:t>
            </w:r>
          </w:p>
        </w:tc>
      </w:tr>
    </w:tbl>
    <w:p w:rsidR="00365C9B" w:rsidRPr="00734CAA" w:rsidP="00365C9B" w14:paraId="2C353F93"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1D4B57C" w14:textId="77777777">
      <w:pPr>
        <w:rPr>
          <w:lang w:val="en-GB"/>
        </w:rPr>
      </w:pPr>
      <w:r w:rsidRPr="00734CAA">
        <w:rPr>
          <w:rStyle w:val="HideTWBExt"/>
          <w:color w:val="auto"/>
          <w:lang w:val="en-GB"/>
        </w:rPr>
        <w:t>&lt;/Amend&gt;</w:t>
      </w:r>
    </w:p>
    <w:p w:rsidR="00365C9B" w:rsidRPr="00734CAA" w:rsidP="00365C9B" w14:paraId="530D2161"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397</w:t>
      </w:r>
      <w:r w:rsidRPr="00734CAA">
        <w:rPr>
          <w:rStyle w:val="HideTWBExt"/>
          <w:color w:val="auto"/>
          <w:lang w:val="en-GB"/>
        </w:rPr>
        <w:t>&lt;/NumAm&gt;</w:t>
      </w:r>
    </w:p>
    <w:p w:rsidR="00365C9B" w:rsidRPr="00734CAA" w:rsidP="00365C9B" w14:paraId="39C65A4F" w14:textId="77777777">
      <w:pPr>
        <w:pStyle w:val="NormalBold"/>
        <w:rPr>
          <w:lang w:val="en-GB"/>
        </w:rPr>
      </w:pPr>
      <w:r w:rsidRPr="00734CAA">
        <w:rPr>
          <w:rStyle w:val="HideTWBExt"/>
          <w:b w:val="0"/>
          <w:color w:val="auto"/>
          <w:lang w:val="en-GB"/>
        </w:rPr>
        <w:t>&lt;RepeatBlock-By&gt;&lt;Members&gt;</w:t>
      </w:r>
      <w:r w:rsidRPr="00734CAA">
        <w:rPr>
          <w:lang w:val="en-GB"/>
        </w:rPr>
        <w:t>Gaetano Pedulla'</w:t>
      </w:r>
      <w:r w:rsidRPr="00734CAA">
        <w:rPr>
          <w:rStyle w:val="HideTWBExt"/>
          <w:b w:val="0"/>
          <w:color w:val="auto"/>
          <w:lang w:val="en-GB"/>
        </w:rPr>
        <w:t>&lt;/Members&gt;</w:t>
      </w:r>
    </w:p>
    <w:p w:rsidR="00365C9B" w:rsidRPr="00B16DFD" w:rsidP="00365C9B" w14:paraId="09835AE6" w14:textId="77777777">
      <w:pPr>
        <w:pStyle w:val="NormalBold"/>
      </w:pPr>
      <w:r w:rsidRPr="00B16DFD">
        <w:rPr>
          <w:rStyle w:val="HideTWBExt"/>
          <w:b w:val="0"/>
          <w:color w:val="auto"/>
        </w:rPr>
        <w:t>&lt;/RepeatBlock-By&gt;</w:t>
      </w:r>
    </w:p>
    <w:p w:rsidR="00365C9B" w:rsidRPr="00B16DFD" w:rsidP="00365C9B" w14:paraId="0F42E700"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14A49C61"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0A10039E"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236777BA" w14:textId="77777777">
      <w:r w:rsidRPr="00B16DFD">
        <w:rPr>
          <w:rStyle w:val="HideTWBExt"/>
          <w:color w:val="auto"/>
        </w:rPr>
        <w:t>&lt;Article2&gt;</w:t>
      </w:r>
      <w:r w:rsidRPr="00B16DFD">
        <w:t>Artikel 8a – stk. 5 – litra g</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537F7"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368DE4E" w14:textId="77777777"/>
        </w:tc>
      </w:tr>
      <w:tr w14:paraId="69A7A94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3E0F292"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7C69DFD" w14:textId="77777777">
            <w:pPr>
              <w:pStyle w:val="AmColumnHeading"/>
            </w:pPr>
            <w:r w:rsidRPr="00B16DFD">
              <w:t>Ændringsforslag</w:t>
            </w:r>
          </w:p>
        </w:tc>
      </w:tr>
      <w:tr w14:paraId="28AA0B72"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60171097" w14:textId="77777777">
            <w:pPr>
              <w:pStyle w:val="Normal6a"/>
            </w:pPr>
            <w:r w:rsidRPr="00B16DFD">
              <w:rPr>
                <w:b/>
                <w:bCs/>
                <w:i/>
                <w:iCs/>
              </w:rPr>
              <w:t>(g)</w:t>
            </w:r>
            <w:r w:rsidRPr="00B16DFD">
              <w:tab/>
              <w:t xml:space="preserve">de fastsætter </w:t>
            </w:r>
            <w:r w:rsidRPr="00B16DFD">
              <w:rPr>
                <w:b/>
                <w:i/>
              </w:rPr>
              <w:t xml:space="preserve">operationelle eller </w:t>
            </w:r>
            <w:r w:rsidRPr="00B16DFD">
              <w:t xml:space="preserve">organisatoriske bestemmelser </w:t>
            </w:r>
            <w:r w:rsidRPr="00B16DFD">
              <w:rPr>
                <w:b/>
                <w:i/>
              </w:rPr>
              <w:t xml:space="preserve">i forbindelse med </w:t>
            </w:r>
            <w:r w:rsidRPr="00B16DFD">
              <w:t>myndighedens direkte tilsynsopgaver</w:t>
            </w:r>
            <w:r w:rsidRPr="00B16DFD">
              <w:rPr>
                <w:b/>
                <w:i/>
              </w:rPr>
              <w:t>, herunder ordninger såsom fælles hold, samarbejde om undersøgelser, kontrolbesøg på stedet eller gennemførelsesaktiviteter</w:t>
            </w:r>
          </w:p>
        </w:tc>
        <w:tc>
          <w:tcPr>
            <w:tcW w:w="4876" w:type="dxa"/>
            <w:tcBorders>
              <w:top w:val="nil"/>
              <w:left w:val="nil"/>
              <w:bottom w:val="nil"/>
              <w:right w:val="nil"/>
            </w:tcBorders>
            <w:hideMark/>
          </w:tcPr>
          <w:p w:rsidR="00365C9B" w:rsidRPr="00B16DFD" w:rsidP="00F61C80" w14:paraId="6FE46956" w14:textId="77777777">
            <w:pPr>
              <w:pStyle w:val="Normal6a"/>
            </w:pPr>
            <w:r w:rsidRPr="00B16DFD">
              <w:rPr>
                <w:b/>
                <w:i/>
              </w:rPr>
              <w:t>g)</w:t>
            </w:r>
            <w:r w:rsidRPr="00B16DFD">
              <w:tab/>
              <w:t xml:space="preserve">de fastsætter </w:t>
            </w:r>
            <w:r w:rsidRPr="00B16DFD">
              <w:rPr>
                <w:b/>
                <w:i/>
              </w:rPr>
              <w:t xml:space="preserve">i overensstemmelse med artikel 8b gennemførelsesbestemmelser vedrørende de operationelle og </w:t>
            </w:r>
            <w:r w:rsidRPr="00B16DFD">
              <w:t xml:space="preserve">organisatoriske bestemmelser </w:t>
            </w:r>
            <w:r w:rsidRPr="00B16DFD">
              <w:rPr>
                <w:b/>
                <w:i/>
              </w:rPr>
              <w:t xml:space="preserve">for de koordinerede tilsynshold, der er oprettet med henblik på udøvelsen af </w:t>
            </w:r>
            <w:r w:rsidRPr="00B16DFD">
              <w:t xml:space="preserve">myndighedens direkte tilsynsopgaver </w:t>
            </w:r>
            <w:r w:rsidRPr="00B16DFD">
              <w:rPr>
                <w:b/>
                <w:i/>
              </w:rPr>
              <w:t>med henblik på at gennemføre fælles tilsyn i fase 1, jf. artikel 8b, stk. 2, og bistå med direkte tilsyn i fase 2, jf. artikel 8b, stk. 5</w:t>
            </w:r>
          </w:p>
        </w:tc>
      </w:tr>
    </w:tbl>
    <w:p w:rsidR="00365C9B" w:rsidRPr="00734CAA" w:rsidP="00365C9B" w14:paraId="1E85C9F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DA2C3E2" w14:textId="77777777">
      <w:pPr>
        <w:rPr>
          <w:lang w:val="en-GB"/>
        </w:rPr>
      </w:pPr>
      <w:r w:rsidRPr="00734CAA">
        <w:rPr>
          <w:rStyle w:val="HideTWBExt"/>
          <w:color w:val="auto"/>
          <w:lang w:val="en-GB"/>
        </w:rPr>
        <w:t>&lt;/Amend&gt;</w:t>
      </w:r>
    </w:p>
    <w:p w:rsidR="00365C9B" w:rsidRPr="00734CAA" w:rsidP="00365C9B" w14:paraId="2A30CF69"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398</w:t>
      </w:r>
      <w:r w:rsidRPr="00734CAA">
        <w:rPr>
          <w:rStyle w:val="HideTWBExt"/>
          <w:color w:val="auto"/>
          <w:lang w:val="en-GB"/>
        </w:rPr>
        <w:t>&lt;/NumAm&gt;</w:t>
      </w:r>
    </w:p>
    <w:p w:rsidR="00365C9B" w:rsidRPr="00734CAA" w:rsidP="00365C9B" w14:paraId="2D91C64A"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4C70C1E0"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1CCA82AC" w14:textId="77777777">
      <w:pPr>
        <w:pStyle w:val="NormalBold"/>
        <w:rPr>
          <w:lang w:val="en-GB"/>
        </w:rPr>
      </w:pPr>
      <w:r w:rsidRPr="00734CAA">
        <w:rPr>
          <w:rStyle w:val="HideTWBExt"/>
          <w:b w:val="0"/>
          <w:color w:val="auto"/>
          <w:lang w:val="en-GB"/>
        </w:rPr>
        <w:t>&lt;/RepeatBlock-By&gt;</w:t>
      </w:r>
    </w:p>
    <w:p w:rsidR="00365C9B" w:rsidRPr="00734CAA" w:rsidP="00365C9B" w14:paraId="2003C13A"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734CAA" w:rsidP="00365C9B" w14:paraId="4B187F26"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05D2ADAC"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7E5D634A" w14:textId="77777777">
      <w:r w:rsidRPr="00B16DFD">
        <w:rPr>
          <w:rStyle w:val="HideTWBExt"/>
          <w:color w:val="auto"/>
        </w:rPr>
        <w:t>&lt;Article2&gt;</w:t>
      </w:r>
      <w:r w:rsidRPr="00B16DFD">
        <w:t>Artikel 8a – stk. 5 – litra g</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DA7A31"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FB71CD8" w14:textId="77777777"/>
        </w:tc>
      </w:tr>
      <w:tr w14:paraId="62F7646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E8E569B"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59D69F9" w14:textId="77777777">
            <w:pPr>
              <w:pStyle w:val="AmColumnHeading"/>
            </w:pPr>
            <w:r w:rsidRPr="00B16DFD">
              <w:t>Ændringsforslag</w:t>
            </w:r>
          </w:p>
        </w:tc>
      </w:tr>
      <w:tr w14:paraId="08A98145"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47D483D0" w14:textId="77777777">
            <w:pPr>
              <w:pStyle w:val="Normal6a"/>
            </w:pPr>
            <w:r w:rsidRPr="00B16DFD">
              <w:rPr>
                <w:b/>
                <w:bCs/>
                <w:i/>
                <w:iCs/>
              </w:rPr>
              <w:t>(g)</w:t>
            </w:r>
            <w:r w:rsidRPr="00B16DFD">
              <w:tab/>
              <w:t>de fastsætter operationelle eller organisatoriske bestemmelser i forbindelse med myndighedens direkte tilsynsopgaver, herunder ordninger såsom fælles hold, samarbejde om undersøgelser, kontrolbesøg på stedet eller gennemførelsesaktiviteter</w:t>
            </w:r>
          </w:p>
        </w:tc>
        <w:tc>
          <w:tcPr>
            <w:tcW w:w="4876" w:type="dxa"/>
            <w:tcBorders>
              <w:top w:val="nil"/>
              <w:left w:val="nil"/>
              <w:bottom w:val="nil"/>
              <w:right w:val="nil"/>
            </w:tcBorders>
            <w:hideMark/>
          </w:tcPr>
          <w:p w:rsidR="00365C9B" w:rsidRPr="00B16DFD" w:rsidP="00F61C80" w14:paraId="3ED190B7" w14:textId="77777777">
            <w:pPr>
              <w:pStyle w:val="Normal6a"/>
            </w:pPr>
            <w:r w:rsidRPr="00B16DFD">
              <w:rPr>
                <w:b/>
                <w:i/>
              </w:rPr>
              <w:t>g)</w:t>
            </w:r>
            <w:r w:rsidRPr="00B16DFD">
              <w:tab/>
              <w:t>de fastsætter operationelle eller organisatoriske bestemmelser i forbindelse med myndighedens direkte tilsynsopgaver, herunder ordninger såsom fælles hold, samarbejde om undersøgelser, kontrolbesøg på stedet eller gennemførelsesaktiviteter</w:t>
            </w:r>
            <w:r w:rsidRPr="00B16DFD">
              <w:rPr>
                <w:b/>
                <w:i/>
              </w:rPr>
              <w:t>, der sikrer et tæt samarbejde med de nationale kompetente myndigheder og, hvor det er relevant, de andre myndigheder, der er omhandlet i stk. 1</w:t>
            </w:r>
          </w:p>
        </w:tc>
      </w:tr>
    </w:tbl>
    <w:p w:rsidR="00365C9B" w:rsidRPr="00734CAA" w:rsidP="00365C9B" w14:paraId="69D0DDCD"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CD9E1FC" w14:textId="77777777">
      <w:pPr>
        <w:rPr>
          <w:lang w:val="en-GB"/>
        </w:rPr>
      </w:pPr>
      <w:r w:rsidRPr="00734CAA">
        <w:rPr>
          <w:rStyle w:val="HideTWBExt"/>
          <w:color w:val="auto"/>
          <w:lang w:val="en-GB"/>
        </w:rPr>
        <w:t>&lt;/Amend&gt;</w:t>
      </w:r>
    </w:p>
    <w:p w:rsidR="00365C9B" w:rsidRPr="00734CAA" w:rsidP="00365C9B" w14:paraId="4BDDCBBD"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399</w:t>
      </w:r>
      <w:r w:rsidRPr="00734CAA">
        <w:rPr>
          <w:rStyle w:val="HideTWBExt"/>
          <w:color w:val="auto"/>
          <w:lang w:val="en-GB"/>
        </w:rPr>
        <w:t>&lt;/NumAm&gt;</w:t>
      </w:r>
    </w:p>
    <w:p w:rsidR="00365C9B" w:rsidRPr="00734CAA" w:rsidP="00365C9B" w14:paraId="16DDE608" w14:textId="77777777">
      <w:pPr>
        <w:pStyle w:val="NormalBold"/>
        <w:rPr>
          <w:lang w:val="en-GB"/>
        </w:rPr>
      </w:pPr>
      <w:r w:rsidRPr="00734CAA">
        <w:rPr>
          <w:rStyle w:val="HideTWBExt"/>
          <w:b w:val="0"/>
          <w:color w:val="auto"/>
          <w:lang w:val="en-GB"/>
        </w:rPr>
        <w:t>&lt;RepeatBlock-By&gt;&lt;Members&gt;</w:t>
      </w:r>
      <w:r w:rsidRPr="00734CAA">
        <w:rPr>
          <w:lang w:val="en-GB"/>
        </w:rPr>
        <w:t>Johan Van Overtveldt, Giovanni Crosetto</w:t>
      </w:r>
      <w:r w:rsidRPr="00734CAA">
        <w:rPr>
          <w:rStyle w:val="HideTWBExt"/>
          <w:b w:val="0"/>
          <w:color w:val="auto"/>
          <w:lang w:val="en-GB"/>
        </w:rPr>
        <w:t>&lt;/Members&gt;</w:t>
      </w:r>
    </w:p>
    <w:p w:rsidR="00365C9B" w:rsidRPr="00B16DFD" w:rsidP="00365C9B" w14:paraId="59CE889D" w14:textId="77777777">
      <w:pPr>
        <w:pStyle w:val="NormalBold"/>
      </w:pPr>
      <w:r w:rsidRPr="00B16DFD">
        <w:rPr>
          <w:rStyle w:val="HideTWBExt"/>
          <w:b w:val="0"/>
          <w:color w:val="auto"/>
        </w:rPr>
        <w:t>&lt;/RepeatBlock-By&gt;</w:t>
      </w:r>
    </w:p>
    <w:p w:rsidR="00365C9B" w:rsidRPr="00B16DFD" w:rsidP="00365C9B" w14:paraId="635BC25B"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523BF64C"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6164A842"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6D97E655" w14:textId="77777777">
      <w:r w:rsidRPr="00B16DFD">
        <w:rPr>
          <w:rStyle w:val="HideTWBExt"/>
          <w:color w:val="auto"/>
        </w:rPr>
        <w:t>&lt;Article2&gt;</w:t>
      </w:r>
      <w:r w:rsidRPr="00B16DFD">
        <w:t>Artikel 8a – stk. 5 – litra g</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58AF86"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76C3C78" w14:textId="77777777"/>
        </w:tc>
      </w:tr>
      <w:tr w14:paraId="78D56AE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B5258C1"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123E358" w14:textId="77777777">
            <w:pPr>
              <w:pStyle w:val="AmColumnHeading"/>
            </w:pPr>
            <w:r w:rsidRPr="00B16DFD">
              <w:t>Ændringsforslag</w:t>
            </w:r>
          </w:p>
        </w:tc>
      </w:tr>
      <w:tr w14:paraId="1A91BC2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2E73FCA3" w14:textId="77777777">
            <w:pPr>
              <w:pStyle w:val="Normal6a"/>
            </w:pPr>
            <w:r w:rsidRPr="00B16DFD">
              <w:rPr>
                <w:b/>
                <w:bCs/>
                <w:i/>
                <w:iCs/>
              </w:rPr>
              <w:t>(g)</w:t>
            </w:r>
            <w:r w:rsidRPr="00B16DFD">
              <w:tab/>
              <w:t>de fastsætter operationelle eller organisatoriske bestemmelser i forbindelse med myndighedens direkte tilsynsopgaver, herunder ordninger såsom fælles hold, samarbejde om undersøgelser, kontrolbesøg på stedet eller gennemførelsesaktiviteter</w:t>
            </w:r>
          </w:p>
        </w:tc>
        <w:tc>
          <w:tcPr>
            <w:tcW w:w="4876" w:type="dxa"/>
            <w:tcBorders>
              <w:top w:val="nil"/>
              <w:left w:val="nil"/>
              <w:bottom w:val="nil"/>
              <w:right w:val="nil"/>
            </w:tcBorders>
            <w:hideMark/>
          </w:tcPr>
          <w:p w:rsidR="00365C9B" w:rsidRPr="00B16DFD" w:rsidP="00F61C80" w14:paraId="32AFBA7B" w14:textId="77777777">
            <w:pPr>
              <w:pStyle w:val="Normal6a"/>
            </w:pPr>
            <w:r w:rsidRPr="00B16DFD">
              <w:rPr>
                <w:b/>
                <w:i/>
              </w:rPr>
              <w:t>g)</w:t>
            </w:r>
            <w:r w:rsidRPr="00B16DFD">
              <w:tab/>
              <w:t>de fastsætter operationelle eller organisatoriske bestemmelser i forbindelse med myndighedens direkte tilsynsopgaver, herunder ordninger såsom fælles hold, samarbejde om undersøgelser, kontrolbesøg på stedet eller gennemførelsesaktiviteter</w:t>
            </w:r>
            <w:r w:rsidRPr="00B16DFD">
              <w:rPr>
                <w:b/>
                <w:i/>
              </w:rPr>
              <w:t xml:space="preserve">, der sikrer et tæt samarbejde med de nationale kompetente myndigheder og, hvor det er relevant, de andre myndigheder, der er omhandlet i </w:t>
            </w:r>
            <w:r w:rsidRPr="00B16DFD">
              <w:rPr>
                <w:b/>
                <w:i/>
              </w:rPr>
              <w:t>stk. 1</w:t>
            </w:r>
          </w:p>
        </w:tc>
      </w:tr>
    </w:tbl>
    <w:p w:rsidR="00365C9B" w:rsidRPr="00B16DFD" w:rsidP="00365C9B" w14:paraId="63ECECBA" w14:textId="77777777">
      <w:pPr>
        <w:pStyle w:val="AmOrLang"/>
      </w:pPr>
      <w:r w:rsidRPr="00B16DFD">
        <w:t xml:space="preserve">Or. </w:t>
      </w:r>
      <w:r w:rsidRPr="00B16DFD">
        <w:rPr>
          <w:rStyle w:val="HideTWBExt"/>
          <w:color w:val="auto"/>
        </w:rPr>
        <w:t>&lt;Original&gt;</w:t>
      </w:r>
      <w:r w:rsidRPr="00B16DFD">
        <w:rPr>
          <w:rStyle w:val="HideTWBInt"/>
          <w:color w:val="auto"/>
        </w:rPr>
        <w:t>{EN}</w:t>
      </w:r>
      <w:r w:rsidRPr="00B16DFD">
        <w:t>en</w:t>
      </w:r>
      <w:r w:rsidRPr="00B16DFD">
        <w:rPr>
          <w:rStyle w:val="HideTWBExt"/>
          <w:color w:val="auto"/>
        </w:rPr>
        <w:t>&lt;/Original&gt;</w:t>
      </w:r>
    </w:p>
    <w:p w:rsidR="00365C9B" w:rsidRPr="00B16DFD" w:rsidP="00365C9B" w14:paraId="1342885F" w14:textId="77777777">
      <w:pPr>
        <w:pStyle w:val="AmJustTitle"/>
      </w:pPr>
      <w:r w:rsidRPr="00B16DFD">
        <w:rPr>
          <w:rStyle w:val="HideTWBExt"/>
          <w:color w:val="auto"/>
        </w:rPr>
        <w:t>&lt;TitreJust&gt;</w:t>
      </w:r>
      <w:r w:rsidRPr="00B16DFD">
        <w:t>Begrundelse</w:t>
      </w:r>
      <w:r w:rsidRPr="00B16DFD">
        <w:rPr>
          <w:rStyle w:val="HideTWBExt"/>
          <w:color w:val="auto"/>
        </w:rPr>
        <w:t>&lt;/TitreJust&gt;</w:t>
      </w:r>
    </w:p>
    <w:p w:rsidR="00365C9B" w:rsidRPr="00B16DFD" w:rsidP="00365C9B" w14:paraId="7A764E18" w14:textId="77777777">
      <w:pPr>
        <w:pStyle w:val="AmJustText"/>
      </w:pPr>
      <w:r w:rsidRPr="00B16DFD">
        <w:t>De praktiske ordninger for samarbejdet, der skal etableres af ESMA, bør sikre et tæt samarbejde mellem ESMA og de nationale kompetente myndigheder og, hvor det er relevant, de andre relevante myndigheder, der er involveret i disse ordninger.</w:t>
      </w:r>
    </w:p>
    <w:p w:rsidR="00365C9B" w:rsidRPr="00B16DFD" w:rsidP="00365C9B" w14:paraId="279EE7A8" w14:textId="77777777">
      <w:r w:rsidRPr="00B16DFD">
        <w:rPr>
          <w:rStyle w:val="HideTWBExt"/>
          <w:color w:val="auto"/>
        </w:rPr>
        <w:t>&lt;/Amend&gt;</w:t>
      </w:r>
    </w:p>
    <w:p w:rsidR="00365C9B" w:rsidRPr="00B16DFD" w:rsidP="00365C9B" w14:paraId="5E07A353"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400</w:t>
      </w:r>
      <w:r w:rsidRPr="00B16DFD">
        <w:rPr>
          <w:rStyle w:val="HideTWBExt"/>
          <w:color w:val="auto"/>
        </w:rPr>
        <w:t>&lt;/NumAm&gt;</w:t>
      </w:r>
    </w:p>
    <w:p w:rsidR="00365C9B" w:rsidRPr="00B16DFD" w:rsidP="00365C9B" w14:paraId="6611814A" w14:textId="77777777">
      <w:pPr>
        <w:pStyle w:val="NormalBold"/>
      </w:pPr>
      <w:r w:rsidRPr="00B16DFD">
        <w:rPr>
          <w:rStyle w:val="HideTWBExt"/>
          <w:b w:val="0"/>
          <w:color w:val="auto"/>
        </w:rPr>
        <w:t>&lt;RepeatBlock-By&gt;&lt;Members&gt;</w:t>
      </w:r>
      <w:r w:rsidRPr="00B16DFD">
        <w:t>Jaroslav Knot, Auke Zijlstra, Pierre Pimpie, Tomáš Kubín, Enikő Győri</w:t>
      </w:r>
      <w:r w:rsidRPr="00B16DFD">
        <w:rPr>
          <w:rStyle w:val="HideTWBExt"/>
          <w:b w:val="0"/>
          <w:color w:val="auto"/>
        </w:rPr>
        <w:t>&lt;/Members&gt;</w:t>
      </w:r>
    </w:p>
    <w:p w:rsidR="00365C9B" w:rsidRPr="00B16DFD" w:rsidP="00365C9B" w14:paraId="4899E16E" w14:textId="77777777">
      <w:pPr>
        <w:pStyle w:val="NormalBold"/>
      </w:pPr>
      <w:r w:rsidRPr="00B16DFD">
        <w:rPr>
          <w:rStyle w:val="HideTWBExt"/>
          <w:b w:val="0"/>
          <w:color w:val="auto"/>
        </w:rPr>
        <w:t>&lt;/RepeatBlock-By&gt;</w:t>
      </w:r>
    </w:p>
    <w:p w:rsidR="00365C9B" w:rsidRPr="00B16DFD" w:rsidP="00365C9B" w14:paraId="526A01D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47D6715F"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08C82D8B"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0287F3C8" w14:textId="77777777">
      <w:r w:rsidRPr="00B16DFD">
        <w:rPr>
          <w:rStyle w:val="HideTWBExt"/>
          <w:color w:val="auto"/>
        </w:rPr>
        <w:t>&lt;Article2&gt;</w:t>
      </w:r>
      <w:r w:rsidRPr="00B16DFD">
        <w:t>Artikel 8a – stk. 5 – litra h</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CD7EF"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4A001AB" w14:textId="77777777"/>
        </w:tc>
      </w:tr>
      <w:tr w14:paraId="5B566D37"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5FA4E25C"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38CCB0C" w14:textId="77777777">
            <w:pPr>
              <w:pStyle w:val="AmColumnHeading"/>
            </w:pPr>
            <w:r w:rsidRPr="00B16DFD">
              <w:t>Ændringsforslag</w:t>
            </w:r>
          </w:p>
        </w:tc>
      </w:tr>
      <w:tr w14:paraId="4BDB934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1DA8B95D" w14:textId="77777777">
            <w:pPr>
              <w:pStyle w:val="Normal6a"/>
            </w:pPr>
            <w:r w:rsidRPr="00B16DFD">
              <w:rPr>
                <w:b/>
                <w:bCs/>
                <w:i/>
                <w:iCs/>
              </w:rPr>
              <w:t>(h)</w:t>
            </w:r>
            <w:r w:rsidRPr="00B16DFD">
              <w:tab/>
              <w:t xml:space="preserve">hvis det er </w:t>
            </w:r>
            <w:r w:rsidRPr="00B16DFD">
              <w:rPr>
                <w:b/>
                <w:i/>
              </w:rPr>
              <w:t>relevant</w:t>
            </w:r>
            <w:r w:rsidRPr="00B16DFD">
              <w:t>, kan de overveje at etablere lokal tilstedeværelse af myndigheden i medlemsstaterne</w:t>
            </w:r>
          </w:p>
        </w:tc>
        <w:tc>
          <w:tcPr>
            <w:tcW w:w="4876" w:type="dxa"/>
            <w:tcBorders>
              <w:top w:val="nil"/>
              <w:left w:val="nil"/>
              <w:bottom w:val="nil"/>
              <w:right w:val="nil"/>
            </w:tcBorders>
            <w:hideMark/>
          </w:tcPr>
          <w:p w:rsidR="00365C9B" w:rsidRPr="00B16DFD" w:rsidP="00F61C80" w14:paraId="6CDBEB37" w14:textId="77777777">
            <w:pPr>
              <w:pStyle w:val="Normal6a"/>
            </w:pPr>
            <w:r w:rsidRPr="00B16DFD">
              <w:rPr>
                <w:b/>
                <w:i/>
              </w:rPr>
              <w:t>h)</w:t>
            </w:r>
            <w:r w:rsidRPr="00B16DFD">
              <w:tab/>
              <w:t xml:space="preserve">hvis det er </w:t>
            </w:r>
            <w:r w:rsidRPr="00B16DFD">
              <w:rPr>
                <w:b/>
                <w:i/>
              </w:rPr>
              <w:t>strengt nødvendigt for udførelsen af direkte tilsynsopgaver, der er pålagt myndigheden i henhold til EU-retten, og med forbehold af samtykke fra den kompetente myndighed i den pågældende medlemsstat</w:t>
            </w:r>
            <w:r w:rsidRPr="00B16DFD">
              <w:t>, kan de overveje at etablere lokal tilstedeværelse af myndigheden i medlemsstaterne</w:t>
            </w:r>
            <w:r w:rsidRPr="00B16DFD">
              <w:rPr>
                <w:b/>
                <w:i/>
              </w:rPr>
              <w:t>;</w:t>
            </w:r>
            <w:r w:rsidRPr="00B16DFD">
              <w:t xml:space="preserve"> </w:t>
            </w:r>
            <w:r w:rsidRPr="00B16DFD">
              <w:rPr>
                <w:b/>
                <w:i/>
              </w:rPr>
              <w:t>sådanne lokale tilstedeværelser må ikke skabe parallelle tilsynsstrukturer, overlappe de nationale kompetente myndigheders opgaver eller pålægge kompetente myndigheder eller enheder under tilsyn yderligere administrative omkostninger</w:t>
            </w:r>
          </w:p>
        </w:tc>
      </w:tr>
    </w:tbl>
    <w:p w:rsidR="00365C9B" w:rsidRPr="00734CAA" w:rsidP="00365C9B" w14:paraId="41AE76E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5D13F014" w14:textId="77777777">
      <w:pPr>
        <w:rPr>
          <w:lang w:val="en-GB"/>
        </w:rPr>
      </w:pPr>
      <w:r w:rsidRPr="00734CAA">
        <w:rPr>
          <w:rStyle w:val="HideTWBExt"/>
          <w:color w:val="auto"/>
          <w:lang w:val="en-GB"/>
        </w:rPr>
        <w:t>&lt;/Amend&gt;</w:t>
      </w:r>
    </w:p>
    <w:p w:rsidR="00365C9B" w:rsidRPr="00734CAA" w:rsidP="00365C9B" w14:paraId="4E4644B4"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401</w:t>
      </w:r>
      <w:r w:rsidRPr="00734CAA">
        <w:rPr>
          <w:rStyle w:val="HideTWBExt"/>
          <w:color w:val="auto"/>
          <w:lang w:val="en-GB"/>
        </w:rPr>
        <w:t>&lt;/NumAm&gt;</w:t>
      </w:r>
    </w:p>
    <w:p w:rsidR="00365C9B" w:rsidRPr="00734CAA" w:rsidP="00365C9B" w14:paraId="78C67D30" w14:textId="77777777">
      <w:pPr>
        <w:pStyle w:val="NormalBold"/>
        <w:rPr>
          <w:lang w:val="en-GB"/>
        </w:rPr>
      </w:pPr>
      <w:r w:rsidRPr="00734CAA">
        <w:rPr>
          <w:rStyle w:val="HideTWBExt"/>
          <w:b w:val="0"/>
          <w:color w:val="auto"/>
          <w:lang w:val="en-GB"/>
        </w:rPr>
        <w:t>&lt;RepeatBlock-By&gt;&lt;Members&gt;</w:t>
      </w:r>
      <w:r w:rsidRPr="00734CAA">
        <w:rPr>
          <w:lang w:val="en-GB"/>
        </w:rPr>
        <w:t>Kira Marie Peter-Hansen</w:t>
      </w:r>
      <w:r w:rsidRPr="00734CAA">
        <w:rPr>
          <w:rStyle w:val="HideTWBExt"/>
          <w:b w:val="0"/>
          <w:color w:val="auto"/>
          <w:lang w:val="en-GB"/>
        </w:rPr>
        <w:t>&lt;/Members&gt;</w:t>
      </w:r>
    </w:p>
    <w:p w:rsidR="00365C9B" w:rsidRPr="00734CAA" w:rsidP="00365C9B" w14:paraId="71BD856F" w14:textId="77777777">
      <w:pPr>
        <w:rPr>
          <w:lang w:val="en-GB"/>
        </w:rPr>
      </w:pPr>
      <w:r w:rsidRPr="00734CAA">
        <w:rPr>
          <w:rStyle w:val="HideTWBExt"/>
          <w:color w:val="auto"/>
          <w:lang w:val="en-GB"/>
        </w:rPr>
        <w:t>&lt;AuNomDe&gt;</w:t>
      </w:r>
      <w:r w:rsidRPr="00734CAA">
        <w:rPr>
          <w:rStyle w:val="HideTWBInt"/>
          <w:color w:val="auto"/>
          <w:lang w:val="en-GB"/>
        </w:rPr>
        <w:t>{Verts/ALE}</w:t>
      </w:r>
      <w:r w:rsidRPr="00734CAA">
        <w:rPr>
          <w:lang w:val="en-GB"/>
        </w:rPr>
        <w:t>for Verts/ALE-Gruppen</w:t>
      </w:r>
      <w:r w:rsidRPr="00734CAA">
        <w:rPr>
          <w:rStyle w:val="HideTWBExt"/>
          <w:color w:val="auto"/>
          <w:lang w:val="en-GB"/>
        </w:rPr>
        <w:t>&lt;/AuNomDe&gt;</w:t>
      </w:r>
    </w:p>
    <w:p w:rsidR="00365C9B" w:rsidRPr="00734CAA" w:rsidP="00365C9B" w14:paraId="0EB4DBDA" w14:textId="77777777">
      <w:pPr>
        <w:pStyle w:val="NormalBold"/>
        <w:rPr>
          <w:lang w:val="en-GB"/>
        </w:rPr>
      </w:pPr>
      <w:r w:rsidRPr="00734CAA">
        <w:rPr>
          <w:rStyle w:val="HideTWBExt"/>
          <w:b w:val="0"/>
          <w:color w:val="auto"/>
          <w:lang w:val="en-GB"/>
        </w:rPr>
        <w:t>&lt;/RepeatBlock-By&gt;</w:t>
      </w:r>
    </w:p>
    <w:p w:rsidR="00365C9B" w:rsidRPr="00734CAA" w:rsidP="00365C9B" w14:paraId="4B62FCA8" w14:textId="77777777">
      <w:pPr>
        <w:pStyle w:val="NormalBold"/>
        <w:rPr>
          <w:lang w:val="en-GB"/>
        </w:rPr>
      </w:pPr>
      <w:r w:rsidRPr="00734CAA">
        <w:rPr>
          <w:rStyle w:val="HideTWBExt"/>
          <w:color w:val="auto"/>
          <w:lang w:val="en-GB"/>
        </w:rPr>
        <w:t>&lt;DocAmend&gt;</w:t>
      </w:r>
      <w:r w:rsidRPr="00734CAA">
        <w:rPr>
          <w:lang w:val="en-GB"/>
        </w:rPr>
        <w:t>Forslag til forordning</w:t>
      </w:r>
      <w:r w:rsidRPr="00734CAA">
        <w:rPr>
          <w:rStyle w:val="HideTWBExt"/>
          <w:color w:val="auto"/>
          <w:lang w:val="en-GB"/>
        </w:rPr>
        <w:t>&lt;/DocAmend&gt;</w:t>
      </w:r>
    </w:p>
    <w:p w:rsidR="00365C9B" w:rsidRPr="00734CAA" w:rsidP="00365C9B" w14:paraId="2F83974B"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664FDF0D"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212CE884" w14:textId="77777777">
      <w:r w:rsidRPr="00B16DFD">
        <w:rPr>
          <w:rStyle w:val="HideTWBExt"/>
          <w:color w:val="auto"/>
        </w:rPr>
        <w:t>&lt;Article2&gt;</w:t>
      </w:r>
      <w:r w:rsidRPr="00B16DFD">
        <w:t>Artikel 8a – stk. 5 – litra i a (nyt)</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89288"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2E0CDEB" w14:textId="77777777"/>
        </w:tc>
      </w:tr>
      <w:tr w14:paraId="4D2AE52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1C2A1CF0"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6A4D924" w14:textId="77777777">
            <w:pPr>
              <w:pStyle w:val="AmColumnHeading"/>
            </w:pPr>
            <w:r w:rsidRPr="00B16DFD">
              <w:t>Ændringsforslag</w:t>
            </w:r>
          </w:p>
        </w:tc>
      </w:tr>
      <w:tr w14:paraId="6441B8A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1A640BF" w14:textId="77777777">
            <w:pPr>
              <w:pStyle w:val="Normal6a"/>
            </w:pPr>
          </w:p>
        </w:tc>
        <w:tc>
          <w:tcPr>
            <w:tcW w:w="4876" w:type="dxa"/>
            <w:tcBorders>
              <w:top w:val="nil"/>
              <w:left w:val="nil"/>
              <w:bottom w:val="nil"/>
              <w:right w:val="nil"/>
            </w:tcBorders>
            <w:hideMark/>
          </w:tcPr>
          <w:p w:rsidR="00365C9B" w:rsidRPr="00B16DFD" w:rsidP="00F61C80" w14:paraId="620E939C" w14:textId="77777777">
            <w:pPr>
              <w:pStyle w:val="Normal6a"/>
            </w:pPr>
            <w:r w:rsidRPr="00B16DFD">
              <w:rPr>
                <w:b/>
                <w:i/>
              </w:rPr>
              <w:t>ia)</w:t>
            </w:r>
            <w:r w:rsidRPr="00B16DFD">
              <w:tab/>
            </w:r>
            <w:r w:rsidRPr="00B16DFD">
              <w:rPr>
                <w:b/>
                <w:i/>
              </w:rPr>
              <w:t>de sikrer, at myndigheden og myndighederne afsætter de nødvendige finansielle og menneskelige ressourcer til udførelsen af de opgaver, der er omhandlet i artikel 8, stk. 1, litra l).</w:t>
            </w:r>
          </w:p>
        </w:tc>
      </w:tr>
    </w:tbl>
    <w:p w:rsidR="00365C9B" w:rsidRPr="00734CAA" w:rsidP="00365C9B" w14:paraId="485633C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E0CB029" w14:textId="77777777">
      <w:pPr>
        <w:rPr>
          <w:lang w:val="en-GB"/>
        </w:rPr>
      </w:pPr>
      <w:r w:rsidRPr="00734CAA">
        <w:rPr>
          <w:rStyle w:val="HideTWBExt"/>
          <w:color w:val="auto"/>
          <w:lang w:val="en-GB"/>
        </w:rPr>
        <w:t>&lt;/Amend&gt;</w:t>
      </w:r>
    </w:p>
    <w:p w:rsidR="00365C9B" w:rsidRPr="00734CAA" w:rsidP="00365C9B" w14:paraId="72458587"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402</w:t>
      </w:r>
      <w:r w:rsidRPr="00734CAA">
        <w:rPr>
          <w:rStyle w:val="HideTWBExt"/>
          <w:color w:val="auto"/>
          <w:lang w:val="en-GB"/>
        </w:rPr>
        <w:t>&lt;/NumAm&gt;</w:t>
      </w:r>
    </w:p>
    <w:p w:rsidR="00365C9B" w:rsidRPr="00734CAA" w:rsidP="00365C9B" w14:paraId="702081AE"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 Ľudovít Ódor</w:t>
      </w:r>
      <w:r w:rsidRPr="00734CAA">
        <w:rPr>
          <w:rStyle w:val="HideTWBExt"/>
          <w:b w:val="0"/>
          <w:color w:val="auto"/>
          <w:lang w:val="en-GB"/>
        </w:rPr>
        <w:t>&lt;/Members&gt;</w:t>
      </w:r>
    </w:p>
    <w:p w:rsidR="00365C9B" w:rsidRPr="00B16DFD" w:rsidP="00365C9B" w14:paraId="2A1BD0F2" w14:textId="77777777">
      <w:pPr>
        <w:pStyle w:val="NormalBold"/>
      </w:pPr>
      <w:r w:rsidRPr="00B16DFD">
        <w:rPr>
          <w:rStyle w:val="HideTWBExt"/>
          <w:b w:val="0"/>
          <w:color w:val="auto"/>
        </w:rPr>
        <w:t>&lt;/RepeatBlock-By&gt;</w:t>
      </w:r>
    </w:p>
    <w:p w:rsidR="00365C9B" w:rsidRPr="00B16DFD" w:rsidP="00365C9B" w14:paraId="082B9A9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0BD5B7E5"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20FC9267"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14893477" w14:textId="77777777">
      <w:r w:rsidRPr="00B16DFD">
        <w:rPr>
          <w:rStyle w:val="HideTWBExt"/>
          <w:color w:val="auto"/>
        </w:rPr>
        <w:t>&lt;Article2&gt;</w:t>
      </w:r>
      <w:r w:rsidRPr="00B16DFD">
        <w:t>Artikel 8a – stk. 5 – litra i a (nyt)</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0A4A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6EAE71CC" w14:textId="77777777"/>
        </w:tc>
      </w:tr>
      <w:tr w14:paraId="32DDEA7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1C8A8B3"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39FCD0AA" w14:textId="77777777">
            <w:pPr>
              <w:pStyle w:val="AmColumnHeading"/>
            </w:pPr>
            <w:r w:rsidRPr="00B16DFD">
              <w:t>Ændringsforslag</w:t>
            </w:r>
          </w:p>
        </w:tc>
      </w:tr>
      <w:tr w14:paraId="20DA083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679AA5C" w14:textId="77777777">
            <w:pPr>
              <w:pStyle w:val="Normal6a"/>
            </w:pPr>
          </w:p>
        </w:tc>
        <w:tc>
          <w:tcPr>
            <w:tcW w:w="4876" w:type="dxa"/>
            <w:tcBorders>
              <w:top w:val="nil"/>
              <w:left w:val="nil"/>
              <w:bottom w:val="nil"/>
              <w:right w:val="nil"/>
            </w:tcBorders>
            <w:hideMark/>
          </w:tcPr>
          <w:p w:rsidR="00365C9B" w:rsidRPr="00B16DFD" w:rsidP="00F61C80" w14:paraId="048942F3" w14:textId="77777777">
            <w:pPr>
              <w:pStyle w:val="Normal6a"/>
            </w:pPr>
            <w:r w:rsidRPr="00B16DFD">
              <w:rPr>
                <w:b/>
                <w:i/>
              </w:rPr>
              <w:t>ia)</w:t>
            </w:r>
            <w:r w:rsidRPr="00B16DFD">
              <w:tab/>
            </w:r>
            <w:r w:rsidRPr="00B16DFD">
              <w:rPr>
                <w:b/>
                <w:i/>
              </w:rPr>
              <w:t>de skal muliggøre en løbende udveksling af ekspertise og, især i overgangsfasen, viden om det lokale marked.</w:t>
            </w:r>
          </w:p>
        </w:tc>
      </w:tr>
    </w:tbl>
    <w:p w:rsidR="00365C9B" w:rsidRPr="00734CAA" w:rsidP="00365C9B" w14:paraId="677B138E"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77AA110A" w14:textId="77777777">
      <w:pPr>
        <w:rPr>
          <w:lang w:val="en-GB"/>
        </w:rPr>
      </w:pPr>
      <w:r w:rsidRPr="00734CAA">
        <w:rPr>
          <w:rStyle w:val="HideTWBExt"/>
          <w:color w:val="auto"/>
          <w:lang w:val="en-GB"/>
        </w:rPr>
        <w:t>&lt;/Amend&gt;</w:t>
      </w:r>
    </w:p>
    <w:p w:rsidR="00365C9B" w:rsidRPr="00734CAA" w:rsidP="00365C9B" w14:paraId="78717D3A"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403</w:t>
      </w:r>
      <w:r w:rsidRPr="00734CAA">
        <w:rPr>
          <w:rStyle w:val="HideTWBExt"/>
          <w:color w:val="auto"/>
          <w:lang w:val="en-GB"/>
        </w:rPr>
        <w:t>&lt;/NumAm&gt;</w:t>
      </w:r>
    </w:p>
    <w:p w:rsidR="00365C9B" w:rsidRPr="00734CAA" w:rsidP="00365C9B" w14:paraId="34DE08D1" w14:textId="77777777">
      <w:pPr>
        <w:pStyle w:val="NormalBold"/>
        <w:rPr>
          <w:lang w:val="en-GB"/>
        </w:rPr>
      </w:pPr>
      <w:r w:rsidRPr="00734CAA">
        <w:rPr>
          <w:rStyle w:val="HideTWBExt"/>
          <w:b w:val="0"/>
          <w:color w:val="auto"/>
          <w:lang w:val="en-GB"/>
        </w:rPr>
        <w:t>&lt;RepeatBlock-By&gt;&lt;Members&gt;</w:t>
      </w:r>
      <w:r w:rsidRPr="00734CAA">
        <w:rPr>
          <w:lang w:val="en-GB"/>
        </w:rPr>
        <w:t>Dirk Gotink</w:t>
      </w:r>
      <w:r w:rsidRPr="00734CAA">
        <w:rPr>
          <w:rStyle w:val="HideTWBExt"/>
          <w:b w:val="0"/>
          <w:color w:val="auto"/>
          <w:lang w:val="en-GB"/>
        </w:rPr>
        <w:t>&lt;/Members&gt;</w:t>
      </w:r>
    </w:p>
    <w:p w:rsidR="00365C9B" w:rsidRPr="00B16DFD" w:rsidP="00365C9B" w14:paraId="4504FF62" w14:textId="77777777">
      <w:pPr>
        <w:pStyle w:val="NormalBold"/>
      </w:pPr>
      <w:r w:rsidRPr="00B16DFD">
        <w:rPr>
          <w:rStyle w:val="HideTWBExt"/>
          <w:b w:val="0"/>
          <w:color w:val="auto"/>
        </w:rPr>
        <w:t>&lt;/RepeatBlock-By&gt;</w:t>
      </w:r>
    </w:p>
    <w:p w:rsidR="00365C9B" w:rsidRPr="00B16DFD" w:rsidP="00365C9B" w14:paraId="6BC63B0D"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2ED44381"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202E875A"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340B5938" w14:textId="77777777">
      <w:r w:rsidRPr="00B16DFD">
        <w:rPr>
          <w:rStyle w:val="HideTWBExt"/>
          <w:color w:val="auto"/>
        </w:rPr>
        <w:t>&lt;Article2&gt;</w:t>
      </w:r>
      <w:r w:rsidRPr="00B16DFD">
        <w:t>Artikel 8a – stk. 5 – litra i a (nyt)</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755C94"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26A84CC" w14:textId="77777777"/>
        </w:tc>
      </w:tr>
      <w:tr w14:paraId="174CDA39"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06D64C5"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1FBFAC97" w14:textId="77777777">
            <w:pPr>
              <w:pStyle w:val="AmColumnHeading"/>
            </w:pPr>
            <w:r w:rsidRPr="00B16DFD">
              <w:t>Ændringsforslag</w:t>
            </w:r>
          </w:p>
        </w:tc>
      </w:tr>
      <w:tr w14:paraId="32D8101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A5C8D7A" w14:textId="77777777">
            <w:pPr>
              <w:pStyle w:val="Normal6a"/>
            </w:pPr>
          </w:p>
        </w:tc>
        <w:tc>
          <w:tcPr>
            <w:tcW w:w="4876" w:type="dxa"/>
            <w:tcBorders>
              <w:top w:val="nil"/>
              <w:left w:val="nil"/>
              <w:bottom w:val="nil"/>
              <w:right w:val="nil"/>
            </w:tcBorders>
            <w:hideMark/>
          </w:tcPr>
          <w:p w:rsidR="00365C9B" w:rsidRPr="00B16DFD" w:rsidP="00F61C80" w14:paraId="4BAC7A2E" w14:textId="5D2DCC7C">
            <w:pPr>
              <w:pStyle w:val="Normal6a"/>
            </w:pPr>
            <w:r w:rsidRPr="00B16DFD">
              <w:rPr>
                <w:b/>
                <w:i/>
              </w:rPr>
              <w:t>ia)</w:t>
            </w:r>
            <w:r w:rsidRPr="00B16DFD">
              <w:tab/>
            </w:r>
            <w:r w:rsidRPr="00B16DFD">
              <w:rPr>
                <w:b/>
                <w:i/>
              </w:rPr>
              <w:t xml:space="preserve">de undgår </w:t>
            </w:r>
            <w:r w:rsidR="00AA1655">
              <w:rPr>
                <w:b/>
                <w:i/>
              </w:rPr>
              <w:t>unødig</w:t>
            </w:r>
            <w:r w:rsidRPr="00B16DFD">
              <w:rPr>
                <w:b/>
                <w:i/>
              </w:rPr>
              <w:t xml:space="preserve"> lagdeling af tilsynskrav eller administrative byrder for enheder under tilsyn.</w:t>
            </w:r>
          </w:p>
        </w:tc>
      </w:tr>
    </w:tbl>
    <w:p w:rsidR="00365C9B" w:rsidRPr="00734CAA" w:rsidP="00365C9B" w14:paraId="25EE83AC"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4A3E293D" w14:textId="77777777">
      <w:pPr>
        <w:rPr>
          <w:lang w:val="en-GB"/>
        </w:rPr>
      </w:pPr>
      <w:r w:rsidRPr="00734CAA">
        <w:rPr>
          <w:rStyle w:val="HideTWBExt"/>
          <w:color w:val="auto"/>
          <w:lang w:val="en-GB"/>
        </w:rPr>
        <w:t>&lt;/Amend&gt;</w:t>
      </w:r>
    </w:p>
    <w:p w:rsidR="00365C9B" w:rsidRPr="00734CAA" w:rsidP="00365C9B" w14:paraId="0D4E9779"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404</w:t>
      </w:r>
      <w:r w:rsidRPr="00734CAA">
        <w:rPr>
          <w:rStyle w:val="HideTWBExt"/>
          <w:color w:val="auto"/>
          <w:lang w:val="en-GB"/>
        </w:rPr>
        <w:t>&lt;/NumAm&gt;</w:t>
      </w:r>
    </w:p>
    <w:p w:rsidR="00365C9B" w:rsidRPr="00734CAA" w:rsidP="00365C9B" w14:paraId="1B15C6B0" w14:textId="77777777">
      <w:pPr>
        <w:pStyle w:val="NormalBold"/>
        <w:rPr>
          <w:lang w:val="en-GB"/>
        </w:rPr>
      </w:pPr>
      <w:r w:rsidRPr="00734CAA">
        <w:rPr>
          <w:rStyle w:val="HideTWBExt"/>
          <w:b w:val="0"/>
          <w:color w:val="auto"/>
          <w:lang w:val="en-GB"/>
        </w:rPr>
        <w:t>&lt;RepeatBlock-By&gt;&lt;Members&gt;</w:t>
      </w:r>
      <w:r w:rsidRPr="00734CAA">
        <w:rPr>
          <w:lang w:val="en-GB"/>
        </w:rPr>
        <w:t>Billy Kelleher, Stéphanie Yon-Courtin, Gilles Boyer</w:t>
      </w:r>
      <w:r w:rsidRPr="00734CAA">
        <w:rPr>
          <w:rStyle w:val="HideTWBExt"/>
          <w:b w:val="0"/>
          <w:color w:val="auto"/>
          <w:lang w:val="en-GB"/>
        </w:rPr>
        <w:t>&lt;/Members&gt;</w:t>
      </w:r>
    </w:p>
    <w:p w:rsidR="00365C9B" w:rsidRPr="00B16DFD" w:rsidP="00365C9B" w14:paraId="2D741D96" w14:textId="77777777">
      <w:pPr>
        <w:pStyle w:val="NormalBold"/>
      </w:pPr>
      <w:r w:rsidRPr="00B16DFD">
        <w:rPr>
          <w:rStyle w:val="HideTWBExt"/>
          <w:b w:val="0"/>
          <w:color w:val="auto"/>
        </w:rPr>
        <w:t>&lt;/RepeatBlock-By&gt;</w:t>
      </w:r>
    </w:p>
    <w:p w:rsidR="00365C9B" w:rsidRPr="00B16DFD" w:rsidP="00365C9B" w14:paraId="5A9FE08D"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427671FD"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54FFDEE9"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77176EFA" w14:textId="77777777">
      <w:r w:rsidRPr="00B16DFD">
        <w:rPr>
          <w:rStyle w:val="HideTWBExt"/>
          <w:color w:val="auto"/>
        </w:rPr>
        <w:t>&lt;Article2&gt;</w:t>
      </w:r>
      <w:r w:rsidRPr="00B16DFD">
        <w:t>Artikel 8a – stk. 5 – litra i b (nyt)</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985D2"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590960F5" w14:textId="77777777"/>
        </w:tc>
      </w:tr>
      <w:tr w14:paraId="2B14E898"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4EEFBBEE"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E096FDA" w14:textId="77777777">
            <w:pPr>
              <w:pStyle w:val="AmColumnHeading"/>
            </w:pPr>
            <w:r w:rsidRPr="00B16DFD">
              <w:t>Ændringsforslag</w:t>
            </w:r>
          </w:p>
        </w:tc>
      </w:tr>
      <w:tr w14:paraId="4AA8B89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C2BE65C" w14:textId="77777777">
            <w:pPr>
              <w:pStyle w:val="Normal6a"/>
            </w:pPr>
          </w:p>
        </w:tc>
        <w:tc>
          <w:tcPr>
            <w:tcW w:w="4876" w:type="dxa"/>
            <w:tcBorders>
              <w:top w:val="nil"/>
              <w:left w:val="nil"/>
              <w:bottom w:val="nil"/>
              <w:right w:val="nil"/>
            </w:tcBorders>
            <w:hideMark/>
          </w:tcPr>
          <w:p w:rsidR="00365C9B" w:rsidRPr="00B16DFD" w:rsidP="00F61C80" w14:paraId="1B313AC8" w14:textId="77777777">
            <w:pPr>
              <w:pStyle w:val="Normal6a"/>
            </w:pPr>
            <w:r w:rsidRPr="00B16DFD">
              <w:rPr>
                <w:b/>
                <w:i/>
              </w:rPr>
              <w:t>ib)</w:t>
            </w:r>
            <w:r w:rsidRPr="00B16DFD">
              <w:tab/>
            </w:r>
            <w:r w:rsidRPr="00B16DFD">
              <w:rPr>
                <w:b/>
                <w:i/>
              </w:rPr>
              <w:t>de overvejer at etablere et formaliseret program for udstationering af tilsynspersonale mellem myndigheden og myndighederne, herunder at personalet forbliver hjemmehørende hos dets egen myndighed, men stilles til rådighed for myndigheden med henblik på at fremme konvergens i tilsynskulturen eller deling af lokal markedsekspertise.</w:t>
            </w:r>
          </w:p>
        </w:tc>
      </w:tr>
    </w:tbl>
    <w:p w:rsidR="00365C9B" w:rsidRPr="00734CAA" w:rsidP="00365C9B" w14:paraId="45BE3998"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2DB453A9" w14:textId="77777777">
      <w:pPr>
        <w:rPr>
          <w:lang w:val="en-GB"/>
        </w:rPr>
      </w:pPr>
      <w:r w:rsidRPr="00734CAA">
        <w:rPr>
          <w:rStyle w:val="HideTWBExt"/>
          <w:color w:val="auto"/>
          <w:lang w:val="en-GB"/>
        </w:rPr>
        <w:t>&lt;/Amend&gt;</w:t>
      </w:r>
    </w:p>
    <w:p w:rsidR="00365C9B" w:rsidRPr="00734CAA" w:rsidP="00365C9B" w14:paraId="24A8FA71"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405</w:t>
      </w:r>
      <w:r w:rsidRPr="00734CAA">
        <w:rPr>
          <w:rStyle w:val="HideTWBExt"/>
          <w:color w:val="auto"/>
          <w:lang w:val="en-GB"/>
        </w:rPr>
        <w:t>&lt;/NumAm&gt;</w:t>
      </w:r>
    </w:p>
    <w:p w:rsidR="00365C9B" w:rsidRPr="00734CAA" w:rsidP="00365C9B" w14:paraId="019C932D" w14:textId="77777777">
      <w:pPr>
        <w:pStyle w:val="NormalBold"/>
        <w:rPr>
          <w:lang w:val="en-GB"/>
        </w:rPr>
      </w:pPr>
      <w:r w:rsidRPr="00734CAA">
        <w:rPr>
          <w:rStyle w:val="HideTWBExt"/>
          <w:b w:val="0"/>
          <w:color w:val="auto"/>
          <w:lang w:val="en-GB"/>
        </w:rPr>
        <w:t>&lt;RepeatBlock-By&gt;&lt;Members&gt;</w:t>
      </w:r>
      <w:r w:rsidRPr="00734CAA">
        <w:rPr>
          <w:lang w:val="en-GB"/>
        </w:rPr>
        <w:t>Eero Heinäluoma, Francisco Assis, Jonás Fernández, César Luena, Evelyn Regner, Nikos Papandreou</w:t>
      </w:r>
      <w:r w:rsidRPr="00734CAA">
        <w:rPr>
          <w:rStyle w:val="HideTWBExt"/>
          <w:b w:val="0"/>
          <w:color w:val="auto"/>
          <w:lang w:val="en-GB"/>
        </w:rPr>
        <w:t>&lt;/Members&gt;</w:t>
      </w:r>
    </w:p>
    <w:p w:rsidR="00365C9B" w:rsidRPr="00B16DFD" w:rsidP="00365C9B" w14:paraId="6EC6DBD1" w14:textId="77777777">
      <w:pPr>
        <w:pStyle w:val="NormalBold"/>
      </w:pPr>
      <w:r w:rsidRPr="00B16DFD">
        <w:rPr>
          <w:rStyle w:val="HideTWBExt"/>
          <w:b w:val="0"/>
          <w:color w:val="auto"/>
        </w:rPr>
        <w:t>&lt;/RepeatBlock-By&gt;</w:t>
      </w:r>
    </w:p>
    <w:p w:rsidR="00365C9B" w:rsidRPr="00B16DFD" w:rsidP="00365C9B" w14:paraId="5DEBE327"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3D7628B5"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790483EA"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3D4591E2" w14:textId="77777777">
      <w:r w:rsidRPr="00B16DFD">
        <w:rPr>
          <w:rStyle w:val="HideTWBExt"/>
          <w:color w:val="auto"/>
        </w:rPr>
        <w:t>&lt;Article2&gt;</w:t>
      </w:r>
      <w:r w:rsidRPr="00B16DFD">
        <w:t>Artikel 8a – stk. 5 a (nyt)</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0B19BB"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0FA57E8" w14:textId="77777777"/>
        </w:tc>
      </w:tr>
      <w:tr w14:paraId="08AB4C40"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37E6C21F"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2AB1F907" w14:textId="77777777">
            <w:pPr>
              <w:pStyle w:val="AmColumnHeading"/>
            </w:pPr>
            <w:r w:rsidRPr="00B16DFD">
              <w:t>Ændringsforslag</w:t>
            </w:r>
          </w:p>
        </w:tc>
      </w:tr>
      <w:tr w14:paraId="30794B8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2E98EA66" w14:textId="77777777">
            <w:pPr>
              <w:pStyle w:val="Normal6a"/>
            </w:pPr>
          </w:p>
        </w:tc>
        <w:tc>
          <w:tcPr>
            <w:tcW w:w="4876" w:type="dxa"/>
            <w:tcBorders>
              <w:top w:val="nil"/>
              <w:left w:val="nil"/>
              <w:bottom w:val="nil"/>
              <w:right w:val="nil"/>
            </w:tcBorders>
            <w:hideMark/>
          </w:tcPr>
          <w:p w:rsidR="00365C9B" w:rsidRPr="00B16DFD" w:rsidP="00F61C80" w14:paraId="3B6518E8" w14:textId="77777777">
            <w:pPr>
              <w:pStyle w:val="Normal6a"/>
            </w:pPr>
            <w:r w:rsidRPr="00B16DFD">
              <w:rPr>
                <w:b/>
                <w:i/>
              </w:rPr>
              <w:t>5a.</w:t>
            </w:r>
            <w:r w:rsidRPr="00B16DFD">
              <w:tab/>
            </w:r>
            <w:r w:rsidRPr="00B16DFD">
              <w:rPr>
                <w:b/>
                <w:i/>
              </w:rPr>
              <w:t>ESMA vedtager i samråd med de nationale kompetente myndigheder en overgangsramme for at sikre kontinuitet og gnidningsløs overførsel af ansvarsområder fra myndighederne til myndigheden.</w:t>
            </w:r>
          </w:p>
        </w:tc>
      </w:tr>
      <w:tr w14:paraId="3258F59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854672B" w14:textId="77777777">
            <w:pPr>
              <w:pStyle w:val="Normal6a"/>
            </w:pPr>
          </w:p>
        </w:tc>
        <w:tc>
          <w:tcPr>
            <w:tcW w:w="4876" w:type="dxa"/>
            <w:tcBorders>
              <w:top w:val="nil"/>
              <w:left w:val="nil"/>
              <w:bottom w:val="nil"/>
              <w:right w:val="nil"/>
            </w:tcBorders>
            <w:hideMark/>
          </w:tcPr>
          <w:p w:rsidR="00365C9B" w:rsidRPr="00B16DFD" w:rsidP="00F61C80" w14:paraId="1906BBA2" w14:textId="77777777">
            <w:pPr>
              <w:pStyle w:val="Normal6a"/>
            </w:pPr>
            <w:r w:rsidRPr="00B16DFD">
              <w:rPr>
                <w:b/>
                <w:i/>
              </w:rPr>
              <w:t>Denne ramme skal:</w:t>
            </w:r>
          </w:p>
        </w:tc>
      </w:tr>
      <w:tr w14:paraId="2552CB7F"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19D377FB" w14:textId="77777777">
            <w:pPr>
              <w:pStyle w:val="Normal6a"/>
            </w:pPr>
          </w:p>
        </w:tc>
        <w:tc>
          <w:tcPr>
            <w:tcW w:w="4876" w:type="dxa"/>
            <w:tcBorders>
              <w:top w:val="nil"/>
              <w:left w:val="nil"/>
              <w:bottom w:val="nil"/>
              <w:right w:val="nil"/>
            </w:tcBorders>
            <w:hideMark/>
          </w:tcPr>
          <w:p w:rsidR="00365C9B" w:rsidRPr="00B16DFD" w:rsidP="00F61C80" w14:paraId="60AE99E5" w14:textId="77777777">
            <w:pPr>
              <w:pStyle w:val="Normal6a"/>
            </w:pPr>
            <w:r w:rsidRPr="00B16DFD">
              <w:rPr>
                <w:b/>
                <w:i/>
              </w:rPr>
              <w:t>i) fastsætte den forventede længde af overgangsperioden for hver sektor</w:t>
            </w:r>
          </w:p>
        </w:tc>
      </w:tr>
      <w:tr w14:paraId="56052AE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45590CA" w14:textId="77777777">
            <w:pPr>
              <w:pStyle w:val="Normal6a"/>
            </w:pPr>
          </w:p>
        </w:tc>
        <w:tc>
          <w:tcPr>
            <w:tcW w:w="4876" w:type="dxa"/>
            <w:tcBorders>
              <w:top w:val="nil"/>
              <w:left w:val="nil"/>
              <w:bottom w:val="nil"/>
              <w:right w:val="nil"/>
            </w:tcBorders>
            <w:hideMark/>
          </w:tcPr>
          <w:p w:rsidR="00365C9B" w:rsidRPr="00B16DFD" w:rsidP="00F61C80" w14:paraId="11A0846E" w14:textId="77777777">
            <w:pPr>
              <w:pStyle w:val="Normal6a"/>
            </w:pPr>
            <w:r w:rsidRPr="00B16DFD">
              <w:rPr>
                <w:b/>
                <w:i/>
              </w:rPr>
              <w:t xml:space="preserve">ii) tage hensyn til de behov, som myndigheden har givet udtryk for med hensyn til antallet af medarbejdere og </w:t>
            </w:r>
            <w:r w:rsidRPr="00B16DFD">
              <w:rPr>
                <w:b/>
                <w:i/>
              </w:rPr>
              <w:t>ekspertise til at udføre sine tilsynsopgaver</w:t>
            </w:r>
          </w:p>
        </w:tc>
      </w:tr>
      <w:tr w14:paraId="4715C11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1F4CC46E" w14:textId="77777777">
            <w:pPr>
              <w:pStyle w:val="Normal6a"/>
            </w:pPr>
          </w:p>
        </w:tc>
        <w:tc>
          <w:tcPr>
            <w:tcW w:w="4876" w:type="dxa"/>
            <w:tcBorders>
              <w:top w:val="nil"/>
              <w:left w:val="nil"/>
              <w:bottom w:val="nil"/>
              <w:right w:val="nil"/>
            </w:tcBorders>
            <w:hideMark/>
          </w:tcPr>
          <w:p w:rsidR="00365C9B" w:rsidRPr="00B16DFD" w:rsidP="00F61C80" w14:paraId="5F186CE0" w14:textId="77777777">
            <w:pPr>
              <w:pStyle w:val="Normal6a"/>
            </w:pPr>
            <w:r w:rsidRPr="00B16DFD">
              <w:rPr>
                <w:b/>
                <w:i/>
              </w:rPr>
              <w:t>iii) fastlægge de operationelle ordninger for de nationale kompetente myndigheders personales deltagelse i overførslen af kompetence og ekspertise fra denne forordnings ikrafttræden, indtil myndigheden når fuld kapacitet, herunder om nødvendigt efter at myndigheden har påtaget sig det direkte tilsynsansvar</w:t>
            </w:r>
          </w:p>
        </w:tc>
      </w:tr>
      <w:tr w14:paraId="7C698DA0"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289C6E09" w14:textId="77777777">
            <w:pPr>
              <w:pStyle w:val="Normal6a"/>
            </w:pPr>
          </w:p>
        </w:tc>
        <w:tc>
          <w:tcPr>
            <w:tcW w:w="4876" w:type="dxa"/>
            <w:tcBorders>
              <w:top w:val="nil"/>
              <w:left w:val="nil"/>
              <w:bottom w:val="nil"/>
              <w:right w:val="nil"/>
            </w:tcBorders>
            <w:hideMark/>
          </w:tcPr>
          <w:p w:rsidR="00365C9B" w:rsidRPr="00B16DFD" w:rsidP="00F61C80" w14:paraId="14362657" w14:textId="77777777">
            <w:pPr>
              <w:pStyle w:val="Normal6a"/>
            </w:pPr>
            <w:r w:rsidRPr="00B16DFD">
              <w:rPr>
                <w:b/>
                <w:i/>
              </w:rPr>
              <w:t>iv) fastsætte de nærmere bestemmelser for overførsel af tilsynsmæssig viden, tilsynsdossierer, historiske data og oplysninger om enhver procedure, der er indledt af den enhed, der er under tilsyn, før eller efter overgangsperiodens begyndelse, indtil ESMA påtager sig det direkte ansvar.</w:t>
            </w:r>
          </w:p>
        </w:tc>
      </w:tr>
      <w:tr w14:paraId="475701F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86B31E7" w14:textId="77777777">
            <w:pPr>
              <w:pStyle w:val="Normal6a"/>
            </w:pPr>
          </w:p>
        </w:tc>
        <w:tc>
          <w:tcPr>
            <w:tcW w:w="4876" w:type="dxa"/>
            <w:tcBorders>
              <w:top w:val="nil"/>
              <w:left w:val="nil"/>
              <w:bottom w:val="nil"/>
              <w:right w:val="nil"/>
            </w:tcBorders>
            <w:hideMark/>
          </w:tcPr>
          <w:p w:rsidR="00365C9B" w:rsidRPr="00B16DFD" w:rsidP="00F61C80" w14:paraId="436651A5" w14:textId="77777777">
            <w:pPr>
              <w:pStyle w:val="Normal6a"/>
            </w:pPr>
            <w:r w:rsidRPr="00B16DFD">
              <w:rPr>
                <w:b/>
                <w:i/>
              </w:rPr>
              <w:t>I denne overgangsperiode giver ESMA i samråd med de nationale kompetente myndigheder udtryk for sine behov med hensyn til antallet af medarbejdere og ekspertise til at udføre sine tilsynsopgaver. Omkostningerne til personale, der tildeles myndigheden i henhold til denne ramme, afholdes af myndigheden. Myndighedens behov kan opdateres mindst én gang om året.</w:t>
            </w:r>
          </w:p>
        </w:tc>
      </w:tr>
      <w:tr w14:paraId="6D1982D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6FF3C842" w14:textId="77777777">
            <w:pPr>
              <w:pStyle w:val="Normal6a"/>
            </w:pPr>
          </w:p>
        </w:tc>
        <w:tc>
          <w:tcPr>
            <w:tcW w:w="4876" w:type="dxa"/>
            <w:tcBorders>
              <w:top w:val="nil"/>
              <w:left w:val="nil"/>
              <w:bottom w:val="nil"/>
              <w:right w:val="nil"/>
            </w:tcBorders>
            <w:hideMark/>
          </w:tcPr>
          <w:p w:rsidR="00365C9B" w:rsidRPr="00B16DFD" w:rsidP="00F61C80" w14:paraId="76567027" w14:textId="77777777">
            <w:pPr>
              <w:pStyle w:val="Normal6a"/>
            </w:pPr>
            <w:r w:rsidRPr="00B16DFD">
              <w:rPr>
                <w:b/>
                <w:i/>
              </w:rPr>
              <w:t>ESMA er ansvarlig for sammensætningen af de hold, der er involveret i eventuelle direkte tilsynsopgaver. Hvis de nationale kompetente myndigheders personale tilknyttes ESMA's tilsynsarbejde, foreslås tildelingen af personalet af de nationale kompetente myndigheder på grundlag af de ekspertisebehov, som ESMA har givet udtryk for. ESMA kan kræve, at de nationale kompetente myndigheder ændrer de udnævnelser, de har foretaget, hvis det er relevant for sammensætningen af tilsynsholdene.</w:t>
            </w:r>
          </w:p>
        </w:tc>
      </w:tr>
      <w:tr w14:paraId="3EBE383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6BCBFD5" w14:textId="77777777">
            <w:pPr>
              <w:pStyle w:val="Normal6a"/>
            </w:pPr>
          </w:p>
        </w:tc>
        <w:tc>
          <w:tcPr>
            <w:tcW w:w="4876" w:type="dxa"/>
            <w:tcBorders>
              <w:top w:val="nil"/>
              <w:left w:val="nil"/>
              <w:bottom w:val="nil"/>
              <w:right w:val="nil"/>
            </w:tcBorders>
            <w:hideMark/>
          </w:tcPr>
          <w:p w:rsidR="00365C9B" w:rsidRPr="00B16DFD" w:rsidP="00F61C80" w14:paraId="12180681" w14:textId="77777777">
            <w:pPr>
              <w:pStyle w:val="Normal6a"/>
            </w:pPr>
            <w:r w:rsidRPr="00B16DFD">
              <w:rPr>
                <w:b/>
                <w:i/>
              </w:rPr>
              <w:t>I denne periode skal de nationale kompetente myndigheders personale løbende rapportere om udførelsen af disse aktiviteter.</w:t>
            </w:r>
          </w:p>
        </w:tc>
      </w:tr>
      <w:tr w14:paraId="5A81185E"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227F560C" w14:textId="77777777">
            <w:pPr>
              <w:pStyle w:val="Normal6a"/>
            </w:pPr>
          </w:p>
        </w:tc>
        <w:tc>
          <w:tcPr>
            <w:tcW w:w="4876" w:type="dxa"/>
            <w:tcBorders>
              <w:top w:val="nil"/>
              <w:left w:val="nil"/>
              <w:bottom w:val="nil"/>
              <w:right w:val="nil"/>
            </w:tcBorders>
            <w:hideMark/>
          </w:tcPr>
          <w:p w:rsidR="00365C9B" w:rsidRPr="00B16DFD" w:rsidP="00F61C80" w14:paraId="0A14C974" w14:textId="77777777">
            <w:pPr>
              <w:pStyle w:val="Normal6a"/>
            </w:pPr>
            <w:r w:rsidRPr="00B16DFD">
              <w:rPr>
                <w:b/>
                <w:i/>
              </w:rPr>
              <w:t xml:space="preserve">Varigheden af overgangsperioden kan variere fra sektor til sektor og må ikke </w:t>
            </w:r>
            <w:r w:rsidRPr="00B16DFD">
              <w:rPr>
                <w:b/>
                <w:i/>
              </w:rPr>
              <w:t>overstige tre år, efter at ESMA har påtaget sig det direkte tilsynsansvar.</w:t>
            </w:r>
          </w:p>
        </w:tc>
      </w:tr>
    </w:tbl>
    <w:p w:rsidR="00365C9B" w:rsidRPr="00734CAA" w:rsidP="00365C9B" w14:paraId="2590B4F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B7AB036" w14:textId="77777777">
      <w:pPr>
        <w:rPr>
          <w:lang w:val="en-GB"/>
        </w:rPr>
      </w:pPr>
      <w:r w:rsidRPr="00734CAA">
        <w:rPr>
          <w:rStyle w:val="HideTWBExt"/>
          <w:color w:val="auto"/>
          <w:lang w:val="en-GB"/>
        </w:rPr>
        <w:t>&lt;/Amend&gt;</w:t>
      </w:r>
    </w:p>
    <w:p w:rsidR="00365C9B" w:rsidRPr="00734CAA" w:rsidP="00365C9B" w14:paraId="78D41F2E"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406</w:t>
      </w:r>
      <w:r w:rsidRPr="00734CAA">
        <w:rPr>
          <w:rStyle w:val="HideTWBExt"/>
          <w:color w:val="auto"/>
          <w:lang w:val="en-GB"/>
        </w:rPr>
        <w:t>&lt;/NumAm&gt;</w:t>
      </w:r>
    </w:p>
    <w:p w:rsidR="00365C9B" w:rsidRPr="00734CAA" w:rsidP="00365C9B" w14:paraId="7CBD0F09" w14:textId="77777777">
      <w:pPr>
        <w:pStyle w:val="NormalBold"/>
        <w:rPr>
          <w:lang w:val="en-GB"/>
        </w:rPr>
      </w:pPr>
      <w:r w:rsidRPr="00734CAA">
        <w:rPr>
          <w:rStyle w:val="HideTWBExt"/>
          <w:b w:val="0"/>
          <w:color w:val="auto"/>
          <w:lang w:val="en-GB"/>
        </w:rPr>
        <w:t>&lt;RepeatBlock-By&gt;&lt;Members&gt;</w:t>
      </w:r>
      <w:r w:rsidRPr="00734CAA">
        <w:rPr>
          <w:lang w:val="en-GB"/>
        </w:rPr>
        <w:t>Gaetano Pedulla'</w:t>
      </w:r>
      <w:r w:rsidRPr="00734CAA">
        <w:rPr>
          <w:rStyle w:val="HideTWBExt"/>
          <w:b w:val="0"/>
          <w:color w:val="auto"/>
          <w:lang w:val="en-GB"/>
        </w:rPr>
        <w:t>&lt;/Members&gt;</w:t>
      </w:r>
    </w:p>
    <w:p w:rsidR="00365C9B" w:rsidRPr="00B16DFD" w:rsidP="00365C9B" w14:paraId="7BF6B8B0" w14:textId="77777777">
      <w:pPr>
        <w:pStyle w:val="NormalBold"/>
      </w:pPr>
      <w:r w:rsidRPr="00B16DFD">
        <w:rPr>
          <w:rStyle w:val="HideTWBExt"/>
          <w:b w:val="0"/>
          <w:color w:val="auto"/>
        </w:rPr>
        <w:t>&lt;/RepeatBlock-By&gt;</w:t>
      </w:r>
    </w:p>
    <w:p w:rsidR="00365C9B" w:rsidRPr="00B16DFD" w:rsidP="00365C9B" w14:paraId="431831D9"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123D19B1"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4D0F5632"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606A8D29" w14:textId="77777777">
      <w:r w:rsidRPr="00B16DFD">
        <w:rPr>
          <w:rStyle w:val="HideTWBExt"/>
          <w:color w:val="auto"/>
        </w:rPr>
        <w:t>&lt;Article2&gt;</w:t>
      </w:r>
      <w:r w:rsidRPr="00B16DFD">
        <w:t>Artikel 8a – stk. 7</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8D418F"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2B6454B" w14:textId="77777777"/>
        </w:tc>
      </w:tr>
      <w:tr w14:paraId="2B0322D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2718F9C5"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0432C6D9" w14:textId="77777777">
            <w:pPr>
              <w:pStyle w:val="AmColumnHeading"/>
            </w:pPr>
            <w:r w:rsidRPr="00B16DFD">
              <w:t>Ændringsforslag</w:t>
            </w:r>
          </w:p>
        </w:tc>
      </w:tr>
      <w:tr w14:paraId="529149D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65C9B" w:rsidRPr="00B16DFD" w:rsidP="00F61C80" w14:paraId="325D3C52" w14:textId="77777777">
            <w:pPr>
              <w:pStyle w:val="Normal6a"/>
            </w:pPr>
            <w:r w:rsidRPr="00B16DFD">
              <w:t>7.</w:t>
            </w:r>
            <w:r w:rsidRPr="00B16DFD">
              <w:tab/>
              <w:t xml:space="preserve">De praktiske samarbejdsordninger, der fastlægges i henhold til denne artikel, tages </w:t>
            </w:r>
            <w:r w:rsidRPr="00B16DFD">
              <w:rPr>
                <w:b/>
                <w:i/>
              </w:rPr>
              <w:t>regelmæssigt</w:t>
            </w:r>
            <w:r w:rsidRPr="00B16DFD">
              <w:t xml:space="preserve"> op til revision af myndigheden i samråd med myndighederne for at sikre deres fortsatte effektivitet, proportionalitet og overensstemmelse med</w:t>
            </w:r>
            <w:r w:rsidRPr="00B16DFD">
              <w:rPr>
                <w:b/>
                <w:i/>
              </w:rPr>
              <w:t xml:space="preserve"> udviklingen i myndighedens tilsynskapacitet og</w:t>
            </w:r>
            <w:r w:rsidRPr="00B16DFD">
              <w:t xml:space="preserve"> EU-retten.".</w:t>
            </w:r>
          </w:p>
        </w:tc>
        <w:tc>
          <w:tcPr>
            <w:tcW w:w="4876" w:type="dxa"/>
            <w:tcBorders>
              <w:top w:val="nil"/>
              <w:left w:val="nil"/>
              <w:bottom w:val="nil"/>
              <w:right w:val="nil"/>
            </w:tcBorders>
            <w:hideMark/>
          </w:tcPr>
          <w:p w:rsidR="00365C9B" w:rsidRPr="00B16DFD" w:rsidP="00F61C80" w14:paraId="3DDFECEE" w14:textId="77777777">
            <w:pPr>
              <w:pStyle w:val="Normal6a"/>
            </w:pPr>
            <w:r w:rsidRPr="00B16DFD">
              <w:t>7.</w:t>
            </w:r>
            <w:r w:rsidRPr="00B16DFD">
              <w:tab/>
              <w:t xml:space="preserve">De praktiske samarbejdsordninger, der fastlægges i henhold til denne artikel, tages </w:t>
            </w:r>
            <w:r w:rsidRPr="00B16DFD">
              <w:rPr>
                <w:b/>
                <w:i/>
              </w:rPr>
              <w:t>om nødvendigt</w:t>
            </w:r>
            <w:r w:rsidRPr="00B16DFD">
              <w:t xml:space="preserve"> op til revision af myndigheden i samråd med myndighederne for at sikre deres fortsatte effektivitet, proportionalitet og overensstemmelse med EU-retten.".</w:t>
            </w:r>
          </w:p>
        </w:tc>
      </w:tr>
    </w:tbl>
    <w:p w:rsidR="00365C9B" w:rsidRPr="00734CAA" w:rsidP="00365C9B" w14:paraId="2AC9AB39"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5BA6A73" w14:textId="77777777">
      <w:pPr>
        <w:rPr>
          <w:lang w:val="en-GB"/>
        </w:rPr>
      </w:pPr>
      <w:r w:rsidRPr="00734CAA">
        <w:rPr>
          <w:rStyle w:val="HideTWBExt"/>
          <w:color w:val="auto"/>
          <w:lang w:val="en-GB"/>
        </w:rPr>
        <w:t>&lt;/Amend&gt;</w:t>
      </w:r>
    </w:p>
    <w:p w:rsidR="00365C9B" w:rsidRPr="00734CAA" w:rsidP="00365C9B" w14:paraId="667E589F"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407</w:t>
      </w:r>
      <w:r w:rsidRPr="00734CAA">
        <w:rPr>
          <w:rStyle w:val="HideTWBExt"/>
          <w:color w:val="auto"/>
          <w:lang w:val="en-GB"/>
        </w:rPr>
        <w:t>&lt;/NumAm&gt;</w:t>
      </w:r>
    </w:p>
    <w:p w:rsidR="00365C9B" w:rsidRPr="00734CAA" w:rsidP="00365C9B" w14:paraId="181ACB98" w14:textId="77777777">
      <w:pPr>
        <w:pStyle w:val="NormalBold"/>
        <w:rPr>
          <w:lang w:val="en-GB"/>
        </w:rPr>
      </w:pPr>
      <w:r w:rsidRPr="00734CAA">
        <w:rPr>
          <w:rStyle w:val="HideTWBExt"/>
          <w:b w:val="0"/>
          <w:color w:val="auto"/>
          <w:lang w:val="en-GB"/>
        </w:rPr>
        <w:t>&lt;RepeatBlock-By&gt;&lt;Members&gt;</w:t>
      </w:r>
      <w:r w:rsidRPr="00734CAA">
        <w:rPr>
          <w:lang w:val="en-GB"/>
        </w:rPr>
        <w:t>Gaetano Pedulla'</w:t>
      </w:r>
      <w:r w:rsidRPr="00734CAA">
        <w:rPr>
          <w:rStyle w:val="HideTWBExt"/>
          <w:b w:val="0"/>
          <w:color w:val="auto"/>
          <w:lang w:val="en-GB"/>
        </w:rPr>
        <w:t>&lt;/Members&gt;</w:t>
      </w:r>
    </w:p>
    <w:p w:rsidR="00365C9B" w:rsidRPr="00B16DFD" w:rsidP="00365C9B" w14:paraId="5701350C" w14:textId="77777777">
      <w:pPr>
        <w:pStyle w:val="NormalBold"/>
      </w:pPr>
      <w:r w:rsidRPr="00B16DFD">
        <w:rPr>
          <w:rStyle w:val="HideTWBExt"/>
          <w:b w:val="0"/>
          <w:color w:val="auto"/>
        </w:rPr>
        <w:t>&lt;/RepeatBlock-By&gt;</w:t>
      </w:r>
    </w:p>
    <w:p w:rsidR="00365C9B" w:rsidRPr="00B16DFD" w:rsidP="00365C9B" w14:paraId="645CFB5A"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5E239E69"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1780FF82"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4AD6DE24" w14:textId="77777777">
      <w:r w:rsidRPr="00B16DFD">
        <w:rPr>
          <w:rStyle w:val="HideTWBExt"/>
          <w:color w:val="auto"/>
        </w:rPr>
        <w:t>&lt;Article2&gt;</w:t>
      </w:r>
      <w:r w:rsidRPr="00B16DFD">
        <w:t>Artikel 8a – stk. 7 a (nyt)</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45C10E"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3014E298" w14:textId="77777777"/>
        </w:tc>
      </w:tr>
      <w:tr w14:paraId="16E3AB1E"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B0BF5C7"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64E095E7" w14:textId="77777777">
            <w:pPr>
              <w:pStyle w:val="AmColumnHeading"/>
            </w:pPr>
            <w:r w:rsidRPr="00B16DFD">
              <w:t>Ændringsforslag</w:t>
            </w:r>
          </w:p>
        </w:tc>
      </w:tr>
      <w:tr w14:paraId="3FE5891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7285C77" w14:textId="77777777">
            <w:pPr>
              <w:pStyle w:val="Normal6a"/>
            </w:pPr>
          </w:p>
        </w:tc>
        <w:tc>
          <w:tcPr>
            <w:tcW w:w="4876" w:type="dxa"/>
            <w:tcBorders>
              <w:top w:val="nil"/>
              <w:left w:val="nil"/>
              <w:bottom w:val="nil"/>
              <w:right w:val="nil"/>
            </w:tcBorders>
            <w:hideMark/>
          </w:tcPr>
          <w:p w:rsidR="00365C9B" w:rsidRPr="00B16DFD" w:rsidP="00F61C80" w14:paraId="22700E69" w14:textId="77777777">
            <w:pPr>
              <w:pStyle w:val="Normal6a"/>
            </w:pPr>
            <w:r w:rsidRPr="00B16DFD">
              <w:rPr>
                <w:b/>
                <w:i/>
              </w:rPr>
              <w:t>7a.</w:t>
            </w:r>
            <w:r w:rsidRPr="00B16DFD">
              <w:tab/>
            </w:r>
            <w:r w:rsidRPr="00B16DFD">
              <w:rPr>
                <w:b/>
                <w:i/>
              </w:rPr>
              <w:t xml:space="preserve">Senest ... [fem år efter datoen for denne ændringsforordnings ikrafttræden] forelægger myndigheden en omfattende gennemgang af effektiviteten af den strukturelt koordinerede tilsynsramme for Kommissionen. Ved denne revision vurderes det, om rammen har sikret konvergens på EU-plan, og om en </w:t>
            </w:r>
            <w:r w:rsidRPr="00B16DFD">
              <w:rPr>
                <w:b/>
                <w:i/>
              </w:rPr>
              <w:t>overgang til direkte tilsyn for systemiske aktører, herunder kapitalforvaltningsgrupper med en samlet EU-dækkende nettoaktivværdi på over 500 mia. EUR, er nødvendig for at bevare markedsintegriteten eller den finansielle stabilitet.</w:t>
            </w:r>
          </w:p>
        </w:tc>
      </w:tr>
    </w:tbl>
    <w:p w:rsidR="00365C9B" w:rsidRPr="00734CAA" w:rsidP="00365C9B" w14:paraId="63C8307C"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11F8E0B0" w14:textId="77777777">
      <w:pPr>
        <w:rPr>
          <w:lang w:val="en-GB"/>
        </w:rPr>
      </w:pPr>
      <w:r w:rsidRPr="00734CAA">
        <w:rPr>
          <w:rStyle w:val="HideTWBExt"/>
          <w:color w:val="auto"/>
          <w:lang w:val="en-GB"/>
        </w:rPr>
        <w:t>&lt;/Amend&gt;</w:t>
      </w:r>
    </w:p>
    <w:p w:rsidR="00365C9B" w:rsidRPr="00734CAA" w:rsidP="00365C9B" w14:paraId="4EE4372F"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408</w:t>
      </w:r>
      <w:r w:rsidRPr="00734CAA">
        <w:rPr>
          <w:rStyle w:val="HideTWBExt"/>
          <w:color w:val="auto"/>
          <w:lang w:val="en-GB"/>
        </w:rPr>
        <w:t>&lt;/NumAm&gt;</w:t>
      </w:r>
    </w:p>
    <w:p w:rsidR="00365C9B" w:rsidRPr="00734CAA" w:rsidP="00365C9B" w14:paraId="2425E130" w14:textId="77777777">
      <w:pPr>
        <w:pStyle w:val="NormalBold"/>
        <w:rPr>
          <w:lang w:val="en-GB"/>
        </w:rPr>
      </w:pPr>
      <w:r w:rsidRPr="00734CAA">
        <w:rPr>
          <w:rStyle w:val="HideTWBExt"/>
          <w:b w:val="0"/>
          <w:color w:val="auto"/>
          <w:lang w:val="en-GB"/>
        </w:rPr>
        <w:t>&lt;RepeatBlock-By&gt;&lt;Members&gt;</w:t>
      </w:r>
      <w:r w:rsidRPr="00734CAA">
        <w:rPr>
          <w:lang w:val="en-GB"/>
        </w:rPr>
        <w:t>Regina Doherty</w:t>
      </w:r>
      <w:r w:rsidRPr="00734CAA">
        <w:rPr>
          <w:rStyle w:val="HideTWBExt"/>
          <w:b w:val="0"/>
          <w:color w:val="auto"/>
          <w:lang w:val="en-GB"/>
        </w:rPr>
        <w:t>&lt;/Members&gt;</w:t>
      </w:r>
    </w:p>
    <w:p w:rsidR="00365C9B" w:rsidRPr="00B16DFD" w:rsidP="00365C9B" w14:paraId="5C3CC37B" w14:textId="77777777">
      <w:pPr>
        <w:pStyle w:val="NormalBold"/>
      </w:pPr>
      <w:r w:rsidRPr="00B16DFD">
        <w:rPr>
          <w:rStyle w:val="HideTWBExt"/>
          <w:b w:val="0"/>
          <w:color w:val="auto"/>
        </w:rPr>
        <w:t>&lt;/RepeatBlock-By&gt;</w:t>
      </w:r>
    </w:p>
    <w:p w:rsidR="00365C9B" w:rsidRPr="00B16DFD" w:rsidP="00365C9B" w14:paraId="222425B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5FC8BE9E" w14:textId="77777777">
      <w:pPr>
        <w:pStyle w:val="NormalBold"/>
        <w:rPr>
          <w:lang w:val="fr-FR"/>
        </w:rPr>
      </w:pPr>
      <w:r w:rsidRPr="00734CAA">
        <w:rPr>
          <w:rStyle w:val="HideTWBExt"/>
          <w:color w:val="auto"/>
          <w:lang w:val="fr-FR"/>
        </w:rPr>
        <w:t>&lt;Article&gt;</w:t>
      </w:r>
      <w:r w:rsidRPr="00734CAA">
        <w:rPr>
          <w:lang w:val="fr-FR"/>
        </w:rPr>
        <w:t>Artikel 1 – stk. 1 – nr. 7</w:t>
      </w:r>
      <w:r w:rsidRPr="00734CAA">
        <w:rPr>
          <w:rStyle w:val="HideTWBExt"/>
          <w:color w:val="auto"/>
          <w:lang w:val="fr-FR"/>
        </w:rPr>
        <w:t>&lt;/Article&gt;</w:t>
      </w:r>
    </w:p>
    <w:p w:rsidR="00365C9B" w:rsidRPr="00B16DFD" w:rsidP="00365C9B" w14:paraId="33459003"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0EB28A0D" w14:textId="77777777">
      <w:r w:rsidRPr="00B16DFD">
        <w:rPr>
          <w:rStyle w:val="HideTWBExt"/>
          <w:color w:val="auto"/>
        </w:rPr>
        <w:t>&lt;Article2&gt;</w:t>
      </w:r>
      <w:r w:rsidRPr="00B16DFD">
        <w:t>Artikel 8a – stk. 7 a (nyt)</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F3D4B"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7266C8B8" w14:textId="77777777"/>
        </w:tc>
      </w:tr>
      <w:tr w14:paraId="655972C0"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6B4F4939"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5BB90DF6" w14:textId="77777777">
            <w:pPr>
              <w:pStyle w:val="AmColumnHeading"/>
            </w:pPr>
            <w:r w:rsidRPr="00B16DFD">
              <w:t>Ændringsforslag</w:t>
            </w:r>
          </w:p>
        </w:tc>
      </w:tr>
      <w:tr w14:paraId="18677B8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3942E88" w14:textId="77777777">
            <w:pPr>
              <w:pStyle w:val="Normal6a"/>
            </w:pPr>
          </w:p>
        </w:tc>
        <w:tc>
          <w:tcPr>
            <w:tcW w:w="4876" w:type="dxa"/>
            <w:tcBorders>
              <w:top w:val="nil"/>
              <w:left w:val="nil"/>
              <w:bottom w:val="nil"/>
              <w:right w:val="nil"/>
            </w:tcBorders>
            <w:hideMark/>
          </w:tcPr>
          <w:p w:rsidR="00365C9B" w:rsidRPr="00B16DFD" w:rsidP="00F61C80" w14:paraId="56C9D7C5" w14:textId="77777777">
            <w:pPr>
              <w:pStyle w:val="Normal6a"/>
            </w:pPr>
            <w:r w:rsidRPr="00B16DFD">
              <w:rPr>
                <w:b/>
                <w:i/>
              </w:rPr>
              <w:t>7a.</w:t>
            </w:r>
            <w:r w:rsidRPr="00B16DFD">
              <w:tab/>
            </w:r>
            <w:r w:rsidRPr="00B16DFD">
              <w:rPr>
                <w:b/>
                <w:i/>
              </w:rPr>
              <w:t>ESMA hører den kompetente myndighed i hjemlandet, inden den vedtager en tilsynsforanstaltning, der i væsentlig grad kan påvirke tilsynet, afviklingsansvaret eller den finansielle stabilitet i den pågældende medlemsstat.</w:t>
            </w:r>
          </w:p>
        </w:tc>
      </w:tr>
    </w:tbl>
    <w:p w:rsidR="00365C9B" w:rsidRPr="00734CAA" w:rsidP="00365C9B" w14:paraId="54FAD783"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362AA4E4" w14:textId="77777777">
      <w:pPr>
        <w:rPr>
          <w:lang w:val="en-GB"/>
        </w:rPr>
      </w:pPr>
      <w:r w:rsidRPr="00734CAA">
        <w:rPr>
          <w:rStyle w:val="HideTWBExt"/>
          <w:color w:val="auto"/>
          <w:lang w:val="en-GB"/>
        </w:rPr>
        <w:t>&lt;/Amend&gt;</w:t>
      </w:r>
    </w:p>
    <w:p w:rsidR="00365C9B" w:rsidRPr="00734CAA" w:rsidP="00365C9B" w14:paraId="048751D7" w14:textId="77777777">
      <w:pPr>
        <w:pStyle w:val="AmNumberTabs"/>
        <w:rPr>
          <w:lang w:val="en-GB"/>
        </w:rPr>
      </w:pPr>
      <w:r w:rsidRPr="00734CAA">
        <w:rPr>
          <w:rStyle w:val="HideTWBExt"/>
          <w:color w:val="auto"/>
          <w:lang w:val="en-GB"/>
        </w:rPr>
        <w:t>&lt;Amend&gt;</w:t>
      </w:r>
      <w:r w:rsidRPr="00734CAA">
        <w:rPr>
          <w:lang w:val="en-GB"/>
        </w:rPr>
        <w:t>Ændringsforslag</w:t>
      </w:r>
      <w:r w:rsidRPr="00734CAA">
        <w:rPr>
          <w:lang w:val="en-GB"/>
        </w:rPr>
        <w:tab/>
      </w:r>
      <w:r w:rsidRPr="00734CAA">
        <w:rPr>
          <w:lang w:val="en-GB"/>
        </w:rPr>
        <w:tab/>
      </w:r>
      <w:r w:rsidRPr="00734CAA">
        <w:rPr>
          <w:rStyle w:val="HideTWBExt"/>
          <w:color w:val="auto"/>
          <w:lang w:val="en-GB"/>
        </w:rPr>
        <w:t>&lt;NumAm&gt;</w:t>
      </w:r>
      <w:r w:rsidRPr="00734CAA">
        <w:rPr>
          <w:lang w:val="en-GB"/>
        </w:rPr>
        <w:t>409</w:t>
      </w:r>
      <w:r w:rsidRPr="00734CAA">
        <w:rPr>
          <w:rStyle w:val="HideTWBExt"/>
          <w:color w:val="auto"/>
          <w:lang w:val="en-GB"/>
        </w:rPr>
        <w:t>&lt;/NumAm&gt;</w:t>
      </w:r>
    </w:p>
    <w:p w:rsidR="00365C9B" w:rsidRPr="00734CAA" w:rsidP="00365C9B" w14:paraId="565B60EF" w14:textId="77777777">
      <w:pPr>
        <w:pStyle w:val="NormalBold"/>
        <w:rPr>
          <w:lang w:val="en-GB"/>
        </w:rPr>
      </w:pPr>
      <w:r w:rsidRPr="00734CAA">
        <w:rPr>
          <w:rStyle w:val="HideTWBExt"/>
          <w:b w:val="0"/>
          <w:color w:val="auto"/>
          <w:lang w:val="en-GB"/>
        </w:rPr>
        <w:t>&lt;RepeatBlock-By&gt;&lt;Members&gt;</w:t>
      </w:r>
      <w:r w:rsidRPr="00734CAA">
        <w:rPr>
          <w:lang w:val="en-GB"/>
        </w:rPr>
        <w:t>Gaetano Pedulla'</w:t>
      </w:r>
      <w:r w:rsidRPr="00734CAA">
        <w:rPr>
          <w:rStyle w:val="HideTWBExt"/>
          <w:b w:val="0"/>
          <w:color w:val="auto"/>
          <w:lang w:val="en-GB"/>
        </w:rPr>
        <w:t>&lt;/Members&gt;</w:t>
      </w:r>
    </w:p>
    <w:p w:rsidR="00365C9B" w:rsidRPr="00B16DFD" w:rsidP="00365C9B" w14:paraId="0AA29F62" w14:textId="77777777">
      <w:pPr>
        <w:pStyle w:val="NormalBold"/>
      </w:pPr>
      <w:r w:rsidRPr="00B16DFD">
        <w:rPr>
          <w:rStyle w:val="HideTWBExt"/>
          <w:b w:val="0"/>
          <w:color w:val="auto"/>
        </w:rPr>
        <w:t>&lt;/RepeatBlock-By&gt;</w:t>
      </w:r>
    </w:p>
    <w:p w:rsidR="00365C9B" w:rsidRPr="00B16DFD" w:rsidP="00365C9B" w14:paraId="1BC939A3"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11B4DD30" w14:textId="77777777">
      <w:pPr>
        <w:pStyle w:val="NormalBold"/>
        <w:rPr>
          <w:lang w:val="fr-FR"/>
        </w:rPr>
      </w:pPr>
      <w:r w:rsidRPr="00734CAA">
        <w:rPr>
          <w:rStyle w:val="HideTWBExt"/>
          <w:color w:val="auto"/>
          <w:lang w:val="fr-FR"/>
        </w:rPr>
        <w:t>&lt;Article&gt;</w:t>
      </w:r>
      <w:r w:rsidRPr="00734CAA">
        <w:rPr>
          <w:lang w:val="fr-FR"/>
        </w:rPr>
        <w:t>Artikel 1 – stk. 1 – nr. 7 a (nyt)</w:t>
      </w:r>
      <w:r w:rsidRPr="00734CAA">
        <w:rPr>
          <w:rStyle w:val="HideTWBExt"/>
          <w:color w:val="auto"/>
          <w:lang w:val="fr-FR"/>
        </w:rPr>
        <w:t>&lt;/Article&gt;</w:t>
      </w:r>
    </w:p>
    <w:p w:rsidR="00365C9B" w:rsidRPr="00B16DFD" w:rsidP="00365C9B" w14:paraId="62962C0A"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36245EEA" w14:textId="77777777">
      <w:r w:rsidRPr="00B16DFD">
        <w:rPr>
          <w:rStyle w:val="HideTWBExt"/>
          <w:color w:val="auto"/>
        </w:rPr>
        <w:t>&lt;Article2&gt;</w:t>
      </w:r>
      <w:r w:rsidRPr="00B16DFD">
        <w:t>Artikel 8 a a (ny)</w:t>
      </w:r>
      <w:r w:rsidRPr="00B16DFD">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651C1B" w14:textId="77777777" w:rsidTr="00F61C8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2C5A0456" w14:textId="77777777"/>
        </w:tc>
      </w:tr>
      <w:tr w14:paraId="1F56E03D" w14:textId="77777777" w:rsidTr="00F61C8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05F3E884"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92BC5F9" w14:textId="77777777">
            <w:pPr>
              <w:pStyle w:val="AmColumnHeading"/>
            </w:pPr>
            <w:r w:rsidRPr="00B16DFD">
              <w:t>Ændringsforslag</w:t>
            </w:r>
          </w:p>
        </w:tc>
      </w:tr>
      <w:tr w14:paraId="7ECCB80B"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62E54486" w14:textId="77777777">
            <w:pPr>
              <w:pStyle w:val="Normal6a"/>
            </w:pPr>
          </w:p>
        </w:tc>
        <w:tc>
          <w:tcPr>
            <w:tcW w:w="4876" w:type="dxa"/>
            <w:tcBorders>
              <w:top w:val="nil"/>
              <w:left w:val="nil"/>
              <w:bottom w:val="nil"/>
              <w:right w:val="nil"/>
            </w:tcBorders>
            <w:hideMark/>
          </w:tcPr>
          <w:p w:rsidR="00365C9B" w:rsidRPr="00B16DFD" w:rsidP="00F61C80" w14:paraId="1082A3A5" w14:textId="77777777">
            <w:pPr>
              <w:pStyle w:val="Normal6a"/>
            </w:pPr>
            <w:r w:rsidRPr="00B16DFD">
              <w:rPr>
                <w:b/>
                <w:i/>
              </w:rPr>
              <w:t>7a)</w:t>
            </w:r>
            <w:r w:rsidRPr="00B16DFD">
              <w:tab/>
            </w:r>
            <w:r w:rsidRPr="00B16DFD">
              <w:rPr>
                <w:b/>
                <w:i/>
              </w:rPr>
              <w:t>Følgende artikel tilføjes:</w:t>
            </w:r>
          </w:p>
        </w:tc>
      </w:tr>
      <w:tr w14:paraId="18EB1ED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EBD8CAA" w14:textId="77777777">
            <w:pPr>
              <w:pStyle w:val="Normal6a"/>
            </w:pPr>
          </w:p>
        </w:tc>
        <w:tc>
          <w:tcPr>
            <w:tcW w:w="4876" w:type="dxa"/>
            <w:tcBorders>
              <w:top w:val="nil"/>
              <w:left w:val="nil"/>
              <w:bottom w:val="nil"/>
              <w:right w:val="nil"/>
            </w:tcBorders>
            <w:hideMark/>
          </w:tcPr>
          <w:p w:rsidR="00365C9B" w:rsidRPr="00B16DFD" w:rsidP="00F61C80" w14:paraId="18CA033E" w14:textId="77777777">
            <w:pPr>
              <w:pStyle w:val="Normal6a"/>
            </w:pPr>
            <w:r w:rsidRPr="00B16DFD">
              <w:rPr>
                <w:b/>
                <w:i/>
              </w:rPr>
              <w:t>Artikel 8aa</w:t>
            </w:r>
          </w:p>
        </w:tc>
      </w:tr>
      <w:tr w14:paraId="7A39AF29"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F0A01BC" w14:textId="77777777">
            <w:pPr>
              <w:pStyle w:val="Normal6a"/>
            </w:pPr>
          </w:p>
        </w:tc>
        <w:tc>
          <w:tcPr>
            <w:tcW w:w="4876" w:type="dxa"/>
            <w:tcBorders>
              <w:top w:val="nil"/>
              <w:left w:val="nil"/>
              <w:bottom w:val="nil"/>
              <w:right w:val="nil"/>
            </w:tcBorders>
            <w:hideMark/>
          </w:tcPr>
          <w:p w:rsidR="00365C9B" w:rsidRPr="00B16DFD" w:rsidP="00F61C80" w14:paraId="0DF1398E" w14:textId="77777777">
            <w:pPr>
              <w:pStyle w:val="Normal6a"/>
            </w:pPr>
            <w:r w:rsidRPr="00B16DFD">
              <w:rPr>
                <w:b/>
                <w:i/>
              </w:rPr>
              <w:t>Fastlæggelse af den strukturelt koordinerede tilsynsramme</w:t>
            </w:r>
          </w:p>
        </w:tc>
      </w:tr>
      <w:tr w14:paraId="007C293A"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1201A90A" w14:textId="77777777">
            <w:pPr>
              <w:pStyle w:val="Normal6a"/>
            </w:pPr>
          </w:p>
        </w:tc>
        <w:tc>
          <w:tcPr>
            <w:tcW w:w="4876" w:type="dxa"/>
            <w:tcBorders>
              <w:top w:val="nil"/>
              <w:left w:val="nil"/>
              <w:bottom w:val="nil"/>
              <w:right w:val="nil"/>
            </w:tcBorders>
            <w:hideMark/>
          </w:tcPr>
          <w:p w:rsidR="00365C9B" w:rsidRPr="00B16DFD" w:rsidP="00F61C80" w14:paraId="64BEA2E5" w14:textId="7956CCBA">
            <w:pPr>
              <w:pStyle w:val="Normal6a"/>
            </w:pPr>
            <w:r w:rsidRPr="00B16DFD">
              <w:rPr>
                <w:b/>
                <w:i/>
              </w:rPr>
              <w:t>1. Myndigheden udøver sine beføjelser over for deltagere på</w:t>
            </w:r>
            <w:r w:rsidR="00CB6039">
              <w:rPr>
                <w:b/>
                <w:i/>
              </w:rPr>
              <w:t xml:space="preserve"> finansmarked</w:t>
            </w:r>
            <w:r w:rsidR="00242139">
              <w:rPr>
                <w:b/>
                <w:i/>
              </w:rPr>
              <w:t>et</w:t>
            </w:r>
            <w:r w:rsidRPr="00B16DFD">
              <w:rPr>
                <w:b/>
                <w:i/>
              </w:rPr>
              <w:t xml:space="preserve"> gennem en integreret nav-og-eger-arkitektur, der gennemføres i to faser.</w:t>
            </w:r>
          </w:p>
        </w:tc>
      </w:tr>
      <w:tr w14:paraId="7B1AF227"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3646371D" w14:textId="77777777">
            <w:pPr>
              <w:pStyle w:val="Normal6a"/>
            </w:pPr>
          </w:p>
        </w:tc>
        <w:tc>
          <w:tcPr>
            <w:tcW w:w="4876" w:type="dxa"/>
            <w:tcBorders>
              <w:top w:val="nil"/>
              <w:left w:val="nil"/>
              <w:bottom w:val="nil"/>
              <w:right w:val="nil"/>
            </w:tcBorders>
            <w:hideMark/>
          </w:tcPr>
          <w:p w:rsidR="00365C9B" w:rsidRPr="00B16DFD" w:rsidP="00F61C80" w14:paraId="3EBD3159" w14:textId="77777777">
            <w:pPr>
              <w:pStyle w:val="Normal6a"/>
            </w:pPr>
            <w:r w:rsidRPr="00B16DFD">
              <w:rPr>
                <w:b/>
                <w:i/>
              </w:rPr>
              <w:t>2. Fase 1: I en periode på fem år fra ... [datoen for denne ændringsforordnings anvendelse] gennemføres tilsynet med væsentlige markedsinfrastrukturer og store grænseoverskridende kapitalforvaltningsgrupper via en strukturelt koordineret tilsynsramme bestående af:</w:t>
            </w:r>
          </w:p>
        </w:tc>
      </w:tr>
      <w:tr w14:paraId="29F35F8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3C8C5AB" w14:textId="77777777">
            <w:pPr>
              <w:pStyle w:val="Normal6a"/>
            </w:pPr>
          </w:p>
        </w:tc>
        <w:tc>
          <w:tcPr>
            <w:tcW w:w="4876" w:type="dxa"/>
            <w:tcBorders>
              <w:top w:val="nil"/>
              <w:left w:val="nil"/>
              <w:bottom w:val="nil"/>
              <w:right w:val="nil"/>
            </w:tcBorders>
            <w:hideMark/>
          </w:tcPr>
          <w:p w:rsidR="00365C9B" w:rsidRPr="00B16DFD" w:rsidP="00F61C80" w14:paraId="58540291" w14:textId="77777777">
            <w:pPr>
              <w:pStyle w:val="Normal6a"/>
            </w:pPr>
            <w:r w:rsidRPr="00B16DFD">
              <w:rPr>
                <w:b/>
                <w:i/>
              </w:rPr>
              <w:t xml:space="preserve">a) koordinerede tilsynshold, der består af personale fra myndigheden og relevante kompetente myndigheder; de koordinerede tilsynshold er ansvarlige for forberedende opgaver, herunder det daglige tilsyn, fælles kontrolbesøg på stedet og udarbejdelsen af tilsynsforanstaltninger og </w:t>
            </w:r>
            <w:r w:rsidRPr="00B16DFD">
              <w:rPr>
                <w:b/>
                <w:i/>
              </w:rPr>
              <w:noBreakHyphen/>
              <w:t>afgørelser</w:t>
            </w:r>
          </w:p>
        </w:tc>
      </w:tr>
      <w:tr w14:paraId="10BC023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8A47244" w14:textId="77777777">
            <w:pPr>
              <w:pStyle w:val="Normal6a"/>
            </w:pPr>
          </w:p>
        </w:tc>
        <w:tc>
          <w:tcPr>
            <w:tcW w:w="4876" w:type="dxa"/>
            <w:tcBorders>
              <w:top w:val="nil"/>
              <w:left w:val="nil"/>
              <w:bottom w:val="nil"/>
              <w:right w:val="nil"/>
            </w:tcBorders>
            <w:hideMark/>
          </w:tcPr>
          <w:p w:rsidR="00365C9B" w:rsidRPr="00B16DFD" w:rsidP="00F61C80" w14:paraId="57C08BB2" w14:textId="77777777">
            <w:pPr>
              <w:pStyle w:val="Normal6a"/>
            </w:pPr>
            <w:r w:rsidRPr="00B16DFD">
              <w:rPr>
                <w:b/>
                <w:i/>
              </w:rPr>
              <w:t>b) Tilsynskollegier, der fungerer som det konsensusbaserede forum for den formelle vedtagelse af tilsynsafgørelser baseret på de udkast, der er udarbejdet af de koordinerede tilsynshold</w:t>
            </w:r>
          </w:p>
        </w:tc>
      </w:tr>
      <w:tr w14:paraId="125B563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17AD7D3A" w14:textId="77777777">
            <w:pPr>
              <w:pStyle w:val="Normal6a"/>
            </w:pPr>
          </w:p>
        </w:tc>
        <w:tc>
          <w:tcPr>
            <w:tcW w:w="4876" w:type="dxa"/>
            <w:tcBorders>
              <w:top w:val="nil"/>
              <w:left w:val="nil"/>
              <w:bottom w:val="nil"/>
              <w:right w:val="nil"/>
            </w:tcBorders>
            <w:hideMark/>
          </w:tcPr>
          <w:p w:rsidR="00365C9B" w:rsidRPr="00B16DFD" w:rsidP="00F61C80" w14:paraId="75A9E8F8" w14:textId="77777777">
            <w:pPr>
              <w:pStyle w:val="Normal6a"/>
            </w:pPr>
            <w:r w:rsidRPr="00B16DFD">
              <w:rPr>
                <w:b/>
                <w:i/>
              </w:rPr>
              <w:t>c) myndigheden, som er formand for både de koordinerede tilsynshold og tilsynskollegierne, og som har beføjelse til at træffe bindende afgørelser i overensstemmelse med den procedure, der er fastsat i artikel 44b, stk. 2, for at sikre EU-dækkende tilsynsmæssig konvergens.</w:t>
            </w:r>
          </w:p>
        </w:tc>
      </w:tr>
      <w:tr w14:paraId="131C5B0D"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506AFC7" w14:textId="77777777">
            <w:pPr>
              <w:pStyle w:val="Normal6a"/>
            </w:pPr>
          </w:p>
        </w:tc>
        <w:tc>
          <w:tcPr>
            <w:tcW w:w="4876" w:type="dxa"/>
            <w:tcBorders>
              <w:top w:val="nil"/>
              <w:left w:val="nil"/>
              <w:bottom w:val="nil"/>
              <w:right w:val="nil"/>
            </w:tcBorders>
            <w:hideMark/>
          </w:tcPr>
          <w:p w:rsidR="00365C9B" w:rsidRPr="00B16DFD" w:rsidP="00F61C80" w14:paraId="7C92498B" w14:textId="5C0593C1">
            <w:pPr>
              <w:pStyle w:val="Normal6a"/>
            </w:pPr>
            <w:r w:rsidRPr="00B16DFD">
              <w:rPr>
                <w:b/>
                <w:i/>
              </w:rPr>
              <w:t xml:space="preserve">3. Der oprettes koordinerede tilsynshold for tilsynet med de enheder, der er omfattet af myndighedens direkte tilsynsbeføjelser i henhold til forordning (EU) nr. 648/2012, (EU) nr. 600/2014, (EU) nr. 909/2014 og (EU) 2023/1114, med undtagelse af udbydere af dataindberetningstjenester. Hvert koordineret tilsynshold består af personale fra myndigheden og fra de relevante kompetente myndigheder i den medlemsstat, hvor enheden er etableret, eller hvor enheden på grundlag af myndighedens vurdering i henhold til stk. 9 udfører væsentlige operationer, eller </w:t>
            </w:r>
            <w:r w:rsidRPr="00B16DFD">
              <w:rPr>
                <w:b/>
                <w:i/>
              </w:rPr>
              <w:t xml:space="preserve">hvor dens aktiviteter har væsentlig relevans for </w:t>
            </w:r>
            <w:r w:rsidR="00242139">
              <w:rPr>
                <w:b/>
                <w:i/>
              </w:rPr>
              <w:t>finansmarkederne</w:t>
            </w:r>
            <w:r w:rsidRPr="00B16DFD">
              <w:rPr>
                <w:b/>
                <w:i/>
              </w:rPr>
              <w:t xml:space="preserve">s </w:t>
            </w:r>
            <w:r w:rsidR="00CB6039">
              <w:rPr>
                <w:b/>
                <w:i/>
              </w:rPr>
              <w:t>vel</w:t>
            </w:r>
            <w:r w:rsidRPr="00B16DFD">
              <w:rPr>
                <w:b/>
                <w:i/>
              </w:rPr>
              <w:t>ordnede funktion. Medlemmerne af det koordinerede tilsynshold udpeges i overensstemmelse med stk. 9 og skal have et tilstrækkeligt niveau af viden, ekspertise og erfaring, herunder ekspertise vedrørende de specifikke markeder, instrumenter, infrastrukturer, enheder og aktiviteter, der overvåges, og med tilstrækkelig forskelligartet viden, baggrund, ekspertise og erfaring.</w:t>
            </w:r>
          </w:p>
        </w:tc>
      </w:tr>
      <w:tr w14:paraId="57FBE1A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1DDB772" w14:textId="77777777">
            <w:pPr>
              <w:pStyle w:val="Normal6a"/>
            </w:pPr>
          </w:p>
        </w:tc>
        <w:tc>
          <w:tcPr>
            <w:tcW w:w="4876" w:type="dxa"/>
            <w:tcBorders>
              <w:top w:val="nil"/>
              <w:left w:val="nil"/>
              <w:bottom w:val="nil"/>
              <w:right w:val="nil"/>
            </w:tcBorders>
            <w:hideMark/>
          </w:tcPr>
          <w:p w:rsidR="00365C9B" w:rsidRPr="00B16DFD" w:rsidP="00F61C80" w14:paraId="71D37351" w14:textId="77777777">
            <w:pPr>
              <w:pStyle w:val="Normal6a"/>
            </w:pPr>
            <w:r w:rsidRPr="00B16DFD">
              <w:rPr>
                <w:b/>
                <w:i/>
              </w:rPr>
              <w:t>4. Under fase 1 skal opgaverne for et koordineret tilsynshold være af forberedende karakter og omfatte følgende:</w:t>
            </w:r>
          </w:p>
        </w:tc>
      </w:tr>
      <w:tr w14:paraId="2E9A6A74"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50C03C0" w14:textId="77777777">
            <w:pPr>
              <w:pStyle w:val="Normal6a"/>
            </w:pPr>
          </w:p>
        </w:tc>
        <w:tc>
          <w:tcPr>
            <w:tcW w:w="4876" w:type="dxa"/>
            <w:tcBorders>
              <w:top w:val="nil"/>
              <w:left w:val="nil"/>
              <w:bottom w:val="nil"/>
              <w:right w:val="nil"/>
            </w:tcBorders>
            <w:hideMark/>
          </w:tcPr>
          <w:p w:rsidR="00365C9B" w:rsidRPr="00B16DFD" w:rsidP="00F61C80" w14:paraId="68F8DF46" w14:textId="77777777">
            <w:pPr>
              <w:pStyle w:val="Normal6a"/>
            </w:pPr>
            <w:r w:rsidRPr="00B16DFD">
              <w:rPr>
                <w:b/>
                <w:i/>
              </w:rPr>
              <w:t>a) udførelse af det løbende daglige tilsyn, tilsynsmæssige gennemgange og vurderinger af enhederne</w:t>
            </w:r>
          </w:p>
        </w:tc>
      </w:tr>
      <w:tr w14:paraId="40F992D2"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4F2BECD" w14:textId="77777777">
            <w:pPr>
              <w:pStyle w:val="Normal6a"/>
            </w:pPr>
          </w:p>
        </w:tc>
        <w:tc>
          <w:tcPr>
            <w:tcW w:w="4876" w:type="dxa"/>
            <w:tcBorders>
              <w:top w:val="nil"/>
              <w:left w:val="nil"/>
              <w:bottom w:val="nil"/>
              <w:right w:val="nil"/>
            </w:tcBorders>
            <w:hideMark/>
          </w:tcPr>
          <w:p w:rsidR="00365C9B" w:rsidRPr="00B16DFD" w:rsidP="00F61C80" w14:paraId="1F8EB66F" w14:textId="77777777">
            <w:pPr>
              <w:pStyle w:val="Normal6a"/>
            </w:pPr>
            <w:r w:rsidRPr="00B16DFD">
              <w:rPr>
                <w:b/>
                <w:i/>
              </w:rPr>
              <w:t>b) forberedelse og koordinering af undersøgelser, kontrolbesøg på stedet, tilsynsundersøgelser, kontrolaktiviteter og gennemførelsesaktiviteter</w:t>
            </w:r>
          </w:p>
        </w:tc>
      </w:tr>
      <w:tr w14:paraId="60E55A8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1825B9B" w14:textId="77777777">
            <w:pPr>
              <w:pStyle w:val="Normal6a"/>
            </w:pPr>
          </w:p>
        </w:tc>
        <w:tc>
          <w:tcPr>
            <w:tcW w:w="4876" w:type="dxa"/>
            <w:tcBorders>
              <w:top w:val="nil"/>
              <w:left w:val="nil"/>
              <w:bottom w:val="nil"/>
              <w:right w:val="nil"/>
            </w:tcBorders>
            <w:hideMark/>
          </w:tcPr>
          <w:p w:rsidR="00365C9B" w:rsidRPr="00B16DFD" w:rsidP="00F61C80" w14:paraId="41011091" w14:textId="77777777">
            <w:pPr>
              <w:pStyle w:val="Normal6a"/>
            </w:pPr>
            <w:r w:rsidRPr="00B16DFD">
              <w:rPr>
                <w:b/>
                <w:i/>
              </w:rPr>
              <w:t>c) deltagelse i udarbejdelsen af forberedende tilsynsforanstaltninger og afgørelser, der skal forelægges for tilsynskollegierne til formel vedtagelse</w:t>
            </w:r>
          </w:p>
        </w:tc>
      </w:tr>
      <w:tr w14:paraId="4355A73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9CF9ED3" w14:textId="77777777">
            <w:pPr>
              <w:pStyle w:val="Normal6a"/>
            </w:pPr>
          </w:p>
        </w:tc>
        <w:tc>
          <w:tcPr>
            <w:tcW w:w="4876" w:type="dxa"/>
            <w:tcBorders>
              <w:top w:val="nil"/>
              <w:left w:val="nil"/>
              <w:bottom w:val="nil"/>
              <w:right w:val="nil"/>
            </w:tcBorders>
            <w:hideMark/>
          </w:tcPr>
          <w:p w:rsidR="00365C9B" w:rsidRPr="00B16DFD" w:rsidP="00F61C80" w14:paraId="0D0CE90F" w14:textId="77777777">
            <w:pPr>
              <w:pStyle w:val="Normal6a"/>
            </w:pPr>
            <w:r w:rsidRPr="00B16DFD">
              <w:rPr>
                <w:b/>
                <w:i/>
              </w:rPr>
              <w:t xml:space="preserve">d) kontakt med kompetente myndigheder og, hvor det er relevant, andre EU-organer eller </w:t>
            </w:r>
            <w:r w:rsidRPr="00B16DFD">
              <w:rPr>
                <w:b/>
                <w:i/>
              </w:rPr>
              <w:noBreakHyphen/>
              <w:t>myndigheder, hvor det er nødvendigt for udførelsen af tilsynsopgaver</w:t>
            </w:r>
          </w:p>
        </w:tc>
      </w:tr>
      <w:tr w14:paraId="7AB14497"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7FC9663" w14:textId="77777777">
            <w:pPr>
              <w:pStyle w:val="Normal6a"/>
            </w:pPr>
          </w:p>
        </w:tc>
        <w:tc>
          <w:tcPr>
            <w:tcW w:w="4876" w:type="dxa"/>
            <w:tcBorders>
              <w:top w:val="nil"/>
              <w:left w:val="nil"/>
              <w:bottom w:val="nil"/>
              <w:right w:val="nil"/>
            </w:tcBorders>
            <w:hideMark/>
          </w:tcPr>
          <w:p w:rsidR="00365C9B" w:rsidRPr="00B16DFD" w:rsidP="00F61C80" w14:paraId="402230A7" w14:textId="77777777">
            <w:pPr>
              <w:pStyle w:val="Normal6a"/>
            </w:pPr>
            <w:r w:rsidRPr="00B16DFD">
              <w:rPr>
                <w:b/>
                <w:i/>
              </w:rPr>
              <w:t>e) sikring af sikker og rettidig udveksling af oplysninger, der er nødvendige for udførelsen af tilsynsopgaver.</w:t>
            </w:r>
          </w:p>
        </w:tc>
      </w:tr>
      <w:tr w14:paraId="294C6DD9"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DA15175" w14:textId="77777777">
            <w:pPr>
              <w:pStyle w:val="Normal6a"/>
            </w:pPr>
          </w:p>
        </w:tc>
        <w:tc>
          <w:tcPr>
            <w:tcW w:w="4876" w:type="dxa"/>
            <w:tcBorders>
              <w:top w:val="nil"/>
              <w:left w:val="nil"/>
              <w:bottom w:val="nil"/>
              <w:right w:val="nil"/>
            </w:tcBorders>
            <w:hideMark/>
          </w:tcPr>
          <w:p w:rsidR="00365C9B" w:rsidRPr="00B16DFD" w:rsidP="00F61C80" w14:paraId="30BEF868" w14:textId="77777777">
            <w:pPr>
              <w:pStyle w:val="Normal6a"/>
            </w:pPr>
            <w:r w:rsidRPr="00B16DFD">
              <w:rPr>
                <w:b/>
                <w:i/>
              </w:rPr>
              <w:t>5. Fase 2: Efter den vurdering, der er omhandlet i artikel 8a, stk. 8, overgår følgende enheder til direkte tilsyn af myndigheden i overensstemmelse med kapitel IIa:</w:t>
            </w:r>
          </w:p>
        </w:tc>
      </w:tr>
      <w:tr w14:paraId="3C21540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41EDCEB" w14:textId="77777777">
            <w:pPr>
              <w:pStyle w:val="Normal6a"/>
            </w:pPr>
          </w:p>
        </w:tc>
        <w:tc>
          <w:tcPr>
            <w:tcW w:w="4876" w:type="dxa"/>
            <w:tcBorders>
              <w:top w:val="nil"/>
              <w:left w:val="nil"/>
              <w:bottom w:val="nil"/>
              <w:right w:val="nil"/>
            </w:tcBorders>
            <w:hideMark/>
          </w:tcPr>
          <w:p w:rsidR="00365C9B" w:rsidRPr="00B16DFD" w:rsidP="00F61C80" w14:paraId="5F0E2153" w14:textId="77777777">
            <w:pPr>
              <w:pStyle w:val="Normal6a"/>
            </w:pPr>
            <w:r w:rsidRPr="00B16DFD">
              <w:rPr>
                <w:b/>
                <w:i/>
              </w:rPr>
              <w:t>a) Paneuropæiske markedsoperatører (PEMO'er)</w:t>
            </w:r>
          </w:p>
        </w:tc>
      </w:tr>
      <w:tr w14:paraId="2B8291D8"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65A17971" w14:textId="77777777">
            <w:pPr>
              <w:pStyle w:val="Normal6a"/>
            </w:pPr>
          </w:p>
        </w:tc>
        <w:tc>
          <w:tcPr>
            <w:tcW w:w="4876" w:type="dxa"/>
            <w:tcBorders>
              <w:top w:val="nil"/>
              <w:left w:val="nil"/>
              <w:bottom w:val="nil"/>
              <w:right w:val="nil"/>
            </w:tcBorders>
            <w:hideMark/>
          </w:tcPr>
          <w:p w:rsidR="00365C9B" w:rsidRPr="00B16DFD" w:rsidP="00F61C80" w14:paraId="7EBCC947" w14:textId="77777777">
            <w:pPr>
              <w:pStyle w:val="Normal6a"/>
            </w:pPr>
            <w:r w:rsidRPr="00B16DFD">
              <w:rPr>
                <w:b/>
                <w:i/>
              </w:rPr>
              <w:t>b) signifikante CCP'er og signifikante CSD'er</w:t>
            </w:r>
          </w:p>
        </w:tc>
      </w:tr>
      <w:tr w14:paraId="635EC5B5"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B21D86B" w14:textId="77777777">
            <w:pPr>
              <w:pStyle w:val="Normal6a"/>
            </w:pPr>
          </w:p>
        </w:tc>
        <w:tc>
          <w:tcPr>
            <w:tcW w:w="4876" w:type="dxa"/>
            <w:tcBorders>
              <w:top w:val="nil"/>
              <w:left w:val="nil"/>
              <w:bottom w:val="nil"/>
              <w:right w:val="nil"/>
            </w:tcBorders>
            <w:hideMark/>
          </w:tcPr>
          <w:p w:rsidR="00365C9B" w:rsidRPr="00B16DFD" w:rsidP="00F61C80" w14:paraId="6C786F9D" w14:textId="77777777">
            <w:pPr>
              <w:pStyle w:val="Normal6a"/>
            </w:pPr>
            <w:r w:rsidRPr="00B16DFD">
              <w:rPr>
                <w:b/>
                <w:i/>
              </w:rPr>
              <w:t>c) EU-grupper af administrationsselskaber og FAIF'er med samlede EU-dækkende nettoaktivværdier på over 500 mia. EUR.</w:t>
            </w:r>
          </w:p>
        </w:tc>
      </w:tr>
      <w:tr w14:paraId="0466B921"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5D38B58" w14:textId="77777777">
            <w:pPr>
              <w:pStyle w:val="Normal6a"/>
            </w:pPr>
          </w:p>
        </w:tc>
        <w:tc>
          <w:tcPr>
            <w:tcW w:w="4876" w:type="dxa"/>
            <w:tcBorders>
              <w:top w:val="nil"/>
              <w:left w:val="nil"/>
              <w:bottom w:val="nil"/>
              <w:right w:val="nil"/>
            </w:tcBorders>
            <w:hideMark/>
          </w:tcPr>
          <w:p w:rsidR="00365C9B" w:rsidRPr="00B16DFD" w:rsidP="00F61C80" w14:paraId="5F957999" w14:textId="77777777">
            <w:pPr>
              <w:pStyle w:val="Normal6a"/>
            </w:pPr>
            <w:r w:rsidRPr="00B16DFD">
              <w:rPr>
                <w:b/>
                <w:i/>
              </w:rPr>
              <w:t>6. Ved påbegyndelsen af fase 2 forbliver de koordinerede tilsynshold operationelle for at bistå myndigheden i de daglige tilsynsopgaver, krisestyring og likviditetskoordinering med centralbanker, der sikrer, at de nationale myndigheder, der bærer de finanspolitiske konsekvenser af markedssvigt, forbliver integreret i tilsynsprocessen.</w:t>
            </w:r>
          </w:p>
        </w:tc>
      </w:tr>
      <w:tr w14:paraId="7B4980DC"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73D8D298" w14:textId="77777777">
            <w:pPr>
              <w:pStyle w:val="Normal6a"/>
            </w:pPr>
          </w:p>
        </w:tc>
        <w:tc>
          <w:tcPr>
            <w:tcW w:w="4876" w:type="dxa"/>
            <w:tcBorders>
              <w:top w:val="nil"/>
              <w:left w:val="nil"/>
              <w:bottom w:val="nil"/>
              <w:right w:val="nil"/>
            </w:tcBorders>
            <w:hideMark/>
          </w:tcPr>
          <w:p w:rsidR="00365C9B" w:rsidRPr="00B16DFD" w:rsidP="00F61C80" w14:paraId="6014067B" w14:textId="77777777">
            <w:pPr>
              <w:pStyle w:val="Normal6a"/>
            </w:pPr>
            <w:r w:rsidRPr="00B16DFD">
              <w:rPr>
                <w:b/>
                <w:i/>
              </w:rPr>
              <w:t>7. Myndigheden er ansvarlig for oprettelsen og sammensætningen af koordinerede tilsynshold. Myndigheden og de relevante kompetente myndigheder udpeger en eller flere personer blandt deres personale som medlem eller medlemmer af et koordineret tilsynshold. Et medlem kan udnævnes til medlem af mere end ét koordineret tilsynshold.</w:t>
            </w:r>
          </w:p>
        </w:tc>
      </w:tr>
      <w:tr w14:paraId="62CA7833"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DE17281" w14:textId="77777777">
            <w:pPr>
              <w:pStyle w:val="Normal6a"/>
            </w:pPr>
          </w:p>
        </w:tc>
        <w:tc>
          <w:tcPr>
            <w:tcW w:w="4876" w:type="dxa"/>
            <w:tcBorders>
              <w:top w:val="nil"/>
              <w:left w:val="nil"/>
              <w:bottom w:val="nil"/>
              <w:right w:val="nil"/>
            </w:tcBorders>
            <w:hideMark/>
          </w:tcPr>
          <w:p w:rsidR="00365C9B" w:rsidRPr="00B16DFD" w:rsidP="00F61C80" w14:paraId="5CF29EFF" w14:textId="77777777">
            <w:pPr>
              <w:pStyle w:val="Normal6a"/>
            </w:pPr>
            <w:r w:rsidRPr="00B16DFD">
              <w:rPr>
                <w:b/>
                <w:i/>
              </w:rPr>
              <w:t>8. Myndigheden og de relevante kompetente myndigheder hører hinanden og aftaler anvendelsen af personale med hensyn til koordinerede tilsynshold under behørig hensyntagen til arten, omfanget, kompleksiteten og den grænseoverskridende relevans af den pågældende enheds aktiviteter, de involverede myndigheders lovbestemte ansvar og den ekspertise og de ressourcer, der er til rådighed. De praktiske ordninger, der er omhandlet i artikel 8a, skal bl.a. angive den faktiske sammensætning af de koordinerede tilsynshold og de nærmere vilkår for godtgørelse af eventuelle omkostninger, som de kompetente myndigheder har afholdt i forbindelse med deres deltagelse i koordinerede tilsynshold.</w:t>
            </w:r>
          </w:p>
        </w:tc>
      </w:tr>
      <w:tr w14:paraId="1B1A10A6"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C721505" w14:textId="77777777">
            <w:pPr>
              <w:pStyle w:val="Normal6a"/>
            </w:pPr>
          </w:p>
        </w:tc>
        <w:tc>
          <w:tcPr>
            <w:tcW w:w="4876" w:type="dxa"/>
            <w:tcBorders>
              <w:top w:val="nil"/>
              <w:left w:val="nil"/>
              <w:bottom w:val="nil"/>
              <w:right w:val="nil"/>
            </w:tcBorders>
            <w:hideMark/>
          </w:tcPr>
          <w:p w:rsidR="00365C9B" w:rsidRPr="00B16DFD" w:rsidP="00F61C80" w14:paraId="0F9D2827" w14:textId="77777777">
            <w:pPr>
              <w:pStyle w:val="Normal6a"/>
            </w:pPr>
            <w:r w:rsidRPr="00B16DFD">
              <w:rPr>
                <w:b/>
                <w:i/>
              </w:rPr>
              <w:t xml:space="preserve">9. Myndigheden udarbejder interne operationelle regler og procedurer vedrørende sammensætningen og driften af koordinerede tilsynshold, navnlig med hensyn til personale fra hver kompetent myndighed, status for personale fra </w:t>
            </w:r>
            <w:r w:rsidRPr="00B16DFD">
              <w:rPr>
                <w:b/>
                <w:i/>
              </w:rPr>
              <w:t>kompetente myndigheder, tildeling af menneskelige ressourcer fra myndigheden og af kompetente myndigheder til koordinerede tilsynshold, tilrettelæggelse af undersøgelser, kontrolbesøg på stedet, kontrolaktiviteter og gennemførelsesaktiviteter, informationsstrømme, fortrolighedsgarantier og rapporteringslinjer. Disse regler og procedurer skal også fastlægge de objektive kriterier, på grundlag af hvilke myndigheden skal foretage den i stk. 3 omhandlede vurdering.</w:t>
            </w:r>
          </w:p>
        </w:tc>
      </w:tr>
      <w:tr w14:paraId="261AFDB7" w14:textId="77777777" w:rsidTr="00F61C8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51FD77C9" w14:textId="77777777">
            <w:pPr>
              <w:pStyle w:val="Normal6a"/>
            </w:pPr>
          </w:p>
        </w:tc>
        <w:tc>
          <w:tcPr>
            <w:tcW w:w="4876" w:type="dxa"/>
            <w:tcBorders>
              <w:top w:val="nil"/>
              <w:left w:val="nil"/>
              <w:bottom w:val="nil"/>
              <w:right w:val="nil"/>
            </w:tcBorders>
            <w:hideMark/>
          </w:tcPr>
          <w:p w:rsidR="00365C9B" w:rsidRPr="00B16DFD" w:rsidP="00F61C80" w14:paraId="03E93ECD" w14:textId="77777777">
            <w:pPr>
              <w:pStyle w:val="Normal6a"/>
            </w:pPr>
            <w:r w:rsidRPr="00B16DFD">
              <w:rPr>
                <w:b/>
                <w:i/>
              </w:rPr>
              <w:t>10. Oprettelsen af koordinerede tilsynshold og deres funktionsmåde berører ikke myndighedens ansvar og ansvarlighed for udførelsen af de opgaver, som overdrages til den ved denne forordning og ved den i artikel 1, stk. 2, omhandlede lovgivning, og berører ikke de kompetente myndigheders lovbestemte ansvar i henhold til EU-retten og national ret."</w:t>
            </w:r>
          </w:p>
        </w:tc>
      </w:tr>
    </w:tbl>
    <w:p w:rsidR="00365C9B" w:rsidRPr="00734CAA" w:rsidP="00365C9B" w14:paraId="748414A4"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0A18DC81" w14:textId="77777777">
      <w:pPr>
        <w:pStyle w:val="AmJustTitle"/>
        <w:rPr>
          <w:lang w:val="en-GB"/>
        </w:rPr>
      </w:pPr>
      <w:r w:rsidRPr="00734CAA">
        <w:rPr>
          <w:rStyle w:val="HideTWBExt"/>
          <w:color w:val="auto"/>
          <w:lang w:val="en-GB"/>
        </w:rPr>
        <w:t>&lt;TitreJust&gt;</w:t>
      </w:r>
      <w:r w:rsidRPr="00734CAA">
        <w:rPr>
          <w:lang w:val="en-GB"/>
        </w:rPr>
        <w:t>Begrundelse</w:t>
      </w:r>
      <w:r w:rsidRPr="00734CAA">
        <w:rPr>
          <w:rStyle w:val="HideTWBExt"/>
          <w:color w:val="auto"/>
          <w:lang w:val="en-GB"/>
        </w:rPr>
        <w:t>&lt;/TitreJust&gt;</w:t>
      </w:r>
    </w:p>
    <w:p w:rsidR="00365C9B" w:rsidRPr="00734CAA" w:rsidP="00365C9B" w14:paraId="76CFFD54" w14:textId="77777777">
      <w:pPr>
        <w:pStyle w:val="AmJustText"/>
        <w:rPr>
          <w:lang w:val="en-GB"/>
        </w:rPr>
      </w:pPr>
      <w:r w:rsidRPr="00734CAA">
        <w:rPr>
          <w:lang w:val="en-GB"/>
        </w:rPr>
        <w:t>This amendment establishes an Integrated Hub-and-Spoke Architecture where, during Phase 1, coordinated teams perform preparatory supervisory tasks while Colleges maintain formal decision-making authority. It introduces a systemic filter for the transition to Phase 2, reserving direct ESMA supervision for entities with the most significant cross-border impact, including management groups exceeding EUR 500 billion NAV. The CSTs are maintained as a permanent infrastructure for crisis management, ensuring that national authorities who bear fiscal risks remain integrated in the supervisory process</w:t>
      </w:r>
    </w:p>
    <w:p w:rsidR="00365C9B" w:rsidRPr="00B16DFD" w:rsidP="00365C9B" w14:paraId="24366FC3" w14:textId="77777777">
      <w:r w:rsidRPr="00B16DFD">
        <w:rPr>
          <w:rStyle w:val="HideTWBExt"/>
          <w:color w:val="auto"/>
        </w:rPr>
        <w:t>&lt;/Amend&gt;</w:t>
      </w:r>
    </w:p>
    <w:p w:rsidR="00365C9B" w:rsidRPr="00B16DFD" w:rsidP="00365C9B" w14:paraId="1F22FC50" w14:textId="77777777">
      <w:pPr>
        <w:pStyle w:val="AmNumberTabs"/>
      </w:pPr>
      <w:r w:rsidRPr="00B16DFD">
        <w:rPr>
          <w:rStyle w:val="HideTWBExt"/>
          <w:color w:val="auto"/>
        </w:rPr>
        <w:t>&lt;Amend&gt;</w:t>
      </w:r>
      <w:r w:rsidRPr="00B16DFD">
        <w:t>Ændringsforslag</w:t>
      </w:r>
      <w:r w:rsidRPr="00B16DFD">
        <w:tab/>
      </w:r>
      <w:r w:rsidRPr="00B16DFD">
        <w:tab/>
      </w:r>
      <w:r w:rsidRPr="00B16DFD">
        <w:rPr>
          <w:rStyle w:val="HideTWBExt"/>
          <w:color w:val="auto"/>
        </w:rPr>
        <w:t>&lt;NumAm&gt;</w:t>
      </w:r>
      <w:r w:rsidRPr="00B16DFD">
        <w:t>410</w:t>
      </w:r>
      <w:r w:rsidRPr="00B16DFD">
        <w:rPr>
          <w:rStyle w:val="HideTWBExt"/>
          <w:color w:val="auto"/>
        </w:rPr>
        <w:t>&lt;/NumAm&gt;</w:t>
      </w:r>
    </w:p>
    <w:p w:rsidR="00365C9B" w:rsidRPr="00734CAA" w:rsidP="00365C9B" w14:paraId="1C365D36" w14:textId="77777777">
      <w:pPr>
        <w:pStyle w:val="NormalBold"/>
        <w:rPr>
          <w:lang w:val="en-GB"/>
        </w:rPr>
      </w:pPr>
      <w:r w:rsidRPr="00734CAA">
        <w:rPr>
          <w:rStyle w:val="HideTWBExt"/>
          <w:b w:val="0"/>
          <w:color w:val="auto"/>
          <w:lang w:val="en-GB"/>
        </w:rPr>
        <w:t>&lt;RepeatBlock-By&gt;&lt;Members&gt;</w:t>
      </w:r>
      <w:r w:rsidRPr="00734CAA">
        <w:rPr>
          <w:lang w:val="en-GB"/>
        </w:rPr>
        <w:t>Marco Falcone</w:t>
      </w:r>
      <w:r w:rsidRPr="00734CAA">
        <w:rPr>
          <w:rStyle w:val="HideTWBExt"/>
          <w:b w:val="0"/>
          <w:color w:val="auto"/>
          <w:lang w:val="en-GB"/>
        </w:rPr>
        <w:t>&lt;/Members&gt;</w:t>
      </w:r>
    </w:p>
    <w:p w:rsidR="00365C9B" w:rsidRPr="00B16DFD" w:rsidP="00365C9B" w14:paraId="6CA2936B" w14:textId="77777777">
      <w:pPr>
        <w:pStyle w:val="NormalBold"/>
      </w:pPr>
      <w:r w:rsidRPr="00B16DFD">
        <w:rPr>
          <w:rStyle w:val="HideTWBExt"/>
          <w:b w:val="0"/>
          <w:color w:val="auto"/>
        </w:rPr>
        <w:t>&lt;/RepeatBlock-By&gt;</w:t>
      </w:r>
    </w:p>
    <w:p w:rsidR="00365C9B" w:rsidRPr="00B16DFD" w:rsidP="00365C9B" w14:paraId="33FE4F8E" w14:textId="77777777">
      <w:pPr>
        <w:pStyle w:val="NormalBold"/>
      </w:pPr>
      <w:r w:rsidRPr="00B16DFD">
        <w:rPr>
          <w:rStyle w:val="HideTWBExt"/>
          <w:color w:val="auto"/>
        </w:rPr>
        <w:t>&lt;DocAmend&gt;</w:t>
      </w:r>
      <w:r w:rsidRPr="00B16DFD">
        <w:t>Forslag til forordning</w:t>
      </w:r>
      <w:r w:rsidRPr="00B16DFD">
        <w:rPr>
          <w:rStyle w:val="HideTWBExt"/>
          <w:color w:val="auto"/>
        </w:rPr>
        <w:t>&lt;/DocAmend&gt;</w:t>
      </w:r>
    </w:p>
    <w:p w:rsidR="00365C9B" w:rsidRPr="00734CAA" w:rsidP="00365C9B" w14:paraId="3E3ED2C7" w14:textId="77777777">
      <w:pPr>
        <w:pStyle w:val="NormalBold"/>
        <w:rPr>
          <w:lang w:val="fr-FR"/>
        </w:rPr>
      </w:pPr>
      <w:r w:rsidRPr="00734CAA">
        <w:rPr>
          <w:rStyle w:val="HideTWBExt"/>
          <w:color w:val="auto"/>
          <w:lang w:val="fr-FR"/>
        </w:rPr>
        <w:t>&lt;Article&gt;</w:t>
      </w:r>
      <w:r w:rsidRPr="00734CAA">
        <w:rPr>
          <w:lang w:val="fr-FR"/>
        </w:rPr>
        <w:t>Artikel 1 – stk. 1 – nr. 7 a (nyt)</w:t>
      </w:r>
      <w:r w:rsidRPr="00734CAA">
        <w:rPr>
          <w:rStyle w:val="HideTWBExt"/>
          <w:color w:val="auto"/>
          <w:lang w:val="fr-FR"/>
        </w:rPr>
        <w:t>&lt;/Article&gt;</w:t>
      </w:r>
    </w:p>
    <w:p w:rsidR="00365C9B" w:rsidRPr="00B16DFD" w:rsidP="00365C9B" w14:paraId="0B28EE1E" w14:textId="77777777">
      <w:r w:rsidRPr="00B16DFD">
        <w:rPr>
          <w:rStyle w:val="HideTWBExt"/>
          <w:color w:val="auto"/>
        </w:rPr>
        <w:t>&lt;DocAmend2&gt;</w:t>
      </w:r>
      <w:r w:rsidRPr="00B16DFD">
        <w:t>Forordning (EU) nr. 1095/2010</w:t>
      </w:r>
      <w:r w:rsidRPr="00B16DFD">
        <w:rPr>
          <w:rStyle w:val="HideTWBExt"/>
          <w:color w:val="auto"/>
        </w:rPr>
        <w:t>&lt;/DocAmend2&gt;</w:t>
      </w:r>
    </w:p>
    <w:p w:rsidR="00365C9B" w:rsidRPr="00B16DFD" w:rsidP="00365C9B" w14:paraId="3C43B5DD" w14:textId="77777777">
      <w:r w:rsidRPr="00B16DFD">
        <w:rPr>
          <w:rStyle w:val="HideTWBExt"/>
          <w:color w:val="auto"/>
        </w:rPr>
        <w:t>&lt;Article2&gt;</w:t>
      </w:r>
      <w:r w:rsidRPr="00B16DFD">
        <w:t>Artikel 8 a a (ny)</w:t>
      </w:r>
      <w:r w:rsidRPr="00B16DFD">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651492" w14:textId="77777777" w:rsidTr="00F61C8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65C9B" w:rsidRPr="00B16DFD" w:rsidP="00F61C80" w14:paraId="0CA4A546" w14:textId="77777777"/>
        </w:tc>
      </w:tr>
      <w:tr w14:paraId="10CC611E" w14:textId="77777777" w:rsidTr="00F61C8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65C9B" w:rsidRPr="00B16DFD" w:rsidP="00F61C80" w14:paraId="77D2E9F8" w14:textId="77777777">
            <w:pPr>
              <w:pStyle w:val="AmColumnHeading"/>
            </w:pPr>
            <w:r w:rsidRPr="00B16DFD">
              <w:t>Kommissionens forslag</w:t>
            </w:r>
          </w:p>
        </w:tc>
        <w:tc>
          <w:tcPr>
            <w:tcW w:w="4876" w:type="dxa"/>
            <w:tcBorders>
              <w:top w:val="nil"/>
              <w:left w:val="nil"/>
              <w:bottom w:val="nil"/>
              <w:right w:val="nil"/>
            </w:tcBorders>
            <w:hideMark/>
          </w:tcPr>
          <w:p w:rsidR="00365C9B" w:rsidRPr="00B16DFD" w:rsidP="00F61C80" w14:paraId="7166D37D" w14:textId="77777777">
            <w:pPr>
              <w:pStyle w:val="AmColumnHeading"/>
            </w:pPr>
            <w:r w:rsidRPr="00B16DFD">
              <w:t>Ændringsforslag</w:t>
            </w:r>
          </w:p>
        </w:tc>
      </w:tr>
      <w:tr w14:paraId="26ECF681" w14:textId="77777777" w:rsidTr="00F61C8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BB6755F" w14:textId="77777777">
            <w:pPr>
              <w:pStyle w:val="Normal6a"/>
            </w:pPr>
          </w:p>
        </w:tc>
        <w:tc>
          <w:tcPr>
            <w:tcW w:w="4876" w:type="dxa"/>
            <w:tcBorders>
              <w:top w:val="nil"/>
              <w:left w:val="nil"/>
              <w:bottom w:val="nil"/>
              <w:right w:val="nil"/>
            </w:tcBorders>
            <w:hideMark/>
          </w:tcPr>
          <w:p w:rsidR="00365C9B" w:rsidRPr="00B16DFD" w:rsidP="00F61C80" w14:paraId="71C17D33" w14:textId="77777777">
            <w:pPr>
              <w:pStyle w:val="Normal6a"/>
            </w:pPr>
            <w:r w:rsidRPr="00B16DFD">
              <w:rPr>
                <w:b/>
                <w:i/>
              </w:rPr>
              <w:t>7a)</w:t>
            </w:r>
            <w:r w:rsidRPr="00B16DFD">
              <w:tab/>
            </w:r>
            <w:r w:rsidRPr="00B16DFD">
              <w:rPr>
                <w:b/>
                <w:i/>
              </w:rPr>
              <w:t>Følgende artikel tilføjes:</w:t>
            </w:r>
          </w:p>
        </w:tc>
      </w:tr>
      <w:tr w14:paraId="5086E349" w14:textId="77777777" w:rsidTr="00F61C8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6BB978C5" w14:textId="77777777">
            <w:pPr>
              <w:pStyle w:val="Normal6a"/>
            </w:pPr>
          </w:p>
        </w:tc>
        <w:tc>
          <w:tcPr>
            <w:tcW w:w="4876" w:type="dxa"/>
            <w:tcBorders>
              <w:top w:val="nil"/>
              <w:left w:val="nil"/>
              <w:bottom w:val="nil"/>
              <w:right w:val="nil"/>
            </w:tcBorders>
            <w:hideMark/>
          </w:tcPr>
          <w:p w:rsidR="00365C9B" w:rsidRPr="00B16DFD" w:rsidP="00F61C80" w14:paraId="455B0977" w14:textId="77777777">
            <w:pPr>
              <w:pStyle w:val="Normal6a"/>
            </w:pPr>
            <w:r w:rsidRPr="00B16DFD">
              <w:rPr>
                <w:b/>
                <w:i/>
              </w:rPr>
              <w:t>"Artikel 8aa</w:t>
            </w:r>
          </w:p>
        </w:tc>
      </w:tr>
      <w:tr w14:paraId="778DE287" w14:textId="77777777" w:rsidTr="00F61C8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61CA452E" w14:textId="77777777">
            <w:pPr>
              <w:pStyle w:val="Normal6a"/>
            </w:pPr>
          </w:p>
        </w:tc>
        <w:tc>
          <w:tcPr>
            <w:tcW w:w="4876" w:type="dxa"/>
            <w:tcBorders>
              <w:top w:val="nil"/>
              <w:left w:val="nil"/>
              <w:bottom w:val="nil"/>
              <w:right w:val="nil"/>
            </w:tcBorders>
            <w:hideMark/>
          </w:tcPr>
          <w:p w:rsidR="00365C9B" w:rsidRPr="00B16DFD" w:rsidP="00F61C80" w14:paraId="27CCD180" w14:textId="77777777">
            <w:pPr>
              <w:pStyle w:val="Normal6a"/>
            </w:pPr>
            <w:r w:rsidRPr="00B16DFD">
              <w:rPr>
                <w:b/>
                <w:i/>
              </w:rPr>
              <w:t>Fælles tilsynshold</w:t>
            </w:r>
          </w:p>
        </w:tc>
      </w:tr>
      <w:tr w14:paraId="22843B47" w14:textId="77777777" w:rsidTr="00F61C8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19385CBE" w14:textId="77777777">
            <w:pPr>
              <w:pStyle w:val="Normal6a"/>
            </w:pPr>
          </w:p>
        </w:tc>
        <w:tc>
          <w:tcPr>
            <w:tcW w:w="4876" w:type="dxa"/>
            <w:tcBorders>
              <w:top w:val="nil"/>
              <w:left w:val="nil"/>
              <w:bottom w:val="nil"/>
              <w:right w:val="nil"/>
            </w:tcBorders>
          </w:tcPr>
          <w:p w:rsidR="00365C9B" w:rsidRPr="00B16DFD" w:rsidP="00F61C80" w14:paraId="224A96B4" w14:textId="77777777">
            <w:pPr>
              <w:pStyle w:val="Normal6a"/>
            </w:pPr>
            <w:r w:rsidRPr="00B16DFD">
              <w:rPr>
                <w:b/>
                <w:i/>
              </w:rPr>
              <w:t>1.</w:t>
            </w:r>
            <w:r w:rsidRPr="00B16DFD">
              <w:tab/>
            </w:r>
            <w:r w:rsidRPr="00B16DFD">
              <w:rPr>
                <w:b/>
                <w:i/>
              </w:rPr>
              <w:t>Med henblik på tilsynet med hver signifikant enhed under tilsyn, der er under direkte tilsyn af myndigheden, oprettes der fælles tilsynshold fra den [Publikationskontoret: indsæt venligst dato = når listen over signifikante enheder offentliggøres af ESMA] for at lette samarbejdet mellem ESMA og de nationale kompetente myndigheder under udførelsen af tilsynsopgaverne.</w:t>
            </w:r>
          </w:p>
        </w:tc>
      </w:tr>
      <w:tr w14:paraId="53821E57" w14:textId="77777777" w:rsidTr="00F61C8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5E2DBFF" w14:textId="77777777">
            <w:pPr>
              <w:pStyle w:val="Normal6a"/>
            </w:pPr>
          </w:p>
        </w:tc>
        <w:tc>
          <w:tcPr>
            <w:tcW w:w="4876" w:type="dxa"/>
            <w:tcBorders>
              <w:top w:val="nil"/>
              <w:left w:val="nil"/>
              <w:bottom w:val="nil"/>
              <w:right w:val="nil"/>
            </w:tcBorders>
          </w:tcPr>
          <w:p w:rsidR="00365C9B" w:rsidRPr="00B16DFD" w:rsidP="00F61C80" w14:paraId="2B1EB13C" w14:textId="77777777">
            <w:pPr>
              <w:pStyle w:val="Normal6a"/>
            </w:pPr>
            <w:r w:rsidRPr="00B16DFD">
              <w:rPr>
                <w:b/>
                <w:i/>
              </w:rPr>
              <w:t>2.</w:t>
            </w:r>
            <w:r w:rsidRPr="00B16DFD">
              <w:tab/>
            </w:r>
            <w:r w:rsidRPr="00B16DFD">
              <w:rPr>
                <w:b/>
                <w:i/>
              </w:rPr>
              <w:t>Hvert fælles tilsynshold består af medarbejdere fra ESMA og fra de nationale kompetente myndigheder, der arbejder under koordinering af en udpeget medarbejder (i det følgende benævnt "JST-koordinator") og, hvor det er relevant, en eller flere underkoordinatorer. I den i artikel 22g omhandlede overgangsperiode er JST-koordinatoren medlem af den nationale kompetente myndighed. Efter udløbet af denne overgangsperiode er JST-koordinatoren en medarbejder fra ESMA. Inden for JST-opgaverne kan JST-koordinatoren dele eller fordele dem blandt JST-medlemmerne</w:t>
            </w:r>
          </w:p>
        </w:tc>
      </w:tr>
      <w:tr w14:paraId="65A5F9C0" w14:textId="77777777" w:rsidTr="00F61C8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41D2DDC0" w14:textId="77777777">
            <w:pPr>
              <w:pStyle w:val="Normal6a"/>
            </w:pPr>
          </w:p>
        </w:tc>
        <w:tc>
          <w:tcPr>
            <w:tcW w:w="4876" w:type="dxa"/>
            <w:tcBorders>
              <w:top w:val="nil"/>
              <w:left w:val="nil"/>
              <w:bottom w:val="nil"/>
              <w:right w:val="nil"/>
            </w:tcBorders>
          </w:tcPr>
          <w:p w:rsidR="00365C9B" w:rsidRPr="00B16DFD" w:rsidP="00F61C80" w14:paraId="5191E90A" w14:textId="77777777">
            <w:pPr>
              <w:pStyle w:val="Normal6a"/>
            </w:pPr>
            <w:r w:rsidRPr="00B16DFD">
              <w:rPr>
                <w:b/>
                <w:i/>
              </w:rPr>
              <w:t>3.</w:t>
            </w:r>
            <w:r w:rsidRPr="00B16DFD">
              <w:tab/>
            </w:r>
            <w:r w:rsidRPr="00B16DFD">
              <w:rPr>
                <w:b/>
                <w:i/>
              </w:rPr>
              <w:t>Uden at berøre andre bestemmelser i nærværende forordning omfatter et fælles tilsynsholds opgaver, men er ikke begrænset til, følgende: a) udførelse af tilsynet med den pågældende enhed under tilsyn b) planlægning af tilsynsaktiviteter, herunder kontrolbesøg på stedet c) deltagelse i udarbejdelsen af udkast til afgørelser, der gælder for den pågældende enhed under tilsyn d) udførelse af kontrolbesøg på stedet f) sikring af udveksling af oplysninger mellem ESMA og de nationale kompetente myndigheder.</w:t>
            </w:r>
          </w:p>
        </w:tc>
      </w:tr>
      <w:tr w14:paraId="1B2CFF31" w14:textId="77777777" w:rsidTr="00F61C8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2B6B21C7" w14:textId="77777777">
            <w:pPr>
              <w:pStyle w:val="Normal6a"/>
            </w:pPr>
          </w:p>
        </w:tc>
        <w:tc>
          <w:tcPr>
            <w:tcW w:w="4876" w:type="dxa"/>
            <w:tcBorders>
              <w:top w:val="nil"/>
              <w:left w:val="nil"/>
              <w:bottom w:val="nil"/>
              <w:right w:val="nil"/>
            </w:tcBorders>
          </w:tcPr>
          <w:p w:rsidR="00365C9B" w:rsidRPr="00B16DFD" w:rsidP="00F61C80" w14:paraId="47FB9FC4" w14:textId="77777777">
            <w:pPr>
              <w:pStyle w:val="Normal6a"/>
            </w:pPr>
            <w:r w:rsidRPr="00B16DFD">
              <w:rPr>
                <w:b/>
                <w:i/>
              </w:rPr>
              <w:t>4.</w:t>
            </w:r>
            <w:r w:rsidRPr="00B16DFD">
              <w:tab/>
            </w:r>
            <w:r w:rsidRPr="00B16DFD">
              <w:rPr>
                <w:b/>
                <w:i/>
              </w:rPr>
              <w:t xml:space="preserve">Udnævnelsen af medarbejdere fra de nationale kompetente myndigheder til fælles tilsynshold foretages af de </w:t>
            </w:r>
            <w:r w:rsidRPr="00B16DFD">
              <w:rPr>
                <w:b/>
                <w:i/>
              </w:rPr>
              <w:t>respektive myndigheder. Disse myndigheder udpeger en eller flere personer blandt deres medarbejdere som medlem eller medlemmer af et fælles tilsynshold. En medarbejder kan udpeges som medlem af mere end ét fælles tilsynshold.</w:t>
            </w:r>
          </w:p>
        </w:tc>
      </w:tr>
      <w:tr w14:paraId="4E8CE855" w14:textId="77777777" w:rsidTr="00F61C8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2846BE3D" w14:textId="77777777">
            <w:pPr>
              <w:pStyle w:val="Normal6a"/>
            </w:pPr>
          </w:p>
        </w:tc>
        <w:tc>
          <w:tcPr>
            <w:tcW w:w="4876" w:type="dxa"/>
            <w:tcBorders>
              <w:top w:val="nil"/>
              <w:left w:val="nil"/>
              <w:bottom w:val="nil"/>
              <w:right w:val="nil"/>
            </w:tcBorders>
          </w:tcPr>
          <w:p w:rsidR="00365C9B" w:rsidRPr="00B16DFD" w:rsidP="00F61C80" w14:paraId="3CFCEFEB" w14:textId="77777777">
            <w:pPr>
              <w:pStyle w:val="Normal6a"/>
            </w:pPr>
            <w:r w:rsidRPr="00B16DFD">
              <w:rPr>
                <w:b/>
                <w:i/>
              </w:rPr>
              <w:t>5.</w:t>
            </w:r>
            <w:r w:rsidRPr="00B16DFD">
              <w:tab/>
            </w:r>
            <w:r w:rsidRPr="00B16DFD">
              <w:rPr>
                <w:b/>
                <w:i/>
              </w:rPr>
              <w:t>Uanset stk. 4 kan ESMA, hvis ESMA er den kompetente myndighed, kræve, at de nationale kompetente myndigheder ændrer de udnævnelser, de har foretaget, hvis det er relevant med henblik på sammensætningen af et fælles tilsynshold."</w:t>
            </w:r>
          </w:p>
        </w:tc>
      </w:tr>
      <w:tr w14:paraId="471F1BCF" w14:textId="77777777" w:rsidTr="00F61C8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65C9B" w:rsidRPr="00B16DFD" w:rsidP="00F61C80" w14:paraId="0EB9D62E" w14:textId="77777777">
            <w:pPr>
              <w:pStyle w:val="Normal6a"/>
            </w:pPr>
          </w:p>
        </w:tc>
        <w:tc>
          <w:tcPr>
            <w:tcW w:w="4876" w:type="dxa"/>
            <w:tcBorders>
              <w:top w:val="nil"/>
              <w:left w:val="nil"/>
              <w:bottom w:val="nil"/>
              <w:right w:val="nil"/>
            </w:tcBorders>
          </w:tcPr>
          <w:p w:rsidR="00365C9B" w:rsidRPr="00B16DFD" w:rsidP="00F61C80" w14:paraId="0A5A5943" w14:textId="77777777">
            <w:pPr>
              <w:pStyle w:val="Normal6a"/>
            </w:pPr>
            <w:r w:rsidRPr="00B16DFD">
              <w:rPr>
                <w:i/>
              </w:rPr>
              <w:t>(Dette ændringsforslag gælder i hele teksten. Hvis det vedtages, skal der foretages rettelser i hele teksten.)</w:t>
            </w:r>
          </w:p>
        </w:tc>
      </w:tr>
    </w:tbl>
    <w:p w:rsidR="00365C9B" w:rsidRPr="00734CAA" w:rsidP="00365C9B" w14:paraId="0F7A9E15" w14:textId="77777777">
      <w:pPr>
        <w:pStyle w:val="AmOrLang"/>
        <w:rPr>
          <w:lang w:val="en-GB"/>
        </w:rPr>
      </w:pPr>
      <w:r w:rsidRPr="00734CAA">
        <w:rPr>
          <w:lang w:val="en-GB"/>
        </w:rPr>
        <w:t xml:space="preserve">Or. </w:t>
      </w:r>
      <w:r w:rsidRPr="00734CAA">
        <w:rPr>
          <w:rStyle w:val="HideTWBExt"/>
          <w:color w:val="auto"/>
          <w:lang w:val="en-GB"/>
        </w:rPr>
        <w:t>&lt;Original&gt;</w:t>
      </w:r>
      <w:r w:rsidRPr="00734CAA">
        <w:rPr>
          <w:rStyle w:val="HideTWBInt"/>
          <w:color w:val="auto"/>
          <w:lang w:val="en-GB"/>
        </w:rPr>
        <w:t>{EN}</w:t>
      </w:r>
      <w:r w:rsidRPr="00734CAA">
        <w:rPr>
          <w:lang w:val="en-GB"/>
        </w:rPr>
        <w:t>en</w:t>
      </w:r>
      <w:r w:rsidRPr="00734CAA">
        <w:rPr>
          <w:rStyle w:val="HideTWBExt"/>
          <w:color w:val="auto"/>
          <w:lang w:val="en-GB"/>
        </w:rPr>
        <w:t>&lt;/Original&gt;</w:t>
      </w:r>
    </w:p>
    <w:p w:rsidR="00365C9B" w:rsidRPr="00734CAA" w:rsidP="00365C9B" w14:paraId="6E0F42D9" w14:textId="77777777">
      <w:pPr>
        <w:pStyle w:val="AmJustTitle"/>
        <w:rPr>
          <w:lang w:val="en-GB"/>
        </w:rPr>
      </w:pPr>
      <w:r w:rsidRPr="00734CAA">
        <w:rPr>
          <w:rStyle w:val="HideTWBExt"/>
          <w:color w:val="auto"/>
          <w:lang w:val="en-GB"/>
        </w:rPr>
        <w:t>&lt;TitreJust&gt;</w:t>
      </w:r>
      <w:r w:rsidRPr="00734CAA">
        <w:rPr>
          <w:lang w:val="en-GB"/>
        </w:rPr>
        <w:t>Begrundelse</w:t>
      </w:r>
      <w:r w:rsidRPr="00734CAA">
        <w:rPr>
          <w:rStyle w:val="HideTWBExt"/>
          <w:color w:val="auto"/>
          <w:lang w:val="en-GB"/>
        </w:rPr>
        <w:t>&lt;/TitreJust&gt;</w:t>
      </w:r>
    </w:p>
    <w:p w:rsidR="00365C9B" w:rsidRPr="00734CAA" w:rsidP="00365C9B" w14:paraId="5A847A03" w14:textId="77777777">
      <w:pPr>
        <w:pStyle w:val="AmJustText"/>
        <w:rPr>
          <w:lang w:val="en-GB"/>
        </w:rPr>
      </w:pPr>
      <w:r w:rsidRPr="00734CAA">
        <w:rPr>
          <w:lang w:val="en-GB"/>
        </w:rPr>
        <w:t>This amendment establishes a specific legal framework governing joint supervisory teams, consistent with comparable mechanisms already provided for under other Union legal instruments (such as DORA and AMLA). Its purpose is to guarantee the durable and structured participation of national competent authorities in the ongoing supervision of entities falling within ESMA's direct supervisory remit, without prejudice to ESMA's overarching responsibility and accountability in that regard. The provision takes account of the fact that national competent authorities retain close and continuous contact with local markets, and possess extensive expertise, market insight and supervisory experience acquired over time in relation to trading venues, financial market infrastructures, intermediaries, issuers and other relevant financial market participants. Their meaningful involvement is accordingly indispensable to enhancing the overall effectiveness of supervisory activity. The newly inserted Article 8 aa operates in conjunction with Article 8a, and in particular point (g) thereof, by laying down, at Level 1, the legal foundation for the establishment of joint supervisory teams, while entrusting to the practical cooperation arrangements the task of determining the operational and organisational modalities governing their composition, functioning, coordination, investigative activities, on-site inspections, verification measures, implementation activities, information exchange, confidentiality protections and cost reimbursement. This approach serves to reinforce the quality, continuity and consistency of supervision across the Union, and to secure effective cooperation between ESMA and the relevant competent authorities, all without compromising ESMA's independence or its accountability.</w:t>
      </w:r>
    </w:p>
    <w:p w:rsidR="00365C9B" w:rsidRPr="00B16DFD" w:rsidP="00365C9B" w14:paraId="393EE1D4" w14:textId="4CE2D02A">
      <w:r w:rsidRPr="00B16DFD">
        <w:rPr>
          <w:rStyle w:val="HideTWBExt"/>
          <w:color w:val="auto"/>
        </w:rPr>
        <w:t>&lt;/Amend&gt;&lt;/RepeatBlock-Amend&gt;</w:t>
      </w:r>
    </w:p>
    <w:p w:rsidR="008363E4" w:rsidRPr="00B16DFD" w:rsidP="00365C9B" w14:paraId="6C310A72" w14:textId="48485690"/>
    <w:sectPr w:rsidSect="00803AA3">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AA3" w:rsidRPr="00B16DFD" w:rsidP="00803AA3" w14:paraId="50364961" w14:textId="7275DC09">
    <w:pPr>
      <w:pStyle w:val="EPFooter"/>
    </w:pPr>
    <w:r w:rsidRPr="00B16DFD">
      <w:t>PE</w:t>
    </w:r>
    <w:r w:rsidRPr="00B16DFD">
      <w:rPr>
        <w:rStyle w:val="HideTWBExt"/>
      </w:rPr>
      <w:t>&lt;NoPE&gt;</w:t>
    </w:r>
    <w:r w:rsidRPr="00B16DFD">
      <w:t>791.103</w:t>
    </w:r>
    <w:r w:rsidRPr="00B16DFD">
      <w:rPr>
        <w:rStyle w:val="HideTWBExt"/>
      </w:rPr>
      <w:t>&lt;/NoPE&gt;&lt;Version&gt;</w:t>
    </w:r>
    <w:r w:rsidRPr="00B16DFD">
      <w:t>v01-00</w:t>
    </w:r>
    <w:r w:rsidRPr="00B16DFD">
      <w:rPr>
        <w:rStyle w:val="HideTWBExt"/>
      </w:rPr>
      <w:t>&lt;/Version&gt;</w:t>
    </w:r>
    <w:r w:rsidRPr="00B16DFD">
      <w:tab/>
    </w:r>
    <w:r w:rsidRPr="00B16DFD">
      <w:fldChar w:fldCharType="begin"/>
    </w:r>
    <w:r w:rsidRPr="00B16DFD">
      <w:instrText xml:space="preserve"> PAGE  \* MERGEFORMAT </w:instrText>
    </w:r>
    <w:r w:rsidRPr="00B16DFD">
      <w:fldChar w:fldCharType="separate"/>
    </w:r>
    <w:r w:rsidRPr="00B16DFD">
      <w:rPr>
        <w:noProof/>
      </w:rPr>
      <w:t>2</w:t>
    </w:r>
    <w:r w:rsidRPr="00B16DFD">
      <w:fldChar w:fldCharType="end"/>
    </w:r>
    <w:r w:rsidRPr="00B16DFD">
      <w:t>/</w:t>
    </w:r>
    <w:r>
      <w:fldChar w:fldCharType="begin"/>
    </w:r>
    <w:r>
      <w:instrText xml:space="preserve"> NUMPAGES  \* MERGEFORMAT </w:instrText>
    </w:r>
    <w:r>
      <w:fldChar w:fldCharType="separate"/>
    </w:r>
    <w:r w:rsidRPr="00B16DFD">
      <w:rPr>
        <w:noProof/>
      </w:rPr>
      <w:t>188</w:t>
    </w:r>
    <w:r w:rsidRPr="00B16DFD">
      <w:rPr>
        <w:noProof/>
      </w:rPr>
      <w:fldChar w:fldCharType="end"/>
    </w:r>
    <w:r w:rsidRPr="00B16DFD">
      <w:tab/>
    </w:r>
    <w:r w:rsidRPr="00B16DFD">
      <w:rPr>
        <w:rStyle w:val="HideTWBExt"/>
      </w:rPr>
      <w:t>&lt;PathFdR&gt;</w:t>
    </w:r>
    <w:r w:rsidRPr="00B16DFD" w:rsidR="00B16DFD">
      <w:t>AM\1348486DA.docx</w:t>
    </w:r>
    <w:r w:rsidRPr="00B16DFD">
      <w:rPr>
        <w:rStyle w:val="HideTWBExt"/>
      </w:rPr>
      <w:t>&lt;/PathFdR&gt;</w:t>
    </w:r>
  </w:p>
  <w:p w:rsidR="00D82FCC" w:rsidRPr="00B16DFD" w:rsidP="00803AA3" w14:paraId="2D01E27D" w14:textId="790FBAA5">
    <w:pPr>
      <w:pStyle w:val="EPFooter2"/>
    </w:pPr>
    <w:r w:rsidRPr="00B16DFD">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AA3" w:rsidRPr="00B16DFD" w:rsidP="00803AA3" w14:paraId="48C14DA3" w14:textId="137BC792">
    <w:pPr>
      <w:pStyle w:val="EPFooter"/>
    </w:pPr>
    <w:r w:rsidRPr="00B16DFD">
      <w:rPr>
        <w:rStyle w:val="HideTWBExt"/>
      </w:rPr>
      <w:t>&lt;PathFdR&gt;</w:t>
    </w:r>
    <w:r w:rsidRPr="00B16DFD" w:rsidR="00B16DFD">
      <w:t>AM\1348486DA.docx</w:t>
    </w:r>
    <w:r w:rsidRPr="00B16DFD">
      <w:rPr>
        <w:rStyle w:val="HideTWBExt"/>
      </w:rPr>
      <w:t>&lt;/PathFdR&gt;</w:t>
    </w:r>
    <w:r w:rsidRPr="00B16DFD">
      <w:tab/>
    </w:r>
    <w:r w:rsidRPr="00B16DFD">
      <w:fldChar w:fldCharType="begin"/>
    </w:r>
    <w:r w:rsidRPr="00B16DFD">
      <w:instrText xml:space="preserve"> PAGE  \* MERGEFORMAT </w:instrText>
    </w:r>
    <w:r w:rsidRPr="00B16DFD">
      <w:fldChar w:fldCharType="separate"/>
    </w:r>
    <w:r w:rsidRPr="00B16DFD">
      <w:rPr>
        <w:noProof/>
      </w:rPr>
      <w:t>3</w:t>
    </w:r>
    <w:r w:rsidRPr="00B16DFD">
      <w:fldChar w:fldCharType="end"/>
    </w:r>
    <w:r w:rsidRPr="00B16DFD">
      <w:t>/</w:t>
    </w:r>
    <w:r>
      <w:fldChar w:fldCharType="begin"/>
    </w:r>
    <w:r>
      <w:instrText xml:space="preserve"> NUMPAGES  \* MERGEFORMAT </w:instrText>
    </w:r>
    <w:r>
      <w:fldChar w:fldCharType="separate"/>
    </w:r>
    <w:r w:rsidRPr="00B16DFD">
      <w:rPr>
        <w:noProof/>
      </w:rPr>
      <w:t>188</w:t>
    </w:r>
    <w:r w:rsidRPr="00B16DFD">
      <w:rPr>
        <w:noProof/>
      </w:rPr>
      <w:fldChar w:fldCharType="end"/>
    </w:r>
    <w:r w:rsidRPr="00B16DFD">
      <w:tab/>
      <w:t>PE</w:t>
    </w:r>
    <w:r w:rsidRPr="00B16DFD">
      <w:rPr>
        <w:rStyle w:val="HideTWBExt"/>
      </w:rPr>
      <w:t>&lt;NoPE&gt;</w:t>
    </w:r>
    <w:r w:rsidRPr="00B16DFD">
      <w:t>791.103</w:t>
    </w:r>
    <w:r w:rsidRPr="00B16DFD">
      <w:rPr>
        <w:rStyle w:val="HideTWBExt"/>
      </w:rPr>
      <w:t>&lt;/NoPE&gt;&lt;Version&gt;</w:t>
    </w:r>
    <w:r w:rsidRPr="00B16DFD">
      <w:t>v01-00</w:t>
    </w:r>
    <w:r w:rsidRPr="00B16DFD">
      <w:rPr>
        <w:rStyle w:val="HideTWBExt"/>
      </w:rPr>
      <w:t>&lt;/Version&gt;</w:t>
    </w:r>
  </w:p>
  <w:p w:rsidR="00D82FCC" w:rsidRPr="00B16DFD" w:rsidP="00803AA3" w14:paraId="2FEB15F0" w14:textId="3ADF5A24">
    <w:pPr>
      <w:pStyle w:val="EPFooter2"/>
    </w:pPr>
    <w:r w:rsidRPr="00B16DFD">
      <w:tab/>
    </w:r>
    <w:r w:rsidRPr="00B16DFD">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AA3" w:rsidRPr="00B16DFD" w:rsidP="00803AA3" w14:paraId="75892026" w14:textId="412FAC33">
    <w:pPr>
      <w:pStyle w:val="EPFooter"/>
    </w:pPr>
    <w:r w:rsidRPr="00B16DFD">
      <w:rPr>
        <w:rStyle w:val="HideTWBExt"/>
      </w:rPr>
      <w:t>&lt;PathFdR&gt;</w:t>
    </w:r>
    <w:r w:rsidRPr="00B16DFD" w:rsidR="00B16DFD">
      <w:t>AM\1348486DA.docx</w:t>
    </w:r>
    <w:r w:rsidRPr="00B16DFD">
      <w:rPr>
        <w:rStyle w:val="HideTWBExt"/>
      </w:rPr>
      <w:t>&lt;/PathFdR&gt;</w:t>
    </w:r>
    <w:r w:rsidRPr="00B16DFD">
      <w:tab/>
    </w:r>
    <w:r w:rsidRPr="00B16DFD">
      <w:tab/>
      <w:t>PE</w:t>
    </w:r>
    <w:r w:rsidRPr="00B16DFD">
      <w:rPr>
        <w:rStyle w:val="HideTWBExt"/>
      </w:rPr>
      <w:t>&lt;NoPE&gt;</w:t>
    </w:r>
    <w:r w:rsidRPr="00B16DFD">
      <w:t>791.103</w:t>
    </w:r>
    <w:r w:rsidRPr="00B16DFD">
      <w:rPr>
        <w:rStyle w:val="HideTWBExt"/>
      </w:rPr>
      <w:t>&lt;/NoPE&gt;&lt;Version&gt;</w:t>
    </w:r>
    <w:r w:rsidRPr="00B16DFD">
      <w:t>v01-00</w:t>
    </w:r>
    <w:r w:rsidRPr="00B16DFD">
      <w:rPr>
        <w:rStyle w:val="HideTWBExt"/>
      </w:rPr>
      <w:t>&lt;/Version&gt;</w:t>
    </w:r>
  </w:p>
  <w:p w:rsidR="00D82FCC" w:rsidRPr="00B16DFD" w:rsidP="00803AA3" w14:paraId="5C0EF59D" w14:textId="71B9E66E">
    <w:pPr>
      <w:pStyle w:val="EPFooter2"/>
    </w:pPr>
    <w:r w:rsidRPr="00B16DFD">
      <w:t>DA</w:t>
    </w:r>
    <w:r w:rsidRPr="00B16DFD">
      <w:tab/>
    </w:r>
    <w:r w:rsidRPr="00B16DFD">
      <w:rPr>
        <w:b w:val="0"/>
        <w:i/>
        <w:color w:val="C0C0C0"/>
        <w:sz w:val="22"/>
      </w:rPr>
      <w:t>Forenet i mangfoldighed</w:t>
    </w:r>
    <w:r w:rsidRPr="00B16DFD">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34D7" w14:paraId="612891D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34D7" w14:paraId="19D9EF1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34D7" w14:paraId="69908B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ED9"/>
    <w:rsid w:val="000111BD"/>
    <w:rsid w:val="00013044"/>
    <w:rsid w:val="00023D85"/>
    <w:rsid w:val="00073830"/>
    <w:rsid w:val="00075DBE"/>
    <w:rsid w:val="000B0781"/>
    <w:rsid w:val="000D446F"/>
    <w:rsid w:val="000E7234"/>
    <w:rsid w:val="000F2A80"/>
    <w:rsid w:val="000F7815"/>
    <w:rsid w:val="00107AE2"/>
    <w:rsid w:val="0011047F"/>
    <w:rsid w:val="00113586"/>
    <w:rsid w:val="00126BC4"/>
    <w:rsid w:val="001467CF"/>
    <w:rsid w:val="00150057"/>
    <w:rsid w:val="00166CCB"/>
    <w:rsid w:val="001809DD"/>
    <w:rsid w:val="001A4802"/>
    <w:rsid w:val="001B761C"/>
    <w:rsid w:val="001C2054"/>
    <w:rsid w:val="001C502E"/>
    <w:rsid w:val="001D13C9"/>
    <w:rsid w:val="001D5CC4"/>
    <w:rsid w:val="001D7A49"/>
    <w:rsid w:val="001E6F84"/>
    <w:rsid w:val="001F0FDD"/>
    <w:rsid w:val="0020367C"/>
    <w:rsid w:val="002076EE"/>
    <w:rsid w:val="00222325"/>
    <w:rsid w:val="00231EA7"/>
    <w:rsid w:val="00236619"/>
    <w:rsid w:val="00242139"/>
    <w:rsid w:val="002574CB"/>
    <w:rsid w:val="00267C1F"/>
    <w:rsid w:val="00280EA6"/>
    <w:rsid w:val="002A1C82"/>
    <w:rsid w:val="002B6A7B"/>
    <w:rsid w:val="002C5761"/>
    <w:rsid w:val="002E3F68"/>
    <w:rsid w:val="002E4311"/>
    <w:rsid w:val="002F627A"/>
    <w:rsid w:val="003003A7"/>
    <w:rsid w:val="0030656C"/>
    <w:rsid w:val="00315664"/>
    <w:rsid w:val="00322475"/>
    <w:rsid w:val="003379AD"/>
    <w:rsid w:val="00356AEC"/>
    <w:rsid w:val="00363AD3"/>
    <w:rsid w:val="00365C9B"/>
    <w:rsid w:val="003743DE"/>
    <w:rsid w:val="0037660F"/>
    <w:rsid w:val="00384E84"/>
    <w:rsid w:val="0038706C"/>
    <w:rsid w:val="003923F7"/>
    <w:rsid w:val="003A5102"/>
    <w:rsid w:val="003C6466"/>
    <w:rsid w:val="003C6E39"/>
    <w:rsid w:val="003D466C"/>
    <w:rsid w:val="003D48D3"/>
    <w:rsid w:val="003D6EE7"/>
    <w:rsid w:val="003D70F2"/>
    <w:rsid w:val="003E08BF"/>
    <w:rsid w:val="003E43AC"/>
    <w:rsid w:val="003F21EB"/>
    <w:rsid w:val="003F3B0C"/>
    <w:rsid w:val="0041392E"/>
    <w:rsid w:val="00422BB2"/>
    <w:rsid w:val="00424D89"/>
    <w:rsid w:val="004367B3"/>
    <w:rsid w:val="00441413"/>
    <w:rsid w:val="00441D7D"/>
    <w:rsid w:val="00461E32"/>
    <w:rsid w:val="00464338"/>
    <w:rsid w:val="00495E20"/>
    <w:rsid w:val="004C6075"/>
    <w:rsid w:val="004E0AAC"/>
    <w:rsid w:val="004E1C4C"/>
    <w:rsid w:val="004F03F0"/>
    <w:rsid w:val="004F2903"/>
    <w:rsid w:val="00517A9D"/>
    <w:rsid w:val="005246D8"/>
    <w:rsid w:val="00547F73"/>
    <w:rsid w:val="00557617"/>
    <w:rsid w:val="0055766D"/>
    <w:rsid w:val="00564350"/>
    <w:rsid w:val="00571479"/>
    <w:rsid w:val="005A7205"/>
    <w:rsid w:val="005A7EB4"/>
    <w:rsid w:val="005B32E3"/>
    <w:rsid w:val="005B5972"/>
    <w:rsid w:val="005E50C2"/>
    <w:rsid w:val="00607ABE"/>
    <w:rsid w:val="006337D4"/>
    <w:rsid w:val="00637384"/>
    <w:rsid w:val="0066168A"/>
    <w:rsid w:val="00665DDA"/>
    <w:rsid w:val="00672807"/>
    <w:rsid w:val="006746CD"/>
    <w:rsid w:val="00687070"/>
    <w:rsid w:val="0069169A"/>
    <w:rsid w:val="00695CC1"/>
    <w:rsid w:val="006965BE"/>
    <w:rsid w:val="006A2838"/>
    <w:rsid w:val="006A55C3"/>
    <w:rsid w:val="006B4B58"/>
    <w:rsid w:val="006B6438"/>
    <w:rsid w:val="006C13E7"/>
    <w:rsid w:val="006D6B15"/>
    <w:rsid w:val="006E2084"/>
    <w:rsid w:val="006E5597"/>
    <w:rsid w:val="006F06C3"/>
    <w:rsid w:val="006F3F81"/>
    <w:rsid w:val="006F4B73"/>
    <w:rsid w:val="00702F62"/>
    <w:rsid w:val="007059E9"/>
    <w:rsid w:val="00706049"/>
    <w:rsid w:val="007152AF"/>
    <w:rsid w:val="007234D7"/>
    <w:rsid w:val="00734CAA"/>
    <w:rsid w:val="00736FBA"/>
    <w:rsid w:val="0074160E"/>
    <w:rsid w:val="007659AC"/>
    <w:rsid w:val="00765BCA"/>
    <w:rsid w:val="00773ADF"/>
    <w:rsid w:val="0079060C"/>
    <w:rsid w:val="007A42AB"/>
    <w:rsid w:val="007C71DE"/>
    <w:rsid w:val="007F42E3"/>
    <w:rsid w:val="007F4C55"/>
    <w:rsid w:val="00803AA3"/>
    <w:rsid w:val="00822C94"/>
    <w:rsid w:val="008363E4"/>
    <w:rsid w:val="00851460"/>
    <w:rsid w:val="00853956"/>
    <w:rsid w:val="0087052C"/>
    <w:rsid w:val="00870CF2"/>
    <w:rsid w:val="00874862"/>
    <w:rsid w:val="00875A9C"/>
    <w:rsid w:val="00887FDC"/>
    <w:rsid w:val="008A1B53"/>
    <w:rsid w:val="008B251A"/>
    <w:rsid w:val="008D6D06"/>
    <w:rsid w:val="008E5FC7"/>
    <w:rsid w:val="008F0DDD"/>
    <w:rsid w:val="008F534A"/>
    <w:rsid w:val="00900CAE"/>
    <w:rsid w:val="009030D6"/>
    <w:rsid w:val="00904AD5"/>
    <w:rsid w:val="00907CCA"/>
    <w:rsid w:val="009154FF"/>
    <w:rsid w:val="00917A85"/>
    <w:rsid w:val="0092427B"/>
    <w:rsid w:val="00966038"/>
    <w:rsid w:val="0099623A"/>
    <w:rsid w:val="009A65D8"/>
    <w:rsid w:val="009A6D1B"/>
    <w:rsid w:val="009B0305"/>
    <w:rsid w:val="009B1A49"/>
    <w:rsid w:val="009F230F"/>
    <w:rsid w:val="00A01EE4"/>
    <w:rsid w:val="00A07ED9"/>
    <w:rsid w:val="00A15973"/>
    <w:rsid w:val="00A233E9"/>
    <w:rsid w:val="00A27928"/>
    <w:rsid w:val="00A46736"/>
    <w:rsid w:val="00A507FC"/>
    <w:rsid w:val="00A5426B"/>
    <w:rsid w:val="00A604CF"/>
    <w:rsid w:val="00A668DD"/>
    <w:rsid w:val="00A74953"/>
    <w:rsid w:val="00A845EF"/>
    <w:rsid w:val="00A84E16"/>
    <w:rsid w:val="00A87173"/>
    <w:rsid w:val="00A93389"/>
    <w:rsid w:val="00A93461"/>
    <w:rsid w:val="00A93F8C"/>
    <w:rsid w:val="00AA0426"/>
    <w:rsid w:val="00AA1655"/>
    <w:rsid w:val="00AA2610"/>
    <w:rsid w:val="00AB74D6"/>
    <w:rsid w:val="00AC2E80"/>
    <w:rsid w:val="00AC7149"/>
    <w:rsid w:val="00AD730A"/>
    <w:rsid w:val="00AE4459"/>
    <w:rsid w:val="00AF25FC"/>
    <w:rsid w:val="00AF2819"/>
    <w:rsid w:val="00AF4CB3"/>
    <w:rsid w:val="00AF68BC"/>
    <w:rsid w:val="00B0638A"/>
    <w:rsid w:val="00B10564"/>
    <w:rsid w:val="00B16DFD"/>
    <w:rsid w:val="00B41B4D"/>
    <w:rsid w:val="00B7677D"/>
    <w:rsid w:val="00B77A45"/>
    <w:rsid w:val="00B8066A"/>
    <w:rsid w:val="00B85286"/>
    <w:rsid w:val="00B90B7F"/>
    <w:rsid w:val="00B9188F"/>
    <w:rsid w:val="00BA48D2"/>
    <w:rsid w:val="00BC1B1F"/>
    <w:rsid w:val="00BE0C84"/>
    <w:rsid w:val="00BE5062"/>
    <w:rsid w:val="00C03165"/>
    <w:rsid w:val="00C10F61"/>
    <w:rsid w:val="00C202F6"/>
    <w:rsid w:val="00C22CC4"/>
    <w:rsid w:val="00C2336C"/>
    <w:rsid w:val="00C2353B"/>
    <w:rsid w:val="00C34F1A"/>
    <w:rsid w:val="00C35E35"/>
    <w:rsid w:val="00C41E32"/>
    <w:rsid w:val="00C73C1D"/>
    <w:rsid w:val="00C85D0F"/>
    <w:rsid w:val="00C92798"/>
    <w:rsid w:val="00CB11CA"/>
    <w:rsid w:val="00CB34F1"/>
    <w:rsid w:val="00CB6039"/>
    <w:rsid w:val="00CB7B07"/>
    <w:rsid w:val="00CC3983"/>
    <w:rsid w:val="00D00CC7"/>
    <w:rsid w:val="00D100D1"/>
    <w:rsid w:val="00D14FCE"/>
    <w:rsid w:val="00D15308"/>
    <w:rsid w:val="00D1583C"/>
    <w:rsid w:val="00D15D1E"/>
    <w:rsid w:val="00D22334"/>
    <w:rsid w:val="00D41C75"/>
    <w:rsid w:val="00D42398"/>
    <w:rsid w:val="00D44842"/>
    <w:rsid w:val="00D46C86"/>
    <w:rsid w:val="00D677D5"/>
    <w:rsid w:val="00D75323"/>
    <w:rsid w:val="00D755F1"/>
    <w:rsid w:val="00D767AC"/>
    <w:rsid w:val="00D82FCC"/>
    <w:rsid w:val="00D87B31"/>
    <w:rsid w:val="00DA5CC0"/>
    <w:rsid w:val="00DB0607"/>
    <w:rsid w:val="00DB429F"/>
    <w:rsid w:val="00DB65C2"/>
    <w:rsid w:val="00DC4160"/>
    <w:rsid w:val="00DC6A1B"/>
    <w:rsid w:val="00DE672F"/>
    <w:rsid w:val="00E05F57"/>
    <w:rsid w:val="00E14883"/>
    <w:rsid w:val="00E15A86"/>
    <w:rsid w:val="00E25DC5"/>
    <w:rsid w:val="00E41C9B"/>
    <w:rsid w:val="00E44BB0"/>
    <w:rsid w:val="00E471BE"/>
    <w:rsid w:val="00E57F50"/>
    <w:rsid w:val="00E660E2"/>
    <w:rsid w:val="00E74B66"/>
    <w:rsid w:val="00E83402"/>
    <w:rsid w:val="00EA25AE"/>
    <w:rsid w:val="00EB3A71"/>
    <w:rsid w:val="00EB70F6"/>
    <w:rsid w:val="00EE011D"/>
    <w:rsid w:val="00EE3E0D"/>
    <w:rsid w:val="00EF03A3"/>
    <w:rsid w:val="00EF11AD"/>
    <w:rsid w:val="00EF2F68"/>
    <w:rsid w:val="00F10479"/>
    <w:rsid w:val="00F27170"/>
    <w:rsid w:val="00F40D82"/>
    <w:rsid w:val="00F459F7"/>
    <w:rsid w:val="00F51440"/>
    <w:rsid w:val="00F61C80"/>
    <w:rsid w:val="00F82CA6"/>
    <w:rsid w:val="00F92B49"/>
    <w:rsid w:val="00FA192C"/>
    <w:rsid w:val="00FC1B08"/>
    <w:rsid w:val="00FD05BD"/>
    <w:rsid w:val="00FD675F"/>
    <w:rsid w:val="00FE03B4"/>
    <w:rsid w:val="00FF204D"/>
  </w:rsids>
  <w:docVars>
    <w:docVar w:name="AMACTMNU" w:val=" 2"/>
    <w:docVar w:name="AMPLURMNU" w:val=" 1"/>
    <w:docVar w:name="CODEMNU" w:val=" 1"/>
    <w:docVar w:name="COMKEY" w:val="ECON"/>
    <w:docVar w:name="CVA" w:val="2"/>
    <w:docVar w:name="DOCCODMNU" w:val=" 1"/>
    <w:docVar w:name="DOCDT" w:val="23/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0"/>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948882 HideTWBInt;}}{\*\rsidtbl \rsid24658\rsid223860\rsid735077\rsid948882\rsid1718133\rsid1994628&#13;_x000a_\rsid2892074\rsid3543471\rsid3565327\rsid4666813\rsid6641733\rsid7823322\rsid9636012\rsid10377208\rsid11215221\rsid11549030\rsid12154954\rsid14382809\rsid14424199\rsid15204470\rsid15285974\rsid15950462\rsid16324206\rsid16662270}{\mmathPr\mmathFont34&#13;_x000a_\mbrkBin0\mbrkBinSub0\msmallFrac0\mdispDef1\mlMargin0\mrMargin0\mdefJc1\mwrapIndent1440\mintLim0\mnaryLim1}{\info{\author TURLUI Gabriel}{\operator TURLUI Emil-Gabriel}{\creatim\yr2026\mo7\dy23\hr9\min12}{\revtim\yr2026\mo7\dy23\hr9\min12}{\version1}&#13;_x000a_{\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48882\newtblstyruls\nogrowautofit\usenormstyforlist\noindnmbrts\felnbrelev\nocxsptable\indrlsweleven\noafcnsttbl\afelev\utinl\hwelev\spltpgpar\notcvasp\notbrkcnstfrctbl\notvatxbx\krnprsnet\cachedcolbal \nouicompat \fet0&#13;_x000a_{\*\wgrffmtfilter 013f}\nofeaturethrottle1\ilfomacatclnup0{\*\template C:\\Users\\gturlui\\AppData\\Local\\Temp\\Blank1.dotx}{\*\ftnsep \ltrpar \pard\plain \ltrpar\ql \li0\ri0\widctlpar\wrapdefault\aspalpha\aspnum\faauto\adjustright\rin0\lin0\itap0 &#13;_x000a_\rtlch\fcs1 \af0\afs20\alang1025 \ltrch\fcs0 \fs24\lang2057\langfe2057\cgrid\langnp2057\langfenp2057 {\rtlch\fcs1 \af0 \ltrch\fcs0 \insrsid3543471 \chftnsep &#13;_x000a_\par }}{\*\ftnsepc \ltrpar \pard\plain \ltrpar\ql \li0\ri0\widctlpar\wrapdefault\aspalpha\aspnum\faauto\adjustright\rin0\lin0\itap0 \rtlch\fcs1 \af0\afs20\alang1025 \ltrch\fcs0 \fs24\lang2057\langfe2057\cgrid\langnp2057\langfenp2057 {\rtlch\fcs1 \af0 &#13;_x000a_\ltrch\fcs0 \insrsid3543471 \chftnsepc &#13;_x000a_\par }}{\*\aftnsep \ltrpar \pard\plain \ltrpar\ql \li0\ri0\widctlpar\wrapdefault\aspalpha\aspnum\faauto\adjustright\rin0\lin0\itap0 \rtlch\fcs1 \af0\afs20\alang1025 \ltrch\fcs0 \fs24\lang2057\langfe2057\cgrid\langnp2057\langfenp2057 {\rtlch\fcs1 \af0 &#13;_x000a_\ltrch\fcs0 \insrsid3543471 \chftnsep &#13;_x000a_\par }}{\*\aftnsepc \ltrpar \pard\plain \ltrpar\ql \li0\ri0\widctlpar\wrapdefault\aspalpha\aspnum\faauto\adjustright\rin0\lin0\itap0 \rtlch\fcs1 \af0\afs20\alang1025 \ltrch\fcs0 \fs24\lang2057\langfe2057\cgrid\langnp2057\langfenp2057 {\rtlch\fcs1 \af0 &#13;_x000a_\ltrch\fcs0 \insrsid35434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948882\charrsid10518233 {\*\bkmkstart ReplaceBookmark}#}{\rtlch\fcs1 \af1 \ltrch\fcs0 &#13;_x000a_\cs17\v\f1\fs20\cf15\insrsid948882\charrsid10518233 &gt;&gt;&gt;CVAR@@AmendA}{\rtlch\fcs1 \af0 \ltrch\fcs0 \insrsid948882\charrsid10518233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3b&#13;_x000a_13af72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715276 HideTWBExt;}{\*\cs18 \additive \v\f1\fs20\cf15 &#13;_x000a_\spriority0 \styrsid9715276 HideTWBInt;}{\s19\ql \li0\ri0\sa120\nowidctlpar\wrapdefault\aspalpha\aspnum\faauto\adjustright\rin0\lin0\itap0 \rtlch\fcs1 \af0\afs20\alang1025 \ltrch\fcs0 \fs24\lang2057\langfe2057\cgrid\langnp2057\langfenp2057 &#13;_x000a_\sbasedon0 \snext19 \spriority0 \styrsid9715276 Normal6a;}{\s20\ql \li0\ri0\nowidctlpar\wrapdefault\aspalpha\aspnum\faauto\adjustright\rin0\lin0\itap0 \rtlch\fcs1 \af0\afs20\alang1025 \ltrch\fcs0 \b\fs24\lang2057\langfe2057\cgrid\langnp2057\langfenp2057 &#13;_x000a_\sbasedon0 \snext20 \spriority0 \styrsid9715276 NormalBold;}{\s21\qr \li0\ri0\sb240\sa240\nowidctlpar\wrapdefault\aspalpha\aspnum\faauto\adjustright\rin0\lin0\itap0 \rtlch\fcs1 \af0\afs20\alang1025 \ltrch\fcs0 &#13;_x000a_\fs24\lang2057\langfe2057\cgrid\langnp2057\langfenp2057 \sbasedon0 \snext21 \spriority0 \styrsid9715276 AmOrLang;}{\s22\qc \li0\ri0\sa240\nowidctlpar\wrapdefault\aspalpha\aspnum\faauto\adjustright\rin0\lin0\itap0 \rtlch\fcs1 \af0\afs20\alang1025 &#13;_x000a_\ltrch\fcs0 \i\fs24\lang2057\langfe2057\cgrid\langnp2057\langfenp2057 \sbasedon0 \snext22 \spriority0 \styrsid971527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9715276 AmNumberTabs;}}{\*\rsidtbl \rsid24658\rsid223860\rsid735077\rsid1718133\rsid1994628\rsid2892074\rsid3565327\rsid4666813\rsid6641733&#13;_x000a_\rsid7823322\rsid9636012\rsid9715276\rsid10377208\rsid11215221\rsid11549030\rsid12154954\rsid14382809\rsid14424199\rsid14777384\rsid15204470\rsid15285974\rsid15950462\rsid16324206\rsid16662270}{\mmathPr\mmathFont34\mbrkBin0\mbrkBinSub0\msmallFrac0&#13;_x000a_\mdispDef1\mlMargin0\mrMargin0\mdefJc1\mwrapIndent1440\mintLim0\mnaryLim1}{\info{\author TURLUI Gabriel}{\operator TURLUI Emil-Gabriel}{\creatim\yr2026\mo7\dy23\hr9\min6}{\revtim\yr2026\mo7\dy23\hr9\min6}{\version1}{\edmins0}{\nofpages1}{\nofwords70}&#13;_x000a_{\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715276\newtblstyruls\nogrowautofit\usenormstyforlist\noindnmbrts\felnbrelev\nocxsptable\indrlsweleven\noafcnsttbl\afelev\utinl\hwelev\spltpgpar\notcvasp\notbrkcnstfrctbl\notvatxbx\krnprsnet\cachedcolbal &#13;_x000a_\nouicompat \fet0{\*\wgrffmtfilter 013f}\nofeaturethrottle1\ilfomacatclnup0{\*\template C:\\Users\\gturlui\\AppData\\Local\\Temp\\Blank1.dotx}{\*\ftnsep \ltrpar \pard\plain \ltrpar&#13;_x000a_\ql \li0\ri0\widctlpar\wrapdefault\aspalpha\aspnum\faauto\adjustright\rin0\lin0\itap0 \rtlch\fcs1 \af0\afs20\alang1025 \ltrch\fcs0 \fs24\lang2057\langfe2057\cgrid\langnp2057\langfenp2057 {\rtlch\fcs1 \af0 \ltrch\fcs0 \insrsid14777384 \chftnsep &#13;_x000a_\par }}{\*\ftnsepc \ltrpar \pard\plain \ltrpar\ql \li0\ri0\widctlpar\wrapdefault\aspalpha\aspnum\faauto\adjustright\rin0\lin0\itap0 \rtlch\fcs1 \af0\afs20\alang1025 \ltrch\fcs0 \fs24\lang2057\langfe2057\cgrid\langnp2057\langfenp2057 {\rtlch\fcs1 \af0 &#13;_x000a_\ltrch\fcs0 \insrsid14777384 \chftnsepc &#13;_x000a_\par }}{\*\aftnsep \ltrpar \pard\plain \ltrpar\ql \li0\ri0\widctlpar\wrapdefault\aspalpha\aspnum\faauto\adjustright\rin0\lin0\itap0 \rtlch\fcs1 \af0\afs20\alang1025 \ltrch\fcs0 \fs24\lang2057\langfe2057\cgrid\langnp2057\langfenp2057 {\rtlch\fcs1 \af0 &#13;_x000a_\ltrch\fcs0 \insrsid14777384 \chftnsep &#13;_x000a_\par }}{\*\aftnsepc \ltrpar \pard\plain \ltrpar\ql \li0\ri0\widctlpar\wrapdefault\aspalpha\aspnum\faauto\adjustright\rin0\lin0\itap0 \rtlch\fcs1 \af0\afs20\alang1025 \ltrch\fcs0 \fs24\lang2057\langfe2057\cgrid\langnp2057\langfenp2057 {\rtlch\fcs1 \af0 &#13;_x000a_\ltrch\fcs0 \insrsid1477738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9715276\charrsid10518233 {\*\bkmkstart restartA}&#13;_x000a_\hich\af1\dbch\af31501\loch\f1 &lt;AmendA&gt;}{\rtlch\fcs1 \af0 \ltrch\fcs0 \insrsid9715276\charrsid10518233 Amendment\tab \tab }{\rtlch\fcs1 \af0 \ltrch\fcs0 &#13;_x000a_\cs17\b0\v\fs20\cf9\lang1024\langfe1024\loch\af1\hich\af1\dbch\af31501\noproof\insrsid9715276\charrsid10518233 \hich\af1\dbch\af31501\loch\f1 &lt;NumAmA&gt;}{\rtlch\fcs1 \af0 \ltrch\fcs0 \insrsid9715276\charrsid10518233 #}{\rtlch\fcs1 \af1 \ltrch\fcs0 &#13;_x000a_\cs18\v\f1\fs20\cf15\insrsid9715276\charrsid10518233 ENMIENDA@NRAM@}{\rtlch\fcs1 \af0 \ltrch\fcs0 \insrsid9715276\charrsid10518233 #}{\rtlch\fcs1 \af0 \ltrch\fcs0 &#13;_x000a_\cs17\b0\v\fs20\cf9\lang1024\langfe1024\loch\af1\hich\af1\dbch\af31501\noproof\insrsid9715276\charrsid10518233 \hich\af1\dbch\af31501\loch\f1 &lt;/NumAmA&gt;}{\rtlch\fcs1 \af0 \ltrch\fcs0 \insrsid9715276\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715276\charrsid10518233 \hich\af1\dbch\af31501\loch\f1 &lt;RepeatBlock-By&gt;}{\rtlch\fcs1 \af0 \ltrch\fcs0 \insrsid9715276\charrsid10518233 #}{\rtlch\fcs1 \af1 &#13;_x000a_\ltrch\fcs0 \cs18\v\f1\fs20\cf15\insrsid9715276\charrsid10518233 (MOD@InsideLoop()}{\rtlch\fcs1 \af0 \ltrch\fcs0 \insrsid9715276\charrsid10518233 ##}{\rtlch\fcs1 \af1 \ltrch\fcs0 \cs18\v\f1\fs20\cf15\insrsid9715276\charrsid10518233 &gt;&gt;&gt;@[ZMEMBERSMSG]@}{&#13;_x000a_\rtlch\fcs1 \af0 \ltrch\fcs0 \insrsid9715276\charrsid10518233 #}{\rtlch\fcs1 \af0 \ltrch\fcs0 \cs17\b0\v\fs20\cf9\lang1024\langfe1024\loch\af1\hich\af1\dbch\af31501\noproof\insrsid9715276\charrsid10518233 \hich\af1\dbch\af31501\loch\f1 &lt;Members&gt;}{&#13;_x000a_\rtlch\fcs1 \af0 \ltrch\fcs0 \insrsid9715276\charrsid10518233 #}{\rtlch\fcs1 \af1 \ltrch\fcs0 \cs18\v\f1\fs20\cf15\insrsid9715276\charrsid10518233 (MOD@InsideLoop(\'a7)}{\rtlch\fcs1 \af0 \ltrch\fcs0 \insrsid9715276\charrsid10518233 #}{\rtlch\fcs1 \af0 &#13;_x000a_\ltrch\fcs0 \cf10\insrsid9715276\charrsid10518233 \u9668\'3f}{\rtlch\fcs1 \af0 \ltrch\fcs0 \insrsid9715276\charrsid10518233 #}{\rtlch\fcs1 \af1 \ltrch\fcs0 \cs18\v\f1\fs20\cf15\insrsid9715276\charrsid10518233 TVTMEMBERS\'a7@MEMBERS@}{\rtlch\fcs1 \af0 &#13;_x000a_\ltrch\fcs0 \insrsid9715276\charrsid10518233 #}{\rtlch\fcs1 \af0 \ltrch\fcs0 \cf10\insrsid9715276\charrsid10518233 \u9658\'3f}{\rtlch\fcs1 \af0 \ltrch\fcs0 &#13;_x000a_\cs17\b0\v\fs20\cf9\lang1024\langfe1024\loch\af1\hich\af1\dbch\af31501\noproof\insrsid9715276\charrsid10518233 \hich\af1\dbch\af31501\loch\f1 &lt;/Members&gt;}{\rtlch\fcs1 \af0 \ltrch\fcs0 \insrsid9715276\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9715276\charrsid10518233 \hich\af1\dbch\af31501\loch\f1 &lt;AuNomDe&gt;&lt;OptDel&gt;}{\rtlch\fcs1 \af0 \ltrch\fcs0 \insrsid9715276\charrsid10518233 #}{\rtlch\fcs1 \af1 \ltrch\fcs0 &#13;_x000a_\cs18\v\f1\fs20\cf15\insrsid9715276\charrsid10518233 MNU[ONBEHALFYES][NOTAPP]@CHOICE@}{\rtlch\fcs1 \af0 \ltrch\fcs0 \insrsid9715276\charrsid10518233 #}{\rtlch\fcs1 \af0 \ltrch\fcs0 &#13;_x000a_\cs17\v\fs20\cf9\lang1024\langfe1024\loch\af1\hich\af1\dbch\af31501\noproof\insrsid9715276\charrsid10518233 \hich\af1\dbch\af31501\loch\f1 &lt;/OptDel&gt;&lt;/AuNomDe&gt;}{\rtlch\fcs1 \af0 \ltrch\fcs0 \insrsid9715276\charrsid10518233 &#13;_x000a_\par &lt;&lt;&lt;}{\rtlch\fcs1 \af0 \ltrch\fcs0 \cs17\v\fs20\cf9\lang1024\langfe1024\loch\af1\hich\af1\dbch\af31501\noproof\insrsid9715276\charrsid10518233 \hich\af1\dbch\af31501\loch\f1 &lt;/RepeatBlock-By&gt;}{\rtlch\fcs1 \af0 \ltrch\fcs0 \insrsid9715276\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715276\charrsid10518233 \hich\af1\dbch\af31501\loch\f1 &lt;DocAmend&gt;}{\rtlch\fcs1 \af0 \ltrch\fcs0 \insrsid9715276\charrsid10518233 &#13;_x000a_Draft legislative resolution}{\rtlch\fcs1 \af0 \ltrch\fcs0 \cs17\b0\v\fs20\cf9\lang1024\langfe1024\loch\af1\hich\af1\dbch\af31501\noproof\insrsid9715276\charrsid10518233 \hich\af1\dbch\af31501\loch\f1 &lt;/DocAmend&gt;}{\rtlch\fcs1 \af0 \ltrch\fcs0 &#13;_x000a_\insrsid9715276\charrsid10518233 &#13;_x000a_\par }\pard \ltrpar\s20\ql \li0\ri0\nowidctlpar\wrapdefault\aspalpha\aspnum\faauto\adjustright\rin0\lin0\itap0\pararsid16013815 {\rtlch\fcs1 \af0 \ltrch\fcs0 &#13;_x000a_\cs17\b0\v\fs20\cf9\lang1024\langfe1024\loch\af1\hich\af1\dbch\af31501\noproof\insrsid9715276\charrsid10518233 \hich\af1\dbch\af31501\loch\f1 &lt;Article&gt;}{\rtlch\fcs1 \af0 \ltrch\fcs0 \cf10\insrsid9715276\charrsid10518233 \u9668\'3f}{\rtlch\fcs1 \af0 &#13;_x000a_\ltrch\fcs0 \insrsid9715276\charrsid10518233 #}{\rtlch\fcs1 \af1 \ltrch\fcs0 \cs18\v\f1\fs20\cf15\insrsid9715276\charrsid10518233 TVTRESPART@RESPART@}{\rtlch\fcs1 \af0 \ltrch\fcs0 \insrsid9715276\charrsid10518233 #}{\rtlch\fcs1 \af0 \ltrch\fcs0 &#13;_x000a_\cf10\insrsid9715276\charrsid10518233 \u9658\'3f}{\rtlch\fcs1 \af0 \ltrch\fcs0 \cs17\b0\v\fs20\cf9\lang1024\langfe1024\loch\af1\hich\af1\dbch\af31501\noproof\insrsid9715276\charrsid10518233 \hich\af1\dbch\af31501\loch\f1 &lt;/Article&gt;}{\rtlch\fcs1 \af0 &#13;_x000a_\ltrch\fcs0 \insrsid9715276\charrsid10518233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9715276\charrsid10518233 \cell }\pard\plain \ltrpar\ql \li0\ri0\widctlpar\intbl\wrapdefault\aspalpha\aspnum\faauto\adjustright\rin0\lin0 \rtlch\fcs1 &#13;_x000a_\af0\afs20\alang1025 \ltrch\fcs0 \fs24\lang2057\langfe2057\cgrid\langnp2057\langfenp2057 {\rtlch\fcs1 \af0 \ltrch\fcs0 \insrsid9715276\charrsid10518233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9715276\charrsid10518233 Draft legislative resolution\cell Amendment\cell }\pard\plain \ltrpar\ql \li0\ri0\widctlpar\intbl\wrapdefault\aspalpha\aspnum\faauto\adjustright\rin0\lin0 \rtlch\fcs1 \af0\afs20\alang1025 \ltrch\fcs0 &#13;_x000a_\fs24\lang2057\langfe2057\cgrid\langnp2057\langfenp2057 {\rtlch\fcs1 \af0 \ltrch\fcs0 \insrsid9715276\charrsid10518233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9715276\charrsid10518233 ##\cell ##}{\rtlch\fcs1 \af0\afs24 \ltrch\fcs0 \insrsid9715276\charrsid10518233 \cell }\pard\plain \ltrpar\ql \li0\ri0\widctlpar\intbl\wrapdefault\aspalpha\aspnum\faauto\adjustright\rin0\lin0 \rtlch\fcs1 &#13;_x000a_\af0\afs20\alang1025 \ltrch\fcs0 \fs24\lang2057\langfe2057\cgrid\langnp2057\langfenp2057 {\rtlch\fcs1 \af0 \ltrch\fcs0 \insrsid9715276\charrsid10518233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9715276\charrsid10518233 Or. }{\rtlch\fcs1 \af0 \ltrch\fcs0 \cs17\v\fs20\cf9\lang1024\langfe1024\loch\af1\hich\af1\dbch\af31501\noproof\insrsid9715276\charrsid10518233 \hich\af1\dbch\af31501\loch\f1 &lt;Original&gt;}{\rtlch\fcs1 \af0 \ltrch\fcs0 &#13;_x000a_\insrsid9715276\charrsid10518233 #}{\rtlch\fcs1 \af1 \ltrch\fcs0 \cs18\v\f1\fs20\cf15\insrsid9715276\charrsid10518233 KEY(MAIN/LANGMIN)sh@ORLANGMSG@}{\rtlch\fcs1 \af0 \ltrch\fcs0 \insrsid9715276\charrsid10518233 #}{\rtlch\fcs1 \af0 \ltrch\fcs0 &#13;_x000a_\cs17\v\fs20\cf9\lang1024\langfe1024\loch\af1\hich\af1\dbch\af31501\noproof\insrsid9715276\charrsid10518233 \hich\af1\dbch\af31501\loch\f1 &lt;/Original&gt;}{\rtlch\fcs1 \af0 \ltrch\fcs0 \insrsid9715276\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9715276\charrsid1051823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37&#13;_x000a_d0cb71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941865 HideTWBExt;}{\*\cs18 \additive \v\f1\fs20\cf15 &#13;_x000a_\spriority0 \styrsid8941865 HideTWBInt;}{\s19\ql \li0\ri0\sa120\nowidctlpar\wrapdefault\aspalpha\aspnum\faauto\adjustright\rin0\lin0\itap0 \rtlch\fcs1 \af0\afs20\alang1025 \ltrch\fcs0 \fs24\lang2057\langfe2057\cgrid\langnp2057\langfenp2057 &#13;_x000a_\sbasedon0 \snext19 \spriority0 \styrsid8941865 Normal6a;}{\s20\ql \li0\ri0\nowidctlpar\wrapdefault\aspalpha\aspnum\faauto\adjustright\rin0\lin0\itap0 \rtlch\fcs1 \af0\afs20\alang1025 \ltrch\fcs0 \b\fs24\lang2057\langfe2057\cgrid\langnp2057\langfenp2057 &#13;_x000a_\sbasedon0 \snext20 \spriority0 \styrsid8941865 NormalBold;}{\s21\ql \li0\ri0\sa240\nowidctlpar\wrapdefault\aspalpha\aspnum\faauto\adjustright\rin0\lin0\itap0 \rtlch\fcs1 \af0\afs20\alang1025 \ltrch\fcs0 &#13;_x000a_\i\fs24\lang2057\langfe2057\cgrid\langnp2057\langfenp2057 \sbasedon0 \snext21 \spriority0 \styrsid8941865 AmJustText;}{\s22\qc \li0\ri0\sb240\sa240\nowidctlpar\wrapdefault\aspalpha\aspnum\faauto\adjustright\rin0\lin0\itap0 \rtlch\fcs1 &#13;_x000a_\af0\afs20\alang1025 \ltrch\fcs0 \i\fs24\lang2057\langfe2057\cgrid\langnp2057\langfenp2057 \sbasedon0 \snext22 \spriority0 \styrsid8941865 AmCrossRef;}{&#13;_x000a_\s23\qc \li0\ri0\sb240\sa240\keepn\nowidctlpar\wrapdefault\aspalpha\aspnum\faauto\adjustright\rin0\lin0\itap0 \rtlch\fcs1 \af0\afs20\alang1025 \ltrch\fcs0 \i\fs24\lang2057\langfe2057\cgrid\langnp2057\langfenp2057 &#13;_x000a_\sbasedon0 \snext21 \spriority0 \styrsid8941865 AmJustTitle;}{\s24\qr \li0\ri0\sb240\sa240\nowidctlpar\wrapdefault\aspalpha\aspnum\faauto\adjustright\rin0\lin0\itap0 \rtlch\fcs1 \af0\afs20\alang1025 \ltrch\fcs0 &#13;_x000a_\fs24\lang2057\langfe2057\cgrid\langnp2057\langfenp2057 \sbasedon0 \snext24 \spriority0 \styrsid8941865 AmOrLang;}{\s25\qc \li0\ri0\sa240\nowidctlpar\wrapdefault\aspalpha\aspnum\faauto\adjustright\rin0\lin0\itap0 \rtlch\fcs1 \af0\afs20\alang1025 &#13;_x000a_\ltrch\fcs0 \i\fs24\lang2057\langfe2057\cgrid\langnp2057\langfenp2057 \sbasedon0 \snext25 \spriority0 \styrsid894186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8941865 AmNumberTabs;}}{\*\rsidtbl \rsid24658\rsid223860\rsid735077\rsid1718133\rsid1994628\rsid2255438\rsid2892074\rsid3565327\rsid4666813&#13;_x000a_\rsid6641733\rsid7823322\rsid8941865\rsid9636012\rsid10377208\rsid11215221\rsid11549030\rsid12154954\rsid14382809\rsid14424199\rsid15204470\rsid15285974\rsid15950462\rsid16324206\rsid16662270}{\mmathPr\mmathFont34\mbrkBin0\mbrkBinSub0\msmallFrac0&#13;_x000a_\mdispDef1\mlMargin0\mrMargin0\mdefJc1\mwrapIndent1440\mintLim0\mnaryLim1}{\info{\author TURLUI Gabriel}{\operator TURLUI Emil-Gabriel}{\creatim\yr2026\mo7\dy23\hr9\min6}{\revtim\yr2026\mo7\dy23\hr9\min6}{\version1}{\edmins0}{\nofpages1}{\nofwords131}&#13;_x000a_{\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941865\newtblstyruls\nogrowautofit\usenormstyforlist\noindnmbrts\felnbrelev\nocxsptable\indrlsweleven\noafcnsttbl\afelev\utinl\hwelev\spltpgpar\notcvasp\notbrkcnstfrctbl\notvatxbx\krnprsnet\cachedcolbal &#13;_x000a_\nouicompat \fet0{\*\wgrffmtfilter 013f}\nofeaturethrottle1\ilfomacatclnup0{\*\template C:\\Users\\gturlui\\AppData\\Local\\Temp\\Blank1.dotx}{\*\ftnsep \ltrpar \pard\plain \ltrpar&#13;_x000a_\ql \li0\ri0\widctlpar\wrapdefault\aspalpha\aspnum\faauto\adjustright\rin0\lin0\itap0 \rtlch\fcs1 \af0\afs20\alang1025 \ltrch\fcs0 \fs24\lang2057\langfe2057\cgrid\langnp2057\langfenp2057 {\rtlch\fcs1 \af0 \ltrch\fcs0 \insrsid2255438 \chftnsep &#13;_x000a_\par }}{\*\ftnsepc \ltrpar \pard\plain \ltrpar\ql \li0\ri0\widctlpar\wrapdefault\aspalpha\aspnum\faauto\adjustright\rin0\lin0\itap0 \rtlch\fcs1 \af0\afs20\alang1025 \ltrch\fcs0 \fs24\lang2057\langfe2057\cgrid\langnp2057\langfenp2057 {\rtlch\fcs1 \af0 &#13;_x000a_\ltrch\fcs0 \insrsid2255438 \chftnsepc &#13;_x000a_\par }}{\*\aftnsep \ltrpar \pard\plain \ltrpar\ql \li0\ri0\widctlpar\wrapdefault\aspalpha\aspnum\faauto\adjustright\rin0\lin0\itap0 \rtlch\fcs1 \af0\afs20\alang1025 \ltrch\fcs0 \fs24\lang2057\langfe2057\cgrid\langnp2057\langfenp2057 {\rtlch\fcs1 \af0 &#13;_x000a_\ltrch\fcs0 \insrsid2255438 \chftnsep &#13;_x000a_\par }}{\*\aftnsepc \ltrpar \pard\plain \ltrpar\ql \li0\ri0\widctlpar\wrapdefault\aspalpha\aspnum\faauto\adjustright\rin0\lin0\itap0 \rtlch\fcs1 \af0\afs20\alang1025 \ltrch\fcs0 \fs24\lang2057\langfe2057\cgrid\langnp2057\langfenp2057 {\rtlch\fcs1 \af0 &#13;_x000a_\ltrch\fcs0 \insrsid225543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8941865\charrsid10518233 {\*\bkmkstart restartB}&#13;_x000a_\hich\af1\dbch\af31501\loch\f1 &lt;AmendB&gt;}{\rtlch\fcs1 \af0 \ltrch\fcs0 \insrsid8941865\charrsid10518233 Amendment\tab \tab }{\rtlch\fcs1 \af0 \ltrch\fcs0 &#13;_x000a_\cs17\b0\v\fs20\cf9\lang1024\langfe1024\loch\af1\hich\af1\dbch\af31501\noproof\insrsid8941865\charrsid10518233 \hich\af1\dbch\af31501\loch\f1 &lt;NumAmB&gt;}{\rtlch\fcs1 \af0 \ltrch\fcs0 \insrsid8941865\charrsid10518233 #}{\rtlch\fcs1 \af1 \ltrch\fcs0 &#13;_x000a_\cs18\v\f1\fs20\cf15\insrsid8941865\charrsid10518233 ENMIENDA@NRAM@}{\rtlch\fcs1 \af0 \ltrch\fcs0 \insrsid8941865\charrsid10518233 #}{\rtlch\fcs1 \af0 \ltrch\fcs0 &#13;_x000a_\cs17\b0\v\fs20\cf9\lang1024\langfe1024\loch\af1\hich\af1\dbch\af31501\noproof\insrsid8941865\charrsid10518233 \hich\af1\dbch\af31501\loch\f1 &lt;/NumAmB&gt;}{\rtlch\fcs1 \af0 \ltrch\fcs0 \insrsid8941865\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941865\charrsid10518233 \hich\af1\dbch\af31501\loch\f1 &lt;RepeatBlock-By&gt;}{\rtlch\fcs1 \af0 \ltrch\fcs0 \insrsid8941865\charrsid10518233 #}{\rtlch\fcs1 \af1 &#13;_x000a_\ltrch\fcs0 \cs18\v\f1\fs20\cf15\insrsid8941865\charrsid10518233 (MOD@InsideLoop()}{\rtlch\fcs1 \af0 \ltrch\fcs0 \insrsid8941865\charrsid10518233 ##}{\rtlch\fcs1 \af1 \ltrch\fcs0 \cs18\v\f1\fs20\cf15\insrsid8941865\charrsid10518233 &gt;&gt;&gt;@[ZMEMBERSMSG]@}{&#13;_x000a_\rtlch\fcs1 \af0 \ltrch\fcs0 \insrsid8941865\charrsid10518233 #}{\rtlch\fcs1 \af0 \ltrch\fcs0 \cs17\b0\v\fs20\cf9\lang1024\langfe1024\loch\af1\hich\af1\dbch\af31501\noproof\insrsid8941865\charrsid10518233 \hich\af1\dbch\af31501\loch\f1 &lt;Members&gt;}{&#13;_x000a_\rtlch\fcs1 \af0 \ltrch\fcs0 \insrsid8941865\charrsid10518233 #}{\rtlch\fcs1 \af1 \ltrch\fcs0 \cs18\v\f1\fs20\cf15\insrsid8941865\charrsid10518233 (MOD@InsideLoop(\'a7)}{\rtlch\fcs1 \af0 \ltrch\fcs0 \insrsid8941865\charrsid10518233 #}{\rtlch\fcs1 \af0 &#13;_x000a_\ltrch\fcs0 \cf10\insrsid8941865\charrsid10518233 \u9668\'3f}{\rtlch\fcs1 \af0 \ltrch\fcs0 \insrsid8941865\charrsid10518233 #}{\rtlch\fcs1 \af1 \ltrch\fcs0 \cs18\v\f1\fs20\cf15\insrsid8941865\charrsid10518233 TVTMEMBERS\'a7@MEMBERS@}{\rtlch\fcs1 \af0 &#13;_x000a_\ltrch\fcs0 \insrsid8941865\charrsid10518233 #}{\rtlch\fcs1 \af0 \ltrch\fcs0 \cf10\insrsid8941865\charrsid10518233 \u9658\'3f}{\rtlch\fcs1 \af0 \ltrch\fcs0 &#13;_x000a_\cs17\b0\v\fs20\cf9\lang1024\langfe1024\loch\af1\hich\af1\dbch\af31501\noproof\insrsid8941865\charrsid10518233 \hich\af1\dbch\af31501\loch\f1 &lt;/Members&gt;}{\rtlch\fcs1 \af0 \ltrch\fcs0 \insrsid8941865\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8941865\charrsid10518233 \hich\af1\dbch\af31501\loch\f1 &lt;AuNomDe&gt;&lt;OptDel&gt;}{\rtlch\fcs1 \af0 \ltrch\fcs0 \insrsid8941865\charrsid10518233 #}{\rtlch\fcs1 \af1 \ltrch\fcs0 &#13;_x000a_\cs18\v\f1\fs20\cf15\insrsid8941865\charrsid10518233 MNU[ONBEHALFYES][NOTAPP]@CHOICE@}{\rtlch\fcs1 \af0 \ltrch\fcs0 \insrsid8941865\charrsid10518233 #}{\rtlch\fcs1 \af0 \ltrch\fcs0 &#13;_x000a_\cs17\v\fs20\cf9\lang1024\langfe1024\loch\af1\hich\af1\dbch\af31501\noproof\insrsid8941865\charrsid10518233 \hich\af1\dbch\af31501\loch\f1 &lt;/OptDel&gt;&lt;/AuNomDe&gt;}{\rtlch\fcs1 \af0 \ltrch\fcs0 \insrsid8941865\charrsid10518233 &#13;_x000a_\par &lt;&lt;&lt;}{\rtlch\fcs1 \af0 \ltrch\fcs0 \cs17\v\fs20\cf9\lang1024\langfe1024\loch\af1\hich\af1\dbch\af31501\noproof\insrsid8941865\charrsid10518233 \hich\af1\dbch\af31501\loch\f1 &lt;/RepeatBlock-By&gt;}{\rtlch\fcs1 \af0 \ltrch\fcs0 \insrsid8941865\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941865\charrsid10518233 \hich\af1\dbch\af31501\loch\f1 &lt;DocAmend&gt;}{\rtlch\fcs1 \af0 \ltrch\fcs0 \insrsid8941865\charrsid10518233 #}{\rtlch\fcs1 \af1 &#13;_x000a_\ltrch\fcs0 \cs18\v\f1\fs20\cf15\insrsid8941865\charrsid10518233 MNU[OPTPROPOSALCOD][OPTPROPOSALCNS][OPTPROPOSALNLE]@CHOICE@CODEMNU}{\rtlch\fcs1 \af0 \ltrch\fcs0 \insrsid8941865\charrsid10518233 #}{\rtlch\fcs1 \af0 \ltrch\fcs0 &#13;_x000a_\cs17\b0\v\fs20\cf9\lang1024\langfe1024\loch\af1\hich\af1\dbch\af31501\noproof\insrsid8941865\charrsid10518233 \hich\af1\dbch\af31501\loch\f1 &lt;/DocAmend&gt;}{\rtlch\fcs1 \af0 \ltrch\fcs0 \insrsid8941865\charrsid10518233 &#13;_x000a_\par }\pard \ltrpar\s20\ql \li0\ri0\keepn\nowidctlpar\wrapdefault\aspalpha\aspnum\faauto\adjustright\rin0\lin0\itap0\pararsid10630121 {\rtlch\fcs1 \af0 \ltrch\fcs0 &#13;_x000a_\cs17\b0\v\fs20\cf9\lang1024\langfe1024\loch\af1\hich\af1\dbch\af31501\noproof\insrsid8941865\charrsid10518233 \hich\af1\dbch\af31501\loch\f1 &lt;Article&gt;}{\rtlch\fcs1 \af0 \ltrch\fcs0 \insrsid8941865\charrsid10518233 #}{\rtlch\fcs1 \af1 \ltrch\fcs0 &#13;_x000a_\cs18\v\f1\fs20\cf15\insrsid8941865\charrsid10518233 MNU[AMACTPARTYES][AMACTPARTNO]@CHOICE@AMACTMNU}{\rtlch\fcs1 \af0 \ltrch\fcs0 \insrsid8941865\charrsid10518233 #}{\rtlch\fcs1 \af0 \ltrch\fcs0 &#13;_x000a_\cs17\b0\v\fs20\cf9\lang1024\langfe1024\loch\af1\hich\af1\dbch\af31501\noproof\insrsid8941865\charrsid10518233 \hich\af1\dbch\af31501\loch\f1 &lt;/Article&gt;}{\rtlch\fcs1 \af0 \ltrch\fcs0 \insrsid8941865\charrsid10518233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8941865\charrsid10518233 \hich\af1\dbch\af31501\loch\f1 &lt;DocAmend2&gt;&lt;OptDel&gt;}{\rtlch\fcs1 \af0 \ltrch\fcs0 \insrsid8941865\charrsid10518233 #}{\rtlch\fcs1 \af1 &#13;_x000a_\ltrch\fcs0 \cs18\v\f1\fs20\cf15\insrsid8941865\charrsid10518233 MNU[OPTNRACTYES][NOTAPP]@CHOICE@AMACTMNU}{\rtlch\fcs1 \af0 \ltrch\fcs0 \insrsid8941865\charrsid10518233 #}{\rtlch\fcs1 \af0 \ltrch\fcs0 &#13;_x000a_\cs17\v\fs20\cf9\lang1024\langfe1024\loch\af1\hich\af1\dbch\af31501\noproof\insrsid8941865\charrsid10518233 \hich\af1\dbch\af31501\loch\f1 &lt;/OptDel&gt;&lt;/DocAmend2&gt;}{\rtlch\fcs1 \af0 \ltrch\fcs0 \insrsid8941865\charrsid10518233 &#13;_x000a_\par }\pard \ltrpar\ql \li0\ri0\widctlpar\wrapdefault\aspalpha\aspnum\faauto\adjustright\rin0\lin0\itap0\pararsid10158853 {\rtlch\fcs1 \af0 \ltrch\fcs0 \cs17\v\fs20\cf9\lang1024\langfe1024\loch\af1\hich\af1\dbch\af31501\noproof\insrsid8941865\charrsid10518233 &#13;_x000a_\hich\af1\dbch\af31501\loch\f1 &lt;Article2&gt;&lt;OptDel&gt;}{\rtlch\fcs1 \af0 \ltrch\fcs0 \insrsid8941865\charrsid10518233 #}{\rtlch\fcs1 \af1 \ltrch\fcs0 \cs18\v\f1\fs20\cf15\insrsid8941865\charrsid10518233 MNU[OPTACTPARTYES][NOTAPP]@CHOICE@AMACTMNU}{\rtlch\fcs1 &#13;_x000a_\af0 \ltrch\fcs0 \insrsid8941865\charrsid10518233 #}{\rtlch\fcs1 \af0 \ltrch\fcs0 \cs17\v\fs20\cf9\lang1024\langfe1024\loch\af1\hich\af1\dbch\af31501\noproof\insrsid8941865\charrsid10518233 \hich\af1\dbch\af31501\loch\f1 &lt;/OptDel&gt;&lt;/Article2&gt;}{\rtlch\fcs1 &#13;_x000a_\af0 \ltrch\fcs0 \insrsid8941865\charrsid10518233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8941865\charrsid10518233 \cell }\pard\plain \ltrpar\ql \li0\ri0\widctlpar\intbl\wrapdefault\aspalpha\aspnum\faauto\adjustright\rin0\lin0 \rtlch\fcs1 &#13;_x000a_\af0\afs20\alang1025 \ltrch\fcs0 \fs24\lang2057\langfe2057\cgrid\langnp2057\langfenp2057 {\rtlch\fcs1 \af0 \ltrch\fcs0 \insrsid8941865\charrsid10518233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8941865\charrsid10518233 #}{\rtlch\fcs1 \af1 \ltrch\fcs0 \cs18\v\f1\fs20\cf15\insrsid8941865\charrsid10518233 MNU[OPTLEFTAMACT][LEFTPROP]@CHOICE@AMACTMNU}{\rtlch\fcs1 \af0 \ltrch\fcs0 \insrsid8941865\charrsid10518233 #&#13;_x000a_\cell Amendment\cell }\pard\plain \ltrpar\ql \li0\ri0\widctlpar\intbl\wrapdefault\aspalpha\aspnum\faauto\adjustright\rin0\lin0 \rtlch\fcs1 \af0\afs20\alang1025 \ltrch\fcs0 \fs24\lang2057\langfe2057\cgrid\langnp2057\langfenp2057 {\rtlch\fcs1 \af0 &#13;_x000a_\ltrch\fcs0 \insrsid8941865\charrsid10518233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8941865\charrsid10518233 ##\cell ##}{\rtlch\fcs1 \af0\afs24 \ltrch\fcs0 \insrsid8941865\charrsid10518233 \cell }\pard\plain \ltrpar\ql \li0\ri0\widctlpar\intbl\wrapdefault\aspalpha\aspnum\faauto\adjustright\rin0\lin0 \rtlch\fcs1 &#13;_x000a_\af0\afs20\alang1025 \ltrch\fcs0 \fs24\lang2057\langfe2057\cgrid\langnp2057\langfenp2057 {\rtlch\fcs1 \af0 \ltrch\fcs0 \insrsid8941865\charrsid10518233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8941865\charrsid10518233 Or. }{\rtlch\fcs1 \af0 \ltrch\fcs0 \cs17\v\fs20\cf9\lang1024\langfe1024\loch\af1\hich\af1\dbch\af31501\noproof\insrsid8941865\charrsid10518233 \hich\af1\dbch\af31501\loch\f1 &lt;Original&gt;}{\rtlch\fcs1 \af0 \ltrch\fcs0 &#13;_x000a_\insrsid8941865\charrsid10518233 #}{\rtlch\fcs1 \af1 \ltrch\fcs0 \cs18\v\f1\fs20\cf15\insrsid8941865\charrsid10518233 KEY(MAIN/LANGMIN)sh@ORLANGMSG@}{\rtlch\fcs1 \af0 \ltrch\fcs0 \insrsid8941865\charrsid10518233 #}{\rtlch\fcs1 \af0 \ltrch\fcs0 &#13;_x000a_\cs17\v\fs20\cf9\lang1024\langfe1024\loch\af1\hich\af1\dbch\af31501\noproof\insrsid8941865\charrsid10518233 \hich\af1\dbch\af31501\loch\f1 &lt;/Original&gt;}{\rtlch\fcs1 \af0 \ltrch\fcs0 \insrsid8941865\charrsid10518233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8941865\charrsid10518233 \hich\af1\dbch\af31501\loch\f1 &lt;OptDel&gt;}{\rtlch\fcs1 \af0 \ltrch\fcs0 \insrsid8941865\charrsid10518233 #}{&#13;_x000a_\rtlch\fcs1 \af1 \ltrch\fcs0 \cs18\v\f1\fs20\cf15\insrsid8941865\charrsid10518233 MNU[CROSSREFNO][CROSSREFYES]@CHOICE@}{\rtlch\fcs1 \af0 \ltrch\fcs0 \insrsid8941865\charrsid10518233 #}{\rtlch\fcs1 \af0 \ltrch\fcs0 &#13;_x000a_\cs17\i0\v\fs20\cf9\lang1024\langfe1024\loch\af1\hich\af1\dbch\af31501\noproof\insrsid8941865\charrsid10518233 \hich\af1\dbch\af31501\loch\f1 &lt;/OptDel&gt;}{\rtlch\fcs1 \af0 \ltrch\fcs0 \insrsid8941865\charrsid10518233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8941865\charrsid10518233 \hich\af1\dbch\af31501\loch\f1 &lt;TitreJust&gt;}{\rtlch\fcs1 \af0 \ltrch\fcs0 \insrsid8941865\charrsid10518233 &#13;_x000a_Justification}{\rtlch\fcs1 \af0 \ltrch\fcs0 \cs17\i0\v\fs20\cf9\lang1024\langfe1024\loch\af1\hich\af1\dbch\af31501\noproof\insrsid8941865\charrsid10518233 \hich\af1\dbch\af31501\loch\f1 &lt;/TitreJust&gt;}{\rtlch\fcs1 \af0 \ltrch\fcs0 &#13;_x000a_\insrsid8941865\charrsid10518233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8941865\charrsid10518233 \hich\af1\dbch\af31501\loch\f1 &lt;OptDelPrev&gt;}{\rtlch\fcs1 \af0 \ltrch\fcs0 \insrsid8941865\charrsid10518233 #}{\rtlch\fcs1 \af1 &#13;_x000a_\ltrch\fcs0 \cs18\v\f1\fs20\cf15\insrsid8941865\charrsid10518233 MNU[TEXTJUSTYES][TEXTJUSTNO]@CHOICE@}{\rtlch\fcs1 \af0 \ltrch\fcs0 \insrsid8941865\charrsid10518233 #}{\rtlch\fcs1 \af0 \ltrch\fcs0 &#13;_x000a_\cs17\i0\v\fs20\cf9\lang1024\langfe1024\loch\af1\hich\af1\dbch\af31501\noproof\insrsid8941865\charrsid10518233 \hich\af1\dbch\af31501\loch\f1 &lt;/OptDelPrev&gt;}{\rtlch\fcs1 \af0 \ltrch\fcs0 \insrsid8941865\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8941865\charrsid1051823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e6&#13;_x000a_1cce71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15134 HideTWBExt;}{\*\cs18 \additive \v\f1\fs20\cf15 &#13;_x000a_\spriority0 \styrsid415134 HideTWBInt;}{\s19\ql \li0\ri0\sa120\nowidctlpar\wrapdefault\aspalpha\aspnum\faauto\adjustright\rin0\lin0\itap0 \rtlch\fcs1 \af0\afs20\alang1025 \ltrch\fcs0 \fs24\lang2057\langfe2057\cgrid\langnp2057\langfenp2057 &#13;_x000a_\sbasedon0 \snext19 \spriority0 \styrsid415134 Normal6a;}{\s20\ql \li0\ri0\nowidctlpar\wrapdefault\aspalpha\aspnum\faauto\adjustright\rin0\lin0\itap0 \rtlch\fcs1 \af0\afs20\alang1025 \ltrch\fcs0 \b\fs24\lang2057\langfe2057\cgrid\langnp2057\langfenp2057 &#13;_x000a_\sbasedon0 \snext20 \spriority0 \styrsid415134 NormalBold;}{\s21\ql \li0\ri0\sa240\nowidctlpar\wrapdefault\aspalpha\aspnum\faauto\adjustright\rin0\lin0\itap0 \rtlch\fcs1 \af0\afs20\alang1025 \ltrch\fcs0 &#13;_x000a_\i\fs24\lang2057\langfe2057\cgrid\langnp2057\langfenp2057 \sbasedon0 \snext21 \spriority0 \styrsid415134 AmJustText;}{\s22\qc \li0\ri0\sb240\sa240\nowidctlpar\wrapdefault\aspalpha\aspnum\faauto\adjustright\rin0\lin0\itap0 \rtlch\fcs1 \af0\afs20\alang1025 &#13;_x000a_\ltrch\fcs0 \i\fs24\lang2057\langfe2057\cgrid\langnp2057\langfenp2057 \sbasedon0 \snext22 \spriority0 \styrsid415134 AmCrossRef;}{\s23\qc \li0\ri0\sb240\sa240\keepn\nowidctlpar\wrapdefault\aspalpha\aspnum\faauto\adjustright\rin0\lin0\itap0 \rtlch\fcs1 &#13;_x000a_\af0\afs20\alang1025 \ltrch\fcs0 \i\fs24\lang2057\langfe2057\cgrid\langnp2057\langfenp2057 \sbasedon0 \snext21 \spriority0 \styrsid415134 AmJustTitle;}{&#13;_x000a_\s24\qr \li0\ri0\sb240\sa240\nowidctlpar\wrapdefault\aspalpha\aspnum\faauto\adjustright\rin0\lin0\itap0 \rtlch\fcs1 \af0\afs20\alang1025 \ltrch\fcs0 \fs24\lang2057\langfe2057\cgrid\langnp2057\langfenp2057 \sbasedon0 \snext24 \spriority0 \styrsid415134 &#13;_x000a_AmOrLang;}{\s25\qc \li0\ri0\sa240\nowidctlpar\wrapdefault\aspalpha\aspnum\faauto\adjustright\rin0\lin0\itap0 \rtlch\fcs1 \af0\afs20\alang1025 \ltrch\fcs0 \i\fs24\lang2057\langfe2057\cgrid\langnp2057\langfenp2057 &#13;_x000a_\sbasedon0 \snext25 \spriority0 \styrsid41513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15134 AmNumberTabs;}}{\*\rsidtbl \rsid24658\rsid223860\rsid415134\rsid735077\rsid1718133\rsid1994628\rsid2892074\rsid3565327\rsid4666813&#13;_x000a_\rsid6641733\rsid769262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TURLUI Gabriel}{\operator TURLUI Emil-Gabriel}{\creatim\yr2026\mo7\dy23\hr9\min12}{\revtim\yr2026\mo7\dy23\hr9\min12}{\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15134\newtblstyruls\nogrowautofit\usenormstyforlist\noindnmbrts\felnbrelev\nocxsptable\indrlsweleven\noafcnsttbl\afelev\utinl\hwelev\spltpgpar\notcvasp\notbrkcnstfrctbl\notvatxbx\krnprsnet\cachedcolbal \nouicompat \fet0&#13;_x000a_{\*\wgrffmtfilter 013f}\nofeaturethrottle1\ilfomacatclnup0{\*\template C:\\Users\\gturlui\\AppData\\Local\\Temp\\Blank1.dotx}{\*\ftnsep \ltrpar \pard\plain \ltrpar\ql \li0\ri0\widctlpar\wrapdefault\aspalpha\aspnum\faauto\adjustright\rin0\lin0\itap0 &#13;_x000a_\rtlch\fcs1 \af0\afs20\alang1025 \ltrch\fcs0 \fs24\lang2057\langfe2057\cgrid\langnp2057\langfenp2057 {\rtlch\fcs1 \af0 \ltrch\fcs0 \insrsid7692621 \chftnsep &#13;_x000a_\par }}{\*\ftnsepc \ltrpar \pard\plain \ltrpar\ql \li0\ri0\widctlpar\wrapdefault\aspalpha\aspnum\faauto\adjustright\rin0\lin0\itap0 \rtlch\fcs1 \af0\afs20\alang1025 \ltrch\fcs0 \fs24\lang2057\langfe2057\cgrid\langnp2057\langfenp2057 {\rtlch\fcs1 \af0 &#13;_x000a_\ltrch\fcs0 \insrsid7692621 \chftnsepc &#13;_x000a_\par }}{\*\aftnsep \ltrpar \pard\plain \ltrpar\ql \li0\ri0\widctlpar\wrapdefault\aspalpha\aspnum\faauto\adjustright\rin0\lin0\itap0 \rtlch\fcs1 \af0\afs20\alang1025 \ltrch\fcs0 \fs24\lang2057\langfe2057\cgrid\langnp2057\langfenp2057 {\rtlch\fcs1 \af0 &#13;_x000a_\ltrch\fcs0 \insrsid7692621 \chftnsep &#13;_x000a_\par }}{\*\aftnsepc \ltrpar \pard\plain \ltrpar\ql \li0\ri0\widctlpar\wrapdefault\aspalpha\aspnum\faauto\adjustright\rin0\lin0\itap0 \rtlch\fcs1 \af0\afs20\alang1025 \ltrch\fcs0 \fs24\lang2057\langfe2057\cgrid\langnp2057\langfenp2057 {\rtlch\fcs1 \af0 &#13;_x000a_\ltrch\fcs0 \insrsid769262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6061504 \rtlch\fcs1 &#13;_x000a_\af0\afs20\alang1025 \ltrch\fcs0 \b\fs24\lang2057\langfe2057\cgrid\langnp2057\langfenp2057 {\rtlch\fcs1 \af0 \ltrch\fcs0 \cs17\b0\v\fs20\cf9\lang1024\langfe1024\loch\af1\hich\af1\dbch\af31501\noproof\insrsid415134\charrsid10518233 {\*\bkmkstart restart}&#13;_x000a_\hich\af1\dbch\af31501\loch\f1 &lt;}{\rtlch\fcs1 \af0 \ltrch\fcs0 \cs17\b0\v\fs20\cf9\lang1024\langfe1024\loch\af1\hich\af1\dbch\af31501\noproof\insrsid415134 \hich\af1\dbch\af31501\loch\f1 Amend}{\rtlch\fcs1 \af0 \ltrch\fcs0 &#13;_x000a_\cs17\b0\v\fs20\cf9\lang1024\langfe1024\loch\af1\hich\af1\dbch\af31501\noproof\insrsid415134\charrsid10518233 \hich\af1\dbch\af31501\loch\f1 &gt;}{\rtlch\fcs1 \af0 \ltrch\fcs0 \insrsid415134\charrsid10518233 Amendment\tab \tab }{\rtlch\fcs1 \af0 \ltrch\fcs0 &#13;_x000a_\cs17\b0\v\fs20\cf9\lang1024\langfe1024\loch\af1\hich\af1\dbch\af31501\noproof\insrsid415134\charrsid10518233 \hich\af1\dbch\af31501\loch\f1 &lt;}{\rtlch\fcs1 \af0 \ltrch\fcs0 &#13;_x000a_\cs17\b0\v\fs20\cf9\lang1024\langfe1024\loch\af1\hich\af1\dbch\af31501\noproof\insrsid415134 \hich\af1\dbch\af31501\loch\f1 NumAm&gt;}{\rtlch\fcs1 \af0 \ltrch\fcs0 \insrsid415134\charrsid10518233 #}{\rtlch\fcs1 \af1 \ltrch\fcs0 &#13;_x000a_\cs18\v\f1\fs20\cf15\insrsid415134\charrsid10518233 ENMIENDA@NRAM@}{\rtlch\fcs1 \af0 \ltrch\fcs0 \insrsid415134\charrsid10518233 #}{\rtlch\fcs1 \af0 \ltrch\fcs0 &#13;_x000a_\cs17\b0\v\fs20\cf9\lang1024\langfe1024\loch\af1\hich\af1\dbch\af31501\noproof\insrsid415134\charrsid10518233 \hich\af1\dbch\af31501\loch\f1 &lt;/}{\rtlch\fcs1 \af0 \ltrch\fcs0 &#13;_x000a_\cs17\b0\v\fs20\cf9\lang1024\langfe1024\loch\af1\hich\af1\dbch\af31501\noproof\insrsid415134 \hich\af1\dbch\af31501\loch\f1 NumAm&gt;}{\rtlch\fcs1 \af0 \ltrch\fcs0 \insrsid415134\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15134\charrsid10518233 \hich\af1\dbch\af31501\loch\f1 &lt;\hich\af1\dbch\af31501\loch\f1 RepeatBlock-By&gt;}{\rtlch\fcs1 \af0 \ltrch\fcs0 &#13;_x000a_\insrsid415134\charrsid10518233 #}{\rtlch\fcs1 \af1 \ltrch\fcs0 \cs18\v\f1\fs20\cf15\insrsid415134\charrsid10518233 (MOD@InsideLoop()}{\rtlch\fcs1 \af0 \ltrch\fcs0 \insrsid415134\charrsid10518233 ##}{\rtlch\fcs1 \af1 \ltrch\fcs0 &#13;_x000a_\cs18\v\f1\fs20\cf15\insrsid415134\charrsid10518233 &gt;&gt;&gt;@[ZMEMBERSMSG]@}{\rtlch\fcs1 \af0 \ltrch\fcs0 \insrsid415134\charrsid10518233 #}{\rtlch\fcs1 \af0 \ltrch\fcs0 &#13;_x000a_\cs17\b0\v\fs20\cf9\lang1024\langfe1024\loch\af1\hich\af1\dbch\af31501\noproof\insrsid415134\charrsid10518233 \hich\af1\dbch\af31501\loch\f1 &lt;Members&gt;}{\rtlch\fcs1 \af0 \ltrch\fcs0 \insrsid415134\charrsid10518233 #}{\rtlch\fcs1 \af1 \ltrch\fcs0 &#13;_x000a_\cs18\v\f1\fs20\cf15\insrsid415134\charrsid10518233 (MOD@InsideLoop(\'a7)}{\rtlch\fcs1 \af0 \ltrch\fcs0 \insrsid415134\charrsid10518233 #}{\rtlch\fcs1 \af0 \ltrch\fcs0 \cf10\insrsid415134\charrsid16061504 \u9668\'3f}{\rtlch\fcs1 \af0 \ltrch\fcs0 &#13;_x000a_\insrsid415134\charrsid10518233 #}{\rtlch\fcs1 \af1 \ltrch\fcs0 \cs18\v\f1\fs20\cf15\insrsid415134\charrsid10518233 TVTMEMBERS\'a7@MEMBERS@}{\rtlch\fcs1 \af0 \ltrch\fcs0 \insrsid415134\charrsid10518233 #}{\rtlch\fcs1 \af0 \ltrch\fcs0 &#13;_x000a_\cf10\insrsid415134\charrsid16061504 \u9658\'3f}{\rtlch\fcs1 \af0 \ltrch\fcs0 \cs17\b0\v\fs20\cf9\lang1024\langfe1024\loch\af1\hich\af1\dbch\af31501\noproof\insrsid415134\charrsid10518233 \hich\af1\dbch\af31501\loch\f1 &lt;/Members&gt;}{\rtlch\fcs1 \af0 &#13;_x000a_\ltrch\fcs0 \insrsid415134\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15134\charrsid10518233 \hich\af1\dbch\af31501\loch\f1 &lt;AuNomDe&gt;&lt;OptDel&gt;}{\rtlch\fcs1 \af0 \ltrch\fcs0 \insrsid415134\charrsid10518233 #}{\rtlch\fcs1 \af1 \ltrch\fcs0 &#13;_x000a_\cs18\v\f1\fs20\cf15\insrsid415134\charrsid10518233 MNU[ONBEHALFYES][NOTAPP]@CHOICE@}{\rtlch\fcs1 \af0 \ltrch\fcs0 \insrsid415134\charrsid10518233 #}{\rtlch\fcs1 \af0 \ltrch\fcs0 &#13;_x000a_\cs17\v\fs20\cf9\lang1024\langfe1024\loch\af1\hich\af1\dbch\af31501\noproof\insrsid415134\charrsid10518233 \hich\af1\dbch\af31501\loch\f1 &lt;/OptDel&gt;&lt;/AuNomDe&gt;}{\rtlch\fcs1 \af0 \ltrch\fcs0 \insrsid415134\charrsid10518233 &#13;_x000a_\par &lt;&lt;&lt;}{\rtlch\fcs1 \af0 \ltrch\fcs0 \cs17\v\fs20\cf9\lang1024\langfe1024\loch\af1\hich\af1\dbch\af31501\noproof\insrsid415134\charrsid10518233 \hich\af1\dbch\af31501\loch\f1 &lt;/RepeatBlock-By&gt;}{\rtlch\fcs1 \af0 \ltrch\fcs0 \insrsid415134\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15134\charrsid10518233 \hich\af1\dbch\af31501\loch\f1 &lt;DocAmend&gt;}{\rtlch\fcs1 \af0 \ltrch\fcs0 \insrsid415134\charrsid10518233 #}{\rtlch\fcs1 \af1 &#13;_x000a_\ltrch\fcs0 \cs18\v\f1\fs20\cf15\insrsid415134\charrsid10518233 MNU[OPTPROPOSALCOD][OPTPROPOSALCNS][OPTPROPOSALNLE]@CHOICE@CODEMNU}{\rtlch\fcs1 \af0 \ltrch\fcs0 \insrsid415134\charrsid10518233 #}{\rtlch\fcs1 \af0 \ltrch\fcs0 &#13;_x000a_\cs17\b0\v\fs20\cf9\lang1024\langfe1024\loch\af1\hich\af1\dbch\af31501\noproof\insrsid415134\charrsid10518233 \hich\af1\dbch\af31501\loch\f1 &lt;/DocAmend&gt;}{\rtlch\fcs1 \af0 \ltrch\fcs0 \insrsid415134\charrsid10518233 &#13;_x000a_\par }\pard \ltrpar\s20\ql \li0\ri0\keepn\nowidctlpar\wrapdefault\aspalpha\aspnum\faauto\adjustright\rin0\lin0\itap0\pararsid10630121 {\rtlch\fcs1 \af0 \ltrch\fcs0 &#13;_x000a_\cs17\b0\v\fs20\cf9\lang1024\langfe1024\loch\af1\hich\af1\dbch\af31501\noproof\insrsid415134\charrsid10518233 \hich\af1\dbch\af31501\loch\f1 &lt;Article&gt;}{\rtlch\fcs1 \af0 \ltrch\fcs0 \insrsid415134\charrsid10518233 #}{\rtlch\fcs1 \af1 \ltrch\fcs0 &#13;_x000a_\cs18\v\f1\fs20\cf15\insrsid415134\charrsid10518233 MNU[AMACTPARTYES][AMACTPARTNO]@CHOICE@AMACTMNU}{\rtlch\fcs1 \af0 \ltrch\fcs0 \insrsid415134\charrsid10518233 #}{\rtlch\fcs1 \af0 \ltrch\fcs0 &#13;_x000a_\cs17\b0\v\fs20\cf9\lang1024\langfe1024\loch\af1\hich\af1\dbch\af31501\noproof\insrsid415134\charrsid10518233 \hich\af1\dbch\af31501\loch\f1 &lt;/Article&gt;}{\rtlch\fcs1 \af0 \ltrch\fcs0 \insrsid415134\charrsid10518233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15134\charrsid10518233 \hich\af1\dbch\af31501\loch\f1 &lt;DocAmend2&gt;&lt;OptDel&gt;}{\rtlch\fcs1 \af0 \ltrch\fcs0 \insrsid415134\charrsid10518233 #}{\rtlch\fcs1 \af1 &#13;_x000a_\ltrch\fcs0 \cs18\v\f1\fs20\cf15\insrsid415134\charrsid10518233 MNU[OPTNRACTYES][NOTAPP]@CHOICE@AMACTMNU}{\rtlch\fcs1 \af0 \ltrch\fcs0 \insrsid415134\charrsid10518233 #}{\rtlch\fcs1 \af0 \ltrch\fcs0 &#13;_x000a_\cs17\v\fs20\cf9\lang1024\langfe1024\loch\af1\hich\af1\dbch\af31501\noproof\insrsid415134\charrsid10518233 \hich\af1\dbch\af31501\loch\f1 &lt;/OptDel&gt;&lt;/DocAmend2&gt;}{\rtlch\fcs1 \af0 \ltrch\fcs0 \insrsid415134\charrsid10518233 &#13;_x000a_\par }\pard \ltrpar\ql \li0\ri0\widctlpar\wrapdefault\aspalpha\aspnum\faauto\adjustright\rin0\lin0\itap0\pararsid10158853 {\rtlch\fcs1 \af0 \ltrch\fcs0 \cs17\v\fs20\cf9\lang1024\langfe1024\loch\af1\hich\af1\dbch\af31501\noproof\insrsid415134\charrsid10518233 &#13;_x000a_\hich\af1\dbch\af31501\loch\f1 &lt;Article2&gt;&lt;OptDel&gt;}{\rtlch\fcs1 \af0 \ltrch\fcs0 \insrsid415134\charrsid10518233 #}{\rtlch\fcs1 \af1 \ltrch\fcs0 \cs18\v\f1\fs20\cf15\insrsid415134\charrsid10518233 MNU[OPTACTPARTYES][NOTAPP]@CHOICE@AMACTMNU}{\rtlch\fcs1 &#13;_x000a_\af0 \ltrch\fcs0 \insrsid415134\charrsid10518233 #}{\rtlch\fcs1 \af0 \ltrch\fcs0 \cs17\v\fs20\cf9\lang1024\langfe1024\loch\af1\hich\af1\dbch\af31501\noproof\insrsid415134\charrsid10518233 \hich\af1\dbch\af31501\loch\f1 &lt;/OptDel&gt;&lt;/Article2&gt;}{\rtlch\fcs1 &#13;_x000a_\af0 \ltrch\fcs0 \insrsid415134\charrsid10518233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15134\charrsid10518233 \cell }\pard\plain \ltrpar\ql \li0\ri0\widctlpar\intbl\wrapdefault\aspalpha\aspnum\faauto\adjustright\rin0\lin0 \rtlch\fcs1 &#13;_x000a_\af0\afs20\alang1025 \ltrch\fcs0 \fs24\lang2057\langfe2057\cgrid\langnp2057\langfenp2057 {\rtlch\fcs1 \af0 \ltrch\fcs0 \insrsid415134\charrsid10518233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15134\charrsid10518233 #}{\rtlch\fcs1 \af1 \ltrch\fcs0 \cs18\v\f1\fs20\cf15\insrsid415134\charrsid10518233 MNU[OPTLEFTAMACT][LEFTPROP]@CHOICE@AMACTMNU}{\rtlch\fcs1 \af0 \ltrch\fcs0 \insrsid415134\charrsid10518233 #&#13;_x000a_\cell Amendment\cell }\pard\plain \ltrpar\ql \li0\ri0\widctlpar\intbl\wrapdefault\aspalpha\aspnum\faauto\adjustright\rin0\lin0 \rtlch\fcs1 \af0\afs20\alang1025 \ltrch\fcs0 \fs24\lang2057\langfe2057\cgrid\langnp2057\langfenp2057 {\rtlch\fcs1 \af0 &#13;_x000a_\ltrch\fcs0 \insrsid415134\charrsid10518233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15134\charrsid10518233 ##\cell ##}{\rtlch\fcs1 \af0\afs24 \ltrch\fcs0 \insrsid415134\charrsid10518233 \cell }\pard\plain \ltrpar\ql \li0\ri0\widctlpar\intbl\wrapdefault\aspalpha\aspnum\faauto\adjustright\rin0\lin0 \rtlch\fcs1 &#13;_x000a_\af0\afs20\alang1025 \ltrch\fcs0 \fs24\lang2057\langfe2057\cgrid\langnp2057\langfenp2057 {\rtlch\fcs1 \af0 \ltrch\fcs0 \insrsid415134\charrsid10518233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15134\charrsid10518233 Or. }{\rtlch\fcs1 \af0 \ltrch\fcs0 \cs17\v\fs20\cf9\lang1024\langfe1024\loch\af1\hich\af1\dbch\af31501\noproof\insrsid415134\charrsid10518233 \hich\af1\dbch\af31501\loch\f1 &lt;Original&gt;}{\rtlch\fcs1 \af0 \ltrch\fcs0 &#13;_x000a_\insrsid415134\charrsid10518233 #}{\rtlch\fcs1 \af1 \ltrch\fcs0 \cs18\v\f1\fs20\cf15\insrsid415134\charrsid10518233 KEY(MAIN/LANGMIN)sh@ORLANGMSG@}{\rtlch\fcs1 \af0 \ltrch\fcs0 \insrsid415134\charrsid10518233 #}{\rtlch\fcs1 \af0 \ltrch\fcs0 &#13;_x000a_\cs17\v\fs20\cf9\lang1024\langfe1024\loch\af1\hich\af1\dbch\af31501\noproof\insrsid415134\charrsid10518233 \hich\af1\dbch\af31501\loch\f1 &lt;/Original&gt;}{\rtlch\fcs1 \af0 \ltrch\fcs0 \insrsid415134\charrsid10518233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15134\charrsid10518233 \hich\af1\dbch\af31501\loch\f1 &lt;OptDel&gt;}{\rtlch\fcs1 \af0 \ltrch\fcs0 \insrsid415134\charrsid10518233 #}{&#13;_x000a_\rtlch\fcs1 \af1 \ltrch\fcs0 \cs18\v\f1\fs20\cf15\insrsid415134\charrsid10518233 MNU[CROSSREFNO][CROSSREFYES]@CHOICE@}{\rtlch\fcs1 \af0 \ltrch\fcs0 \insrsid415134\charrsid10518233 #}{\rtlch\fcs1 \af0 \ltrch\fcs0 &#13;_x000a_\cs17\i0\v\fs20\cf9\lang1024\langfe1024\loch\af1\hich\af1\dbch\af31501\noproof\insrsid415134\charrsid10518233 \hich\af1\dbch\af31501\loch\f1 &lt;/OptDel&gt;}{\rtlch\fcs1 \af0 \ltrch\fcs0 \insrsid415134\charrsid10518233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15134\charrsid10518233 \hich\af1\dbch\af31501\loch\f1 &lt;TitreJust&gt;}{\rtlch\fcs1 \af0 \ltrch\fcs0 \insrsid415134\charrsid10518233 &#13;_x000a_Justification}{\rtlch\fcs1 \af0 \ltrch\fcs0 \cs17\i0\v\fs20\cf9\lang1024\langfe1024\loch\af1\hich\af1\dbch\af31501\noproof\insrsid415134\charrsid10518233 \hich\af1\dbch\af31501\loch\f1 &lt;/TitreJust&gt;}{\rtlch\fcs1 \af0 \ltrch\fcs0 &#13;_x000a_\insrsid415134\charrsid10518233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15134\charrsid10518233 \hich\af1\dbch\af31501\loch\f1 &lt;OptDelPrev&gt;}{\rtlch\fcs1 \af0 \ltrch\fcs0 \insrsid415134\charrsid10518233 #}{\rtlch\fcs1 \af1 &#13;_x000a_\ltrch\fcs0 \cs18\v\f1\fs20\cf15\insrsid415134\charrsid10518233 MNU[TEXTJUSTYES][TEXTJUSTNO]@CHOICE@}{\rtlch\fcs1 \af0 \ltrch\fcs0 \insrsid415134\charrsid10518233 #}{\rtlch\fcs1 \af0 \ltrch\fcs0 &#13;_x000a_\cs17\i0\v\fs20\cf9\lang1024\langfe1024\loch\af1\hich\af1\dbch\af31501\noproof\insrsid415134\charrsid10518233 \hich\af1\dbch\af31501\loch\f1 &lt;/OptDelPrev&gt;}{\rtlch\fcs1 \af0 \ltrch\fcs0 \insrsid415134\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15134\charrsid10518233 \hich\af1\dbch\af31501\loch\f1 &lt;/}{\rtlch\fcs1 \af0 \ltrch\fcs0 &#13;_x000a_\cs17\v\fs20\cf9\lang1024\langfe1024\loch\af1\hich\af1\dbch\af31501\noproof\insrsid415134 \hich\af1\dbch\af31501\loch\f1 Amend}{\rtlch\fcs1 \af0 \ltrch\fcs0 &#13;_x000a_\cs17\v\fs20\cf9\lang1024\langfe1024\loch\af1\hich\af1\dbch\af31501\noproof\insrsid415134\charrsid10518233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e&#13;_x000a_f2af72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VTAMPART" w:val="xxx"/>
    <w:docVar w:name="TVTMEMBERS1" w:val="Li Andersson"/>
    <w:docVar w:name="TVTMEMBERS2" w:val="Peter Agius"/>
    <w:docVar w:name="TXTAUTHOR" w:val="Markus Ferber"/>
    <w:docVar w:name="TXTLANGUE" w:val="DA"/>
    <w:docVar w:name="TXTLANGUEMIN" w:val="da"/>
    <w:docVar w:name="TXTNRC" w:val="0328/2025"/>
    <w:docVar w:name="TXTNRCOM" w:val="(2025)0943"/>
    <w:docVar w:name="TXTNRFIRSTAM" w:val="201"/>
    <w:docVar w:name="TXTNRLASTAM" w:val="410"/>
    <w:docVar w:name="TXTNRPE" w:val="791.103"/>
    <w:docVar w:name="TXTNRPE2" w:val="789.866"/>
    <w:docVar w:name="TXTNRPROC" w:val="2025/0383"/>
    <w:docVar w:name="TXTPEorAP" w:val="PE"/>
    <w:docVar w:name="TXTROUTE" w:val="AM\1348486DA.docx"/>
    <w:docVar w:name="TXTTITLE" w:val="on the proposal for a regulation of the European Parliament and of the Council amending Regulations (EU) No 1095/2010, No 648/2012, No 600/2014, No 909/2014, 2015/2365, 2019/1156, 2021/23, 2022/858, 2023/1114, No 1060/2009, 2016/1011, 2017/2402, 2023/2631 and 2024/3005 as regards the further development of capital market integration and supervision within the Union"/>
    <w:docVar w:name="TXTVERSION" w:val="01-00"/>
    <w:docVar w:name="TXTVERSION2"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82A14F3-AC8D-4E70-861D-E7ABD72CD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8E5FC7"/>
    <w:pPr>
      <w:widowControl/>
      <w:spacing w:before="100" w:beforeAutospacing="1" w:after="100" w:afterAutospacing="1"/>
    </w:pPr>
    <w:rPr>
      <w:szCs w:val="24"/>
    </w:rPr>
  </w:style>
  <w:style w:type="paragraph" w:customStyle="1" w:styleId="EPFooterLandscape">
    <w:name w:val="EPFooterLandscape"/>
    <w:rsid w:val="008E5FC7"/>
    <w:pPr>
      <w:tabs>
        <w:tab w:val="center" w:pos="6800"/>
        <w:tab w:val="right" w:pos="15020"/>
      </w:tabs>
    </w:pPr>
    <w:rPr>
      <w:sz w:val="22"/>
      <w:lang w:eastAsia="en-US"/>
    </w:rPr>
  </w:style>
  <w:style w:type="paragraph" w:customStyle="1" w:styleId="Normal0">
    <w:name w:val="Normal0"/>
    <w:basedOn w:val="Normal"/>
    <w:rsid w:val="008E5FC7"/>
    <w:pPr>
      <w:widowControl/>
    </w:pPr>
    <w:rPr>
      <w:sz w:val="2"/>
      <w:szCs w:val="24"/>
      <w:lang w:eastAsia="en-US"/>
    </w:rPr>
  </w:style>
  <w:style w:type="paragraph" w:customStyle="1" w:styleId="EPFooter2Landscape">
    <w:name w:val="EPFooter2Landscape"/>
    <w:rsid w:val="008E5FC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8E5FC7"/>
    <w:pPr>
      <w:widowControl/>
      <w:shd w:val="clear" w:color="auto" w:fill="000000"/>
    </w:pPr>
    <w:rPr>
      <w:color w:val="FFFFFF"/>
      <w:szCs w:val="24"/>
      <w:lang w:eastAsia="en-US"/>
    </w:rPr>
  </w:style>
  <w:style w:type="paragraph" w:customStyle="1" w:styleId="Normal12a">
    <w:name w:val="Normal12a"/>
    <w:basedOn w:val="Normal"/>
    <w:rsid w:val="008E5FC7"/>
    <w:pPr>
      <w:widowControl/>
      <w:spacing w:after="240"/>
    </w:pPr>
    <w:rPr>
      <w:szCs w:val="24"/>
      <w:lang w:eastAsia="en-US"/>
    </w:rPr>
  </w:style>
  <w:style w:type="paragraph" w:customStyle="1" w:styleId="NormalBold12b">
    <w:name w:val="NormalBold12b"/>
    <w:basedOn w:val="Normal"/>
    <w:rsid w:val="008E5FC7"/>
    <w:pPr>
      <w:widowControl/>
      <w:spacing w:before="240"/>
    </w:pPr>
    <w:rPr>
      <w:b/>
      <w:szCs w:val="24"/>
      <w:lang w:eastAsia="en-US"/>
    </w:rPr>
  </w:style>
  <w:style w:type="character" w:customStyle="1" w:styleId="EPFooter2Motto">
    <w:name w:val="EPFooter2Motto"/>
    <w:rsid w:val="008E5FC7"/>
    <w:rPr>
      <w:rFonts w:ascii="Arial" w:hAnsi="Arial" w:cs="Arial" w:hint="default"/>
      <w:b/>
      <w:bCs w:val="0"/>
      <w:i/>
      <w:iCs w:val="0"/>
      <w:color w:val="C0C0C0"/>
      <w:sz w:val="22"/>
    </w:rPr>
  </w:style>
  <w:style w:type="character" w:customStyle="1" w:styleId="EPFooter2Middle">
    <w:name w:val="EPFooter2Middle"/>
    <w:rsid w:val="008E5FC7"/>
    <w:rPr>
      <w:rFonts w:ascii="Arial" w:hAnsi="Arial" w:cs="Arial" w:hint="default"/>
      <w:b w:val="0"/>
      <w:bCs w:val="0"/>
      <w:i/>
      <w:iCs w:val="0"/>
      <w:color w:val="AEAAAA"/>
      <w:sz w:val="22"/>
      <w:shd w:val="pct50" w:color="auto" w:fill="auto"/>
    </w:rPr>
  </w:style>
  <w:style w:type="character" w:customStyle="1" w:styleId="CMissingStyle">
    <w:name w:val="C_MissingStyle"/>
    <w:rsid w:val="008E5FC7"/>
    <w:rPr>
      <w:color w:val="FFFFFF"/>
      <w:sz w:val="22"/>
      <w:shd w:val="clear" w:color="auto" w:fill="000000"/>
    </w:rPr>
  </w:style>
  <w:style w:type="paragraph" w:styleId="Footer">
    <w:name w:val="footer"/>
    <w:basedOn w:val="Normal"/>
    <w:link w:val="FooterChar"/>
    <w:semiHidden/>
    <w:rsid w:val="008E5FC7"/>
    <w:pPr>
      <w:tabs>
        <w:tab w:val="center" w:pos="4513"/>
        <w:tab w:val="right" w:pos="9026"/>
      </w:tabs>
    </w:pPr>
  </w:style>
  <w:style w:type="character" w:customStyle="1" w:styleId="FooterChar">
    <w:name w:val="Footer Char"/>
    <w:basedOn w:val="DefaultParagraphFont"/>
    <w:link w:val="Footer"/>
    <w:semiHidden/>
    <w:rsid w:val="008E5F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184</Pages>
  <Words>50773</Words>
  <Characters>326173</Characters>
  <Application>Microsoft Office Word</Application>
  <DocSecurity>0</DocSecurity>
  <Lines>11260</Lines>
  <Paragraphs>2194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2026-09-02T08:53:00Z</dcterms:created>
  <dcterms:modified xsi:type="dcterms:W3CDTF">2026-09-02T08:53:00Z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1348486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- 2026/09/02 10:53</vt:lpwstr>
  </property>
  <property fmtid="{D5CDD505-2E9C-101B-9397-08002B2CF9AE}" pid="9" name="Created with">
    <vt:lpwstr>10.3.1 Build [20260701]</vt:lpwstr>
  </property>
  <property fmtid="{D5CDD505-2E9C-101B-9397-08002B2CF9AE}" pid="10" name="FooterPath">
    <vt:lpwstr>AM\1348486DA.docx</vt:lpwstr>
  </property>
  <property fmtid="{D5CDD505-2E9C-101B-9397-08002B2CF9AE}" pid="11" name="LastEdited with">
    <vt:lpwstr>10.3.1 Build [20260701]</vt:lpwstr>
  </property>
  <property fmtid="{D5CDD505-2E9C-101B-9397-08002B2CF9AE}" pid="12" name="PE number">
    <vt:lpwstr>791.103</vt:lpwstr>
  </property>
  <property fmtid="{D5CDD505-2E9C-101B-9397-08002B2CF9AE}" pid="13" name="RegistreCheck">
    <vt:lpwstr>OK</vt:lpwstr>
  </property>
  <property fmtid="{D5CDD505-2E9C-101B-9397-08002B2CF9AE}" pid="14" name="SendToEpades">
    <vt:lpwstr>OK(AMNUM) - 2026/07/31 06:15</vt:lpwstr>
  </property>
</Properties>
</file>