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245A8" w:rsidRPr="00526437" w:rsidTr="002E3B41">
        <w:trPr>
          <w:trHeight w:hRule="exact" w:val="1418"/>
        </w:trPr>
        <w:tc>
          <w:tcPr>
            <w:tcW w:w="6804" w:type="dxa"/>
            <w:shd w:val="clear" w:color="auto" w:fill="auto"/>
            <w:vAlign w:val="center"/>
          </w:tcPr>
          <w:p w:rsidR="00BE5062" w:rsidRPr="00526437" w:rsidRDefault="00C213EB" w:rsidP="002E3B41">
            <w:pPr>
              <w:pStyle w:val="EPName"/>
            </w:pPr>
            <w:r w:rsidRPr="00526437">
              <w:t>Parlamentul European</w:t>
            </w:r>
          </w:p>
          <w:p w:rsidR="00BE5062" w:rsidRPr="00526437" w:rsidRDefault="00C213EB" w:rsidP="00494947">
            <w:pPr>
              <w:pStyle w:val="EPTerm"/>
            </w:pPr>
            <w:r w:rsidRPr="00526437">
              <w:t>2019-2024</w:t>
            </w:r>
          </w:p>
        </w:tc>
        <w:tc>
          <w:tcPr>
            <w:tcW w:w="2268" w:type="dxa"/>
            <w:shd w:val="clear" w:color="auto" w:fill="auto"/>
          </w:tcPr>
          <w:p w:rsidR="00BE5062" w:rsidRPr="00526437" w:rsidRDefault="00C213EB" w:rsidP="002E3B41">
            <w:pPr>
              <w:pStyle w:val="EPLogo"/>
            </w:pPr>
            <w:r w:rsidRPr="0052643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26437" w:rsidRDefault="000E7234" w:rsidP="000E7234">
      <w:pPr>
        <w:pStyle w:val="LineTop"/>
      </w:pPr>
    </w:p>
    <w:p w:rsidR="000E7234" w:rsidRPr="00526437" w:rsidRDefault="00C213EB" w:rsidP="000E7234">
      <w:pPr>
        <w:pStyle w:val="EPBody"/>
      </w:pPr>
      <w:r w:rsidRPr="005908C9">
        <w:rPr>
          <w:rStyle w:val="HideTWBExt"/>
          <w:i w:val="0"/>
          <w:szCs w:val="20"/>
        </w:rPr>
        <w:t>&lt;Commission&gt;</w:t>
      </w:r>
      <w:r w:rsidRPr="005908C9">
        <w:rPr>
          <w:rStyle w:val="HideTWBInt"/>
          <w:i w:val="0"/>
          <w:szCs w:val="20"/>
        </w:rPr>
        <w:t>{EMPL}</w:t>
      </w:r>
      <w:r w:rsidRPr="00526437">
        <w:t>Comisia pentru ocuparea forței de muncă și afaceri sociale</w:t>
      </w:r>
      <w:r w:rsidRPr="005908C9">
        <w:rPr>
          <w:rStyle w:val="HideTWBExt"/>
          <w:i w:val="0"/>
          <w:szCs w:val="20"/>
        </w:rPr>
        <w:t>&lt;/Commission&gt;</w:t>
      </w:r>
    </w:p>
    <w:p w:rsidR="000E7234" w:rsidRPr="00526437" w:rsidRDefault="000E7234" w:rsidP="000E7234">
      <w:pPr>
        <w:pStyle w:val="LineBottom"/>
      </w:pPr>
    </w:p>
    <w:p w:rsidR="00B85286" w:rsidRPr="00526437" w:rsidRDefault="00C213EB">
      <w:pPr>
        <w:pStyle w:val="CoverReference"/>
      </w:pPr>
      <w:r w:rsidRPr="005908C9">
        <w:rPr>
          <w:rStyle w:val="HideTWBExt"/>
          <w:b w:val="0"/>
        </w:rPr>
        <w:t>&lt;RefProc&gt;</w:t>
      </w:r>
      <w:r w:rsidRPr="00526437">
        <w:t>2023/0008</w:t>
      </w:r>
      <w:r w:rsidRPr="005908C9">
        <w:rPr>
          <w:rStyle w:val="HideTWBExt"/>
          <w:b w:val="0"/>
        </w:rPr>
        <w:t>&lt;/RefProc&gt;&lt;RefTypeProc&gt;</w:t>
      </w:r>
      <w:r w:rsidRPr="00526437">
        <w:t>(COD)</w:t>
      </w:r>
      <w:r w:rsidRPr="005908C9">
        <w:rPr>
          <w:rStyle w:val="HideTWBExt"/>
          <w:b w:val="0"/>
        </w:rPr>
        <w:t>&lt;/RefTypeProc&gt;</w:t>
      </w:r>
    </w:p>
    <w:p w:rsidR="00B85286" w:rsidRPr="00526437" w:rsidRDefault="00C213EB">
      <w:pPr>
        <w:pStyle w:val="CoverDate"/>
      </w:pPr>
      <w:r w:rsidRPr="005908C9">
        <w:rPr>
          <w:rStyle w:val="HideTWBExt"/>
        </w:rPr>
        <w:t>&lt;Date&gt;</w:t>
      </w:r>
      <w:r w:rsidRPr="005908C9">
        <w:rPr>
          <w:rStyle w:val="HideTWBInt"/>
        </w:rPr>
        <w:t>{13/06/2023}</w:t>
      </w:r>
      <w:r w:rsidRPr="00526437">
        <w:t>13.6.2023</w:t>
      </w:r>
      <w:r w:rsidRPr="005908C9">
        <w:rPr>
          <w:rStyle w:val="HideTWBExt"/>
        </w:rPr>
        <w:t>&lt;/Date&gt;</w:t>
      </w:r>
    </w:p>
    <w:p w:rsidR="009B0305" w:rsidRPr="00526437" w:rsidRDefault="00C213EB" w:rsidP="009B0305">
      <w:pPr>
        <w:pStyle w:val="CoverDocType"/>
      </w:pPr>
      <w:r w:rsidRPr="005908C9">
        <w:rPr>
          <w:rStyle w:val="HideTWBExt"/>
          <w:b w:val="0"/>
        </w:rPr>
        <w:t>&lt;TypeAM&gt;</w:t>
      </w:r>
      <w:r w:rsidRPr="00526437">
        <w:t>AMENDAMENTELE</w:t>
      </w:r>
      <w:r w:rsidRPr="005908C9">
        <w:rPr>
          <w:rStyle w:val="HideTWBExt"/>
          <w:b w:val="0"/>
        </w:rPr>
        <w:t>&lt;/TypeAM&gt;</w:t>
      </w:r>
    </w:p>
    <w:p w:rsidR="00B85286" w:rsidRPr="00526437" w:rsidRDefault="00C213EB" w:rsidP="001C2054">
      <w:pPr>
        <w:pStyle w:val="CoverDocType24a"/>
      </w:pPr>
      <w:r w:rsidRPr="005908C9">
        <w:rPr>
          <w:rStyle w:val="HideTWBExt"/>
          <w:b w:val="0"/>
        </w:rPr>
        <w:t>&lt;RangeAM&gt;</w:t>
      </w:r>
      <w:r w:rsidRPr="00526437">
        <w:t>34 - 131</w:t>
      </w:r>
      <w:r w:rsidRPr="005908C9">
        <w:rPr>
          <w:rStyle w:val="HideTWBExt"/>
          <w:b w:val="0"/>
        </w:rPr>
        <w:t>&lt;/RangeAM&gt;</w:t>
      </w:r>
    </w:p>
    <w:p w:rsidR="001C2054" w:rsidRPr="00526437" w:rsidRDefault="00C213EB" w:rsidP="00A93F8C">
      <w:pPr>
        <w:pStyle w:val="CoverBold"/>
      </w:pPr>
      <w:r w:rsidRPr="005908C9">
        <w:rPr>
          <w:rStyle w:val="HideTWBExt"/>
          <w:b w:val="0"/>
        </w:rPr>
        <w:t>&lt;TitreType&gt;</w:t>
      </w:r>
      <w:r w:rsidRPr="00526437">
        <w:t>Proiect de raport</w:t>
      </w:r>
      <w:r w:rsidRPr="005908C9">
        <w:rPr>
          <w:rStyle w:val="HideTWBExt"/>
          <w:b w:val="0"/>
        </w:rPr>
        <w:t>&lt;/TitreType&gt;</w:t>
      </w:r>
    </w:p>
    <w:p w:rsidR="00B85286" w:rsidRPr="00526437" w:rsidRDefault="00C213EB" w:rsidP="00A93F8C">
      <w:pPr>
        <w:pStyle w:val="CoverBold"/>
      </w:pPr>
      <w:r w:rsidRPr="005908C9">
        <w:rPr>
          <w:rStyle w:val="HideTWBExt"/>
          <w:b w:val="0"/>
        </w:rPr>
        <w:t>&lt;Rapporteur&gt;</w:t>
      </w:r>
      <w:r w:rsidRPr="00526437">
        <w:t>Sandra Pereira</w:t>
      </w:r>
      <w:r w:rsidRPr="005908C9">
        <w:rPr>
          <w:rStyle w:val="HideTWBExt"/>
          <w:b w:val="0"/>
        </w:rPr>
        <w:t>&lt;/Rapporteur&gt;</w:t>
      </w:r>
    </w:p>
    <w:p w:rsidR="00B85286" w:rsidRPr="00526437" w:rsidRDefault="00C213EB">
      <w:pPr>
        <w:pStyle w:val="CoverNormal24a"/>
      </w:pPr>
      <w:r w:rsidRPr="005908C9">
        <w:rPr>
          <w:rStyle w:val="HideTWBExt"/>
        </w:rPr>
        <w:t>&lt;DocRefPE&gt;</w:t>
      </w:r>
      <w:r w:rsidRPr="00526437">
        <w:t>(PE746.665v01-00)</w:t>
      </w:r>
      <w:r w:rsidRPr="005908C9">
        <w:rPr>
          <w:rStyle w:val="HideTWBExt"/>
        </w:rPr>
        <w:t>&lt;/DocRefPE&gt;</w:t>
      </w:r>
    </w:p>
    <w:p w:rsidR="00B85286" w:rsidRPr="00526437" w:rsidRDefault="00C213EB">
      <w:pPr>
        <w:pStyle w:val="CoverNormal24a"/>
      </w:pPr>
      <w:r w:rsidRPr="005908C9">
        <w:rPr>
          <w:rStyle w:val="HideTWBExt"/>
        </w:rPr>
        <w:t>&lt;Titre&gt;</w:t>
      </w:r>
      <w:r w:rsidRPr="00526437">
        <w:t>Statisticile privind populația și locuințele, modificarea Regulamentului (CE) nr. 862/2007 și abrogarea Regulamentului (CE) nr. 763/2008 și a Regulamentului (UE) nr. 1260/2013</w:t>
      </w:r>
      <w:r w:rsidRPr="005908C9">
        <w:rPr>
          <w:rStyle w:val="HideTWBExt"/>
        </w:rPr>
        <w:t>&lt;/Titre&gt;</w:t>
      </w:r>
    </w:p>
    <w:p w:rsidR="006337D4" w:rsidRPr="00526437" w:rsidRDefault="00C213EB" w:rsidP="006337D4">
      <w:pPr>
        <w:pStyle w:val="CoverNormal"/>
      </w:pPr>
      <w:r w:rsidRPr="005908C9">
        <w:rPr>
          <w:rStyle w:val="HideTWBExt"/>
        </w:rPr>
        <w:t>&lt;DocAmend&gt;</w:t>
      </w:r>
      <w:r w:rsidRPr="00526437">
        <w:t>Propunere de regulament</w:t>
      </w:r>
      <w:r w:rsidRPr="005908C9">
        <w:rPr>
          <w:rStyle w:val="HideTWBExt"/>
        </w:rPr>
        <w:t>&lt;/DocAmend&gt;</w:t>
      </w:r>
    </w:p>
    <w:p w:rsidR="00B85286" w:rsidRPr="00526437" w:rsidRDefault="00C213EB">
      <w:pPr>
        <w:pStyle w:val="CoverNormal24a"/>
      </w:pPr>
      <w:r w:rsidRPr="005908C9">
        <w:rPr>
          <w:rStyle w:val="HideTWBExt"/>
        </w:rPr>
        <w:t>&lt;DocRef&gt;</w:t>
      </w:r>
      <w:r w:rsidRPr="00526437">
        <w:t>(COM(2023)0031 – C9</w:t>
      </w:r>
      <w:r w:rsidRPr="00526437">
        <w:noBreakHyphen/>
        <w:t>0010/2023 – 2023/0008(COD))</w:t>
      </w:r>
      <w:r w:rsidRPr="005908C9">
        <w:rPr>
          <w:rStyle w:val="HideTWBExt"/>
        </w:rPr>
        <w:t>&lt;/DocRef&gt;</w:t>
      </w:r>
    </w:p>
    <w:p w:rsidR="00B85286" w:rsidRPr="00526437" w:rsidRDefault="00C213EB" w:rsidP="00E660E2">
      <w:pPr>
        <w:widowControl/>
        <w:tabs>
          <w:tab w:val="center" w:pos="4677"/>
        </w:tabs>
      </w:pPr>
      <w:r w:rsidRPr="00526437">
        <w:br w:type="page"/>
      </w:r>
      <w:r w:rsidRPr="00526437">
        <w:lastRenderedPageBreak/>
        <w:t>AM_Com_LegReport</w:t>
      </w:r>
    </w:p>
    <w:p w:rsidR="005908C9" w:rsidRDefault="005908C9">
      <w:pPr>
        <w:widowControl/>
        <w:rPr>
          <w:b/>
        </w:rPr>
      </w:pPr>
      <w:r>
        <w:br w:type="page"/>
      </w:r>
    </w:p>
    <w:p w:rsidR="00C213EB" w:rsidRPr="005908C9" w:rsidRDefault="005908C9" w:rsidP="00C213EB">
      <w:pPr>
        <w:pStyle w:val="AMNumberTabs0"/>
        <w:keepNext/>
        <w:rPr>
          <w:rFonts w:ascii="Arial" w:hAnsi="Arial" w:cs="Arial"/>
          <w:noProof/>
          <w:vanish/>
          <w:color w:val="000080"/>
          <w:sz w:val="20"/>
        </w:rPr>
      </w:pPr>
      <w:r w:rsidRPr="00FC4386">
        <w:rPr>
          <w:rStyle w:val="HideTWBExt"/>
          <w:b w:val="0"/>
          <w:lang w:val="en-GB"/>
        </w:rPr>
        <w:lastRenderedPageBreak/>
        <w:t>&lt;RepeatBlock-Amend&gt;&lt;Amend&gt;</w:t>
      </w:r>
      <w:r w:rsidR="00C213EB">
        <w:t>Amendamentul</w:t>
      </w:r>
      <w:r w:rsidR="00C213EB">
        <w:tab/>
      </w:r>
      <w:r w:rsidR="00C213EB">
        <w:tab/>
      </w:r>
      <w:r w:rsidR="00C213EB" w:rsidRPr="005908C9">
        <w:rPr>
          <w:rStyle w:val="HideTWBExt"/>
          <w:b w:val="0"/>
        </w:rPr>
        <w:t>&lt;NumAm&gt;</w:t>
      </w:r>
      <w:r w:rsidR="00C213EB">
        <w:t>34</w:t>
      </w:r>
      <w:r w:rsidR="00C213EB"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Statisticile europene privind populația și locuințele sunt necesare pentru elaborarea, punerea în aplicare și evaluarea politicilor Uniunii, în special a celor care abordează schimbările demografice, transformarea verde și tranziția digitală, promovarea eficienței energetice, coeziunea economică, socială și teritorială și realizarea obiectivelor de dezvoltare durabilă ale Agendei 2030 a Organizației Națiunilor Unite (ONU).</w:t>
            </w:r>
          </w:p>
        </w:tc>
        <w:tc>
          <w:tcPr>
            <w:tcW w:w="4876" w:type="dxa"/>
            <w:hideMark/>
          </w:tcPr>
          <w:p w:rsidR="00C213EB" w:rsidRPr="005F3712" w:rsidRDefault="00C213EB" w:rsidP="00C213EB">
            <w:pPr>
              <w:pStyle w:val="Normal6"/>
              <w:rPr>
                <w:szCs w:val="24"/>
              </w:rPr>
            </w:pPr>
            <w:r>
              <w:t>(1)</w:t>
            </w:r>
            <w:r>
              <w:tab/>
              <w:t xml:space="preserve">Statisticile europene privind populația și locuințele </w:t>
            </w:r>
            <w:r>
              <w:rPr>
                <w:b/>
                <w:i/>
              </w:rPr>
              <w:t xml:space="preserve">joacă un rol central în procesele de elaborare a politicilor și de luare a deciziilor și, ca atare, </w:t>
            </w:r>
            <w:r>
              <w:t>sunt necesare pentru elaborarea, punerea în aplicare și evaluarea politicilor Uniunii, în special a celor care abordează schimbările demografice, transformarea verde și tranziția digitală, promovarea eficienței energetice, coeziunea economică, socială și teritorială și realizarea obiectivelor de dezvoltare durabilă ale Agendei 2030 a Organizației Națiunilor Unite (ONU)</w:t>
            </w:r>
            <w:r>
              <w:rPr>
                <w:b/>
                <w:i/>
              </w:rPr>
              <w:t>, precu</w:t>
            </w:r>
            <w:bookmarkStart w:id="0" w:name="_GoBack"/>
            <w:bookmarkEnd w:id="0"/>
            <w:r>
              <w:rPr>
                <w:b/>
                <w:i/>
              </w:rPr>
              <w:t>m și a obiectivelor principale ale Planului de acțiune privind Pilonul european al drepturilor sociale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35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Statisticile europene privind populația și locuințele sunt necesare pentru elaborarea, punerea în aplicare și evaluarea politicilor Uniunii, în special a celor care abordează schimbările demografice, transformarea verde și tranziția digitală, promovarea eficienței energetice, </w:t>
            </w:r>
            <w:r>
              <w:lastRenderedPageBreak/>
              <w:t>coeziunea economică, socială și teritorială și realizarea obiectivelor de dezvoltare durabilă ale Agendei 2030 a Organizației Națiunilor Unite (ONU).</w:t>
            </w:r>
          </w:p>
        </w:tc>
        <w:tc>
          <w:tcPr>
            <w:tcW w:w="4876" w:type="dxa"/>
            <w:hideMark/>
          </w:tcPr>
          <w:p w:rsidR="00C213EB" w:rsidRPr="005F3712" w:rsidRDefault="00C213EB" w:rsidP="00C213EB">
            <w:pPr>
              <w:pStyle w:val="Normal6"/>
              <w:rPr>
                <w:szCs w:val="24"/>
              </w:rPr>
            </w:pPr>
            <w:r>
              <w:lastRenderedPageBreak/>
              <w:t>(1)</w:t>
            </w:r>
            <w:r>
              <w:tab/>
              <w:t xml:space="preserve">Statisticile europene privind populația și locuințele sunt necesare pentru elaborarea, punerea în aplicare și evaluarea politicilor Uniunii, în special a celor care abordează schimbările demografice, transformarea verde și tranziția digitală, promovarea eficienței energetice, </w:t>
            </w:r>
            <w:r>
              <w:lastRenderedPageBreak/>
              <w:t>coeziunea economică, socială și teritorială</w:t>
            </w:r>
            <w:r>
              <w:rPr>
                <w:b/>
                <w:i/>
              </w:rPr>
              <w:t>, punerea în aplicare a principiilor Pilonului european al drepturilor sociale</w:t>
            </w:r>
            <w:r>
              <w:t xml:space="preserve"> și realizarea obiectivelor de dezvoltare durabilă ale Agendei 2030 a Organizației Națiunilor Unite (ONU).</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36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6</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(6)</w:t>
            </w:r>
            <w:r>
              <w:tab/>
              <w:t>În 2017, Comitetul Sistemului Statistic European (CSSE) a aprobat Memorandumul de la Budapesta, în care s-a afirmat necesitatea elaborării unor statistici anuale privind dimensiunea și anumite caracteristici sociale, economice și demografice ale populației și a unor statistici îmbunătățite privind migrația. Pentru respectarea principiilor egalității și nediscriminării cetățenilor săi în toate activitățile și a drepturilor individuale ale cetățenilor, astfel cum sunt consacrate în Carta drepturilor fundamentale a Uniunii Europene</w:t>
            </w:r>
            <w:r>
              <w:rPr>
                <w:vertAlign w:val="superscript"/>
              </w:rPr>
              <w:t>23</w:t>
            </w:r>
            <w:r>
              <w:t xml:space="preserve"> și la articolele 10 și 19 din TFUE, Uniunea are nevoie de statistici fiabile și comparabile. Regulamentul (UE) 2019/1700 prevede un cadru pentru colectarea de date din eșantioane care permit colectarea de date privind egalitatea și nediscriminarea, în măsura în care acest lucru este fezabil cu privire la eșantioane, și analizarea anumitor aspecte ale egalității și discriminării prin producerea de indicatori socioeconomici și de informații privind experiența în materie de discriminare. În plus, Agenția pentru Drepturi Fundamentale (FRA) și Institutul European pentru Egalitatea de Șanse între </w:t>
            </w:r>
            <w:r>
              <w:lastRenderedPageBreak/>
              <w:t>Femei și Bărbați (EIGE) efectuează studii specifice și anchete specifice care pot extinde și mai mult disponibilitatea statisticilor privind egalitatea la nivelul UE. Cooperarea și coordonarea viitoare dintre statele membre, Eurostat și aceste agenții ar trebui consolidate pentru a răspunde nevoilor tot mai stringente ale utilizatorilor de date fiabile și cuprinzătoare privind egalitatea și diversitatea în Uniune.</w:t>
            </w:r>
          </w:p>
        </w:tc>
        <w:tc>
          <w:tcPr>
            <w:tcW w:w="4876" w:type="dxa"/>
            <w:hideMark/>
          </w:tcPr>
          <w:p w:rsidR="00C213EB" w:rsidRPr="005F3712" w:rsidRDefault="00C213EB" w:rsidP="00C213EB">
            <w:pPr>
              <w:pStyle w:val="Normal6"/>
              <w:rPr>
                <w:szCs w:val="24"/>
              </w:rPr>
            </w:pPr>
            <w:r>
              <w:lastRenderedPageBreak/>
              <w:t>(6)</w:t>
            </w:r>
            <w:r>
              <w:tab/>
              <w:t>În 2017, Comitetul Sistemului Statistic European (CSSE) a aprobat Memorandumul de la Budapesta, în care s-a afirmat necesitatea elaborării unor statistici anuale privind dimensiunea și anumite caracteristici sociale, economice și demografice ale populației și a unor statistici îmbunătățite privind migrația. Pentru respectarea principiilor egalității și nediscriminării cetățenilor săi în toate activitățile și a drepturilor individuale ale cetățenilor, astfel cum sunt consacrate în Carta drepturilor fundamentale a Uniunii Europene</w:t>
            </w:r>
            <w:r>
              <w:rPr>
                <w:vertAlign w:val="superscript"/>
              </w:rPr>
              <w:t>23</w:t>
            </w:r>
            <w:r>
              <w:t xml:space="preserve"> și la articolele 10 și 19 din TFUE, </w:t>
            </w:r>
            <w:r>
              <w:rPr>
                <w:b/>
                <w:i/>
              </w:rPr>
              <w:t xml:space="preserve">precum și pentru monitorizarea progreselor înregistrate în direcția realizării Pilonului european al drepturilor sociale, </w:t>
            </w:r>
            <w:r>
              <w:t xml:space="preserve">Uniunea are nevoie de statistici fiabile și comparabile. Regulamentul (UE) 2019/1700 prevede un cadru pentru colectarea de date din eșantioane care permit colectarea de date privind egalitatea și nediscriminarea, în măsura în care acest lucru este fezabil cu privire la eșantioane, și analizarea anumitor aspecte ale egalității și discriminării prin producerea de indicatori socioeconomici și de informații privind experiența în materie </w:t>
            </w:r>
            <w:r>
              <w:lastRenderedPageBreak/>
              <w:t>de discriminare. În plus, Agenția pentru Drepturi Fundamentale (FRA) și Institutul European pentru Egalitatea de Șanse între Femei și Bărbați (EIGE) efectuează studii specifice și anchete specifice care pot extinde și mai mult disponibilitatea statisticilor privind egalitatea la nivelul UE</w:t>
            </w:r>
            <w:r>
              <w:rPr>
                <w:b/>
                <w:i/>
              </w:rPr>
              <w:t>.</w:t>
            </w:r>
            <w:r>
              <w:t xml:space="preserve"> </w:t>
            </w:r>
            <w:r>
              <w:rPr>
                <w:b/>
                <w:i/>
              </w:rPr>
              <w:t>În plus, Eurofound furnizează date și informații pertinente colectate prin intermediul sondajelor privind condițiile de muncă și de viață ale oamenilor.</w:t>
            </w:r>
            <w:r>
              <w:t xml:space="preserve"> Cooperarea și coordonarea viitoare dintre statele membre, Eurostat și aceste agenții ar trebui consolidate pentru a răspunde nevoilor tot mai stringente ale utilizatorilor de date fiabile și cuprinzătoare privind egalitatea și diversitatea în Uniune.</w:t>
            </w:r>
          </w:p>
        </w:tc>
      </w:tr>
      <w:tr w:rsidR="00C213EB" w:rsidTr="00C213EB">
        <w:trPr>
          <w:jc w:val="center"/>
        </w:trPr>
        <w:tc>
          <w:tcPr>
            <w:tcW w:w="4876" w:type="dxa"/>
            <w:hideMark/>
          </w:tcPr>
          <w:p w:rsidR="00C213EB" w:rsidRPr="005F3712" w:rsidRDefault="00C213EB" w:rsidP="00C213EB">
            <w:pPr>
              <w:pStyle w:val="Normal6"/>
            </w:pPr>
            <w:r>
              <w:lastRenderedPageBreak/>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23</w:t>
            </w:r>
            <w:r>
              <w:t xml:space="preserve"> JO C 202, 7.6.2016, p. 389.</w:t>
            </w:r>
          </w:p>
        </w:tc>
        <w:tc>
          <w:tcPr>
            <w:tcW w:w="4876" w:type="dxa"/>
            <w:hideMark/>
          </w:tcPr>
          <w:p w:rsidR="00C213EB" w:rsidRPr="005F3712" w:rsidRDefault="00C213EB" w:rsidP="00C213EB">
            <w:pPr>
              <w:pStyle w:val="Normal6"/>
              <w:rPr>
                <w:szCs w:val="24"/>
              </w:rPr>
            </w:pPr>
            <w:r>
              <w:rPr>
                <w:vertAlign w:val="superscript"/>
              </w:rPr>
              <w:t>23</w:t>
            </w:r>
            <w:r>
              <w:t xml:space="preserve"> JO C 202, 7.6.2016, p. 389.</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37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6</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(6)</w:t>
            </w:r>
            <w:r>
              <w:tab/>
              <w:t>În 2017, Comitetul Sistemului Statistic European (CSSE) a aprobat Memorandumul de la Budapesta, în care s-a afirmat necesitatea elaborării unor statistici anuale privind dimensiunea și anumite caracteristici sociale, economice și demografice ale populației și a unor statistici îmbunătățite privind migrația. Pentru respectarea principiilor egalității și nediscriminării cetățenilor săi în toate activitățile și a drepturilor individuale ale cetățenilor, astfel cum sunt consacrate în Carta drepturilor fundamentale a Uniunii Europene</w:t>
            </w:r>
            <w:r>
              <w:rPr>
                <w:vertAlign w:val="superscript"/>
              </w:rPr>
              <w:t>23</w:t>
            </w:r>
            <w:r>
              <w:t xml:space="preserve"> și la articolele 10 și 19 din TFUE, Uniunea are nevoie de statistici </w:t>
            </w:r>
            <w:r>
              <w:lastRenderedPageBreak/>
              <w:t>fiabile și comparabile. Regulamentul (UE) 2019/1700 prevede un cadru pentru colectarea de date din eșantioane care permit colectarea de date privind egalitatea și nediscriminarea, în măsura în care acest lucru este fezabil cu privire la eșantioane, și analizarea anumitor aspecte ale egalității și discriminării prin producerea de indicatori socioeconomici și de informații privind experiența în materie de discriminare. În plus, Agenția pentru Drepturi Fundamentale (FRA) și Institutul European pentru Egalitatea de Șanse între Femei și Bărbați (EIGE) efectuează studii specifice și anchete specifice care pot extinde și mai mult disponibilitatea statisticilor privind egalitatea la nivelul UE. Cooperarea și coordonarea viitoare dintre statele membre, Eurostat și aceste agenții ar trebui consolidate pentru a răspunde nevoilor tot mai stringente ale utilizatorilor de date fiabile și cuprinzătoare privind egalitatea și diversitatea în Uniune.</w:t>
            </w:r>
          </w:p>
        </w:tc>
        <w:tc>
          <w:tcPr>
            <w:tcW w:w="4876" w:type="dxa"/>
            <w:hideMark/>
          </w:tcPr>
          <w:p w:rsidR="00C213EB" w:rsidRPr="005F3712" w:rsidRDefault="00C213EB" w:rsidP="00C213EB">
            <w:pPr>
              <w:pStyle w:val="Normal6"/>
              <w:rPr>
                <w:szCs w:val="24"/>
              </w:rPr>
            </w:pPr>
            <w:r>
              <w:lastRenderedPageBreak/>
              <w:t>(6)</w:t>
            </w:r>
            <w:r>
              <w:tab/>
              <w:t>În 2017, Comitetul Sistemului Statistic European (CSSE) a aprobat Memorandumul de la Budapesta, în care s-a afirmat necesitatea elaborării unor statistici anuale privind dimensiunea și anumite caracteristici sociale, economice și demografice ale populației și a unor statistici îmbunătățite privind migrația. Pentru respectarea principiilor egalității și nediscriminării cetățenilor săi în toate activitățile și a drepturilor individuale ale cetățenilor, astfel cum sunt consacrate în Carta drepturilor fundamentale a Uniunii Europene</w:t>
            </w:r>
            <w:r>
              <w:rPr>
                <w:vertAlign w:val="superscript"/>
              </w:rPr>
              <w:t>23</w:t>
            </w:r>
            <w:r>
              <w:t xml:space="preserve"> și la articolele 10 și 19 din TFUE, Uniunea are nevoie de statistici </w:t>
            </w:r>
            <w:r>
              <w:lastRenderedPageBreak/>
              <w:t>fiabile și comparabile. Regulamentul (UE) 2019/1700 prevede un cadru pentru colectarea de date din eșantioane care permit colectarea de date privind egalitatea și nediscriminarea, în măsura în care acest lucru este fezabil cu privire la eșantioane, și analizarea anumitor aspecte ale egalității și discriminării prin producerea de indicatori socioeconomici și de informații privind experiența în materie de discriminare. În plus, Agenția pentru Drepturi Fundamentale (FRA) și Institutul European pentru Egalitatea de Șanse între Femei și Bărbați (EIGE) efectuează studii specifice și anchete specifice care pot extinde și mai mult disponibilitatea statisticilor privind egalitatea la nivelul UE. Cooperarea și coordonarea viitoare dintre statele membre, Eurostat și aceste agenții ar trebui consolidate pentru a răspunde nevoilor tot mai stringente ale utilizatorilor de date fiabile și cuprinzătoare privind egalitatea și diversitatea în Uniune</w:t>
            </w:r>
            <w:r>
              <w:rPr>
                <w:b/>
                <w:i/>
              </w:rPr>
              <w:t>, respectând în același timp confidențialitatea datelor sensibile cu caracter personal, în conformitate cu Regulamentul 2016/679</w:t>
            </w:r>
            <w:r>
              <w:t>.</w:t>
            </w:r>
          </w:p>
        </w:tc>
      </w:tr>
      <w:tr w:rsidR="00C213EB" w:rsidTr="00C213EB">
        <w:trPr>
          <w:jc w:val="center"/>
        </w:trPr>
        <w:tc>
          <w:tcPr>
            <w:tcW w:w="4876" w:type="dxa"/>
            <w:hideMark/>
          </w:tcPr>
          <w:p w:rsidR="00C213EB" w:rsidRPr="005F3712" w:rsidRDefault="00C213EB" w:rsidP="00C213EB">
            <w:pPr>
              <w:pStyle w:val="Normal6"/>
            </w:pPr>
            <w:r>
              <w:lastRenderedPageBreak/>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23</w:t>
            </w:r>
            <w:r>
              <w:t xml:space="preserve"> JO C 202, 7.6.2016, p. 389.</w:t>
            </w:r>
          </w:p>
        </w:tc>
        <w:tc>
          <w:tcPr>
            <w:tcW w:w="4876" w:type="dxa"/>
            <w:hideMark/>
          </w:tcPr>
          <w:p w:rsidR="00C213EB" w:rsidRPr="005F3712" w:rsidRDefault="00C213EB" w:rsidP="00C213EB">
            <w:pPr>
              <w:pStyle w:val="Normal6"/>
              <w:rPr>
                <w:szCs w:val="24"/>
              </w:rPr>
            </w:pPr>
            <w:r>
              <w:rPr>
                <w:vertAlign w:val="superscript"/>
              </w:rPr>
              <w:t>23</w:t>
            </w:r>
            <w:r>
              <w:t xml:space="preserve"> JO C 202, 7.6.2016, p. 389.</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38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7</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(7)</w:t>
            </w:r>
            <w:r>
              <w:tab/>
              <w:t xml:space="preserve">Pentru a atinge obiectivele Pactului verde european, elaborarea și evaluarea unor politici eficace necesită statistici consolidate privind utilizarea energiei și </w:t>
            </w:r>
            <w:r>
              <w:lastRenderedPageBreak/>
              <w:t>eficiența locuințelor, date geografice detaliate privind distribuția populației, precum și studii mai aprofundate privind relația dintre populație și locuințe. Odată cu pandemia de COVID-19, s-a manifestat nevoia de statistici fiabile, actuale și cu frecvență ridicată privind decesele în Uniune. Deși nevoile în materie de date au fost satisfăcute printr-o colectare voluntară de date de la statele membre către Comisie (Eurostat), Uniunea are nevoie de un mecanism adecvat pentru colectarea obligatorie a acestor date în cadrul Sistemului Statistic European (SSE), cu frecvența, actualitatea și detaliile necesare.</w:t>
            </w:r>
          </w:p>
        </w:tc>
        <w:tc>
          <w:tcPr>
            <w:tcW w:w="4876" w:type="dxa"/>
            <w:hideMark/>
          </w:tcPr>
          <w:p w:rsidR="00C213EB" w:rsidRPr="005F3712" w:rsidRDefault="00C213EB" w:rsidP="00C213EB">
            <w:pPr>
              <w:pStyle w:val="Normal6"/>
              <w:rPr>
                <w:szCs w:val="24"/>
              </w:rPr>
            </w:pPr>
            <w:r>
              <w:lastRenderedPageBreak/>
              <w:t>(7)</w:t>
            </w:r>
            <w:r>
              <w:tab/>
              <w:t xml:space="preserve">Pentru a atinge obiectivele Pactului verde european, elaborarea și evaluarea unor politici eficace necesită statistici consolidate privind utilizarea energiei și </w:t>
            </w:r>
            <w:r>
              <w:lastRenderedPageBreak/>
              <w:t>eficiența locuințelor, date geografice detaliate privind distribuția populației, precum și studii mai aprofundate privind relația dintre populație și locuințe.</w:t>
            </w:r>
            <w:r>
              <w:rPr>
                <w:b/>
                <w:i/>
              </w:rPr>
              <w:t xml:space="preserve"> În plus, întrucât tranziția verde transformă profund industria și economia europeană, schimbările de pe piața forței de muncă vor fi imense și, prin urmare, va fi nevoie de noi politici bazate pe date concrete pentru a aborda provocările presante legate de aspectele de mediu și sociale. Îndeosebi, o mai bună identificare și anticipare a nevoilor în materie de competențe prin colectarea în timp util a datelor defalcate sunt esențiale pentru a aborda în mod adecvat noile „locuri de muncă verzi” și pentru a pregăti forța de muncă, în special lucrătorii cu mai puține oportunități de formare și nevoi urgente de perfecționare și recalificare, pe parcursul tranziției.</w:t>
            </w:r>
            <w:r>
              <w:t xml:space="preserve"> Odată cu pandemia de COVID-19, s-a manifestat nevoia de statistici fiabile, actuale și cu frecvență ridicată privind decesele în Uniune. Deși nevoile în materie de date au fost satisfăcute printr-o colectare voluntară de date de la statele membre către Comisie (Eurostat), Uniunea are nevoie de un mecanism adecvat pentru colectarea obligatorie a acestor date în cadrul Sistemului Statistic European (SSE), cu frecvența, actualitatea și detaliile necesare.</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39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7</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(7)</w:t>
            </w:r>
            <w:r>
              <w:tab/>
              <w:t>Pentru a atinge obiectivele Pactului verde european, elaborarea și evaluarea unor politici eficace necesită statistici consolidate privind utilizarea energiei și eficiența locuințelor, date geografice detaliate privind distribuția populației, precum și studii mai aprofundate privind relația dintre populație și locuințe. Odată cu pandemia de COVID-19, s-a manifestat nevoia de statistici fiabile, actuale și cu frecvență ridicată privind decesele în Uniune. Deși nevoile în materie de date au fost satisfăcute printr-o colectare voluntară de date de la statele membre către Comisie (Eurostat), Uniunea are nevoie de un mecanism adecvat pentru colectarea obligatorie a acestor date în cadrul Sistemului Statistic European (SSE), cu frecvența, actualitatea și detaliile necesare.</w:t>
            </w:r>
          </w:p>
        </w:tc>
        <w:tc>
          <w:tcPr>
            <w:tcW w:w="4876" w:type="dxa"/>
            <w:hideMark/>
          </w:tcPr>
          <w:p w:rsidR="00C213EB" w:rsidRPr="005F3712" w:rsidRDefault="00C213EB" w:rsidP="00C213EB">
            <w:pPr>
              <w:pStyle w:val="Normal6"/>
              <w:rPr>
                <w:szCs w:val="24"/>
              </w:rPr>
            </w:pPr>
            <w:r>
              <w:t>(7)</w:t>
            </w:r>
            <w:r>
              <w:tab/>
              <w:t>Pentru a atinge obiectivele Pactului verde european</w:t>
            </w:r>
            <w:r>
              <w:rPr>
                <w:b/>
                <w:i/>
              </w:rPr>
              <w:t xml:space="preserve"> și ale Planului de acțiune privind Pilonul european al drepturilor sociale, pentru a aborda crizele economice și sociale cauzate de războiul de agresiune al Rusiei în Ucraina și pentru a combate criza costului vieții</w:t>
            </w:r>
            <w:r>
              <w:t>, elaborarea și evaluarea unor politici eficace necesită statistici consolidate privind utilizarea energiei și eficiența locuințelor, date geografice detaliate privind distribuția populației, precum și studii mai aprofundate privind relația dintre populație și locuințe. Odată cu pandemia de COVID-19, s-a manifestat nevoia de statistici fiabile, actuale și cu frecvență ridicată privind decesele în Uniune. Deși nevoile în materie de date au fost satisfăcute printr-o colectare voluntară de date de la statele membre către Comisie (Eurostat), Uniunea are nevoie de un mecanism adecvat pentru colectarea obligatorie a acestor date în cadrul Sistemului Statistic European (SSE), cu frecvența, actualitatea și detaliile necesare.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40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7</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(7)</w:t>
            </w:r>
            <w:r>
              <w:tab/>
              <w:t xml:space="preserve">Pentru a atinge obiectivele Pactului verde european, elaborarea și evaluarea unor politici eficace necesită statistici consolidate privind utilizarea energiei și eficiența locuințelor, date geografice detaliate privind distribuția populației, precum și studii mai aprofundate privind </w:t>
            </w:r>
            <w:r>
              <w:lastRenderedPageBreak/>
              <w:t>relația dintre populație și locuințe. Odată cu pandemia de COVID-19, s-a manifestat nevoia de statistici fiabile, actuale și cu frecvență ridicată privind decesele în Uniune. Deși nevoile în materie de date au fost satisfăcute printr-o colectare voluntară de date de la statele membre către Comisie (Eurostat), Uniunea are nevoie de un mecanism adecvat pentru colectarea obligatorie a acestor date în cadrul Sistemului Statistic European (SSE), cu frecvența, actualitatea și detaliile necesare.</w:t>
            </w:r>
          </w:p>
        </w:tc>
        <w:tc>
          <w:tcPr>
            <w:tcW w:w="4876" w:type="dxa"/>
            <w:hideMark/>
          </w:tcPr>
          <w:p w:rsidR="00C213EB" w:rsidRPr="005F3712" w:rsidRDefault="00C213EB" w:rsidP="00C213EB">
            <w:pPr>
              <w:pStyle w:val="Normal6"/>
              <w:rPr>
                <w:szCs w:val="24"/>
              </w:rPr>
            </w:pPr>
            <w:r>
              <w:lastRenderedPageBreak/>
              <w:t>(7)</w:t>
            </w:r>
            <w:r>
              <w:tab/>
              <w:t xml:space="preserve">Pentru a atinge obiectivele Pactului verde european, elaborarea și evaluarea unor politici eficace necesită statistici consolidate privind utilizarea energiei și eficiența locuințelor, date geografice detaliate privind distribuția populației, precum și studii mai aprofundate privind </w:t>
            </w:r>
            <w:r>
              <w:lastRenderedPageBreak/>
              <w:t xml:space="preserve">relația dintre populație și locuințe. Odată cu pandemia de COVID-19, s-a manifestat nevoia de statistici fiabile, actuale și cu frecvență ridicată privind decesele în Uniune. Deși nevoile în materie de date au fost satisfăcute printr-o colectare voluntară de date de la statele membre către Comisie (Eurostat), Uniunea are nevoie de un mecanism adecvat pentru colectarea obligatorie a acestor date în cadrul Sistemului Statistic European (SSE), cu frecvența, actualitatea și detaliile necesare. </w:t>
            </w:r>
            <w:r>
              <w:rPr>
                <w:b/>
                <w:i/>
              </w:rPr>
              <w:t>Amploarea colectării obligatorii a acestor date este pusă în balanță cu sarcina administrativă suplimentară și cu costurile suplimentare ale statelor membre.</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rsidRPr="005F3712">
        <w:t>Amendment</w:t>
      </w:r>
      <w:r w:rsidRPr="005F3712">
        <w:tab/>
      </w:r>
      <w:r w:rsidRPr="005F3712">
        <w:tab/>
      </w:r>
      <w:r w:rsidRPr="005908C9">
        <w:rPr>
          <w:rStyle w:val="HideTWBExt"/>
          <w:b w:val="0"/>
        </w:rPr>
        <w:t>&lt;NumAm&gt;</w:t>
      </w:r>
      <w:r w:rsidRPr="005F3712">
        <w:t>41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rsidRPr="005F3712">
        <w:t>Lívia Járóka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rsidRPr="005F3712">
        <w:t>Proposal for a regulation</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rsidRPr="005F3712">
        <w:t>Recital 7 a (new)</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RPr="005F3712" w:rsidTr="00C213EB">
        <w:trPr>
          <w:jc w:val="center"/>
        </w:trPr>
        <w:tc>
          <w:tcPr>
            <w:tcW w:w="9752" w:type="dxa"/>
            <w:gridSpan w:val="2"/>
          </w:tcPr>
          <w:p w:rsidR="00C213EB" w:rsidRPr="005F3712" w:rsidRDefault="00C213EB" w:rsidP="00C213EB">
            <w:pPr>
              <w:keepNext/>
            </w:pPr>
          </w:p>
        </w:tc>
      </w:tr>
      <w:tr w:rsidR="00C213EB" w:rsidRPr="005F3712" w:rsidTr="00C213EB">
        <w:trPr>
          <w:jc w:val="center"/>
        </w:trPr>
        <w:tc>
          <w:tcPr>
            <w:tcW w:w="4876" w:type="dxa"/>
            <w:hideMark/>
          </w:tcPr>
          <w:p w:rsidR="00C213EB" w:rsidRPr="005F3712" w:rsidRDefault="00C213EB" w:rsidP="00C213EB">
            <w:pPr>
              <w:pStyle w:val="ColumnHeading"/>
              <w:keepNext/>
            </w:pPr>
            <w:r w:rsidRPr="005F3712">
              <w:t>Text proposed by the Commission</w:t>
            </w:r>
          </w:p>
        </w:tc>
        <w:tc>
          <w:tcPr>
            <w:tcW w:w="4876" w:type="dxa"/>
            <w:hideMark/>
          </w:tcPr>
          <w:p w:rsidR="00C213EB" w:rsidRPr="005F3712" w:rsidRDefault="00C213EB" w:rsidP="00C213EB">
            <w:pPr>
              <w:pStyle w:val="ColumnHeading"/>
              <w:keepNext/>
            </w:pPr>
            <w:r w:rsidRPr="005F3712">
              <w:t>Amendment</w:t>
            </w:r>
          </w:p>
        </w:tc>
      </w:tr>
      <w:tr w:rsidR="00C213EB" w:rsidRPr="005F3712"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sidRPr="005F3712">
              <w:rPr>
                <w:b/>
                <w:i/>
              </w:rPr>
              <w:t>(7a)</w:t>
            </w:r>
            <w:r w:rsidRPr="005F3712">
              <w:rPr>
                <w:b/>
                <w:i/>
              </w:rPr>
              <w:tab/>
              <w:t xml:space="preserve">Attention is drawn to a bolder and more in-depth study in the context of population and housing that can also outline the cause-effect relationship and serve as the basis for the future development of various EU and sectoral policies; such a study looks, for example, at infrastructural and geographic inequalities, corresponding inequalities in participation in employment, opportunities for and inequalities in participation in education, opportunities for mobility and associated inequalities in transport infrastructure; furthermore, it is important that social catching up and the various integration programmes in this regard should accordingly be capable of responding to other changes in social </w:t>
            </w:r>
            <w:r w:rsidRPr="005F3712">
              <w:rPr>
                <w:b/>
                <w:i/>
              </w:rPr>
              <w:lastRenderedPageBreak/>
              <w:t>policies as well.</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{HU}</w:t>
      </w:r>
      <w:r w:rsidRPr="005F3712">
        <w:rPr>
          <w:noProof w:val="0"/>
        </w:rPr>
        <w:t>hu</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42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7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(7a)</w:t>
            </w:r>
            <w:r>
              <w:rPr>
                <w:b/>
                <w:i/>
              </w:rPr>
              <w:tab/>
              <w:t>Pentru a monitoriza progresele înregistrate în punerea în aplicare a Pilonului european al drepturilor sociale, a obiectivelor principale ale Planului său de acțiune și a Garanției europene pentru copii la nivel național și pentru a evalua impactul distributiv al schimbărilor climatice și al politicilor în general, Uniunea are nevoie de un mecanism adecvat pentru colectarea obligatorie a acestor date în cadrul SSE, cu frecvența, actualitatea și detaliile necesare.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43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9</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(9)</w:t>
            </w:r>
            <w:r>
              <w:tab/>
              <w:t>Regulamentul (CE) nr. 223/2009 al Parlamentului European și al Consiliului</w:t>
            </w:r>
            <w:r>
              <w:rPr>
                <w:vertAlign w:val="superscript"/>
              </w:rPr>
              <w:t>24</w:t>
            </w:r>
            <w:r>
              <w:t xml:space="preserve"> instituie un cadru juridic pentru dezvoltarea, producerea și difuzarea statisticilor europene, bazat pe principii statistice comune. Regulamentul respectiv stabilește criterii de calitate și prevede necesitatea de a reduce la minimum sarcina de răspuns a respondenților anchetelor și </w:t>
            </w:r>
            <w:r>
              <w:lastRenderedPageBreak/>
              <w:t xml:space="preserve">de a contribui la realizarea obiectivului mai general de reducere a sarcinii administrative. Un nou cadru juridic pentru statisticile europene privind populația și locuințele trebuie să pună în aplicare criteriile de calitate stabilite în regulamentul respectiv și să faciliteze </w:t>
            </w:r>
            <w:r>
              <w:rPr>
                <w:b/>
                <w:i/>
              </w:rPr>
              <w:t>reducerea</w:t>
            </w:r>
            <w:r>
              <w:t xml:space="preserve"> sarcinii administrative prin adoptarea unei reutilizări eficace și eficiente a surselor de date disponibile, inclusiv a datelor administrative.</w:t>
            </w:r>
          </w:p>
        </w:tc>
        <w:tc>
          <w:tcPr>
            <w:tcW w:w="4876" w:type="dxa"/>
            <w:hideMark/>
          </w:tcPr>
          <w:p w:rsidR="00C213EB" w:rsidRPr="005F3712" w:rsidRDefault="00C213EB" w:rsidP="00C213EB">
            <w:pPr>
              <w:pStyle w:val="Normal6"/>
              <w:rPr>
                <w:szCs w:val="24"/>
              </w:rPr>
            </w:pPr>
            <w:r>
              <w:lastRenderedPageBreak/>
              <w:t>(9)</w:t>
            </w:r>
            <w:r>
              <w:tab/>
              <w:t>Regulamentul (CE) nr. 223/2009 al Parlamentului European și al Consiliului</w:t>
            </w:r>
            <w:r>
              <w:rPr>
                <w:vertAlign w:val="superscript"/>
              </w:rPr>
              <w:t>24</w:t>
            </w:r>
            <w:r>
              <w:t xml:space="preserve"> instituie un cadru juridic pentru dezvoltarea, producerea și difuzarea statisticilor europene, bazat pe principii statistice comune. Regulamentul respectiv stabilește criterii de calitate și prevede necesitatea de a reduce la minimum sarcina de răspuns a respondenților anchetelor și </w:t>
            </w:r>
            <w:r>
              <w:lastRenderedPageBreak/>
              <w:t xml:space="preserve">de a contribui la realizarea obiectivului mai general de reducere a sarcinii administrative. Un nou cadru juridic pentru statisticile europene privind populația și locuințele trebuie să pună în aplicare criteriile de calitate stabilite în regulamentul respectiv și să faciliteze </w:t>
            </w:r>
            <w:r>
              <w:rPr>
                <w:b/>
                <w:i/>
              </w:rPr>
              <w:t>o reducere a</w:t>
            </w:r>
            <w:r>
              <w:t xml:space="preserve"> sarcinii administrative</w:t>
            </w:r>
            <w:r>
              <w:rPr>
                <w:b/>
                <w:i/>
              </w:rPr>
              <w:t xml:space="preserve"> globale</w:t>
            </w:r>
            <w:r>
              <w:t xml:space="preserve"> prin adoptarea unei reutilizări eficace și eficiente a surselor de date disponibile, inclusiv a datelor administrative.</w:t>
            </w:r>
          </w:p>
        </w:tc>
      </w:tr>
      <w:tr w:rsidR="00C213EB" w:rsidTr="00C213EB">
        <w:trPr>
          <w:jc w:val="center"/>
        </w:trPr>
        <w:tc>
          <w:tcPr>
            <w:tcW w:w="4876" w:type="dxa"/>
            <w:hideMark/>
          </w:tcPr>
          <w:p w:rsidR="00C213EB" w:rsidRPr="005F3712" w:rsidRDefault="00C213EB" w:rsidP="00C213EB">
            <w:pPr>
              <w:pStyle w:val="Normal6"/>
            </w:pPr>
            <w:r>
              <w:lastRenderedPageBreak/>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24</w:t>
            </w:r>
            <w:r>
              <w:t xml:space="preserve"> 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tc>
        <w:tc>
          <w:tcPr>
            <w:tcW w:w="4876" w:type="dxa"/>
            <w:hideMark/>
          </w:tcPr>
          <w:p w:rsidR="00C213EB" w:rsidRPr="005F3712" w:rsidRDefault="00C213EB" w:rsidP="00C213EB">
            <w:pPr>
              <w:pStyle w:val="Normal6"/>
              <w:rPr>
                <w:szCs w:val="24"/>
              </w:rPr>
            </w:pPr>
            <w:r>
              <w:rPr>
                <w:vertAlign w:val="superscript"/>
              </w:rPr>
              <w:t>24</w:t>
            </w:r>
            <w:r>
              <w:t xml:space="preserve"> 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44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9</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(9)</w:t>
            </w:r>
            <w:r>
              <w:tab/>
              <w:t>Regulamentul (CE) nr. 223/2009 al Parlamentului European și al Consiliului</w:t>
            </w:r>
            <w:r>
              <w:rPr>
                <w:vertAlign w:val="superscript"/>
              </w:rPr>
              <w:t>24</w:t>
            </w:r>
            <w:r>
              <w:t xml:space="preserve"> instituie un cadru juridic pentru dezvoltarea, producerea și difuzarea statisticilor europene, bazat pe principii </w:t>
            </w:r>
            <w:r>
              <w:lastRenderedPageBreak/>
              <w:t>statistice comune. Regulamentul respectiv stabilește criterii de calitate și prevede necesitatea de a reduce la minimum sarcina de răspuns a respondenților anchetelor și de a contribui la realizarea obiectivului mai general de reducere a sarcinii administrative. Un nou cadru juridic pentru statisticile europene privind populația și locuințele trebuie să pună în aplicare criteriile de calitate stabilite în regulamentul respectiv și să faciliteze reducerea sarcinii administrative prin adoptarea unei reutilizări eficace și eficiente a surselor de date disponibile, inclusiv a datelor administrative.</w:t>
            </w:r>
          </w:p>
        </w:tc>
        <w:tc>
          <w:tcPr>
            <w:tcW w:w="4876" w:type="dxa"/>
            <w:hideMark/>
          </w:tcPr>
          <w:p w:rsidR="00C213EB" w:rsidRPr="005F3712" w:rsidRDefault="00C213EB" w:rsidP="00C213EB">
            <w:pPr>
              <w:pStyle w:val="Normal6"/>
              <w:rPr>
                <w:szCs w:val="24"/>
              </w:rPr>
            </w:pPr>
            <w:r>
              <w:lastRenderedPageBreak/>
              <w:t>(9)</w:t>
            </w:r>
            <w:r>
              <w:tab/>
              <w:t>Regulamentul (CE) nr. 223/2009 al Parlamentului European și al Consiliului</w:t>
            </w:r>
            <w:r>
              <w:rPr>
                <w:vertAlign w:val="superscript"/>
              </w:rPr>
              <w:t>24</w:t>
            </w:r>
            <w:r>
              <w:t xml:space="preserve"> instituie un cadru juridic pentru dezvoltarea, producerea și difuzarea statisticilor europene, bazat pe principii </w:t>
            </w:r>
            <w:r>
              <w:lastRenderedPageBreak/>
              <w:t xml:space="preserve">statistice comune. Regulamentul respectiv stabilește criterii de calitate și prevede necesitatea de a reduce la minimum sarcina de răspuns a respondenților anchetelor și de a contribui la realizarea obiectivului mai general de reducere a sarcinii administrative. Un nou cadru juridic pentru statisticile europene privind populația și locuințele trebuie să pună în aplicare </w:t>
            </w:r>
            <w:r>
              <w:rPr>
                <w:b/>
                <w:i/>
              </w:rPr>
              <w:t xml:space="preserve">și să se bazeze pe </w:t>
            </w:r>
            <w:r>
              <w:t>criteriile de calitate stabilite în regulamentul respectiv și să faciliteze reducerea sarcinii administrative prin adoptarea unei reutilizări eficace și eficiente a surselor de date disponibile, inclusiv a datelor administrative.</w:t>
            </w:r>
          </w:p>
        </w:tc>
      </w:tr>
      <w:tr w:rsidR="00C213EB" w:rsidTr="00C213EB">
        <w:trPr>
          <w:jc w:val="center"/>
        </w:trPr>
        <w:tc>
          <w:tcPr>
            <w:tcW w:w="4876" w:type="dxa"/>
            <w:hideMark/>
          </w:tcPr>
          <w:p w:rsidR="00C213EB" w:rsidRPr="005F3712" w:rsidRDefault="00C213EB" w:rsidP="00C213EB">
            <w:pPr>
              <w:pStyle w:val="Normal6"/>
            </w:pPr>
            <w:r>
              <w:lastRenderedPageBreak/>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24</w:t>
            </w:r>
            <w:r>
              <w:t xml:space="preserve"> 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tc>
        <w:tc>
          <w:tcPr>
            <w:tcW w:w="4876" w:type="dxa"/>
            <w:hideMark/>
          </w:tcPr>
          <w:p w:rsidR="00C213EB" w:rsidRPr="005F3712" w:rsidRDefault="00C213EB" w:rsidP="00C213EB">
            <w:pPr>
              <w:pStyle w:val="Normal6"/>
              <w:rPr>
                <w:szCs w:val="24"/>
              </w:rPr>
            </w:pPr>
            <w:r>
              <w:rPr>
                <w:vertAlign w:val="superscript"/>
              </w:rPr>
              <w:t>24</w:t>
            </w:r>
            <w:r>
              <w:t xml:space="preserve"> Regulamentul (CE) nr. 223/2009 al Parlamentului European și al Consiliului din 11 martie 2009 privind statisticile europene și de abrogare a Regulamentului (CE, Euratom) nr. 1101/2008 al Parlamentului European și al Consiliului privind transmiterea de date statistice confidențiale Biroului Statistic al Comunităților Europene, a Regulamentului (CE) nr. 322/97 al Consiliului privind statisticile comunitare și a Deciziei 89/382/CEE, Euratom a Consiliului de constituire a Comitetului pentru programele statistice ale Comunităților Europene (JO L 87, 31.3.2009, p. 164).</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45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9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(9a)</w:t>
            </w:r>
            <w:r>
              <w:rPr>
                <w:b/>
                <w:i/>
              </w:rPr>
              <w:tab/>
              <w:t xml:space="preserve">Reducerea sarcinilor administrative care apar la nivel european </w:t>
            </w:r>
            <w:r>
              <w:rPr>
                <w:b/>
                <w:i/>
              </w:rPr>
              <w:lastRenderedPageBreak/>
              <w:t>este un obiectiv central al Regulamentului (CE) nr. 223/2009. Comunicarea Comisiei intitulată „Competitivitatea pe termen lung a UE: perspectiva după 2030” își propune să raționalizeze și să simplifice cerințele de raportare cu 25 % pentru fiecare dintre domeniile tematice legate de tranziția verde, tranziția digitală și economie, iar viitoarea propunere a Comisiei are potențialul de a reduce sarcina administrativă și de a îmbunătăți competitivitatea tuturor întreprinderilor din UE, inclusiv a întreprinderilor mici și mijlocii.</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46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(11)</w:t>
            </w:r>
            <w:r>
              <w:tab/>
              <w:t xml:space="preserve">Situația demografică în continuă schimbare și tendințele recente în materie de migrație au creat nevoia de statistici europene mai actuale, mai frecvente și mai detaliate privind populația, evenimentele de stare civilă și locuințele, inclusiv detalii privind subiectele sau grupurile care au devenit relevante din punct de vedere politic și social în ultimul deceniu. În plus, cadrul juridic existent nu este suficient de flexibil pentru a se adapta la evoluția nevoilor în materie de politici și pentru a permite utilizarea de noi surse la nivel național și la nivelul Uniunii. De asemenea, structura cadrului juridic existent sub forma a trei regulamente separate, adoptate în momente diferite, a condus la incoerențe intrinseci ale statisticilor. În cele din urmă, întrucât Regulamentul (UE) nr. 1260/2013 va </w:t>
            </w:r>
            <w:r>
              <w:lastRenderedPageBreak/>
              <w:t>înceta să se aplice de la 31 august 2028, este necesar un nou temei juridic pentru statisticile demografice colectate în temeiul regulamentului respectiv. Prin urmare, este necesar ca actualul cadru juridic să fie înlocuit cu un cadru juridic nou, mai coerent și mai flexibil, care să modifice părțile relevante din Regulamentul (CE) nr. 862/2007 și să abroge Regulamentele (CE) nr. 763/2008 și (UE) nr. 1260/2013.</w:t>
            </w:r>
          </w:p>
        </w:tc>
        <w:tc>
          <w:tcPr>
            <w:tcW w:w="4876" w:type="dxa"/>
            <w:hideMark/>
          </w:tcPr>
          <w:p w:rsidR="00C213EB" w:rsidRPr="005F3712" w:rsidRDefault="00C213EB" w:rsidP="00C213EB">
            <w:pPr>
              <w:pStyle w:val="Normal6"/>
              <w:rPr>
                <w:szCs w:val="24"/>
              </w:rPr>
            </w:pPr>
            <w:r>
              <w:lastRenderedPageBreak/>
              <w:t>(11)</w:t>
            </w:r>
            <w:r>
              <w:tab/>
            </w:r>
            <w:r>
              <w:rPr>
                <w:b/>
                <w:i/>
              </w:rPr>
              <w:t>Agresiunea actuală a Rusiei împotriva Ucrainei, schimbările climatice, transformarea digitală,</w:t>
            </w:r>
            <w:r>
              <w:t xml:space="preserve"> situația demografică în continuă schimbare și tendințele recente în materie de migrație au creat nevoia de statistici europene mai actuale, mai frecvente și mai detaliate privind populația</w:t>
            </w:r>
            <w:r>
              <w:rPr>
                <w:b/>
                <w:i/>
              </w:rPr>
              <w:t>, evoluțiile socioeconomice</w:t>
            </w:r>
            <w:r>
              <w:t xml:space="preserve">, evenimentele de stare civilă și locuințele, inclusiv detalii privind subiectele sau grupurile care au devenit relevante din punct de vedere politic și social în ultimul deceniu. În plus, cadrul juridic existent nu este suficient de flexibil pentru a se adapta la evoluția nevoilor în materie de politici și pentru a permite utilizarea de noi surse la nivel național și la nivelul Uniunii. De asemenea, structura cadrului juridic existent sub forma a trei regulamente separate, adoptate în momente </w:t>
            </w:r>
            <w:r>
              <w:lastRenderedPageBreak/>
              <w:t>diferite, a condus la incoerențe intrinseci ale statisticilor. În cele din urmă, întrucât Regulamentul (UE) nr. 1260/2013 va înceta să se aplice de la 31 august 2028, este necesar un nou temei juridic pentru statisticile demografice colectate în temeiul regulamentului respectiv. Prin urmare, este necesar ca actualul cadru juridic să fie înlocuit cu un cadru juridic nou, mai coerent și mai flexibil, care să modifice părțile relevante din Regulamentul (CE) nr. 862/2007 și să abroge Regulamentele (CE) nr. 763/2008 și (UE) nr. 1260/2013.</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47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(13)</w:t>
            </w:r>
            <w:r>
              <w:tab/>
              <w:t>Evoluția rapidă a anumitor caracteristici ale populației și ale locuințelor, în special în ceea ce privește fenomenele demografice și migratorii, precum și nevoia corespunzătoare de direcționare și adaptare promptă a politicilor înseamnă că este necesar ca statisticile să fie disponibile în timp util la scurt timp după perioada de referință. Prin urmare, periodicitatea și actualitatea statisticilor ar trebui să fie avansate în mod concret.</w:t>
            </w:r>
          </w:p>
        </w:tc>
        <w:tc>
          <w:tcPr>
            <w:tcW w:w="4876" w:type="dxa"/>
            <w:hideMark/>
          </w:tcPr>
          <w:p w:rsidR="00C213EB" w:rsidRPr="005F3712" w:rsidRDefault="00C213EB" w:rsidP="00C213EB">
            <w:pPr>
              <w:pStyle w:val="Normal6"/>
              <w:rPr>
                <w:szCs w:val="24"/>
              </w:rPr>
            </w:pPr>
            <w:r>
              <w:t>(13)</w:t>
            </w:r>
            <w:r>
              <w:tab/>
              <w:t xml:space="preserve">Evoluția rapidă a anumitor caracteristici ale populației și ale locuințelor, în special în ceea ce privește fenomenele demografice și migratorii, precum și nevoia corespunzătoare de direcționare și adaptare promptă a politicilor înseamnă că este necesar ca statisticile să fie disponibile în timp util la scurt timp după perioada de referință. Prin urmare, periodicitatea și actualitatea statisticilor ar trebui să fie avansate în mod concret. </w:t>
            </w:r>
            <w:r>
              <w:rPr>
                <w:b/>
                <w:i/>
              </w:rPr>
              <w:t>În acest scop, statele membre ar trebui să pună la dispoziția institutelor lor naționale de statistică resurse adecvate.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lastRenderedPageBreak/>
        <w:t>&lt;Amend&gt;</w:t>
      </w:r>
      <w:r>
        <w:t>Amendamentul</w:t>
      </w:r>
      <w:r>
        <w:tab/>
      </w:r>
      <w:r>
        <w:tab/>
      </w:r>
      <w:r w:rsidRPr="005908C9">
        <w:rPr>
          <w:rStyle w:val="HideTWBExt"/>
          <w:b w:val="0"/>
        </w:rPr>
        <w:t>&lt;NumAm&gt;</w:t>
      </w:r>
      <w:r>
        <w:t>48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(13)</w:t>
            </w:r>
            <w:r>
              <w:tab/>
              <w:t>Evoluția rapidă a anumitor caracteristici ale populației și ale locuințelor, în special în ceea ce privește fenomenele demografice și migratorii, precum și nevoia corespunzătoare de direcționare și adaptare promptă a politicilor înseamnă că este necesar ca statisticile să fie disponibile în timp util la scurt timp după perioada de referință. Prin urmare, periodicitatea și actualitatea statisticilor ar trebui să fie avansate în mod concret.</w:t>
            </w:r>
          </w:p>
        </w:tc>
        <w:tc>
          <w:tcPr>
            <w:tcW w:w="4876" w:type="dxa"/>
            <w:hideMark/>
          </w:tcPr>
          <w:p w:rsidR="00C213EB" w:rsidRPr="005F3712" w:rsidRDefault="00C213EB" w:rsidP="00C213EB">
            <w:pPr>
              <w:pStyle w:val="Normal6"/>
              <w:rPr>
                <w:szCs w:val="24"/>
              </w:rPr>
            </w:pPr>
            <w:r>
              <w:t>(13)</w:t>
            </w:r>
            <w:r>
              <w:tab/>
              <w:t>Evoluția rapidă a anumitor caracteristici ale populației și ale locuințelor, în special în ceea ce privește fenomenele demografice și migratorii, precum și nevoia corespunzătoare de direcționare și adaptare promptă a politicilor înseamnă că este necesar ca statisticile să fie disponibile în timp util la scurt timp după perioada de referință. Prin urmare, periodicitatea și actualitatea statisticilor ar trebui să fie avansate în mod concret</w:t>
            </w:r>
            <w:r>
              <w:rPr>
                <w:b/>
                <w:i/>
              </w:rPr>
              <w:t>, acolo unde este posibil, prin utilizarea datelor administrative și a registrelor administrative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rsidRPr="005F3712">
        <w:t>Amendment</w:t>
      </w:r>
      <w:r w:rsidRPr="005F3712">
        <w:tab/>
      </w:r>
      <w:r w:rsidRPr="005F3712">
        <w:tab/>
      </w:r>
      <w:r w:rsidRPr="005908C9">
        <w:rPr>
          <w:rStyle w:val="HideTWBExt"/>
          <w:b w:val="0"/>
        </w:rPr>
        <w:t>&lt;NumAm&gt;</w:t>
      </w:r>
      <w:r w:rsidRPr="005F3712">
        <w:t>49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rsidRPr="005F3712">
        <w:t>Lívia Járóka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rsidRPr="005F3712">
        <w:t>Proposal for a regulation</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rsidRPr="005F3712">
        <w:t>Recital 13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RPr="005F3712" w:rsidTr="00C213EB">
        <w:trPr>
          <w:jc w:val="center"/>
        </w:trPr>
        <w:tc>
          <w:tcPr>
            <w:tcW w:w="9752" w:type="dxa"/>
            <w:gridSpan w:val="2"/>
          </w:tcPr>
          <w:p w:rsidR="00C213EB" w:rsidRPr="005F3712" w:rsidRDefault="00C213EB" w:rsidP="00C213EB">
            <w:pPr>
              <w:keepNext/>
            </w:pPr>
          </w:p>
        </w:tc>
      </w:tr>
      <w:tr w:rsidR="00C213EB" w:rsidRPr="005F3712" w:rsidTr="00C213EB">
        <w:trPr>
          <w:jc w:val="center"/>
        </w:trPr>
        <w:tc>
          <w:tcPr>
            <w:tcW w:w="4876" w:type="dxa"/>
            <w:hideMark/>
          </w:tcPr>
          <w:p w:rsidR="00C213EB" w:rsidRPr="005F3712" w:rsidRDefault="00C213EB" w:rsidP="00C213EB">
            <w:pPr>
              <w:pStyle w:val="ColumnHeading"/>
              <w:keepNext/>
            </w:pPr>
            <w:r w:rsidRPr="005F3712">
              <w:t>Text proposed by the Commission</w:t>
            </w:r>
          </w:p>
        </w:tc>
        <w:tc>
          <w:tcPr>
            <w:tcW w:w="4876" w:type="dxa"/>
            <w:hideMark/>
          </w:tcPr>
          <w:p w:rsidR="00C213EB" w:rsidRPr="005F3712" w:rsidRDefault="00C213EB" w:rsidP="00C213EB">
            <w:pPr>
              <w:pStyle w:val="ColumnHeading"/>
              <w:keepNext/>
            </w:pPr>
            <w:r w:rsidRPr="005F3712">
              <w:t>Amendment</w:t>
            </w:r>
          </w:p>
        </w:tc>
      </w:tr>
      <w:tr w:rsidR="00C213EB" w:rsidRPr="005F3712" w:rsidTr="00C213EB">
        <w:trPr>
          <w:jc w:val="center"/>
        </w:trPr>
        <w:tc>
          <w:tcPr>
            <w:tcW w:w="4876" w:type="dxa"/>
            <w:hideMark/>
          </w:tcPr>
          <w:p w:rsidR="00C213EB" w:rsidRPr="005F3712" w:rsidRDefault="00C213EB" w:rsidP="00C213EB">
            <w:pPr>
              <w:pStyle w:val="Normal6"/>
            </w:pPr>
            <w:r w:rsidRPr="005F3712">
              <w:t>(13)</w:t>
            </w:r>
            <w:r w:rsidRPr="005F3712">
              <w:tab/>
              <w:t>The rapidly changing nature of some population and housing characteristics, in particular in relation to demographic and migration phenomena, and the corresponding need for a prompt targeting and adaptation of policies means that there is a need for statistics to be available on a timely basis soon after the reference period. The periodicity and timeliness of statistics should be therefore tangibly advanced.</w:t>
            </w:r>
          </w:p>
        </w:tc>
        <w:tc>
          <w:tcPr>
            <w:tcW w:w="4876" w:type="dxa"/>
            <w:hideMark/>
          </w:tcPr>
          <w:p w:rsidR="00C213EB" w:rsidRPr="005F3712" w:rsidRDefault="00C213EB" w:rsidP="00C213EB">
            <w:pPr>
              <w:pStyle w:val="Normal6"/>
              <w:rPr>
                <w:szCs w:val="24"/>
              </w:rPr>
            </w:pPr>
            <w:r w:rsidRPr="005F3712">
              <w:t>(13)</w:t>
            </w:r>
            <w:r w:rsidRPr="005F3712">
              <w:tab/>
              <w:t xml:space="preserve">The rapidly changing nature of some population and housing characteristics, in particular in relation to demographic and migration </w:t>
            </w:r>
            <w:r w:rsidRPr="005F3712">
              <w:rPr>
                <w:b/>
                <w:bCs/>
                <w:i/>
                <w:iCs/>
              </w:rPr>
              <w:t>(within and outside Member States, or mobilisation)</w:t>
            </w:r>
            <w:r w:rsidRPr="005F3712">
              <w:t xml:space="preserve"> phenomena, and the corresponding need for a prompt targeting and adaptation of policies means that there is a need for statistics to be available on a timely basis soon after the reference period. The periodicity and timeliness of statistics should be therefore tangibly advanced.</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{HU}</w:t>
      </w:r>
      <w:r w:rsidRPr="005F3712">
        <w:rPr>
          <w:noProof w:val="0"/>
        </w:rPr>
        <w:t>hu</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50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(13)</w:t>
            </w:r>
            <w:r>
              <w:tab/>
              <w:t>Evoluția rapidă a anumitor caracteristici ale populației și ale locuințelor, în special în ceea ce privește fenomenele demografice și migratorii, precum și nevoia corespunzătoare de direcționare și adaptare promptă a politicilor înseamnă că este necesar ca statisticile să fie disponibile în timp util la scurt timp după perioada de referință. Prin urmare, periodicitatea și actualitatea statisticilor ar trebui să fie avansate în mod concret.</w:t>
            </w:r>
          </w:p>
        </w:tc>
        <w:tc>
          <w:tcPr>
            <w:tcW w:w="4876" w:type="dxa"/>
            <w:hideMark/>
          </w:tcPr>
          <w:p w:rsidR="00C213EB" w:rsidRPr="005F3712" w:rsidRDefault="00C213EB" w:rsidP="00C213EB">
            <w:pPr>
              <w:pStyle w:val="Normal6"/>
              <w:rPr>
                <w:szCs w:val="24"/>
              </w:rPr>
            </w:pPr>
            <w:r>
              <w:t>(13)</w:t>
            </w:r>
            <w:r>
              <w:tab/>
              <w:t>Evoluția rapidă a anumitor caracteristici ale populației și ale locuințelor, în special în ceea ce privește fenomenele demografice</w:t>
            </w:r>
            <w:r>
              <w:rPr>
                <w:b/>
                <w:i/>
              </w:rPr>
              <w:t>, socioeconomice</w:t>
            </w:r>
            <w:r>
              <w:t xml:space="preserve"> și migratorii, precum și nevoia corespunzătoare de direcționare și adaptare promptă a politicilor înseamnă că este necesar ca statisticile să fie disponibile în timp util la scurt timp după perioada de referință. Prin urmare, periodicitatea și actualitatea statisticilor ar trebui să fie avansate în mod concret.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rsidRPr="005F3712">
        <w:t>Amendment</w:t>
      </w:r>
      <w:r w:rsidRPr="005F3712">
        <w:tab/>
      </w:r>
      <w:r w:rsidRPr="005F3712">
        <w:tab/>
      </w:r>
      <w:r w:rsidRPr="005908C9">
        <w:rPr>
          <w:rStyle w:val="HideTWBExt"/>
          <w:b w:val="0"/>
        </w:rPr>
        <w:t>&lt;NumAm&gt;</w:t>
      </w:r>
      <w:r w:rsidRPr="005F3712">
        <w:t>51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rsidRPr="005F3712">
        <w:t>Lívia Járóka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rsidRPr="005F3712">
        <w:t>Proposal for a regulation</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rsidRPr="005F3712">
        <w:t>Recital 13 a (new)</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RPr="005F3712" w:rsidTr="00C213EB">
        <w:trPr>
          <w:jc w:val="center"/>
        </w:trPr>
        <w:tc>
          <w:tcPr>
            <w:tcW w:w="9752" w:type="dxa"/>
            <w:gridSpan w:val="2"/>
          </w:tcPr>
          <w:p w:rsidR="00C213EB" w:rsidRPr="005F3712" w:rsidRDefault="00C213EB" w:rsidP="00C213EB">
            <w:pPr>
              <w:keepNext/>
            </w:pPr>
          </w:p>
        </w:tc>
      </w:tr>
      <w:tr w:rsidR="00C213EB" w:rsidRPr="005F3712" w:rsidTr="00C213EB">
        <w:trPr>
          <w:jc w:val="center"/>
        </w:trPr>
        <w:tc>
          <w:tcPr>
            <w:tcW w:w="4876" w:type="dxa"/>
            <w:hideMark/>
          </w:tcPr>
          <w:p w:rsidR="00C213EB" w:rsidRPr="005F3712" w:rsidRDefault="00C213EB" w:rsidP="00C213EB">
            <w:pPr>
              <w:pStyle w:val="ColumnHeading"/>
              <w:keepNext/>
            </w:pPr>
            <w:r w:rsidRPr="005F3712">
              <w:t>Text proposed by the Commission</w:t>
            </w:r>
          </w:p>
        </w:tc>
        <w:tc>
          <w:tcPr>
            <w:tcW w:w="4876" w:type="dxa"/>
            <w:hideMark/>
          </w:tcPr>
          <w:p w:rsidR="00C213EB" w:rsidRPr="005F3712" w:rsidRDefault="00C213EB" w:rsidP="00C213EB">
            <w:pPr>
              <w:pStyle w:val="ColumnHeading"/>
              <w:keepNext/>
            </w:pPr>
            <w:r w:rsidRPr="005F3712">
              <w:t>Amendment</w:t>
            </w:r>
          </w:p>
        </w:tc>
      </w:tr>
      <w:tr w:rsidR="00C213EB" w:rsidRPr="005F3712"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sidRPr="005F3712">
              <w:rPr>
                <w:b/>
                <w:i/>
              </w:rPr>
              <w:t>(13a)</w:t>
            </w:r>
            <w:r w:rsidRPr="005F3712">
              <w:rPr>
                <w:b/>
                <w:i/>
              </w:rPr>
              <w:tab/>
              <w:t xml:space="preserve">The housing statistics and partial data on population surveys need to reflect consistently, in the light of the defined objectives, the effects of the various social mechanisms relating to housing that can identify the depth of the gaps between populations, their cause-effect relationships, such as the inequalities that principally affect minorities living in segregated settlements, people living in poverty and other marginalised citizens </w:t>
            </w:r>
            <w:r w:rsidRPr="005F3712">
              <w:rPr>
                <w:b/>
                <w:i/>
              </w:rPr>
              <w:lastRenderedPageBreak/>
              <w:t>and those living in isolated villages, as well as other elements which reveal geological or infrastructural inequalities and inequalities in access to education and employment, and within them the impact of inequalities relating to housing conditions.</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{HU}</w:t>
      </w:r>
      <w:r w:rsidRPr="005F3712">
        <w:rPr>
          <w:noProof w:val="0"/>
        </w:rPr>
        <w:t>hu</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rsidRPr="005F3712">
        <w:t>Amendment</w:t>
      </w:r>
      <w:r w:rsidRPr="005F3712">
        <w:tab/>
      </w:r>
      <w:r w:rsidRPr="005F3712">
        <w:tab/>
      </w:r>
      <w:r w:rsidRPr="005908C9">
        <w:rPr>
          <w:rStyle w:val="HideTWBExt"/>
          <w:b w:val="0"/>
        </w:rPr>
        <w:t>&lt;NumAm&gt;</w:t>
      </w:r>
      <w:r w:rsidRPr="005F3712">
        <w:t>52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rsidRPr="005F3712">
        <w:t>Lívia Járóka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rsidRPr="005F3712">
        <w:t>Proposal for a regulation</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rsidRPr="005F3712">
        <w:t>Recital 13 b (new)</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RPr="005F3712" w:rsidTr="00C213EB">
        <w:trPr>
          <w:jc w:val="center"/>
        </w:trPr>
        <w:tc>
          <w:tcPr>
            <w:tcW w:w="9752" w:type="dxa"/>
            <w:gridSpan w:val="2"/>
          </w:tcPr>
          <w:p w:rsidR="00C213EB" w:rsidRPr="005F3712" w:rsidRDefault="00C213EB" w:rsidP="00C213EB">
            <w:pPr>
              <w:keepNext/>
            </w:pPr>
          </w:p>
        </w:tc>
      </w:tr>
      <w:tr w:rsidR="00C213EB" w:rsidRPr="005F3712" w:rsidTr="00C213EB">
        <w:trPr>
          <w:jc w:val="center"/>
        </w:trPr>
        <w:tc>
          <w:tcPr>
            <w:tcW w:w="4876" w:type="dxa"/>
            <w:hideMark/>
          </w:tcPr>
          <w:p w:rsidR="00C213EB" w:rsidRPr="005F3712" w:rsidRDefault="00C213EB" w:rsidP="00C213EB">
            <w:pPr>
              <w:pStyle w:val="ColumnHeading"/>
              <w:keepNext/>
            </w:pPr>
            <w:r w:rsidRPr="005F3712">
              <w:t>Text proposed by the Commission</w:t>
            </w:r>
          </w:p>
        </w:tc>
        <w:tc>
          <w:tcPr>
            <w:tcW w:w="4876" w:type="dxa"/>
            <w:hideMark/>
          </w:tcPr>
          <w:p w:rsidR="00C213EB" w:rsidRPr="005F3712" w:rsidRDefault="00C213EB" w:rsidP="00C213EB">
            <w:pPr>
              <w:pStyle w:val="ColumnHeading"/>
              <w:keepNext/>
            </w:pPr>
            <w:r w:rsidRPr="005F3712">
              <w:t>Amendment</w:t>
            </w:r>
          </w:p>
        </w:tc>
      </w:tr>
      <w:tr w:rsidR="00C213EB" w:rsidRPr="005F3712"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sidRPr="005F3712">
              <w:rPr>
                <w:b/>
                <w:i/>
              </w:rPr>
              <w:t>(13b)</w:t>
            </w:r>
            <w:r w:rsidRPr="005F3712">
              <w:rPr>
                <w:b/>
                <w:i/>
              </w:rPr>
              <w:tab/>
              <w:t>Targeted resources allocated on the basis of the results of statistical surveys about data use to the various policy portfolios should be directed to investments intended to compensate for geographical disadvantages, which pursue the goals of green energy and other infrastructure projects, such as those intended to develop digital upgrading, which enhance the quality of life and housing in the most disadvantaged regions and in those with multiple disadvantages, as well as providing opportunities for free movement, which have an impact on education, participation in employment and access to health services, as well as promoting programmes aimed at helping marginalised social groups to catch up and thus be able to participate in economic activity.</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{HU}</w:t>
      </w:r>
      <w:r w:rsidRPr="005F3712">
        <w:rPr>
          <w:noProof w:val="0"/>
        </w:rPr>
        <w:t>hu</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53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lastRenderedPageBreak/>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17</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(17)</w:t>
            </w:r>
            <w:r>
              <w:tab/>
              <w:t>Cadrul juridic actual pentru statisticile europene privind populația și locuințele trebuie actualizat pentru a se asigura că procesele statistice separate în prezent sunt integrate în mod adecvat într-un cadru comun care să permită SSE să răspundă în mod eficace noilor nevoi de informații ale Uniunii și să încurajeze inovațiile statistice. Rezultatele statistice trebuie să se îmbunătățească pentru a rămâne relevante în contextul schimbărilor demografice, migratorii, sociale și economice din societate.</w:t>
            </w:r>
          </w:p>
        </w:tc>
        <w:tc>
          <w:tcPr>
            <w:tcW w:w="4876" w:type="dxa"/>
            <w:hideMark/>
          </w:tcPr>
          <w:p w:rsidR="00C213EB" w:rsidRPr="005F3712" w:rsidRDefault="00C213EB" w:rsidP="00C213EB">
            <w:pPr>
              <w:pStyle w:val="Normal6"/>
              <w:rPr>
                <w:szCs w:val="24"/>
              </w:rPr>
            </w:pPr>
            <w:r>
              <w:t>(17)</w:t>
            </w:r>
            <w:r>
              <w:tab/>
              <w:t>Cadrul juridic actual pentru statisticile europene privind populația și locuințele trebuie actualizat pentru a se asigura că procesele statistice separate în prezent sunt integrate în mod adecvat într-un cadru comun care să permită SSE să răspundă în mod eficace noilor nevoi de informații ale Uniunii și să încurajeze inovațiile statistice. Rezultatele statistice trebuie să se îmbunătățească pentru a rămâne relevante în contextul schimbărilor demografice, migratorii, sociale și economice din societate</w:t>
            </w:r>
            <w:r>
              <w:rPr>
                <w:b/>
                <w:i/>
              </w:rPr>
              <w:t xml:space="preserve"> și pentru a oferi cel mai bun sprijin posibil pentru elaborarea politicilor și luarea deciziilor</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54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17</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(17)</w:t>
            </w:r>
            <w:r>
              <w:tab/>
              <w:t xml:space="preserve">Cadrul juridic actual pentru statisticile europene privind populația și locuințele trebuie actualizat pentru a se asigura că procesele statistice separate în prezent sunt integrate în mod adecvat într-un cadru comun care să permită SSE să răspundă în mod eficace noilor nevoi de informații ale Uniunii și să încurajeze inovațiile statistice. Rezultatele statistice trebuie să se îmbunătățească pentru a rămâne relevante în contextul schimbărilor </w:t>
            </w:r>
            <w:r>
              <w:lastRenderedPageBreak/>
              <w:t>demografice, migratorii, sociale și economice</w:t>
            </w:r>
            <w:r>
              <w:rPr>
                <w:b/>
                <w:i/>
              </w:rPr>
              <w:t xml:space="preserve"> din societate</w:t>
            </w:r>
            <w:r>
              <w:t>.</w:t>
            </w:r>
          </w:p>
        </w:tc>
        <w:tc>
          <w:tcPr>
            <w:tcW w:w="4876" w:type="dxa"/>
            <w:hideMark/>
          </w:tcPr>
          <w:p w:rsidR="00C213EB" w:rsidRPr="005F3712" w:rsidRDefault="00C213EB" w:rsidP="00C213EB">
            <w:pPr>
              <w:pStyle w:val="Normal6"/>
              <w:rPr>
                <w:szCs w:val="24"/>
              </w:rPr>
            </w:pPr>
            <w:r>
              <w:lastRenderedPageBreak/>
              <w:t>(17)</w:t>
            </w:r>
            <w:r>
              <w:tab/>
              <w:t xml:space="preserve">Cadrul juridic actual pentru statisticile europene privind populația și locuințele trebuie actualizat pentru a se asigura că procesele statistice separate în prezent sunt integrate în mod adecvat într-un cadru comun care să permită SSE să răspundă în mod eficace noilor nevoi de informații ale Uniunii și să încurajeze inovațiile statistice. Rezultatele statistice trebuie să se îmbunătățească pentru a rămâne relevante în contextul schimbărilor </w:t>
            </w:r>
            <w:r>
              <w:rPr>
                <w:b/>
                <w:i/>
              </w:rPr>
              <w:lastRenderedPageBreak/>
              <w:t xml:space="preserve">și provocărilor </w:t>
            </w:r>
            <w:r>
              <w:t>demografice, migratorii, sociale și economice.</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55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19</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(19)</w:t>
            </w:r>
            <w:r>
              <w:tab/>
              <w:t xml:space="preserve">Recensămintele Uniunii ar </w:t>
            </w:r>
            <w:r>
              <w:rPr>
                <w:b/>
                <w:i/>
              </w:rPr>
              <w:t>trebui</w:t>
            </w:r>
            <w:r>
              <w:t xml:space="preserve"> să devină mai eficiente din punctul de vedere al costurilor prin utilizarea deplină a setului bogat de date administrative disponibile în statele membre sau a unei combinații de diferite surse, inclusiv sursele legate de internetul obiectelor (IoT) și furnizarea de servicii digitale. Ele ar trebui, de asemenea, să fie utilizate pentru a restabili scenariul de referință demografic și să includă anchete privind acoperirea surselor de date administrative.</w:t>
            </w:r>
          </w:p>
        </w:tc>
        <w:tc>
          <w:tcPr>
            <w:tcW w:w="4876" w:type="dxa"/>
            <w:hideMark/>
          </w:tcPr>
          <w:p w:rsidR="00C213EB" w:rsidRPr="005F3712" w:rsidRDefault="00C213EB" w:rsidP="00C213EB">
            <w:pPr>
              <w:pStyle w:val="Normal6"/>
              <w:rPr>
                <w:szCs w:val="24"/>
              </w:rPr>
            </w:pPr>
            <w:r>
              <w:t>(19)</w:t>
            </w:r>
            <w:r>
              <w:tab/>
              <w:t xml:space="preserve">Recensămintele Uniunii ar </w:t>
            </w:r>
            <w:r>
              <w:rPr>
                <w:b/>
                <w:i/>
              </w:rPr>
              <w:t>putea</w:t>
            </w:r>
            <w:r>
              <w:t xml:space="preserve"> să devină mai eficiente din punctul de vedere al costurilor prin utilizarea deplină a setului bogat de date administrative disponibile în statele membre sau a unei combinații de diferite surse, inclusiv sursele legate de internetul obiectelor (IoT) și furnizarea de servicii digitale. </w:t>
            </w:r>
            <w:r>
              <w:rPr>
                <w:b/>
                <w:i/>
              </w:rPr>
              <w:t>Deși utilizarea unor astfel de surse ar îmbunătăți disponibilitatea și actualitatea datelor disponibile, ar trebui instituite acorduri de cooperare specifice pentru schimbul de date între institutele naționale de statistică sau alte autorități naționale competente și furnizori de baze de date pentru a stabili garanțiile necesare pentru colectarea datelor cu caracter personal, cu scopul de a evita orice posibilă utilizare abuzivă a datelor sensibile, întrucât accesul la astfel de date nu ar trebui în niciun caz să modifice sau să afecteze drepturile fundamentale ale persoanelor vizate.</w:t>
            </w:r>
            <w:r>
              <w:t xml:space="preserve"> Ele ar trebui, de asemenea, să fie utilizate pentru a restabili scenariul de referință demografic și să includă anchete privind acoperirea surselor de date administrative.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lastRenderedPageBreak/>
        <w:t>&lt;Amend&gt;</w:t>
      </w:r>
      <w:r>
        <w:t>Amendamentul</w:t>
      </w:r>
      <w:r>
        <w:tab/>
      </w:r>
      <w:r>
        <w:tab/>
      </w:r>
      <w:r w:rsidRPr="005908C9">
        <w:rPr>
          <w:rStyle w:val="HideTWBExt"/>
          <w:b w:val="0"/>
        </w:rPr>
        <w:t>&lt;NumAm&gt;</w:t>
      </w:r>
      <w:r>
        <w:t>56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19</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(19)</w:t>
            </w:r>
            <w:r>
              <w:tab/>
              <w:t>Recensămintele Uniunii ar trebui să devină mai eficiente din punctul de vedere al costurilor prin utilizarea deplină a setului bogat de date administrative disponibile în statele membre sau a unei combinații de diferite surse, inclusiv sursele legate de internetul obiectelor (IoT) și furnizarea de servicii digitale. Ele ar trebui, de asemenea, să fie utilizate pentru a restabili scenariul de referință demografic și să includă anchete privind acoperirea surselor de date administrative.</w:t>
            </w:r>
          </w:p>
        </w:tc>
        <w:tc>
          <w:tcPr>
            <w:tcW w:w="4876" w:type="dxa"/>
            <w:hideMark/>
          </w:tcPr>
          <w:p w:rsidR="00C213EB" w:rsidRPr="005F3712" w:rsidRDefault="00C213EB" w:rsidP="00C213EB">
            <w:pPr>
              <w:pStyle w:val="Normal6"/>
              <w:rPr>
                <w:szCs w:val="24"/>
              </w:rPr>
            </w:pPr>
            <w:r>
              <w:t>(19)</w:t>
            </w:r>
            <w:r>
              <w:tab/>
              <w:t>Recensămintele Uniunii ar trebui să devină mai eficiente din punctul de vedere al costurilor</w:t>
            </w:r>
            <w:r>
              <w:rPr>
                <w:b/>
                <w:i/>
              </w:rPr>
              <w:t>, în special</w:t>
            </w:r>
            <w:r>
              <w:t xml:space="preserve"> prin utilizarea deplină a setului bogat de date administrative disponibile în statele membre sau a unei combinații de diferite surse, inclusiv sursele legate de internetul obiectelor (IoT) și furnizarea de servicii digitale</w:t>
            </w:r>
            <w:r>
              <w:rPr>
                <w:b/>
                <w:i/>
              </w:rPr>
              <w:t>, respectând în același timp confidențialitatea datelor sensibile cu caracter personal</w:t>
            </w:r>
            <w:r>
              <w:t>. Ele ar trebui, de asemenea, să fie utilizate pentru a restabili scenariul de referință demografic și să includă anchete privind acoperirea surselor de date administrative.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57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Katrin Langensiepen</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19</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(19)</w:t>
            </w:r>
            <w:r>
              <w:tab/>
              <w:t>Recensămintele Uniunii ar trebui să devină mai eficiente din punctul de vedere al costurilor prin utilizarea deplină a setului bogat de date administrative disponibile în statele membre sau a unei combinații de diferite surse, inclusiv sursele legate de internetul obiectelor (IoT) și furnizarea de servicii digitale. Ele ar trebui, de asemenea, să fie utilizate pentru a restabili scenariul de referință demografic și să includă anchete privind acoperirea surselor de date administrative.</w:t>
            </w:r>
          </w:p>
        </w:tc>
        <w:tc>
          <w:tcPr>
            <w:tcW w:w="4876" w:type="dxa"/>
            <w:hideMark/>
          </w:tcPr>
          <w:p w:rsidR="00C213EB" w:rsidRPr="005F3712" w:rsidRDefault="00C213EB" w:rsidP="00C213EB">
            <w:pPr>
              <w:pStyle w:val="Normal6"/>
              <w:rPr>
                <w:szCs w:val="24"/>
              </w:rPr>
            </w:pPr>
            <w:r>
              <w:t>(19)</w:t>
            </w:r>
            <w:r>
              <w:tab/>
              <w:t xml:space="preserve">Recensămintele Uniunii ar trebui să devină mai eficiente din punctul de vedere al costurilor prin utilizarea deplină a setului bogat de date administrative disponibile în statele membre sau a unei combinații de </w:t>
            </w:r>
            <w:r>
              <w:rPr>
                <w:b/>
                <w:i/>
              </w:rPr>
              <w:t xml:space="preserve">metodologii inovatoare și </w:t>
            </w:r>
            <w:r>
              <w:t xml:space="preserve">diferite surse, inclusiv sursele legate de internetul obiectelor (IoT) și furnizarea de servicii digitale. Ele ar trebui, de asemenea, să fie utilizate pentru a restabili scenariul de referință demografic și să includă anchete privind acoperirea surselor de date </w:t>
            </w:r>
            <w:r>
              <w:lastRenderedPageBreak/>
              <w:t>administrative.</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58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20</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(20)</w:t>
            </w:r>
            <w:r>
              <w:tab/>
              <w:t>Statele membre și Comisia (Eurostat) ar trebui să aibă acces durabil la o gamă cât mai largă de surse de date pentru a produce statistici europene privind populația și locuințele de înaltă calitate și într-un mod eficient din punctul de vedere al costurilor. În acest sens, este esențial ca autoritățile statistice naționale să aibă acces în timp util și să poată utiliza cu promptitudine datele administrative deținute de administrațiile publice la nivel național, regional și local, în conformitate cu articolul 17a din Regulamentul (CE) nr. 223/2009. De exemplu, statisticile privind eficiența energetică a clădirilor se pot baza pe date administrative referitoare la eliberarea certificatelor energetice ale clădirilor în temeiul Directivei 2010/31/UE a Parlamentului European și a Consiliului</w:t>
            </w:r>
            <w:r>
              <w:rPr>
                <w:vertAlign w:val="superscript"/>
              </w:rPr>
              <w:t>31</w:t>
            </w:r>
            <w:r>
              <w:t xml:space="preserve"> . Institutele naționale de statistică trebuie, de asemenea, să fie implicate în deciziile privind conceperea și redezvoltarea surselor de date administrative relevante pentru a se asigura că acestea pot fi reutilizate în continuare pentru elaborarea statisticilor oficiale.</w:t>
            </w:r>
          </w:p>
        </w:tc>
        <w:tc>
          <w:tcPr>
            <w:tcW w:w="4876" w:type="dxa"/>
            <w:hideMark/>
          </w:tcPr>
          <w:p w:rsidR="00C213EB" w:rsidRPr="005F3712" w:rsidRDefault="00C213EB" w:rsidP="00C213EB">
            <w:pPr>
              <w:pStyle w:val="Normal6"/>
              <w:rPr>
                <w:szCs w:val="24"/>
              </w:rPr>
            </w:pPr>
            <w:r>
              <w:t>(20)</w:t>
            </w:r>
            <w:r>
              <w:tab/>
              <w:t>Statele membre și Comisia (Eurostat) ar trebui să aibă acces durabil la o gamă cât mai largă de surse de date pentru a produce statistici europene privind populația și locuințele de înaltă calitate și într-un mod eficient din punctul de vedere al costurilor. În acest sens, este esențial ca autoritățile statistice naționale să aibă acces în timp util și să poată utiliza cu promptitudine datele administrative deținute de administrațiile publice la nivel național, regional și local, în conformitate cu articolul 17a din Regulamentul (CE) nr. 223/2009</w:t>
            </w:r>
            <w:r>
              <w:rPr>
                <w:b/>
                <w:i/>
              </w:rPr>
              <w:t>, într-un mod eficient din punctul de vedere al costurilor</w:t>
            </w:r>
            <w:r>
              <w:t>. De exemplu, statisticile privind eficiența energetică a clădirilor se pot baza pe date administrative referitoare la eliberarea certificatelor energetice ale clădirilor în temeiul Directivei 2010/31/UE a Parlamentului European și a Consiliului</w:t>
            </w:r>
            <w:r>
              <w:rPr>
                <w:vertAlign w:val="superscript"/>
              </w:rPr>
              <w:t>31</w:t>
            </w:r>
            <w:r>
              <w:t>. Institutele naționale de statistică trebuie, de asemenea, să fie implicate în deciziile privind conceperea și redezvoltarea surselor de date administrative relevante pentru a se asigura că acestea pot fi reutilizate în continuare pentru elaborarea statisticilor oficiale.</w:t>
            </w:r>
          </w:p>
        </w:tc>
      </w:tr>
      <w:tr w:rsidR="00C213EB" w:rsidTr="00C213EB">
        <w:trPr>
          <w:jc w:val="center"/>
        </w:trPr>
        <w:tc>
          <w:tcPr>
            <w:tcW w:w="4876" w:type="dxa"/>
            <w:hideMark/>
          </w:tcPr>
          <w:p w:rsidR="00C213EB" w:rsidRPr="005F3712" w:rsidRDefault="00C213EB" w:rsidP="00C213EB">
            <w:pPr>
              <w:pStyle w:val="Normal6"/>
            </w:pPr>
            <w:r>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31</w:t>
            </w:r>
            <w:r>
              <w:t xml:space="preserve"> Directiva 2010/31/UE a Parlamentului European și a Consiliului din 19 mai 2010 privind performanța energetică a clădirilor (JO L 153, 18.6.2010, p. 13).</w:t>
            </w:r>
          </w:p>
        </w:tc>
        <w:tc>
          <w:tcPr>
            <w:tcW w:w="4876" w:type="dxa"/>
            <w:hideMark/>
          </w:tcPr>
          <w:p w:rsidR="00C213EB" w:rsidRPr="005F3712" w:rsidRDefault="00C213EB" w:rsidP="00C213EB">
            <w:pPr>
              <w:pStyle w:val="Normal6"/>
              <w:rPr>
                <w:szCs w:val="24"/>
              </w:rPr>
            </w:pPr>
            <w:r>
              <w:rPr>
                <w:vertAlign w:val="superscript"/>
              </w:rPr>
              <w:t>31</w:t>
            </w:r>
            <w:r>
              <w:t xml:space="preserve"> Directiva 2010/31/UE a Parlamentului European și a Consiliului din 19 mai 2010 privind performanța energetică a clădirilor (JO L 153, 18.6.2010, p. 13).</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59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(23)</w:t>
            </w:r>
            <w:r>
              <w:tab/>
              <w:t>Datele aflate în proprietate privată pot îmbunătăți acoperirea, actualitatea și capacitățile de răspuns la situații de criză ale statisticilor europene privind populația și locuințele sau pot permite inovarea statistică. Astfel de date au potențialul de a completa statisticile existente demografice și privind migrația, de a aduce inovații statistice și chiar de a servi la producerea unor estimări timpurii. Institutele naționale de statistică și alte autorități naționale competente, precum și Comisia (Eurostat) ar trebui să aibă acces la astfel de date și să le utilizeze.</w:t>
            </w:r>
          </w:p>
        </w:tc>
        <w:tc>
          <w:tcPr>
            <w:tcW w:w="4876" w:type="dxa"/>
            <w:hideMark/>
          </w:tcPr>
          <w:p w:rsidR="00C213EB" w:rsidRPr="005F3712" w:rsidRDefault="00C213EB" w:rsidP="00C213EB">
            <w:pPr>
              <w:pStyle w:val="Normal6"/>
              <w:rPr>
                <w:szCs w:val="24"/>
              </w:rPr>
            </w:pPr>
            <w:r>
              <w:t>(23)</w:t>
            </w:r>
            <w:r>
              <w:tab/>
              <w:t>Datele aflate în proprietate privată pot îmbunătăți acoperirea, actualitatea și capacitățile de răspuns la situații de criză ale statisticilor europene privind populația și locuințele sau pot permite inovarea statistică. Astfel de date au potențialul de a completa statisticile existente demografice și privind migrația, de a aduce inovații statistice și chiar de a servi la producerea unor estimări timpurii. Institutele naționale de statistică și alte autorități naționale competente, precum și Comisia (Eurostat) ar trebui să aibă acces la astfel de date și să le utilizeze</w:t>
            </w:r>
            <w:r>
              <w:rPr>
                <w:b/>
                <w:i/>
              </w:rPr>
              <w:t>, pe baza unor protocoale specifice de schimb de date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23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(23a)</w:t>
            </w:r>
            <w:r>
              <w:rPr>
                <w:b/>
                <w:i/>
              </w:rPr>
              <w:tab/>
              <w:t xml:space="preserve">În acest sens, schimbul de date între furnizorii de date aflate în proprietate privată sau întreprinderi și institutele naționale de statistică și Comisie (Eurostat) se va baza pe </w:t>
            </w:r>
            <w:r>
              <w:rPr>
                <w:b/>
                <w:i/>
              </w:rPr>
              <w:lastRenderedPageBreak/>
              <w:t>protocoale specifice de schimb de date și acorduri de cooperare stabilite, concepute de actorii implicați și în conformitate cu articolul 6 din Regulamentul (UE) 2016/679 și cu articolul 5 din Regulamentul (UE) 2018/1725, subliniind necesitatea ca persoana vizată să își dea consimțământul pentru utilizarea datelor sale și în conformitate cu normele specifice ale serviciilor de comunicații de date, inclusiv accesul la informațiile din dispozitivul utilizatorului final prevăzute în Directiva 2002/58/CE.</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24</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(24)</w:t>
            </w:r>
            <w:r>
              <w:tab/>
              <w:t>Pentru a asigura comparabilitatea statisticilor europene privind populația și locuințele la nivelul Uniunii, este esențial ca definițiile comune ale populației să fie utilizate și puse în aplicare în mod armonizat. Pentru a pune în aplicare definiția unică armonizată a populației de bază, în mod consecvent, solid și eficient din punctul de vedere al costurilor și a asigura, în același timp, obținerea de rezultate actuale, trebuie aplicate metode statistice și tehnici de modelare precum „semne de locuire” și „rata de ședere”.</w:t>
            </w:r>
          </w:p>
        </w:tc>
        <w:tc>
          <w:tcPr>
            <w:tcW w:w="4876" w:type="dxa"/>
            <w:hideMark/>
          </w:tcPr>
          <w:p w:rsidR="00C213EB" w:rsidRPr="005F3712" w:rsidRDefault="00C213EB" w:rsidP="00C213EB">
            <w:pPr>
              <w:pStyle w:val="Normal6"/>
              <w:rPr>
                <w:szCs w:val="24"/>
              </w:rPr>
            </w:pPr>
            <w:r>
              <w:t>(24)</w:t>
            </w:r>
            <w:r>
              <w:tab/>
              <w:t>Pentru a asigura comparabilitatea statisticilor europene privind populația și locuințele la nivelul Uniunii, este esențial ca definițiile comune ale populației să fie utilizate și puse în aplicare în mod armonizat. Pentru a pune în aplicare definiția unică armonizată a populației de bază, în mod consecvent, solid și eficient din punctul de vedere al costurilor și a asigura, în același timp, obținerea de rezultate actuale, trebuie aplicate metode statistice și tehnici de modelare precum „semne de locuire” și „rata de ședere”</w:t>
            </w:r>
            <w:r>
              <w:rPr>
                <w:b/>
                <w:i/>
              </w:rPr>
              <w:t>, iar dispozițiile articolului 2 litera (d) din Regulamentul 763/2008 și ale articolului 2 litera (d) din Regulamentul 1260/2013 trebuie să fie menținute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lastRenderedPageBreak/>
        <w:t>&lt;Amend&gt;</w:t>
      </w:r>
      <w:r>
        <w:t>Amendamentul</w:t>
      </w:r>
      <w:r>
        <w:tab/>
      </w:r>
      <w:r>
        <w:tab/>
      </w:r>
      <w:r w:rsidRPr="005908C9">
        <w:rPr>
          <w:rStyle w:val="HideTWBExt"/>
          <w:b w:val="0"/>
        </w:rPr>
        <w:t>&lt;NumAm&gt;</w:t>
      </w:r>
      <w:r>
        <w:t>62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26</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(26)</w:t>
            </w:r>
            <w:r>
              <w:tab/>
              <w:t>Statisticile europene privind populația și locuințele ar trebui să îndeplinească criteriile de calitate privind relevanța, acuratețea, actualitatea și punctualitatea, accesibilitatea și claritatea, comparabilitatea și coerența specificate în Regulamentul (CE) nr. 223/2009. Calitatea acestora ar trebui îmbunătățită în măsura în care nevoile Uniunii evoluează. Rezultatele corespunzătoare ale evaluării calității efectuate de Comisie (Eurostat) ar trebui să fie puse la dispoziția publicului pentru utilizatorii statisticilor</w:t>
            </w:r>
            <w:r>
              <w:rPr>
                <w:b/>
                <w:i/>
              </w:rPr>
              <w:t>.</w:t>
            </w:r>
            <w:r>
              <w:t xml:space="preserve"> </w:t>
            </w:r>
            <w:r>
              <w:rPr>
                <w:b/>
                <w:i/>
              </w:rPr>
              <w:t>Accesul la aceste statistici ar trebui să fie</w:t>
            </w:r>
            <w:r>
              <w:t xml:space="preserve"> gratuit și facil prin intermediul bazelor de date ale Comisiei (Eurostat) de pe site-ul său web și al publicațiilor sale.</w:t>
            </w:r>
          </w:p>
        </w:tc>
        <w:tc>
          <w:tcPr>
            <w:tcW w:w="4876" w:type="dxa"/>
            <w:hideMark/>
          </w:tcPr>
          <w:p w:rsidR="00C213EB" w:rsidRPr="005F3712" w:rsidRDefault="00C213EB" w:rsidP="00C213EB">
            <w:pPr>
              <w:pStyle w:val="Normal6"/>
              <w:rPr>
                <w:szCs w:val="24"/>
              </w:rPr>
            </w:pPr>
            <w:r>
              <w:t>(26)</w:t>
            </w:r>
            <w:r>
              <w:tab/>
              <w:t>Statisticile europene privind populația și locuințele ar trebui să îndeplinească criteriile de calitate privind relevanța, acuratețea, actualitatea și punctualitatea, accesibilitatea și claritatea, comparabilitatea și coerența specificate în Regulamentul (CE) nr. 223/2009. Calitatea acestora ar trebui îmbunătățită în măsura în care nevoile Uniunii evoluează</w:t>
            </w:r>
            <w:r>
              <w:rPr>
                <w:b/>
                <w:i/>
              </w:rPr>
              <w:t xml:space="preserve"> și ar trebui instituite mecanisme de abordare a posibilelor situații în care calitatea datelor nu este garantată. În astfel de cazuri, Comisia (Eurostat) ar trebui să aibă dreptul de a verifica metodologia utilizată și de a organiza vizite la fața locului la autoritățile care colectează datele. Asistența și sprijinul tehnic ar trebui, de asemenea, să fie furnizate la cererea autorităților naționale</w:t>
            </w:r>
            <w:r>
              <w:t>. Rezultatele corespunzătoare ale evaluării calității efectuate de Comisie (Eurostat) ar trebui să fie puse la dispoziția publicului pentru utilizatorii statisticilor</w:t>
            </w:r>
            <w:r>
              <w:rPr>
                <w:b/>
                <w:i/>
              </w:rPr>
              <w:t>, asigurând accesul</w:t>
            </w:r>
            <w:r>
              <w:t xml:space="preserve"> gratuit și facil</w:t>
            </w:r>
            <w:r>
              <w:rPr>
                <w:b/>
                <w:i/>
              </w:rPr>
              <w:t xml:space="preserve"> la aceste statistici</w:t>
            </w:r>
            <w:r>
              <w:t xml:space="preserve"> prin intermediul bazelor de date ale Comisiei (Eurostat) de pe site-ul său web și al publicațiilor sale.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lastRenderedPageBreak/>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26 b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(26b)</w:t>
            </w:r>
            <w:r>
              <w:rPr>
                <w:b/>
                <w:i/>
              </w:rPr>
              <w:tab/>
              <w:t>Politicile adecvate, oportune și eficace presupun date fiabile și comparabile, defalcate în funcție de gen, vârstă, naționalitate, origine etnică, dizabilitate, statut socioeconomic, zonă geografică și alți parametri, în conformitate cu Principiile fundamentale ale statisticilor oficiale ale Organizației Națiunilor Unite. Datele respective sunt relevante pentru o mai bună înțelegere a tendințelor demografice și în domeniul locuințelor, pentru combaterea discriminării intersecționale și pentru punerea în aplicare și evaluarea politicilor, obiectivelor și acțiunilor Uniunii, cum ar fi Pilonul european al drepturilor sociale, Garanția europeană pentru copii, Strategia europeană privind serviciile de îngrijire, Strategia europeană privind drepturile persoanelor cu handicap și Platforma europeană pentru combaterea fenomenului lipsei de adăpost, toate acestea bazându-se în mare măsură pe date despre gospodării și familii. Colectarea și utilizarea acestor date trebuie să se desfășoare cu respectarea deplină a standardelor Uniunii și naționale privind viața privată și drepturile fundamentale, în special în cercetarea statistică care implică minori.</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26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(26a)</w:t>
            </w:r>
            <w:r>
              <w:rPr>
                <w:b/>
                <w:i/>
              </w:rPr>
              <w:tab/>
              <w:t>Statisticile europene privind populația și locuințele ar trebui să abordeze lipsa persistentă de date privind grupurile vulnerabile (grupurile de populație greu accesibile), cum ar fi persoanele care locuiesc în instituții (de exemplu, instituții militare, instituții corecționale și penitenciare, internate ale școlilor și cămine studențești, instituții religioase, spitale, centre rezidențiale de îngrijire, instituții pentru persoane cu dizabilități și orfelinate), persoanele cu vârsta de peste 75 de ani, persoanele cu dizabilități, persoanele fără adăpost, persoanele provenite din familii de migranți și apatrizi. Pentru a reduce acest decalaj în materie de date și pentru a preveni inegalitățile sociale și economice rezultate, statele membre ar trebui să elaboreze strategii și soluții specifice pentru colectarea datelor privind grupurile de populație greu accesibile, în special în ceea ce privește localizarea, contactarea, convingerea și intervievarea grupurilor în cauză.</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27</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(27)</w:t>
            </w:r>
            <w:r>
              <w:tab/>
              <w:t xml:space="preserve">Regulamentul (CE) nr. 223/2009 include norme privind transmiterea datelor de către statele membre Comisiei (Eurostat) și utilizarea acestora, inclusiv transmiterea și protecția datelor confidențiale. Măsurile luate în conformitate cu acest regulament ar trebui </w:t>
            </w:r>
            <w:r>
              <w:lastRenderedPageBreak/>
              <w:t>să asigure furnizarea și utilizarea datelor confidențiale exclusiv în scopuri statistice, în conformitate cu articolele 21 și 22 din regulamentul respectiv.</w:t>
            </w:r>
          </w:p>
        </w:tc>
        <w:tc>
          <w:tcPr>
            <w:tcW w:w="4876" w:type="dxa"/>
            <w:hideMark/>
          </w:tcPr>
          <w:p w:rsidR="00C213EB" w:rsidRPr="005F3712" w:rsidRDefault="00C213EB" w:rsidP="00C213EB">
            <w:pPr>
              <w:pStyle w:val="Normal6"/>
              <w:rPr>
                <w:szCs w:val="24"/>
              </w:rPr>
            </w:pPr>
            <w:r>
              <w:lastRenderedPageBreak/>
              <w:t>(27)</w:t>
            </w:r>
            <w:r>
              <w:tab/>
              <w:t xml:space="preserve">Regulamentul (CE) nr. 223/2009 include norme privind transmiterea datelor de către statele membre Comisiei (Eurostat) și utilizarea acestora, inclusiv transmiterea și protecția datelor confidențiale. Măsurile luate în conformitate cu acest regulament ar trebui </w:t>
            </w:r>
            <w:r>
              <w:lastRenderedPageBreak/>
              <w:t xml:space="preserve">să asigure furnizarea și utilizarea datelor confidențiale exclusiv în scopuri </w:t>
            </w:r>
            <w:r>
              <w:rPr>
                <w:b/>
                <w:i/>
              </w:rPr>
              <w:t xml:space="preserve">strict </w:t>
            </w:r>
            <w:r>
              <w:t>statistice, în conformitate cu articolele 21 și 22 din regulamentul respectiv.</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29</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(29)</w:t>
            </w:r>
            <w:r>
              <w:tab/>
              <w:t xml:space="preserve">Sursele de date disponibile la nivel național nu pot întotdeauna să surprindă cu acuratețe fenomenele legate de libera circulație a persoanelor în Uniune, accesul persoanelor la servicii transfrontaliere privind evenimentele demografice de stare civilă și exercitarea drepturilor persoanelor de a cumpăra și de a deține proprietăți locative utilizate drept reședință primară, de vacanță și secundară în întreaga Uniune. Există, de asemenea, asimetrii în ceea ce privește fluxurile de migrație bilaterale și dificultăți în ceea ce privește măsurarea grupurilor de populație, de exemplu în rândul migranților, al persoanelor fără adăpost sau al apatrizilor. Prin urmare, schimbul de date în scopul elaborării statisticilor privind populația și migrația și al asigurării calității acestora ar trebui consolidat și considerat încă o sursă de date. Un astfel de schimb consolidat de date poate acoperi o gamă largă de date relevante, de la date care în mod clar nu permit identificarea unităților statistice, fie direct, fie indirect, până la date care ar putea face obiectul cerințelor de confidențialitate a informațiilor statistice. Statele membre ar trebui, în propriul lor interes și în interesul celorlalte state membre, să participe la activitățile de </w:t>
            </w:r>
            <w:r>
              <w:lastRenderedPageBreak/>
              <w:t>schimb de date, inclusiv la proiectele-pilot de evaluare a soluțiilor inovatoare sigure. Comisia (Eurostat) ar trebui, de asemenea, să instituie o infrastructură sigură pentru a facilita un astfel de schimb de date, asigurând în același timp toate garanțiile necesare.</w:t>
            </w:r>
          </w:p>
        </w:tc>
        <w:tc>
          <w:tcPr>
            <w:tcW w:w="4876" w:type="dxa"/>
            <w:hideMark/>
          </w:tcPr>
          <w:p w:rsidR="00C213EB" w:rsidRPr="005F3712" w:rsidRDefault="00C213EB" w:rsidP="00C213EB">
            <w:pPr>
              <w:pStyle w:val="Normal6"/>
              <w:rPr>
                <w:szCs w:val="24"/>
              </w:rPr>
            </w:pPr>
            <w:r>
              <w:lastRenderedPageBreak/>
              <w:t>(29)</w:t>
            </w:r>
            <w:r>
              <w:tab/>
              <w:t xml:space="preserve">Sursele de date disponibile la nivel național nu pot întotdeauna să surprindă cu acuratețe fenomenele legate de libera circulație a persoanelor în Uniune, accesul persoanelor la servicii transfrontaliere privind evenimentele demografice de stare civilă și exercitarea drepturilor persoanelor de a cumpăra și de a deține proprietăți locative utilizate drept reședință primară, de vacanță și secundară în întreaga Uniune. Există, de asemenea, asimetrii în ceea ce privește fluxurile de migrație bilaterale și dificultăți în ceea ce privește măsurarea grupurilor de populație, de exemplu în rândul migranților, al persoanelor fără adăpost sau al apatrizilor. Prin urmare, schimbul de date în scopul elaborării statisticilor privind populația și migrația și al asigurării calității acestora ar trebui consolidat și considerat încă o sursă de date. Un astfel de schimb consolidat de date poate acoperi o gamă largă de date relevante, de la date care în mod clar nu permit identificarea unităților statistice, fie direct, fie indirect, până la date care ar putea face obiectul cerințelor de confidențialitate a informațiilor statistice. Statele membre ar trebui, în propriul lor interes și în interesul celorlalte state membre, să participe la activitățile de </w:t>
            </w:r>
            <w:r>
              <w:lastRenderedPageBreak/>
              <w:t>schimb de date, inclusiv la proiectele-pilot de evaluare a soluțiilor inovatoare sigure. Comisia (Eurostat) ar trebui, de asemenea, să instituie o infrastructură sigură pentru a facilita un astfel de schimb de date, asigurând în același timp toate garanțiile necesare</w:t>
            </w:r>
            <w:r>
              <w:rPr>
                <w:b/>
                <w:i/>
              </w:rPr>
              <w:t xml:space="preserve"> pentru protecția datelor</w:t>
            </w:r>
            <w:r>
              <w:t>.</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30</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(30)</w:t>
            </w:r>
            <w:r>
              <w:tab/>
              <w:t>Atunci când schimbul de date implică prelucrarea de date cu caracter personal în conformitate cu Regulamentul (UE) 2016/679 al Parlamentului European și al Consiliului</w:t>
            </w:r>
            <w:r>
              <w:rPr>
                <w:vertAlign w:val="superscript"/>
              </w:rPr>
              <w:t>37</w:t>
            </w:r>
            <w:r>
              <w:t xml:space="preserve"> sau cu Regulamentul (UE) 2018/1725, ar trebui să se aplice pe deplin principiile limitării scopului, reducerii la minimum a datelor, limitării stocării și integrității și confidențialității. În special, mecanismele de schimb de date bazate pe tehnologii de protecție a vieții private, concepute special pentru a pune în aplicare aceste principii, ar trebui să </w:t>
            </w:r>
            <w:r>
              <w:rPr>
                <w:b/>
                <w:i/>
              </w:rPr>
              <w:t>fie preferate în detrimentul transmiterii directe a datelor</w:t>
            </w:r>
            <w:r>
              <w:t>.</w:t>
            </w:r>
          </w:p>
        </w:tc>
        <w:tc>
          <w:tcPr>
            <w:tcW w:w="4876" w:type="dxa"/>
            <w:hideMark/>
          </w:tcPr>
          <w:p w:rsidR="00C213EB" w:rsidRPr="005F3712" w:rsidRDefault="00C213EB" w:rsidP="00C213EB">
            <w:pPr>
              <w:pStyle w:val="Normal6"/>
              <w:rPr>
                <w:szCs w:val="24"/>
              </w:rPr>
            </w:pPr>
            <w:r>
              <w:t>(30)</w:t>
            </w:r>
            <w:r>
              <w:tab/>
              <w:t>Atunci când schimbul de date implică prelucrarea de date cu caracter personal în conformitate cu Regulamentul (UE) 2016/679 al Parlamentului European și al Consiliului</w:t>
            </w:r>
            <w:r>
              <w:rPr>
                <w:vertAlign w:val="superscript"/>
              </w:rPr>
              <w:t>37</w:t>
            </w:r>
            <w:r>
              <w:t xml:space="preserve"> sau cu Regulamentul (UE) 2018/1725, </w:t>
            </w:r>
            <w:r>
              <w:rPr>
                <w:b/>
                <w:i/>
              </w:rPr>
              <w:t xml:space="preserve">datele partajate sunt anonimizate sau pseudonimizate și </w:t>
            </w:r>
            <w:r>
              <w:t xml:space="preserve">ar trebui să se aplice pe deplin principiile limitării scopului, reducerii la minimum a datelor, limitării stocării și integrității și confidențialității. În special, mecanismele de schimb de date bazate pe tehnologii de protecție a vieții private, concepute special pentru a pune în aplicare aceste principii, ar trebui să </w:t>
            </w:r>
            <w:r>
              <w:rPr>
                <w:b/>
                <w:i/>
              </w:rPr>
              <w:t>devină noul standard</w:t>
            </w:r>
            <w:r>
              <w:t>.</w:t>
            </w:r>
          </w:p>
        </w:tc>
      </w:tr>
      <w:tr w:rsidR="00C213EB" w:rsidTr="00C213EB">
        <w:trPr>
          <w:jc w:val="center"/>
        </w:trPr>
        <w:tc>
          <w:tcPr>
            <w:tcW w:w="4876" w:type="dxa"/>
            <w:hideMark/>
          </w:tcPr>
          <w:p w:rsidR="00C213EB" w:rsidRPr="005F3712" w:rsidRDefault="00C213EB" w:rsidP="00C213EB">
            <w:pPr>
              <w:pStyle w:val="Normal6"/>
            </w:pPr>
            <w:r>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37</w:t>
            </w:r>
            <w: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c>
          <w:tcPr>
            <w:tcW w:w="4876" w:type="dxa"/>
            <w:hideMark/>
          </w:tcPr>
          <w:p w:rsidR="00C213EB" w:rsidRPr="005F3712" w:rsidRDefault="00C213EB" w:rsidP="00C213EB">
            <w:pPr>
              <w:pStyle w:val="Normal6"/>
              <w:rPr>
                <w:szCs w:val="24"/>
              </w:rPr>
            </w:pPr>
            <w:r>
              <w:rPr>
                <w:vertAlign w:val="superscript"/>
              </w:rPr>
              <w:t>37</w:t>
            </w:r>
            <w: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rsidRPr="005F3712">
        <w:t>Amendment</w:t>
      </w:r>
      <w:r w:rsidRPr="005F3712">
        <w:tab/>
      </w:r>
      <w:r w:rsidRPr="005F3712">
        <w:tab/>
      </w:r>
      <w:r w:rsidRPr="005908C9">
        <w:rPr>
          <w:rStyle w:val="HideTWBExt"/>
          <w:b w:val="0"/>
        </w:rPr>
        <w:t>&lt;NumAm&gt;</w:t>
      </w:r>
      <w:r w:rsidRPr="005F3712">
        <w:t>68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rsidRPr="005F3712">
        <w:t>Lívia Járóka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rsidRPr="005F3712">
        <w:t>Proposal for a regulation</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rsidRPr="005F3712">
        <w:t>Recital 30</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RPr="005F3712" w:rsidTr="00C213EB">
        <w:trPr>
          <w:jc w:val="center"/>
        </w:trPr>
        <w:tc>
          <w:tcPr>
            <w:tcW w:w="9752" w:type="dxa"/>
            <w:gridSpan w:val="2"/>
          </w:tcPr>
          <w:p w:rsidR="00C213EB" w:rsidRPr="005F3712" w:rsidRDefault="00C213EB" w:rsidP="00C213EB">
            <w:pPr>
              <w:keepNext/>
            </w:pPr>
          </w:p>
        </w:tc>
      </w:tr>
      <w:tr w:rsidR="00C213EB" w:rsidRPr="005F3712" w:rsidTr="00C213EB">
        <w:trPr>
          <w:jc w:val="center"/>
        </w:trPr>
        <w:tc>
          <w:tcPr>
            <w:tcW w:w="4876" w:type="dxa"/>
            <w:hideMark/>
          </w:tcPr>
          <w:p w:rsidR="00C213EB" w:rsidRPr="005F3712" w:rsidRDefault="00C213EB" w:rsidP="00C213EB">
            <w:pPr>
              <w:pStyle w:val="ColumnHeading"/>
              <w:keepNext/>
            </w:pPr>
            <w:r w:rsidRPr="005F3712">
              <w:t>Text proposed by the Commission</w:t>
            </w:r>
          </w:p>
        </w:tc>
        <w:tc>
          <w:tcPr>
            <w:tcW w:w="4876" w:type="dxa"/>
            <w:hideMark/>
          </w:tcPr>
          <w:p w:rsidR="00C213EB" w:rsidRPr="005F3712" w:rsidRDefault="00C213EB" w:rsidP="00C213EB">
            <w:pPr>
              <w:pStyle w:val="ColumnHeading"/>
              <w:keepNext/>
            </w:pPr>
            <w:r w:rsidRPr="005F3712">
              <w:t>Amendment</w:t>
            </w:r>
          </w:p>
        </w:tc>
      </w:tr>
      <w:tr w:rsidR="00C213EB" w:rsidRPr="005F3712" w:rsidTr="00C213EB">
        <w:trPr>
          <w:jc w:val="center"/>
        </w:trPr>
        <w:tc>
          <w:tcPr>
            <w:tcW w:w="4876" w:type="dxa"/>
            <w:hideMark/>
          </w:tcPr>
          <w:p w:rsidR="00C213EB" w:rsidRPr="005F3712" w:rsidRDefault="00C213EB" w:rsidP="00C213EB">
            <w:pPr>
              <w:pStyle w:val="Normal6"/>
            </w:pPr>
            <w:r w:rsidRPr="005F3712">
              <w:t>(30)</w:t>
            </w:r>
            <w:r w:rsidRPr="005F3712">
              <w:tab/>
              <w:t>When data sharing entails processing of personal data according to Regulation (EU) 2016/679 of the European Parliament and of the Council</w:t>
            </w:r>
            <w:r w:rsidRPr="005F3712">
              <w:rPr>
                <w:vertAlign w:val="superscript"/>
              </w:rPr>
              <w:t>37</w:t>
            </w:r>
            <w:r w:rsidRPr="005F3712">
              <w:t xml:space="preserve"> or Regulation (EU) 2018/1725, the principles of purpose limitation, data minimisation, storage limitation and integrity and confidentiality should be fully applied. In particular, data sharing mechanisms based on privacy enhancing technologies that are specifically designed to implement these principles should be preferred over direct data transmission.</w:t>
            </w:r>
          </w:p>
        </w:tc>
        <w:tc>
          <w:tcPr>
            <w:tcW w:w="4876" w:type="dxa"/>
            <w:hideMark/>
          </w:tcPr>
          <w:p w:rsidR="00C213EB" w:rsidRPr="005F3712" w:rsidRDefault="00C213EB" w:rsidP="00C213EB">
            <w:pPr>
              <w:pStyle w:val="Normal6"/>
              <w:rPr>
                <w:szCs w:val="24"/>
              </w:rPr>
            </w:pPr>
            <w:r w:rsidRPr="005F3712">
              <w:t>(30)</w:t>
            </w:r>
            <w:r w:rsidRPr="005F3712">
              <w:tab/>
            </w:r>
            <w:r w:rsidRPr="005F3712">
              <w:rPr>
                <w:i/>
                <w:iCs/>
              </w:rPr>
              <w:t>[Does not affect English version.]</w:t>
            </w:r>
            <w:r w:rsidRPr="005F3712">
              <w:t xml:space="preserve"> </w:t>
            </w:r>
            <w:r w:rsidRPr="005F3712">
              <w:rPr>
                <w:i/>
                <w:iCs/>
              </w:rPr>
              <w:t>[Does not affect English version.]</w:t>
            </w:r>
          </w:p>
        </w:tc>
      </w:tr>
      <w:tr w:rsidR="00C213EB" w:rsidRPr="005F3712" w:rsidTr="00C213EB">
        <w:trPr>
          <w:jc w:val="center"/>
        </w:trPr>
        <w:tc>
          <w:tcPr>
            <w:tcW w:w="4876" w:type="dxa"/>
            <w:hideMark/>
          </w:tcPr>
          <w:p w:rsidR="00C213EB" w:rsidRPr="005F3712" w:rsidRDefault="00C213EB" w:rsidP="00C213EB">
            <w:pPr>
              <w:pStyle w:val="Normal6"/>
            </w:pPr>
            <w:r w:rsidRPr="005F3712">
              <w:t>__________________</w:t>
            </w:r>
          </w:p>
        </w:tc>
        <w:tc>
          <w:tcPr>
            <w:tcW w:w="4876" w:type="dxa"/>
            <w:hideMark/>
          </w:tcPr>
          <w:p w:rsidR="00C213EB" w:rsidRPr="005F3712" w:rsidRDefault="00C213EB" w:rsidP="00C213EB">
            <w:pPr>
              <w:pStyle w:val="Normal6"/>
              <w:rPr>
                <w:szCs w:val="24"/>
              </w:rPr>
            </w:pPr>
            <w:r w:rsidRPr="005F3712">
              <w:t>__________________</w:t>
            </w:r>
          </w:p>
        </w:tc>
      </w:tr>
      <w:tr w:rsidR="00C213EB" w:rsidRPr="005F3712" w:rsidTr="00C213EB">
        <w:trPr>
          <w:jc w:val="center"/>
        </w:trPr>
        <w:tc>
          <w:tcPr>
            <w:tcW w:w="4876" w:type="dxa"/>
            <w:hideMark/>
          </w:tcPr>
          <w:p w:rsidR="00C213EB" w:rsidRPr="005F3712" w:rsidRDefault="00C213EB" w:rsidP="00C213EB">
            <w:pPr>
              <w:pStyle w:val="Normal6"/>
            </w:pPr>
            <w:r w:rsidRPr="005F3712">
              <w:rPr>
                <w:vertAlign w:val="superscript"/>
              </w:rPr>
              <w:t>37</w:t>
            </w:r>
            <w:r w:rsidRPr="005F3712">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tc>
        <w:tc>
          <w:tcPr>
            <w:tcW w:w="4876" w:type="dxa"/>
            <w:hideMark/>
          </w:tcPr>
          <w:p w:rsidR="00C213EB" w:rsidRPr="005F3712" w:rsidRDefault="00C213EB" w:rsidP="00C213EB">
            <w:pPr>
              <w:pStyle w:val="Normal6"/>
              <w:rPr>
                <w:szCs w:val="24"/>
              </w:rPr>
            </w:pPr>
            <w:r w:rsidRPr="005F3712">
              <w:rPr>
                <w:i/>
                <w:iCs/>
              </w:rPr>
              <w:t>[Does not affect English version.]</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{HU}</w:t>
      </w:r>
      <w:r w:rsidRPr="005F3712">
        <w:rPr>
          <w:noProof w:val="0"/>
        </w:rPr>
        <w:t>hu</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69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32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(32)</w:t>
            </w:r>
            <w:r>
              <w:tab/>
              <w:t xml:space="preserve">Pe termen lung, eforturile de colaborare din cadrul Sistemului Statistic European în vederea atenuării problemelor transfrontaliere de calitate statistică, cum ar fi dubla contabilizare a rezidenților Uniunii care beneficiază de libertatea de circulație, ar trebui </w:t>
            </w:r>
            <w:r>
              <w:rPr>
                <w:b/>
                <w:i/>
              </w:rPr>
              <w:t>să beneficieze cât mai mult posibil de identificatorii</w:t>
            </w:r>
            <w:r>
              <w:t xml:space="preserve"> digitali unici stabiliți la nivelul Uniunii prin Regulamentul (UE) nr. 910/2014.</w:t>
            </w:r>
          </w:p>
        </w:tc>
        <w:tc>
          <w:tcPr>
            <w:tcW w:w="4876" w:type="dxa"/>
            <w:hideMark/>
          </w:tcPr>
          <w:p w:rsidR="00C213EB" w:rsidRPr="005F3712" w:rsidRDefault="00C213EB" w:rsidP="00C213EB">
            <w:pPr>
              <w:pStyle w:val="Normal6"/>
              <w:rPr>
                <w:szCs w:val="24"/>
              </w:rPr>
            </w:pPr>
            <w:r>
              <w:t>(32)</w:t>
            </w:r>
            <w:r>
              <w:tab/>
              <w:t xml:space="preserve">Pe termen lung, eforturile de colaborare din cadrul Sistemului Statistic European în vederea atenuării problemelor transfrontaliere de calitate statistică, cum ar fi dubla contabilizare a rezidenților Uniunii care beneficiază de libertatea de circulație, ar trebui </w:t>
            </w:r>
            <w:r>
              <w:rPr>
                <w:b/>
                <w:i/>
              </w:rPr>
              <w:t>facilitate prin introducerea unor identificatori</w:t>
            </w:r>
            <w:r>
              <w:t xml:space="preserve"> digitali unici stabiliți la nivelul Uniunii prin Regulamentul (UE) nr. 910/2014.</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33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(33)</w:t>
            </w:r>
            <w:r>
              <w:tab/>
              <w:t>Acest regulament nu aduce atingere Regulamentelor (UE) 2016/679 și (UE) 2018/1725 și Directivei 2002/58/CE ale Parlamentului European și ale Consiliului.</w:t>
            </w:r>
            <w:r>
              <w:rPr>
                <w:vertAlign w:val="superscript"/>
              </w:rPr>
              <w:t>38</w:t>
            </w:r>
            <w:r>
              <w:t xml:space="preserve"> În cadrul domeniului lor de aplicare, aceste din urmă regulamente se aplică prelucrării datelor cu caracter personal în temeiul prezentului regulament.</w:t>
            </w:r>
          </w:p>
        </w:tc>
        <w:tc>
          <w:tcPr>
            <w:tcW w:w="4876" w:type="dxa"/>
            <w:hideMark/>
          </w:tcPr>
          <w:p w:rsidR="00C213EB" w:rsidRPr="005F3712" w:rsidRDefault="00C213EB" w:rsidP="00C213EB">
            <w:pPr>
              <w:pStyle w:val="Normal6"/>
              <w:rPr>
                <w:szCs w:val="24"/>
              </w:rPr>
            </w:pPr>
            <w:r>
              <w:t>(33)</w:t>
            </w:r>
            <w:r>
              <w:tab/>
              <w:t>Acest regulament nu aduce atingere Regulamentelor (UE) 2016/679 și (UE) 2018/1725 și Directivei 2002/58/CE ale Parlamentului European și ale Consiliului.</w:t>
            </w:r>
            <w:r>
              <w:rPr>
                <w:vertAlign w:val="superscript"/>
              </w:rPr>
              <w:t>38</w:t>
            </w:r>
            <w:r>
              <w:t xml:space="preserve"> În cadrul domeniului lor de aplicare, aceste din urmă regulamente se aplică prelucrării datelor cu caracter personal în temeiul prezentului regulament. </w:t>
            </w:r>
            <w:r>
              <w:rPr>
                <w:b/>
                <w:i/>
              </w:rPr>
              <w:t>Ca urmare a nevoilor de prelucrare ulterioară a datelor cu caracter personal în scopuri statistice, se utilizează date anonimizate sau pseudonimizate pentru a asigura garanțiile adoptate în temeiul articolului 89 din Regulamentul (UE) 2016/679 și al articolului 13 din Regulamentul (UE) 2018/1725.</w:t>
            </w:r>
          </w:p>
        </w:tc>
      </w:tr>
      <w:tr w:rsidR="00C213EB" w:rsidTr="00C213EB">
        <w:trPr>
          <w:jc w:val="center"/>
        </w:trPr>
        <w:tc>
          <w:tcPr>
            <w:tcW w:w="4876" w:type="dxa"/>
            <w:hideMark/>
          </w:tcPr>
          <w:p w:rsidR="00C213EB" w:rsidRPr="005F3712" w:rsidRDefault="00C213EB" w:rsidP="00C213EB">
            <w:pPr>
              <w:pStyle w:val="Normal6"/>
            </w:pPr>
            <w:r>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38</w:t>
            </w:r>
            <w:r>
              <w:t xml:space="preserve"> Directiva 2002/58/CE a Parlamentului European și a Consiliului din 12 iulie 2002 privind prelucrarea datelor personale și </w:t>
            </w:r>
            <w:r>
              <w:lastRenderedPageBreak/>
              <w:t>protejarea confidențialității în sectorul comunicațiilor publice (Directiva asupra confidențialității și comunicațiilor electronice) (JO L 201, 31.7.2002, p. 37).</w:t>
            </w:r>
          </w:p>
        </w:tc>
        <w:tc>
          <w:tcPr>
            <w:tcW w:w="4876" w:type="dxa"/>
            <w:hideMark/>
          </w:tcPr>
          <w:p w:rsidR="00C213EB" w:rsidRPr="005F3712" w:rsidRDefault="00C213EB" w:rsidP="00C213EB">
            <w:pPr>
              <w:pStyle w:val="Normal6"/>
              <w:rPr>
                <w:szCs w:val="24"/>
              </w:rPr>
            </w:pPr>
            <w:r>
              <w:rPr>
                <w:vertAlign w:val="superscript"/>
              </w:rPr>
              <w:lastRenderedPageBreak/>
              <w:t>38</w:t>
            </w:r>
            <w:r>
              <w:t xml:space="preserve"> Directiva 2002/58/CE a Parlamentului European și a Consiliului din 12 iulie 2002 privind prelucrarea datelor personale și </w:t>
            </w:r>
            <w:r>
              <w:lastRenderedPageBreak/>
              <w:t>protejarea confidențialității în sectorul comunicațiilor publice (Directiva asupra confidențialității și comunicațiilor electronice) (JO L 201, 31.7.2002, p. 37).</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Katrin Langensiepen</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33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(33)</w:t>
            </w:r>
            <w:r>
              <w:tab/>
              <w:t>Acest regulament nu aduce atingere Regulamentelor (UE) 2016/679 și (UE) 2018/1725 și Directivei 2002/58/CE ale Parlamentului European și ale Consiliului.</w:t>
            </w:r>
            <w:r>
              <w:rPr>
                <w:vertAlign w:val="superscript"/>
              </w:rPr>
              <w:t>38</w:t>
            </w:r>
            <w:r>
              <w:t xml:space="preserve"> În cadrul domeniului lor de aplicare, aceste din urmă regulamente se aplică prelucrării datelor cu caracter personal în temeiul prezentului regulament.</w:t>
            </w:r>
          </w:p>
        </w:tc>
        <w:tc>
          <w:tcPr>
            <w:tcW w:w="4876" w:type="dxa"/>
            <w:hideMark/>
          </w:tcPr>
          <w:p w:rsidR="00C213EB" w:rsidRPr="005F3712" w:rsidRDefault="00C213EB" w:rsidP="00C213EB">
            <w:pPr>
              <w:pStyle w:val="Normal6"/>
              <w:rPr>
                <w:szCs w:val="24"/>
              </w:rPr>
            </w:pPr>
            <w:r>
              <w:t>(33)</w:t>
            </w:r>
            <w:r>
              <w:tab/>
              <w:t>Acest regulament nu aduce atingere Regulamentelor (UE) 2016/679 și (UE) 2018/1725 și Directivei 2002/58/CE ale Parlamentului European și ale Consiliului.</w:t>
            </w:r>
            <w:r>
              <w:rPr>
                <w:vertAlign w:val="superscript"/>
              </w:rPr>
              <w:t>38</w:t>
            </w:r>
            <w:r>
              <w:t xml:space="preserve"> În cadrul domeniului lor de aplicare, aceste din urmă regulamente se aplică prelucrării datelor cu caracter personal în temeiul prezentului regulament.</w:t>
            </w:r>
            <w:r>
              <w:rPr>
                <w:b/>
                <w:i/>
              </w:rPr>
              <w:t xml:space="preserve"> În special, statisticile ar trebui produse prin prelucrarea datelor anonimizate. Ar trebui prelucrate date pseudonimizate numai în cazul în care statisticile nu pot fi produse prin prelucrarea de date anonimizate.</w:t>
            </w:r>
          </w:p>
        </w:tc>
      </w:tr>
      <w:tr w:rsidR="00C213EB" w:rsidTr="00C213EB">
        <w:trPr>
          <w:jc w:val="center"/>
        </w:trPr>
        <w:tc>
          <w:tcPr>
            <w:tcW w:w="4876" w:type="dxa"/>
            <w:hideMark/>
          </w:tcPr>
          <w:p w:rsidR="00C213EB" w:rsidRPr="005F3712" w:rsidRDefault="00C213EB" w:rsidP="00C213EB">
            <w:pPr>
              <w:pStyle w:val="Normal6"/>
            </w:pPr>
            <w:r>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38</w:t>
            </w:r>
            <w:r>
              <w:t xml:space="preserve"> 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w:t>
            </w:r>
          </w:p>
        </w:tc>
        <w:tc>
          <w:tcPr>
            <w:tcW w:w="4876" w:type="dxa"/>
            <w:hideMark/>
          </w:tcPr>
          <w:p w:rsidR="00C213EB" w:rsidRPr="005F3712" w:rsidRDefault="00C213EB" w:rsidP="00C213EB">
            <w:pPr>
              <w:pStyle w:val="Normal6"/>
              <w:rPr>
                <w:szCs w:val="24"/>
              </w:rPr>
            </w:pPr>
            <w:r>
              <w:rPr>
                <w:vertAlign w:val="superscript"/>
              </w:rPr>
              <w:t>38</w:t>
            </w:r>
            <w:r>
              <w:t xml:space="preserve"> 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lastRenderedPageBreak/>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35</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(35)</w:t>
            </w:r>
            <w:r>
              <w:tab/>
              <w:t>Pentru a ține seama de tendințele demografice, economice și sociale, precum și de evoluțiile tehnologice, Comisiei ar trebui să i se delege competența de a adopta acte în conformitate cu articolul 290 din TFUE pentru a modifica lista, descrierea, periodicitatea și termenele de referință ale subiectelor detaliate acoperite de statisticile europene privind populația și locuințele; a actualiza periodicitatea și termenele de referință din anexa la prezentul regulament și specificarea informațiilor care trebuie furnizate ad-hoc de către statele membre. Este deosebit de important ca, în cursul lucrărilor sale pregătitoare, Comisia să organizeze consultări corespunzătoare, inclusiv la nivel de experți, și ca respectivele consultări să se desfășoare în conformitate cu principiile stabilite în Acordul interinstituțional privind o mai bună legiferare</w:t>
            </w:r>
            <w:r>
              <w:rPr>
                <w:vertAlign w:val="superscript"/>
              </w:rPr>
              <w:t>39</w:t>
            </w:r>
            <w:r>
              <w:t>, adoptat la 13 aprilie 2016.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hideMark/>
          </w:tcPr>
          <w:p w:rsidR="00C213EB" w:rsidRPr="005F3712" w:rsidRDefault="00C213EB" w:rsidP="00C213EB">
            <w:pPr>
              <w:pStyle w:val="Normal6"/>
              <w:rPr>
                <w:szCs w:val="24"/>
              </w:rPr>
            </w:pPr>
            <w:r>
              <w:t>(35)</w:t>
            </w:r>
            <w:r>
              <w:tab/>
              <w:t>Pentru a ține seama de tendințele demografice, economice și sociale, precum și de evoluțiile tehnologice, Comisiei ar trebui să i se delege competența de a adopta acte în conformitate cu articolul 290 din TFUE pentru a modifica lista, descrierea, periodicitatea și termenele de referință ale subiectelor detaliate acoperite de statisticile europene privind populația și locuințele; a actualiza periodicitatea și termenele de referință din anexa la prezentul regulament și specificarea informațiilor care trebuie furnizate ad-hoc de către statele membre.</w:t>
            </w:r>
            <w:r>
              <w:rPr>
                <w:b/>
                <w:i/>
              </w:rPr>
              <w:t xml:space="preserve"> Niciun astfel de act delegat nu impune statelor membre cerințe care pot fi îndeplinite numai prin colectarea de date direct de la persoane și niciun astfel de act delegat nu solicită statelor membre să colecteze sau să analizeze date cu caracter personal sensibile, astfel cum sunt definite în Regulamentul 2016/679.</w:t>
            </w:r>
            <w:r>
              <w:t xml:space="preserve"> Este deosebit de important ca, în cursul lucrărilor sale pregătitoare, Comisia să organizeze consultări corespunzătoare, inclusiv la nivel de experți, și ca respectivele consultări să se desfășoare în conformitate cu principiile stabilite în Acordul interinstituțional privind o mai bună legiferare</w:t>
            </w:r>
            <w:r>
              <w:rPr>
                <w:vertAlign w:val="superscript"/>
              </w:rPr>
              <w:t>39</w:t>
            </w:r>
            <w:r>
              <w:t>, adoptat la 13 aprilie 2016.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C213EB" w:rsidTr="00C213EB">
        <w:trPr>
          <w:jc w:val="center"/>
        </w:trPr>
        <w:tc>
          <w:tcPr>
            <w:tcW w:w="4876" w:type="dxa"/>
            <w:hideMark/>
          </w:tcPr>
          <w:p w:rsidR="00C213EB" w:rsidRPr="005F3712" w:rsidRDefault="00C213EB" w:rsidP="00C213EB">
            <w:pPr>
              <w:pStyle w:val="Normal6"/>
            </w:pPr>
            <w:r>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39</w:t>
            </w:r>
            <w:r>
              <w:t xml:space="preserve"> JO L 123, 12.5.2016, p. 1.</w:t>
            </w:r>
          </w:p>
        </w:tc>
        <w:tc>
          <w:tcPr>
            <w:tcW w:w="4876" w:type="dxa"/>
            <w:hideMark/>
          </w:tcPr>
          <w:p w:rsidR="00C213EB" w:rsidRPr="005F3712" w:rsidRDefault="00C213EB" w:rsidP="00C213EB">
            <w:pPr>
              <w:pStyle w:val="Normal6"/>
              <w:rPr>
                <w:szCs w:val="24"/>
              </w:rPr>
            </w:pPr>
            <w:r>
              <w:rPr>
                <w:vertAlign w:val="superscript"/>
              </w:rPr>
              <w:t>39</w:t>
            </w:r>
            <w:r>
              <w:t xml:space="preserve"> JO L 123, 12.5.2016, p. 1.</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lastRenderedPageBreak/>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35</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(35)</w:t>
            </w:r>
            <w:r>
              <w:tab/>
              <w:t xml:space="preserve">Pentru a ține seama de tendințele demografice, economice și sociale, </w:t>
            </w:r>
            <w:r>
              <w:rPr>
                <w:b/>
                <w:i/>
              </w:rPr>
              <w:t>precum</w:t>
            </w:r>
            <w:r>
              <w:t xml:space="preserve"> și de </w:t>
            </w:r>
            <w:r>
              <w:rPr>
                <w:b/>
                <w:i/>
              </w:rPr>
              <w:t>evoluțiile tehnologice</w:t>
            </w:r>
            <w:r>
              <w:t>, Comisiei ar trebui să i se delege competența de a adopta acte în conformitate cu articolul 290 din TFUE pentru a modifica lista, descrierea, periodicitatea și termenele de referință ale subiectelor detaliate acoperite de statisticile europene privind populația și locuințele; a actualiza periodicitatea și termenele de referință din anexa la prezentul regulament și specificarea informațiilor care trebuie furnizate ad-hoc de către statele membre. Este deosebit de important ca, în cursul lucrărilor sale pregătitoare, Comisia să organizeze consultări corespunzătoare, inclusiv la nivel de experți, și ca respectivele consultări să se desfășoare în conformitate cu principiile stabilite în Acordul interinstituțional privind o mai bună legiferare</w:t>
            </w:r>
            <w:r>
              <w:rPr>
                <w:vertAlign w:val="superscript"/>
              </w:rPr>
              <w:t>39</w:t>
            </w:r>
            <w:r>
              <w:t>, adoptat la 13 aprilie 2016.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hideMark/>
          </w:tcPr>
          <w:p w:rsidR="00C213EB" w:rsidRPr="005F3712" w:rsidRDefault="00C213EB" w:rsidP="00C213EB">
            <w:pPr>
              <w:pStyle w:val="Normal6"/>
              <w:rPr>
                <w:szCs w:val="24"/>
              </w:rPr>
            </w:pPr>
            <w:r>
              <w:t>(35)</w:t>
            </w:r>
            <w:r>
              <w:tab/>
              <w:t xml:space="preserve">Pentru a ține seama de tendințele demografice, economice și sociale, </w:t>
            </w:r>
            <w:r>
              <w:rPr>
                <w:b/>
                <w:i/>
              </w:rPr>
              <w:t>de evoluțiile tehnologice</w:t>
            </w:r>
            <w:r>
              <w:t xml:space="preserve"> și de </w:t>
            </w:r>
            <w:r>
              <w:rPr>
                <w:b/>
                <w:i/>
              </w:rPr>
              <w:t>necesitatea de a elabora în timp util politici bine orientate</w:t>
            </w:r>
            <w:r>
              <w:t>, Comisiei ar trebui să i se delege competența de a adopta acte în conformitate cu articolul 290 din TFUE pentru a modifica lista, descrierea, periodicitatea și termenele de referință ale subiectelor detaliate acoperite de statisticile europene privind populația și locuințele; a actualiza periodicitatea și termenele de referință din anexa la prezentul regulament și specificarea informațiilor care trebuie furnizate ad-hoc de către statele membre. Este deosebit de important ca, în cursul lucrărilor sale pregătitoare, Comisia să organizeze consultări corespunzătoare, inclusiv la nivel de experți, și ca respectivele consultări să se desfășoare în conformitate cu principiile stabilite în Acordul interinstituțional privind o mai bună legiferare</w:t>
            </w:r>
            <w:r>
              <w:rPr>
                <w:vertAlign w:val="superscript"/>
              </w:rPr>
              <w:t>39</w:t>
            </w:r>
            <w:r>
              <w:t>, adoptat la 13 aprilie 2016.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C213EB" w:rsidTr="00C213EB">
        <w:trPr>
          <w:jc w:val="center"/>
        </w:trPr>
        <w:tc>
          <w:tcPr>
            <w:tcW w:w="4876" w:type="dxa"/>
            <w:hideMark/>
          </w:tcPr>
          <w:p w:rsidR="00C213EB" w:rsidRPr="005F3712" w:rsidRDefault="00C213EB" w:rsidP="00C213EB">
            <w:pPr>
              <w:pStyle w:val="Normal6"/>
            </w:pPr>
            <w:r>
              <w:t>__________________</w:t>
            </w:r>
          </w:p>
        </w:tc>
        <w:tc>
          <w:tcPr>
            <w:tcW w:w="4876" w:type="dxa"/>
            <w:hideMark/>
          </w:tcPr>
          <w:p w:rsidR="00C213EB" w:rsidRPr="005F3712" w:rsidRDefault="00C213EB" w:rsidP="00C213EB">
            <w:pPr>
              <w:pStyle w:val="Normal6"/>
              <w:rPr>
                <w:szCs w:val="24"/>
              </w:rPr>
            </w:pPr>
            <w:r>
              <w:t>__________________</w:t>
            </w:r>
          </w:p>
        </w:tc>
      </w:tr>
      <w:tr w:rsidR="00C213EB" w:rsidTr="00C213EB">
        <w:trPr>
          <w:jc w:val="center"/>
        </w:trPr>
        <w:tc>
          <w:tcPr>
            <w:tcW w:w="4876" w:type="dxa"/>
            <w:hideMark/>
          </w:tcPr>
          <w:p w:rsidR="00C213EB" w:rsidRPr="005F3712" w:rsidRDefault="00C213EB" w:rsidP="00C213EB">
            <w:pPr>
              <w:pStyle w:val="Normal6"/>
            </w:pPr>
            <w:r>
              <w:rPr>
                <w:vertAlign w:val="superscript"/>
              </w:rPr>
              <w:t>39</w:t>
            </w:r>
            <w:r>
              <w:t xml:space="preserve"> JO L 123, 12.5.2016, p. 1.</w:t>
            </w:r>
          </w:p>
        </w:tc>
        <w:tc>
          <w:tcPr>
            <w:tcW w:w="4876" w:type="dxa"/>
            <w:hideMark/>
          </w:tcPr>
          <w:p w:rsidR="00C213EB" w:rsidRPr="005F3712" w:rsidRDefault="00C213EB" w:rsidP="00C213EB">
            <w:pPr>
              <w:pStyle w:val="Normal6"/>
              <w:rPr>
                <w:szCs w:val="24"/>
              </w:rPr>
            </w:pPr>
            <w:r>
              <w:rPr>
                <w:vertAlign w:val="superscript"/>
              </w:rPr>
              <w:t>39</w:t>
            </w:r>
            <w:r>
              <w:t xml:space="preserve"> JO L 123, 12.5.2016, p. 1.</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lastRenderedPageBreak/>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Considerentul 35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(35a)</w:t>
            </w:r>
            <w:r>
              <w:rPr>
                <w:b/>
                <w:i/>
              </w:rPr>
              <w:tab/>
              <w:t>Importanța statisticilor europene ca parte esențială a procesului decizional bazat pe date concrete se reflectă în bugetul UE pentru perioada 2021-2027 pentru asigurarea sprijinului financiar pentru dezvoltarea, producerea și difuzarea de statistici europene de înaltă calitate prin intermediul Programului privind piața unică. Reformarea colectării de date printr-o cooperare eficace între autoritățile naționale relevante, institutele de statistică și furnizorii de date, precum și îmbunătățirea calității datelor ar trebui să devină eligibile pentru a beneficia de Instrumentul de sprijin tehnic. În acest scop, fondurile sunt utilizate pentru a ajuta institutele naționale de statistică și alte autorități naționale competente să colecteze datele necesare solicitate de Comisie (Eurostat), în special în cazurile de colectare de date ad-hoc, astfel cum se prevede în prezentul regulament.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2 – paragraful 1 – punctul 2 – litera ba (nouă)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(ba)</w:t>
            </w:r>
            <w:r>
              <w:rPr>
                <w:b/>
                <w:i/>
              </w:rPr>
              <w:tab/>
              <w:t xml:space="preserve">În cazul în care nu se pot verifica circumstanțele descrise la litera (a) sau (b), „reședință obișnuită” înseamnă locul </w:t>
            </w:r>
            <w:r>
              <w:rPr>
                <w:b/>
                <w:i/>
              </w:rPr>
              <w:lastRenderedPageBreak/>
              <w:t>de reședință legal sau înregistrat;</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Întrucât registrele de evidență a populației nu reflectă pe deplin conceptul de populație de bază, ar trebui reintroduse dispozițiile articolului 2 litera (d) din Regulamentul (CE) nr. 763/2008 și ale articolului 2 litera (d) din Regulamentul (UE) nr. 1260/2013.</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2 – paragraful 1 – punctul 8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(8a)</w:t>
            </w:r>
            <w:r>
              <w:rPr>
                <w:b/>
                <w:i/>
              </w:rPr>
              <w:tab/>
              <w:t>„grupuri de populație greu accesibile” înseamnă grupuri de persoane în cazul cărora există o barieră reală sau percepută în calea includerii lor depline și reprezentative în colectarea de date statistice;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2 – paragraful 1 – punctul 8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(8a)</w:t>
            </w:r>
            <w:r>
              <w:rPr>
                <w:b/>
                <w:i/>
              </w:rPr>
              <w:tab/>
              <w:t xml:space="preserve">„grupuri de populație greu accesibile” înseamnă grupuri de persoane în cazul cărora există o barieră reală sau percepută în calea includerii lor depline și reprezentative în colectarea de date </w:t>
            </w:r>
            <w:r>
              <w:rPr>
                <w:b/>
                <w:i/>
              </w:rPr>
              <w:lastRenderedPageBreak/>
              <w:t>statistice;</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2 – paragraful 1 – punctul 12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(12a)</w:t>
            </w:r>
            <w:r>
              <w:rPr>
                <w:b/>
                <w:i/>
              </w:rPr>
              <w:tab/>
              <w:t>„instituție” înseamnă un spațiu de locuit colectiv care are ca scop procurarea unei locuințe pe termen lung și furnizarea de servicii pentru un grup de persoane;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79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2 – paragraful 1 – punctul 13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(13)</w:t>
            </w:r>
            <w:r>
              <w:tab/>
              <w:t>„familie” înseamnă un grup de două sau mai multe persoane care trăiesc în aceeași gospodărie și care sunt înrudite printr-o legătură de filiație sau prin căsătorie, parteneriat înregistrat sau uniune consensuală;</w:t>
            </w:r>
          </w:p>
        </w:tc>
        <w:tc>
          <w:tcPr>
            <w:tcW w:w="4876" w:type="dxa"/>
            <w:hideMark/>
          </w:tcPr>
          <w:p w:rsidR="00C213EB" w:rsidRPr="005F3712" w:rsidRDefault="00C213EB" w:rsidP="00C213EB">
            <w:pPr>
              <w:pStyle w:val="Normal6"/>
              <w:rPr>
                <w:szCs w:val="24"/>
              </w:rPr>
            </w:pPr>
            <w:r>
              <w:t>(13)</w:t>
            </w:r>
            <w:r>
              <w:tab/>
              <w:t xml:space="preserve">„familie” înseamnă un grup de două sau mai multe persoane care trăiesc în aceeași gospodărie </w:t>
            </w:r>
            <w:r>
              <w:rPr>
                <w:b/>
                <w:i/>
              </w:rPr>
              <w:t xml:space="preserve">sau în mai multe gospodării </w:t>
            </w:r>
            <w:r>
              <w:t>și care sunt înrudite printr-o legătură de filiație sau prin căsătorie, parteneriat înregistrat sau uniune consensuală;</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lastRenderedPageBreak/>
        <w:t>&lt;Amend&gt;</w:t>
      </w:r>
      <w:r>
        <w:t>Amendamentul</w:t>
      </w:r>
      <w:r>
        <w:tab/>
      </w:r>
      <w:r>
        <w:tab/>
      </w:r>
      <w:r w:rsidRPr="005908C9">
        <w:rPr>
          <w:rStyle w:val="HideTWBExt"/>
          <w:b w:val="0"/>
        </w:rPr>
        <w:t>&lt;NumAm&gt;</w:t>
      </w:r>
      <w:r>
        <w:t>80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2 – paragraful 1 – punctul 21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(21)</w:t>
            </w:r>
            <w:r>
              <w:tab/>
              <w:t>„variabilă” înseamnă o caracteristică a unei unități statistice care poate lua mai mult de un set de valori;</w:t>
            </w:r>
          </w:p>
        </w:tc>
        <w:tc>
          <w:tcPr>
            <w:tcW w:w="4876" w:type="dxa"/>
            <w:hideMark/>
          </w:tcPr>
          <w:p w:rsidR="00C213EB" w:rsidRPr="005F3712" w:rsidRDefault="00C213EB" w:rsidP="00C213EB">
            <w:pPr>
              <w:pStyle w:val="Normal6"/>
              <w:rPr>
                <w:szCs w:val="24"/>
              </w:rPr>
            </w:pPr>
            <w:r>
              <w:t>(21)</w:t>
            </w:r>
            <w:r>
              <w:tab/>
              <w:t xml:space="preserve">„variabilă” înseamnă o caracteristică a unei unități statistice care poate lua mai mult de un set de valori; </w:t>
            </w:r>
            <w:r>
              <w:rPr>
                <w:b/>
                <w:i/>
              </w:rPr>
              <w:t>o variabilă este calculată ca o combinație a unei caracteristici a unei unități de observare cu unitatea de măsură corespunzătoare, defalcarea geografică contând ca una;</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Ar fi util să se introducă o dispoziție similară celei incluse în regulamentul SAIO, în urma acordului cu Comisia cu privire la modul de calculare a numărului de variabile.</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3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Populația de bază include toate persoanele cu reședință obișnuită, indiferent de cetățenie sau dacă persoana este sau a fost apatridă</w:t>
            </w:r>
            <w:r>
              <w:rPr>
                <w:b/>
                <w:i/>
              </w:rPr>
              <w:t xml:space="preserve"> și indiferent dacă reședința sau șederea persoanei este autorizată sau permisă sau nu de autoritățile competente</w:t>
            </w:r>
            <w:r>
              <w:t>.</w:t>
            </w:r>
          </w:p>
        </w:tc>
        <w:tc>
          <w:tcPr>
            <w:tcW w:w="4876" w:type="dxa"/>
            <w:hideMark/>
          </w:tcPr>
          <w:p w:rsidR="00C213EB" w:rsidRPr="005F3712" w:rsidRDefault="00C213EB" w:rsidP="00C213EB">
            <w:pPr>
              <w:pStyle w:val="Normal6"/>
              <w:rPr>
                <w:szCs w:val="24"/>
              </w:rPr>
            </w:pPr>
            <w:r>
              <w:t>2.</w:t>
            </w:r>
            <w:r>
              <w:tab/>
              <w:t>Populația de bază include toate persoanele cu reședință obișnuită, indiferent de cetățenie sau dacă persoana este sau a fost apatridă.</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lastRenderedPageBreak/>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3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Populația de bază include toate persoanele cu reședință obișnuită, indiferent de cetățenie sau dacă persoana este sau a fost apatridă</w:t>
            </w:r>
            <w:r>
              <w:rPr>
                <w:b/>
                <w:i/>
              </w:rPr>
              <w:t xml:space="preserve"> și indiferent dacă reședința sau șederea persoanei este autorizată sau permisă sau nu de autoritățile competente</w:t>
            </w:r>
            <w:r>
              <w:t>.</w:t>
            </w:r>
          </w:p>
        </w:tc>
        <w:tc>
          <w:tcPr>
            <w:tcW w:w="4876" w:type="dxa"/>
            <w:hideMark/>
          </w:tcPr>
          <w:p w:rsidR="00C213EB" w:rsidRPr="005F3712" w:rsidRDefault="00C213EB" w:rsidP="00C213EB">
            <w:pPr>
              <w:pStyle w:val="Normal6"/>
              <w:rPr>
                <w:szCs w:val="24"/>
              </w:rPr>
            </w:pPr>
            <w:r>
              <w:t>2.</w:t>
            </w:r>
            <w:r>
              <w:tab/>
              <w:t>Populația de bază include toate persoanele cu reședință obișnuită, indiferent de cetățenie sau dacă persoana este sau a fost apatridă.</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3 – alineatul 6 – litera b</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(b)</w:t>
            </w:r>
            <w:r>
              <w:tab/>
              <w:t xml:space="preserve">metode de estimare </w:t>
            </w:r>
            <w:r>
              <w:rPr>
                <w:b/>
                <w:i/>
              </w:rPr>
              <w:t xml:space="preserve">precum „semne de locuire” </w:t>
            </w:r>
            <w:r>
              <w:t>pentru corectarea prezenței efective la locul prezumat de reședință obișnuită în cea mai mare parte a perioadei în cele 12 luni care se încheie cu data de referință și</w:t>
            </w:r>
            <w:r>
              <w:rPr>
                <w:b/>
                <w:i/>
              </w:rPr>
              <w:t xml:space="preserve"> „rata de ședere”</w:t>
            </w:r>
            <w:r>
              <w:t xml:space="preserve"> pentru a estima numărul de persoane care intenționează sau se preconizează că vor rămâne în cea mai mare parte a timpului în cele 12 luni de la sosire.</w:t>
            </w:r>
          </w:p>
        </w:tc>
        <w:tc>
          <w:tcPr>
            <w:tcW w:w="4876" w:type="dxa"/>
            <w:hideMark/>
          </w:tcPr>
          <w:p w:rsidR="00C213EB" w:rsidRPr="005F3712" w:rsidRDefault="00C213EB" w:rsidP="00C213EB">
            <w:pPr>
              <w:pStyle w:val="Normal6"/>
              <w:rPr>
                <w:szCs w:val="24"/>
              </w:rPr>
            </w:pPr>
            <w:r>
              <w:t>(b)</w:t>
            </w:r>
            <w:r>
              <w:tab/>
              <w:t>metode de estimare pentru corectarea prezenței efective la locul prezumat de reședință obișnuită în cea mai mare parte a perioadei în cele 12 luni care se încheie cu data de referință și pentru a estima numărul de persoane care intenționează sau se preconizează că vor rămâne în cea mai mare parte a timpului în cele 12 luni de la sosire.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3 – alineatul 6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6a.</w:t>
            </w:r>
            <w:r>
              <w:rPr>
                <w:b/>
                <w:i/>
              </w:rPr>
              <w:tab/>
              <w:t>Alineatul (5) și alineatul (6) litera (b) nu se aplică în măsura în care metodele de estimare statistică bazate pe date științifice, bine documentate și accesibile publicului pot justifica în mod corespunzător că diferența dintre reședința legală sau înregistrată a populației totale din statele membre în conformitate cu articolul 9 alineatul (1) litera (a) și reședința obișnuită este mai mică de 3 puncte procentuale.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4 – paragraful 1 – litera e</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(e)</w:t>
            </w:r>
            <w:r>
              <w:tab/>
              <w:t>clădiri destinate locuirii, spații de locuit și locuințe convenționale.</w:t>
            </w:r>
          </w:p>
        </w:tc>
        <w:tc>
          <w:tcPr>
            <w:tcW w:w="4876" w:type="dxa"/>
            <w:hideMark/>
          </w:tcPr>
          <w:p w:rsidR="00C213EB" w:rsidRPr="005F3712" w:rsidRDefault="00C213EB" w:rsidP="00C213EB">
            <w:pPr>
              <w:pStyle w:val="Normal6"/>
              <w:rPr>
                <w:szCs w:val="24"/>
              </w:rPr>
            </w:pPr>
            <w:r>
              <w:t>(e)</w:t>
            </w:r>
            <w:r>
              <w:tab/>
              <w:t>clădiri destinate locuirii, spații de locuit și locuințe convenționale</w:t>
            </w:r>
            <w:r>
              <w:rPr>
                <w:b/>
                <w:i/>
              </w:rPr>
              <w:t>, inclusiv instituții</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1 – partea introductivă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Statisticile europene privind populația și locuințele acoperă următoarele </w:t>
            </w:r>
            <w:r>
              <w:lastRenderedPageBreak/>
              <w:t>domenii:</w:t>
            </w:r>
          </w:p>
        </w:tc>
        <w:tc>
          <w:tcPr>
            <w:tcW w:w="4876" w:type="dxa"/>
            <w:hideMark/>
          </w:tcPr>
          <w:p w:rsidR="00C213EB" w:rsidRPr="005F3712" w:rsidRDefault="00C213EB" w:rsidP="00C213EB">
            <w:pPr>
              <w:pStyle w:val="Normal6"/>
              <w:rPr>
                <w:szCs w:val="24"/>
              </w:rPr>
            </w:pPr>
            <w:r>
              <w:lastRenderedPageBreak/>
              <w:t>1.</w:t>
            </w:r>
            <w:r>
              <w:tab/>
              <w:t>Statisticile europene privind populația și locuințele acoperă următoarele domenii</w:t>
            </w:r>
            <w:r>
              <w:rPr>
                <w:b/>
                <w:i/>
              </w:rPr>
              <w:t xml:space="preserve"> și permit producerea de date </w:t>
            </w:r>
            <w:r>
              <w:rPr>
                <w:b/>
                <w:i/>
              </w:rPr>
              <w:lastRenderedPageBreak/>
              <w:t>defalcate în funcție de vârstă, sex, tip de dizabilitate și context de migrație</w:t>
            </w:r>
            <w:r>
              <w:t>:</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1 – litera c</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(c)</w:t>
            </w:r>
            <w:r>
              <w:tab/>
              <w:t>familiile</w:t>
            </w:r>
            <w:r>
              <w:rPr>
                <w:b/>
                <w:i/>
              </w:rPr>
              <w:t xml:space="preserve"> și gospodăriile.</w:t>
            </w:r>
          </w:p>
        </w:tc>
        <w:tc>
          <w:tcPr>
            <w:tcW w:w="4876" w:type="dxa"/>
            <w:hideMark/>
          </w:tcPr>
          <w:p w:rsidR="00C213EB" w:rsidRPr="005F3712" w:rsidRDefault="00C213EB" w:rsidP="00C213EB">
            <w:pPr>
              <w:pStyle w:val="Normal6"/>
              <w:rPr>
                <w:szCs w:val="24"/>
              </w:rPr>
            </w:pPr>
            <w:r>
              <w:t>(c)</w:t>
            </w:r>
            <w:r>
              <w:tab/>
              <w:t>familiile</w:t>
            </w:r>
            <w:r>
              <w:rPr>
                <w:b/>
                <w:i/>
              </w:rP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1 – litera ca (nouă)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(ca)</w:t>
            </w:r>
            <w:r>
              <w:rPr>
                <w:b/>
                <w:i/>
              </w:rPr>
              <w:tab/>
              <w:t>gospodăriile.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89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Katrin Langensiepen</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Statisticile din domeniile enumerate la alineatul (1) sunt organizate în seturi de date în funcție de subiectele și de subiectele detaliate prevăzute în anexă.</w:t>
            </w:r>
          </w:p>
        </w:tc>
        <w:tc>
          <w:tcPr>
            <w:tcW w:w="4876" w:type="dxa"/>
            <w:hideMark/>
          </w:tcPr>
          <w:p w:rsidR="00C213EB" w:rsidRPr="005F3712" w:rsidRDefault="00C213EB" w:rsidP="00C213EB">
            <w:pPr>
              <w:pStyle w:val="Normal6"/>
              <w:rPr>
                <w:szCs w:val="24"/>
              </w:rPr>
            </w:pPr>
            <w:r>
              <w:t>2.</w:t>
            </w:r>
            <w:r>
              <w:tab/>
              <w:t>Statisticile din domeniile enumerate la alineatul (1) sunt organizate în seturi de date în funcție de subiectele și de subiectele detaliate prevăzute în anexă.</w:t>
            </w:r>
            <w:r>
              <w:rPr>
                <w:b/>
                <w:i/>
              </w:rPr>
              <w:t xml:space="preserve"> Subiectele detaliate în anexă sunt defalcate în funcție de vârstă și gen.</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3</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3.</w:t>
            </w:r>
            <w:r>
              <w:tab/>
              <w:t xml:space="preserve">Comisia este împuternicită să adopte acte delegate în conformitate cu articolul 17 pentru a modifica lista subiectelor detaliate din anexă. </w:t>
            </w:r>
            <w:r>
              <w:rPr>
                <w:b/>
                <w:i/>
              </w:rPr>
              <w:t>Actele delegate se adoptă cu cel puțin 12 luni înainte de începutul termenului de referință relevant.</w:t>
            </w:r>
          </w:p>
        </w:tc>
        <w:tc>
          <w:tcPr>
            <w:tcW w:w="4876" w:type="dxa"/>
            <w:hideMark/>
          </w:tcPr>
          <w:p w:rsidR="00C213EB" w:rsidRPr="005F3712" w:rsidRDefault="00C213EB" w:rsidP="00C213EB">
            <w:pPr>
              <w:pStyle w:val="Normal6"/>
              <w:rPr>
                <w:szCs w:val="24"/>
              </w:rPr>
            </w:pPr>
            <w:r>
              <w:t>3.</w:t>
            </w:r>
            <w:r>
              <w:tab/>
              <w:t>Comisia este împuternicită să adopte acte delegate în conformitate cu articolul 17 pentru a modifica lista subiectelor detaliate din anexă.</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4</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4.</w:t>
            </w:r>
            <w:r>
              <w:tab/>
              <w:t>Atunci când își exercită competența de a adopta acte delegate în temeiul alineatului</w:t>
            </w:r>
            <w:r>
              <w:rPr>
                <w:b/>
                <w:i/>
              </w:rPr>
              <w:t> </w:t>
            </w:r>
            <w:r>
              <w:t>(3) din prezentul articol, Comisia se asigură că</w:t>
            </w:r>
            <w:r>
              <w:rPr>
                <w:b/>
                <w:i/>
              </w:rPr>
              <w:t xml:space="preserve"> actele respective nu impun o sarcină semnificativă și disproporționată asupra statelor membre și a respondenților la anchetă.</w:t>
            </w:r>
            <w:r>
              <w:t xml:space="preserve"> </w:t>
            </w:r>
            <w:r>
              <w:rPr>
                <w:b/>
                <w:i/>
              </w:rPr>
              <w:t xml:space="preserve">Orice nou </w:t>
            </w:r>
            <w:r>
              <w:rPr>
                <w:b/>
                <w:i/>
              </w:rPr>
              <w:lastRenderedPageBreak/>
              <w:t>subiect detaliat este evaluat din punctul de vedere al fezabilității sale prin intermediul unor studii-pilot efectuate de Comisie (Eurostat) și de statele membre în conformitate cu articolul 14.</w:t>
            </w:r>
          </w:p>
        </w:tc>
        <w:tc>
          <w:tcPr>
            <w:tcW w:w="4876" w:type="dxa"/>
            <w:hideMark/>
          </w:tcPr>
          <w:p w:rsidR="00C213EB" w:rsidRPr="005F3712" w:rsidRDefault="00C213EB" w:rsidP="00C213EB">
            <w:pPr>
              <w:pStyle w:val="Normal6"/>
              <w:rPr>
                <w:szCs w:val="24"/>
              </w:rPr>
            </w:pPr>
            <w:r>
              <w:lastRenderedPageBreak/>
              <w:t>4.</w:t>
            </w:r>
            <w:r>
              <w:tab/>
              <w:t>Atunci când își exercită competența de a adopta acte delegate în temeiul alineatului</w:t>
            </w:r>
            <w:r>
              <w:rPr>
                <w:b/>
                <w:i/>
              </w:rPr>
              <w:t xml:space="preserve"> </w:t>
            </w:r>
            <w:r>
              <w:t>(3) din prezentul articol, Comisia se asigură că</w:t>
            </w:r>
            <w:r>
              <w:rPr>
                <w:b/>
                <w:i/>
              </w:rPr>
              <w:t>:</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a)</w:t>
            </w:r>
            <w:r>
              <w:t xml:space="preserve"> </w:t>
            </w:r>
            <w:r>
              <w:rPr>
                <w:b/>
                <w:i/>
              </w:rPr>
              <w:t>actele delegate vizează obținerea unui impact neutru la nivelul costurilor și al sarcinii administrative sau o reducere a acestora și, în orice caz, nu impun un cost sau o sarcină administrativă suplimentară semnificativă pentru statele membre sau pentru respondenți;</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b)</w:t>
            </w:r>
            <w:r>
              <w:t xml:space="preserve"> </w:t>
            </w:r>
            <w:r>
              <w:rPr>
                <w:b/>
                <w:i/>
              </w:rPr>
              <w:t>maximum două subiecte detaliate pentru domeniul statistici demografice, un subiect detaliat pentru domeniul statistici privind locuințele și un subiect detaliat pentru domeniul statistici privind familiile și gospodăriile enumerate în anexă sunt înlocuite cu un alt subiect detaliat și se adaugă maximum un subiect detaliat în total pentru toate domeniile pe o perioadă de zece ani consecutivi;</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c)</w:t>
            </w:r>
            <w:r>
              <w:t xml:space="preserve"> </w:t>
            </w:r>
            <w:r>
              <w:rPr>
                <w:b/>
                <w:i/>
              </w:rPr>
              <w:t>orice nou subiect detaliat este evaluat din punctul de vedere al fezabilității sale prin intermediul unor studii-pilot efectuate de Comisie (Eurostat) și de statele membre în conformitate cu articolul 14.</w:t>
            </w:r>
            <w:r>
              <w:t xml:space="preserve"> </w:t>
            </w:r>
            <w:r>
              <w:rPr>
                <w:b/>
                <w:i/>
              </w:rPr>
              <w:t>Actele delegate se adoptă cu cel puțin 18 luni înainte de începutul termenului de referință relevant.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Prezenta propunere conferă Comisiei o competență foarte largă, fără limitări și garanții pentru statele membre. Împuternicirea ar trebui să fie strict delimitată și ar trebui incluse garanții pentru a se evita o creștere a răspunsului, a sarcinii și a costurilor de producție.</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4</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4.</w:t>
            </w:r>
            <w:r>
              <w:tab/>
              <w:t xml:space="preserve">Atunci când își exercită competența de a adopta acte delegate în temeiul alineatului (3) din prezentul articol, Comisia se asigură că actele respective nu impun </w:t>
            </w:r>
            <w:r>
              <w:rPr>
                <w:b/>
                <w:i/>
              </w:rPr>
              <w:t>o sarcină semnificativă</w:t>
            </w:r>
            <w:r>
              <w:t xml:space="preserve"> și </w:t>
            </w:r>
            <w:r>
              <w:rPr>
                <w:b/>
                <w:i/>
              </w:rPr>
              <w:t>disproporționată</w:t>
            </w:r>
            <w:r>
              <w:t xml:space="preserve"> asupra statelor membre și a respondenților la anchetă. Orice nou subiect detaliat este evaluat din punctul de vedere al fezabilității sale prin intermediul unor studii-pilot efectuate de Comisie (Eurostat) și de statele membre în conformitate cu articolul 14.</w:t>
            </w:r>
          </w:p>
        </w:tc>
        <w:tc>
          <w:tcPr>
            <w:tcW w:w="4876" w:type="dxa"/>
            <w:hideMark/>
          </w:tcPr>
          <w:p w:rsidR="00C213EB" w:rsidRPr="005F3712" w:rsidRDefault="00C213EB" w:rsidP="00C213EB">
            <w:pPr>
              <w:pStyle w:val="Normal6"/>
              <w:rPr>
                <w:szCs w:val="24"/>
              </w:rPr>
            </w:pPr>
            <w:r>
              <w:t>4.</w:t>
            </w:r>
            <w:r>
              <w:tab/>
              <w:t xml:space="preserve">Atunci când își exercită competența de a adopta acte delegate în temeiul alineatului (3) din prezentul articol, Comisia se asigură că actele respective nu impun </w:t>
            </w:r>
            <w:r>
              <w:rPr>
                <w:b/>
                <w:i/>
              </w:rPr>
              <w:t>sarcini semnificative</w:t>
            </w:r>
            <w:r>
              <w:t xml:space="preserve"> și </w:t>
            </w:r>
            <w:r>
              <w:rPr>
                <w:b/>
                <w:i/>
              </w:rPr>
              <w:t>disproporționate</w:t>
            </w:r>
            <w:r>
              <w:t xml:space="preserve"> asupra statelor membre și a respondenților la anchetă</w:t>
            </w:r>
            <w:r>
              <w:rPr>
                <w:b/>
                <w:i/>
              </w:rPr>
              <w:t>. Prin urmare, niciun astfel de act delegat nu impune statelor membre cerințe care pot fi îndeplinite numai prin colectarea directă de date de la persoane sau sarcini care intră în domeniul de aplicare al Regulamentului (CE) nr. 2019/1700. În plus, niciun act delegat nu solicită statelor membre să colecteze sau să analizeze date cu caracter personal sensibile, astfel cum sunt definite în Regulamentul 2016/679</w:t>
            </w:r>
            <w:r>
              <w:t>. Orice nou subiect detaliat este evaluat din punctul de vedere al fezabilității sale prin intermediul unor studii-pilot efectuate de Comisie (Eurostat) și de statele membre în conformitate cu articolul 14.</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Sara Skyttedal</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5 – alineatul 5 – paragraful 1 – partea introductivă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Comisia adoptă acte de punere în aplicare pentru a specifica proprietățile tehnice ale seturilor de date și ale metadatelor care trebuie furnizate Comisiei (Eurostat). Actele de punere în aplicare respective precizează următoarele elemente tehnice, după caz:</w:t>
            </w:r>
          </w:p>
        </w:tc>
        <w:tc>
          <w:tcPr>
            <w:tcW w:w="4876" w:type="dxa"/>
            <w:hideMark/>
          </w:tcPr>
          <w:p w:rsidR="00C213EB" w:rsidRPr="005F3712" w:rsidRDefault="00C213EB" w:rsidP="00C213EB">
            <w:pPr>
              <w:pStyle w:val="Normal6"/>
              <w:rPr>
                <w:szCs w:val="24"/>
              </w:rPr>
            </w:pPr>
            <w:r>
              <w:rPr>
                <w:b/>
                <w:i/>
              </w:rPr>
              <w:t>5.</w:t>
            </w:r>
            <w:r>
              <w:rPr>
                <w:b/>
                <w:i/>
              </w:rPr>
              <w:tab/>
            </w:r>
            <w:r>
              <w:t>Comisia adoptă acte de punere în aplicare pentru a specifica proprietățile tehnice ale seturilor de date și ale metadatelor care trebuie furnizate Comisiei (Eurostat)</w:t>
            </w:r>
            <w:r>
              <w:rPr>
                <w:b/>
                <w:i/>
              </w:rPr>
              <w:t>.</w:t>
            </w:r>
            <w:r>
              <w:t xml:space="preserve"> </w:t>
            </w:r>
            <w:r>
              <w:rPr>
                <w:b/>
                <w:i/>
              </w:rPr>
              <w:t xml:space="preserve">Niciun astfel de act de punere în aplicare nu impune statelor membre cerințe care pot fi îndeplinite numai prin colectarea directă de date de la persoane sau sarcini care intră în domeniul de aplicare al Regulamentului 2019/1700. În </w:t>
            </w:r>
            <w:r>
              <w:rPr>
                <w:b/>
                <w:i/>
              </w:rPr>
              <w:lastRenderedPageBreak/>
              <w:t>plus, niciun act de punere în aplicare nu solicită statelor membre să colecteze sau să analizeze date cu caracter personal sensibile, astfel cum sunt definite în Regulamentul 2016/679.</w:t>
            </w:r>
            <w:r>
              <w:t xml:space="preserve"> Actele de punere în aplicare respective precizează următoarele elemente tehnice, după caz:</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7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Comisia este împuternicită să adopte acte delegate pentru a completa prezentul regulament în conformitate cu articolul 17 prin specificarea seturilor de date și a metadatelor care urmează să fie furnizate de statele membre în mod ad-hoc, în cazul în care colectarea de statistici suplimentare este considerată necesară în scopul abordării nevoilor statistice suplimentare în temeiul prezentului regulament.</w:t>
            </w:r>
          </w:p>
        </w:tc>
        <w:tc>
          <w:tcPr>
            <w:tcW w:w="4876" w:type="dxa"/>
            <w:hideMark/>
          </w:tcPr>
          <w:p w:rsidR="00C213EB" w:rsidRPr="005F3712" w:rsidRDefault="00C213EB" w:rsidP="00C213EB">
            <w:pPr>
              <w:pStyle w:val="Normal6"/>
              <w:rPr>
                <w:szCs w:val="24"/>
              </w:rPr>
            </w:pPr>
            <w:r>
              <w:t>2.</w:t>
            </w:r>
            <w:r>
              <w:tab/>
              <w:t>Comisia este împuternicită să adopte acte delegate pentru a completa prezentul regulament în conformitate cu articolul 17 prin specificarea seturilor de date și a metadatelor care urmează să fie furnizate de statele membre în mod ad-hoc, în cazul în care colectarea de statistici suplimentare este considerată necesară în scopul abordării nevoilor statistice suplimentare în temeiul prezentului regulament</w:t>
            </w:r>
            <w:r>
              <w:rPr>
                <w:b/>
                <w:i/>
              </w:rPr>
              <w:t>, acordând în același timp prioritate surselor de date și registrelor administrative care trebuie utilizate pentru colectarea datelor solicitate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8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rPr>
                <w:b/>
                <w:i/>
              </w:rPr>
              <w:t>2.</w:t>
            </w:r>
            <w:r>
              <w:rPr>
                <w:b/>
                <w:i/>
              </w:rPr>
              <w:tab/>
              <w:t>Atunci când statele membre publică statisticile prevăzute de prezentul regulament la nivel național înainte de termenele de furnizare stabilite în conformitate cu articolul 5 alineatul (5) și cu articolul 7 alineatul (5), acestea le transmit Comisiei (Eurostat) după cum urmează:</w:t>
            </w:r>
          </w:p>
        </w:tc>
        <w:tc>
          <w:tcPr>
            <w:tcW w:w="4876" w:type="dxa"/>
            <w:hideMark/>
          </w:tcPr>
          <w:p w:rsidR="00C213EB" w:rsidRPr="005F3712" w:rsidRDefault="00C213EB" w:rsidP="00C213EB">
            <w:pPr>
              <w:pStyle w:val="Normal6"/>
              <w:rPr>
                <w:szCs w:val="24"/>
              </w:rPr>
            </w:pPr>
            <w:r>
              <w:rPr>
                <w:b/>
                <w:i/>
              </w:rPr>
              <w:t>eliminat</w:t>
            </w:r>
          </w:p>
        </w:tc>
      </w:tr>
      <w:tr w:rsidR="00C213EB" w:rsidTr="00C213EB">
        <w:trPr>
          <w:jc w:val="center"/>
        </w:trPr>
        <w:tc>
          <w:tcPr>
            <w:tcW w:w="4876" w:type="dxa"/>
            <w:hideMark/>
          </w:tcPr>
          <w:p w:rsidR="00C213EB" w:rsidRPr="005F3712" w:rsidRDefault="00C213EB" w:rsidP="00C213EB">
            <w:pPr>
              <w:pStyle w:val="Normal6"/>
            </w:pPr>
            <w:r>
              <w:rPr>
                <w:b/>
                <w:i/>
              </w:rPr>
              <w:t>(a)</w:t>
            </w:r>
            <w:r>
              <w:rPr>
                <w:b/>
                <w:i/>
              </w:rPr>
              <w:tab/>
              <w:t>statistici cu o periodicitate trimestrială și semestrială, cel târziu în termen de o zi lucrătoare de la publicarea la nivel național;</w:t>
            </w:r>
          </w:p>
        </w:tc>
        <w:tc>
          <w:tcPr>
            <w:tcW w:w="4876" w:type="dxa"/>
          </w:tcPr>
          <w:p w:rsidR="00C213EB" w:rsidRPr="005F3712" w:rsidRDefault="00C213EB" w:rsidP="00C213EB">
            <w:pPr>
              <w:pStyle w:val="Normal6"/>
              <w:rPr>
                <w:szCs w:val="24"/>
              </w:rPr>
            </w:pPr>
          </w:p>
        </w:tc>
      </w:tr>
      <w:tr w:rsidR="00C213EB" w:rsidTr="00C213EB">
        <w:trPr>
          <w:jc w:val="center"/>
        </w:trPr>
        <w:tc>
          <w:tcPr>
            <w:tcW w:w="4876" w:type="dxa"/>
            <w:hideMark/>
          </w:tcPr>
          <w:p w:rsidR="00C213EB" w:rsidRPr="005F3712" w:rsidRDefault="00C213EB" w:rsidP="00C213EB">
            <w:pPr>
              <w:pStyle w:val="Normal6"/>
            </w:pPr>
            <w:r>
              <w:rPr>
                <w:b/>
                <w:i/>
              </w:rPr>
              <w:t>(b)</w:t>
            </w:r>
            <w:r>
              <w:rPr>
                <w:b/>
                <w:i/>
              </w:rPr>
              <w:tab/>
              <w:t>statistici cu o periodicitate anuală, în termen de cel mult trei zile lucrătoare de la publicarea la nivel național;</w:t>
            </w:r>
          </w:p>
        </w:tc>
        <w:tc>
          <w:tcPr>
            <w:tcW w:w="4876" w:type="dxa"/>
          </w:tcPr>
          <w:p w:rsidR="00C213EB" w:rsidRPr="005F3712" w:rsidRDefault="00C213EB" w:rsidP="00C213EB">
            <w:pPr>
              <w:pStyle w:val="Normal6"/>
              <w:rPr>
                <w:szCs w:val="24"/>
              </w:rPr>
            </w:pPr>
          </w:p>
        </w:tc>
      </w:tr>
      <w:tr w:rsidR="00C213EB" w:rsidTr="00C213EB">
        <w:trPr>
          <w:jc w:val="center"/>
        </w:trPr>
        <w:tc>
          <w:tcPr>
            <w:tcW w:w="4876" w:type="dxa"/>
            <w:hideMark/>
          </w:tcPr>
          <w:p w:rsidR="00C213EB" w:rsidRPr="005F3712" w:rsidRDefault="00C213EB" w:rsidP="00C213EB">
            <w:pPr>
              <w:pStyle w:val="Normal6"/>
            </w:pPr>
            <w:r>
              <w:rPr>
                <w:b/>
                <w:i/>
              </w:rPr>
              <w:t>(c)</w:t>
            </w:r>
            <w:r>
              <w:rPr>
                <w:b/>
                <w:i/>
              </w:rPr>
              <w:tab/>
              <w:t>statistici cu periodicitate multianuală și decenală, în termen de cel mult șapte zile lucrătoare de la publicarea la nivel național.</w:t>
            </w:r>
          </w:p>
        </w:tc>
        <w:tc>
          <w:tcPr>
            <w:tcW w:w="4876" w:type="dxa"/>
          </w:tcPr>
          <w:p w:rsidR="00C213EB" w:rsidRPr="005F3712" w:rsidRDefault="00C213EB" w:rsidP="00C213EB">
            <w:pPr>
              <w:pStyle w:val="Normal6"/>
              <w:rPr>
                <w:szCs w:val="24"/>
              </w:rPr>
            </w:pP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Datele publicate la nivel național pot fi prezentate într-un format și domeniu complet diferit de seturile de date transferate Comisiei în temeiul prezentului regulament. Pregătirea pentru forma adecvată bazată pe prezentul regulament poate fi o sarcină destul de dificilă. Prin urmare, pentru a respecta termenele prevăzute la alineatul (2) propus, statele membre pot fi obligate să amâne publicarea la nivel național – ceea ce ar fi dezavantajos pentru utilizatori. Astfel de transmiteri anterioare de date pot face mai degrabă obiectul unor acorduri la nivel operațional (Eurostat), în special având în vedere exemplele existente.</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8 – alineatul 3 – paragraful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 xml:space="preserve">Seturile de date și metadatele revizuite sunt </w:t>
            </w:r>
            <w:r>
              <w:lastRenderedPageBreak/>
              <w:t>furnizate în termenele specificate la alineatul (2) din prezentul articol și sunt completate de rapoarte de calitate în conformitate cu articolul 12.</w:t>
            </w:r>
          </w:p>
        </w:tc>
        <w:tc>
          <w:tcPr>
            <w:tcW w:w="4876" w:type="dxa"/>
            <w:hideMark/>
          </w:tcPr>
          <w:p w:rsidR="00C213EB" w:rsidRPr="005F3712" w:rsidRDefault="00C213EB" w:rsidP="00C213EB">
            <w:pPr>
              <w:pStyle w:val="Normal6"/>
              <w:rPr>
                <w:szCs w:val="24"/>
              </w:rPr>
            </w:pPr>
            <w:r>
              <w:lastRenderedPageBreak/>
              <w:t xml:space="preserve">Seturile de date și metadatele revizuite sunt </w:t>
            </w:r>
            <w:r>
              <w:lastRenderedPageBreak/>
              <w:t xml:space="preserve">furnizate în termenele specificate la alineatul (2) din prezentul articol și sunt completate de rapoarte de calitate în conformitate cu articolul 12. </w:t>
            </w:r>
            <w:r>
              <w:rPr>
                <w:b/>
                <w:i/>
              </w:rPr>
              <w:t>Statele membre informează Comisia cu privire la decizia de revizuire a anumitor seturi de date de îndată ce se ia decizia.</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8 – alineatul 3 – paragraful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 xml:space="preserve">Seturile de date și metadatele revizuite sunt furnizate în </w:t>
            </w:r>
            <w:r>
              <w:rPr>
                <w:b/>
                <w:i/>
              </w:rPr>
              <w:t>termenele specificate la alineatul (2) din prezentul articol și sunt completate de rapoarte</w:t>
            </w:r>
            <w:r>
              <w:t xml:space="preserve"> de </w:t>
            </w:r>
            <w:r>
              <w:rPr>
                <w:b/>
                <w:i/>
              </w:rPr>
              <w:t>calitate în conformitate cu articolul 12</w:t>
            </w:r>
            <w:r>
              <w:t>.</w:t>
            </w:r>
          </w:p>
        </w:tc>
        <w:tc>
          <w:tcPr>
            <w:tcW w:w="4876" w:type="dxa"/>
            <w:hideMark/>
          </w:tcPr>
          <w:p w:rsidR="00C213EB" w:rsidRPr="005F3712" w:rsidRDefault="00C213EB" w:rsidP="00C213EB">
            <w:pPr>
              <w:pStyle w:val="Normal6"/>
              <w:rPr>
                <w:szCs w:val="24"/>
              </w:rPr>
            </w:pPr>
            <w:r>
              <w:t xml:space="preserve">Seturile de date și metadatele revizuite sunt furnizate în </w:t>
            </w:r>
            <w:r>
              <w:rPr>
                <w:b/>
                <w:i/>
              </w:rPr>
              <w:t>termen</w:t>
            </w:r>
            <w:r>
              <w:t xml:space="preserve"> de </w:t>
            </w:r>
            <w:r>
              <w:rPr>
                <w:b/>
                <w:i/>
              </w:rPr>
              <w:t>40 de zile lucrătoare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Termenele de transmitere menționate la alineatul (2) sunt prea scurte și ar trebui prelungite pentru a limita sarcina suplimentară pentru institutele naționale de statistică.</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9 – alineatul 1 – partea introductivă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Statele membre și Comisia (Eurostat) utilizează una dintre următoarele surse de date sau o combinație a acestora, cu condiția ca acestea să permită producerea de statistici care îndeplinesc </w:t>
            </w:r>
            <w:r>
              <w:lastRenderedPageBreak/>
              <w:t>cerințele de calitate prevăzute la articolul 12:</w:t>
            </w:r>
          </w:p>
        </w:tc>
        <w:tc>
          <w:tcPr>
            <w:tcW w:w="4876" w:type="dxa"/>
            <w:hideMark/>
          </w:tcPr>
          <w:p w:rsidR="00C213EB" w:rsidRPr="005F3712" w:rsidRDefault="00C213EB" w:rsidP="00C213EB">
            <w:pPr>
              <w:pStyle w:val="Normal6"/>
              <w:rPr>
                <w:szCs w:val="24"/>
              </w:rPr>
            </w:pPr>
            <w:r>
              <w:lastRenderedPageBreak/>
              <w:t>1.</w:t>
            </w:r>
            <w:r>
              <w:tab/>
              <w:t xml:space="preserve">Statele membre și Comisia (Eurostat) utilizează una dintre următoarele surse de date sau o combinație a acestora, cu condiția ca </w:t>
            </w:r>
            <w:r>
              <w:rPr>
                <w:b/>
                <w:i/>
              </w:rPr>
              <w:t xml:space="preserve">datele să fie colectate și prelucrate în conformitate cu garanțiile </w:t>
            </w:r>
            <w:r>
              <w:rPr>
                <w:b/>
                <w:i/>
              </w:rPr>
              <w:lastRenderedPageBreak/>
              <w:t xml:space="preserve">stabilite în legislația UE aplicabilă privind protecția datelor și cu condiția ca </w:t>
            </w:r>
            <w:r>
              <w:t>acestea să permită producerea de statistici care îndeplinesc cerințele de calitate prevăzute la articolul 12:</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99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9 – alineatul 1 – litera d</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(d)</w:t>
            </w:r>
            <w:r>
              <w:tab/>
              <w:t>reutilizarea datelor obținute din schimbul de date între autoritățile statistice naționale și Comisie (Eurostat) în cadrul Sistemului Statistic European.</w:t>
            </w:r>
          </w:p>
        </w:tc>
        <w:tc>
          <w:tcPr>
            <w:tcW w:w="4876" w:type="dxa"/>
            <w:hideMark/>
          </w:tcPr>
          <w:p w:rsidR="00C213EB" w:rsidRPr="005F3712" w:rsidRDefault="00C213EB" w:rsidP="00C213EB">
            <w:pPr>
              <w:pStyle w:val="Normal6"/>
              <w:rPr>
                <w:szCs w:val="24"/>
              </w:rPr>
            </w:pPr>
            <w:r>
              <w:t>(d)</w:t>
            </w:r>
            <w:r>
              <w:tab/>
              <w:t xml:space="preserve">reutilizarea datelor obținute din schimbul </w:t>
            </w:r>
            <w:r>
              <w:rPr>
                <w:b/>
                <w:i/>
              </w:rPr>
              <w:t xml:space="preserve">voluntar </w:t>
            </w:r>
            <w:r>
              <w:t>de date între autoritățile statistice naționale și Comisie (Eurostat) în cadrul Sistemului Statistic European.</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9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Statele membre evaluează și monitorizează calitatea surselor lor de date</w:t>
            </w:r>
            <w:r>
              <w:rPr>
                <w:b/>
                <w:i/>
              </w:rPr>
              <w:t>, inclusiv a registrelor administrative și a altor surse adecvate utilizate</w:t>
            </w:r>
            <w:r>
              <w:t>.</w:t>
            </w:r>
          </w:p>
        </w:tc>
        <w:tc>
          <w:tcPr>
            <w:tcW w:w="4876" w:type="dxa"/>
            <w:hideMark/>
          </w:tcPr>
          <w:p w:rsidR="00C213EB" w:rsidRPr="005F3712" w:rsidRDefault="00C213EB" w:rsidP="00C213EB">
            <w:pPr>
              <w:pStyle w:val="Normal6"/>
              <w:rPr>
                <w:szCs w:val="24"/>
              </w:rPr>
            </w:pPr>
            <w:r>
              <w:t>2.</w:t>
            </w:r>
            <w:r>
              <w:tab/>
              <w:t>Statele membre evaluează și monitorizează calitatea surselor lor de date.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Nu este necesar să se atragă atenția asupra uneia dintre surse în mod specific. Toate sursele de date ar trebui să aibă o calitate ridicată a datelor în mod similar.</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lastRenderedPageBreak/>
        <w:t>&lt;Amend&gt;</w:t>
      </w:r>
      <w:r>
        <w:t>Amendamentul</w:t>
      </w:r>
      <w:r>
        <w:tab/>
      </w:r>
      <w:r>
        <w:tab/>
      </w:r>
      <w:r w:rsidRPr="005908C9">
        <w:rPr>
          <w:rStyle w:val="HideTWBExt"/>
          <w:b w:val="0"/>
        </w:rPr>
        <w:t>&lt;NumAm&gt;</w:t>
      </w:r>
      <w:r>
        <w:t>101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9 – alineatul 4</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4.</w:t>
            </w:r>
            <w:r>
              <w:tab/>
              <w:t>Statisticile elaborate în temeiul prezentului regulament se bazează pe metode solide din punct de vedere statistic și bine documentate, ținând seama de recomandările internaționale și de cele mai bune practici, cum ar fi „semne de locuire”, „rata de ședere” și alte metode de estimare statistică bazate pe date științifice utilizate pentru elaborarea datelor privind populația cu reședința obișnuită în statele membre.</w:t>
            </w:r>
          </w:p>
        </w:tc>
        <w:tc>
          <w:tcPr>
            <w:tcW w:w="4876" w:type="dxa"/>
            <w:hideMark/>
          </w:tcPr>
          <w:p w:rsidR="00C213EB" w:rsidRPr="005F3712" w:rsidRDefault="00C213EB" w:rsidP="00C213EB">
            <w:pPr>
              <w:pStyle w:val="Normal6"/>
              <w:rPr>
                <w:szCs w:val="24"/>
              </w:rPr>
            </w:pPr>
            <w:r>
              <w:t>4.</w:t>
            </w:r>
            <w:r>
              <w:tab/>
              <w:t>Statisticile elaborate în temeiul prezentului regulament se bazează pe metode solide din punct de vedere statistic și bine documentate, ținând seama de recomandările internaționale și de cele mai bune practici, cum ar fi „semne de locuire”, „rata de ședere” și alte metode de estimare statistică bazate pe date științifice utilizate pentru elaborarea datelor privind populația cu reședința obișnuită în statele membre</w:t>
            </w:r>
            <w:r>
              <w:rPr>
                <w:b/>
                <w:i/>
              </w:rPr>
              <w:t>, cu condiția respectării unor măsuri adecvate de protejare a drepturilor și libertăților persoanelor vizate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9 – alineatul 5</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5.</w:t>
            </w:r>
            <w:r>
              <w:tab/>
            </w:r>
            <w:r>
              <w:rPr>
                <w:b/>
                <w:i/>
              </w:rPr>
              <w:t>Atunci când sunt solicitate din motive de evaluare</w:t>
            </w:r>
            <w:r>
              <w:t xml:space="preserve"> a </w:t>
            </w:r>
            <w:r>
              <w:rPr>
                <w:b/>
                <w:i/>
              </w:rPr>
              <w:t>calității statistice</w:t>
            </w:r>
            <w:r>
              <w:t>, statele membre furnizează Comisiei (Eurostat) rezultatele evaluării surselor de date, documentarea metodelor și clarificările necesare.</w:t>
            </w:r>
          </w:p>
        </w:tc>
        <w:tc>
          <w:tcPr>
            <w:tcW w:w="4876" w:type="dxa"/>
            <w:hideMark/>
          </w:tcPr>
          <w:p w:rsidR="00C213EB" w:rsidRPr="005F3712" w:rsidRDefault="00C213EB" w:rsidP="00C213EB">
            <w:pPr>
              <w:pStyle w:val="Normal6"/>
              <w:rPr>
                <w:szCs w:val="24"/>
              </w:rPr>
            </w:pPr>
            <w:r>
              <w:t>5.</w:t>
            </w:r>
            <w:r>
              <w:tab/>
            </w:r>
            <w:r>
              <w:rPr>
                <w:b/>
                <w:i/>
              </w:rPr>
              <w:t>La cererea justificată în mod corespunzător</w:t>
            </w:r>
            <w:r>
              <w:t xml:space="preserve"> a </w:t>
            </w:r>
            <w:r>
              <w:rPr>
                <w:b/>
                <w:i/>
              </w:rPr>
              <w:t>Comisiei (Eurostat)</w:t>
            </w:r>
            <w:r>
              <w:t>, statele membre furnizează Comisiei (Eurostat) rezultatele evaluării surselor de date, documentarea metodelor și clarificările necesare.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Formularea utilizată în dosarul IESS (Regulamentul UE 2019/1700) pare mai adecvată.</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lastRenderedPageBreak/>
        <w:t>&lt;Amend&gt;</w:t>
      </w:r>
      <w:r>
        <w:t>Amendamentul</w:t>
      </w:r>
      <w:r>
        <w:tab/>
      </w:r>
      <w:r>
        <w:tab/>
      </w:r>
      <w:r w:rsidRPr="005908C9">
        <w:rPr>
          <w:rStyle w:val="HideTWBExt"/>
          <w:b w:val="0"/>
        </w:rPr>
        <w:t>&lt;NumAm&gt;</w:t>
      </w:r>
      <w:r>
        <w:t>103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10 – alineatul 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Autoritățile naționale responsabile cu sursele de date administrative relevante în sensul prezentului regulament permit reutilizarea acestor date la timp și cu o frecvență suficientă pentru a produce și a transmite statistici în termenele stabilite și în conformitate cu cerințele de calitate specifice în conformitate cu prezentul regulament. Accesul în timp util la registrele administrative, precum și modalitățile sale operaționale, sunt incluse în acordurile de cooperare care urmează să fie încheiate între autoritățile naționale respective și autoritățile statistice naționale.</w:t>
            </w:r>
          </w:p>
        </w:tc>
        <w:tc>
          <w:tcPr>
            <w:tcW w:w="4876" w:type="dxa"/>
            <w:hideMark/>
          </w:tcPr>
          <w:p w:rsidR="00C213EB" w:rsidRPr="005F3712" w:rsidRDefault="00C213EB" w:rsidP="00C213EB">
            <w:pPr>
              <w:pStyle w:val="Normal6"/>
              <w:rPr>
                <w:szCs w:val="24"/>
              </w:rPr>
            </w:pPr>
            <w:r>
              <w:t>1.</w:t>
            </w:r>
            <w:r>
              <w:tab/>
              <w:t>Autoritățile naționale responsabile cu sursele de date administrative relevante în sensul prezentului regulament permit reutilizarea acestor date la timp și cu o frecvență suficientă pentru a produce și a transmite statistici în termenele stabilite și în conformitate cu cerințele de calitate specifice în conformitate cu prezentul regulament. Accesul în timp util la registrele administrative, precum și modalitățile sale operaționale, sunt incluse în acordurile de cooperare care urmează să fie încheiate între autoritățile naționale respective și autoritățile statistice naționale</w:t>
            </w:r>
            <w:r>
              <w:rPr>
                <w:b/>
                <w:i/>
              </w:rPr>
              <w:t xml:space="preserve"> sau în actele juridice naționale relevante care definesc accesul la sursele de date relevante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t>&lt;TitreJust&gt;</w:t>
      </w:r>
      <w:r>
        <w:t>Justificare</w:t>
      </w:r>
      <w:r w:rsidRPr="005908C9">
        <w:rPr>
          <w:rStyle w:val="HideTWBExt"/>
          <w:i w:val="0"/>
        </w:rPr>
        <w:t>&lt;/TitreJust&gt;</w:t>
      </w:r>
    </w:p>
    <w:p w:rsidR="00C213EB" w:rsidRPr="005F3712" w:rsidRDefault="00C213EB" w:rsidP="00C213EB">
      <w:pPr>
        <w:pStyle w:val="Normal12Italic"/>
        <w:rPr>
          <w:noProof w:val="0"/>
        </w:rPr>
      </w:pPr>
      <w:r>
        <w:t>Modalitatea de a ajunge la un acord cu furnizorii naționali de date ar trebui lăsată la latitudinea statelor membre, deoarece există diferențe în ceea ce privește cadrul administrativ și procedurile juridice. Prin urmare, dispoziția ar trebui să fie mai flexibilă aici.</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2 – litera b</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rPr>
                <w:b/>
                <w:i/>
              </w:rPr>
              <w:t>(b)</w:t>
            </w:r>
            <w:r>
              <w:rPr>
                <w:b/>
                <w:i/>
              </w:rPr>
              <w:tab/>
              <w:t>a captura sau a estima grupurile de populație greu accesibile;</w:t>
            </w:r>
          </w:p>
        </w:tc>
        <w:tc>
          <w:tcPr>
            <w:tcW w:w="4876" w:type="dxa"/>
            <w:hideMark/>
          </w:tcPr>
          <w:p w:rsidR="00C213EB" w:rsidRPr="005F3712" w:rsidRDefault="00C213EB" w:rsidP="00C213EB">
            <w:pPr>
              <w:pStyle w:val="Normal6"/>
              <w:rPr>
                <w:szCs w:val="24"/>
              </w:rPr>
            </w:pPr>
            <w:r>
              <w:rPr>
                <w:b/>
                <w:i/>
              </w:rPr>
              <w:t>eliminat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pPr>
        <w:pStyle w:val="JustificationTitle"/>
        <w:rPr>
          <w:noProof w:val="0"/>
        </w:rPr>
      </w:pPr>
      <w:r w:rsidRPr="005908C9">
        <w:rPr>
          <w:rStyle w:val="HideTWBExt"/>
          <w:i w:val="0"/>
        </w:rPr>
        <w:lastRenderedPageBreak/>
        <w:t>&lt;TitreJust&gt;</w:t>
      </w:r>
      <w:r>
        <w:t>Justificare</w:t>
      </w:r>
      <w:r w:rsidRPr="005908C9">
        <w:rPr>
          <w:rStyle w:val="HideTWBExt"/>
          <w:i w:val="0"/>
        </w:rPr>
        <w:t>&lt;/TitreJust&gt;</w:t>
      </w:r>
    </w:p>
    <w:p w:rsidR="00C213EB" w:rsidRPr="005F3712" w:rsidRDefault="00C213EB" w:rsidP="00C213EB">
      <w:pPr>
        <w:pStyle w:val="Normal12Italic"/>
        <w:rPr>
          <w:noProof w:val="0"/>
        </w:rPr>
      </w:pPr>
      <w:r>
        <w:t>Întrucât nu există surse sau metodologii general acceptate pentru a se conforma acestei dispoziții, pare prematur să se legifereze cu privire la această chestiune.</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2 – litera ba (nouă)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(ba)</w:t>
            </w:r>
            <w:r>
              <w:rPr>
                <w:b/>
                <w:i/>
              </w:rPr>
              <w:tab/>
              <w:t>a defalca datele, după caz, în funcție de vârstă, gen, dizabilitate, statut socioeconomic și alte caracteristici, în conformitate cu Principiile fundamentale ale statisticilor oficiale ale Organizației Națiunilor Unite;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2 – litera d</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rPr>
                <w:b/>
                <w:i/>
              </w:rPr>
              <w:t>(d)</w:t>
            </w:r>
            <w:r>
              <w:rPr>
                <w:b/>
                <w:i/>
              </w:rPr>
              <w:tab/>
              <w:t>a stabili baze care sunt adecvate în sensul prezentului regulament și al articolului 12 din Regulamentul (UE) 2019/1700;</w:t>
            </w:r>
          </w:p>
        </w:tc>
        <w:tc>
          <w:tcPr>
            <w:tcW w:w="4876" w:type="dxa"/>
            <w:hideMark/>
          </w:tcPr>
          <w:p w:rsidR="00C213EB" w:rsidRPr="005F3712" w:rsidRDefault="00C213EB" w:rsidP="00C213EB">
            <w:pPr>
              <w:pStyle w:val="Normal6"/>
              <w:rPr>
                <w:szCs w:val="24"/>
              </w:rPr>
            </w:pPr>
            <w:r>
              <w:rPr>
                <w:b/>
                <w:i/>
              </w:rPr>
              <w:t>eliminat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lastRenderedPageBreak/>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2 – litera e</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(e)</w:t>
            </w:r>
            <w:r>
              <w:tab/>
              <w:t>a evita posibilele riscuri de subestimare sau de dublă contabilizare legate de libera circulație a persoanelor în Uniune, de accesul persoanelor la servicii transfrontaliere legate de evenimente de stare civilă și de drepturile persoanelor de a cumpăra bunuri imobile la nivel transfrontalier, de a deține și de a utiliza proprietăți locative în întreaga Uniune;</w:t>
            </w:r>
          </w:p>
        </w:tc>
        <w:tc>
          <w:tcPr>
            <w:tcW w:w="4876" w:type="dxa"/>
            <w:hideMark/>
          </w:tcPr>
          <w:p w:rsidR="00C213EB" w:rsidRPr="005F3712" w:rsidRDefault="00C213EB" w:rsidP="00C213EB">
            <w:pPr>
              <w:pStyle w:val="Normal6"/>
              <w:rPr>
                <w:szCs w:val="24"/>
              </w:rPr>
            </w:pPr>
            <w:r>
              <w:t>(e)</w:t>
            </w:r>
            <w:r>
              <w:tab/>
              <w:t>a evita posibilele riscuri de subestimare sau de dublă contabilizare legate de libera circulație a persoanelor în Uniune, de accesul persoanelor la servicii transfrontaliere legate de evenimente de stare civilă și de drepturile persoanelor de a cumpăra bunuri imobile la nivel transfrontalier, de a deține și de a utiliza proprietăți locative în întreaga Uniune</w:t>
            </w:r>
            <w:r>
              <w:rPr>
                <w:b/>
                <w:i/>
              </w:rPr>
              <w:t>, nu în ultimul rând prin introducerea unor identificatori digitali unici</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2 – litera f</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(f)</w:t>
            </w:r>
            <w:r>
              <w:tab/>
              <w:t xml:space="preserve">a </w:t>
            </w:r>
            <w:r>
              <w:rPr>
                <w:b/>
                <w:i/>
              </w:rPr>
              <w:t>reduce</w:t>
            </w:r>
            <w:r>
              <w:t xml:space="preserve"> asimetriile fluxurilor de migrație;</w:t>
            </w:r>
          </w:p>
        </w:tc>
        <w:tc>
          <w:tcPr>
            <w:tcW w:w="4876" w:type="dxa"/>
            <w:hideMark/>
          </w:tcPr>
          <w:p w:rsidR="00C213EB" w:rsidRPr="005F3712" w:rsidRDefault="00C213EB" w:rsidP="00C213EB">
            <w:pPr>
              <w:pStyle w:val="Normal6"/>
              <w:rPr>
                <w:szCs w:val="24"/>
              </w:rPr>
            </w:pPr>
            <w:r>
              <w:t>(f)</w:t>
            </w:r>
            <w:r>
              <w:tab/>
              <w:t xml:space="preserve">a </w:t>
            </w:r>
            <w:r>
              <w:rPr>
                <w:b/>
                <w:i/>
              </w:rPr>
              <w:t>evita posibilele riscuri de subcontabilizare sau de dublă contabilizare legate de</w:t>
            </w:r>
            <w:r>
              <w:t xml:space="preserve"> asimetriile fluxurilor de migrație;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109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2 – litera g</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rPr>
                <w:b/>
                <w:i/>
              </w:rPr>
              <w:t>(g)</w:t>
            </w:r>
            <w:r>
              <w:rPr>
                <w:b/>
                <w:i/>
              </w:rPr>
              <w:tab/>
              <w:t>a furniza Comisiei (Eurostat) toate datele necesare pentru a asigura caracterul complet al statisticilor europene publicate.</w:t>
            </w:r>
          </w:p>
        </w:tc>
        <w:tc>
          <w:tcPr>
            <w:tcW w:w="4876" w:type="dxa"/>
            <w:hideMark/>
          </w:tcPr>
          <w:p w:rsidR="00C213EB" w:rsidRPr="005F3712" w:rsidRDefault="00C213EB" w:rsidP="00C213EB">
            <w:pPr>
              <w:pStyle w:val="Normal6"/>
              <w:rPr>
                <w:szCs w:val="24"/>
              </w:rPr>
            </w:pPr>
            <w:r>
              <w:rPr>
                <w:b/>
                <w:i/>
              </w:rPr>
              <w:t>eliminat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4</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4.</w:t>
            </w:r>
            <w:r>
              <w:tab/>
              <w:t>Comisia adoptă acte de punere în aplicare de stabilire a modalităților practice pentru rapoartele de calitate și a conținutului acestora. Respectivele acte de punere în aplicare se adoptă în conformitate cu procedura de examinare menționată la articolul</w:t>
            </w:r>
            <w:r>
              <w:rPr>
                <w:b/>
                <w:i/>
              </w:rPr>
              <w:t> </w:t>
            </w:r>
            <w:r>
              <w:t>18 alineatul</w:t>
            </w:r>
            <w:r>
              <w:rPr>
                <w:b/>
                <w:i/>
              </w:rPr>
              <w:t> </w:t>
            </w:r>
            <w:r>
              <w:t>(2).</w:t>
            </w:r>
          </w:p>
        </w:tc>
        <w:tc>
          <w:tcPr>
            <w:tcW w:w="4876" w:type="dxa"/>
            <w:hideMark/>
          </w:tcPr>
          <w:p w:rsidR="00C213EB" w:rsidRPr="005F3712" w:rsidRDefault="00C213EB" w:rsidP="00C213EB">
            <w:pPr>
              <w:pStyle w:val="Normal6"/>
              <w:rPr>
                <w:szCs w:val="24"/>
              </w:rPr>
            </w:pPr>
            <w:r>
              <w:t>4.</w:t>
            </w:r>
            <w:r>
              <w:tab/>
              <w:t>Comisia adoptă acte de punere în aplicare de stabilire a modalităților practice pentru rapoartele de calitate și a conținutului acestora. Respectivele acte de punere în aplicare se adoptă în conformitate cu procedura de examinare menționată la articolul</w:t>
            </w:r>
            <w:r>
              <w:rPr>
                <w:b/>
                <w:i/>
              </w:rPr>
              <w:t xml:space="preserve"> </w:t>
            </w:r>
            <w:r>
              <w:t>18 alineatul</w:t>
            </w:r>
            <w:r>
              <w:rPr>
                <w:b/>
                <w:i/>
              </w:rPr>
              <w:t xml:space="preserve"> </w:t>
            </w:r>
            <w:r>
              <w:t>(2)</w:t>
            </w:r>
            <w:r>
              <w:rPr>
                <w:b/>
                <w:i/>
              </w:rPr>
              <w:t xml:space="preserve"> și nu impun o sarcină și costuri suplimentare semnificative asupra statelor membre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5</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5.</w:t>
            </w:r>
            <w:r>
              <w:tab/>
              <w:t xml:space="preserve">Statele membre informează Comisia (Eurostat) cât mai curând posibil cu privire la orice informație relevantă sau modificare legată de punerea în aplicare a prezentului regulament, care ar putea </w:t>
            </w:r>
            <w:r>
              <w:lastRenderedPageBreak/>
              <w:t>influența calitatea datelor transmise.</w:t>
            </w:r>
          </w:p>
        </w:tc>
        <w:tc>
          <w:tcPr>
            <w:tcW w:w="4876" w:type="dxa"/>
            <w:hideMark/>
          </w:tcPr>
          <w:p w:rsidR="00C213EB" w:rsidRPr="005F3712" w:rsidRDefault="00C213EB" w:rsidP="00C213EB">
            <w:pPr>
              <w:pStyle w:val="Normal6"/>
              <w:rPr>
                <w:szCs w:val="24"/>
              </w:rPr>
            </w:pPr>
            <w:r>
              <w:lastRenderedPageBreak/>
              <w:t>5.</w:t>
            </w:r>
            <w:r>
              <w:tab/>
              <w:t xml:space="preserve">Statele membre informează Comisia (Eurostat) cât mai curând posibil cu privire la orice informație relevantă sau modificare legată de punerea în aplicare a prezentului regulament, care ar putea </w:t>
            </w:r>
            <w:r>
              <w:lastRenderedPageBreak/>
              <w:t xml:space="preserve">influența calitatea datelor transmise. </w:t>
            </w:r>
            <w:r>
              <w:rPr>
                <w:b/>
                <w:i/>
              </w:rPr>
              <w:t>Statele membre remediază cauzele care pot afecta calitatea statisticilor furnizate cât mai curând posibil și nu mai târziu de patru luni de la furnizarea statisticilor.</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6</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6.</w:t>
            </w:r>
            <w:r>
              <w:tab/>
            </w:r>
            <w:r>
              <w:rPr>
                <w:b/>
                <w:i/>
              </w:rPr>
              <w:t>La solicitarea</w:t>
            </w:r>
            <w:r>
              <w:t xml:space="preserve"> Comisiei (Eurostat), statele membre furnizează clarificările suplimentare necesare pentru evaluarea calității informațiilor statistice.</w:t>
            </w:r>
          </w:p>
        </w:tc>
        <w:tc>
          <w:tcPr>
            <w:tcW w:w="4876" w:type="dxa"/>
            <w:hideMark/>
          </w:tcPr>
          <w:p w:rsidR="00C213EB" w:rsidRPr="005F3712" w:rsidRDefault="00C213EB" w:rsidP="00C213EB">
            <w:pPr>
              <w:pStyle w:val="Normal6"/>
              <w:rPr>
                <w:szCs w:val="24"/>
              </w:rPr>
            </w:pPr>
            <w:r>
              <w:t>6.</w:t>
            </w:r>
            <w:r>
              <w:tab/>
            </w:r>
            <w:r>
              <w:rPr>
                <w:b/>
                <w:i/>
              </w:rPr>
              <w:t>În cazul unei solicitări justificate în mod corespunzător din partea</w:t>
            </w:r>
            <w:r>
              <w:t xml:space="preserve"> Comisiei (Eurostat), statele membre furnizează clarificările suplimentare necesare pentru evaluarea calității informațiilor statistice.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6</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6.</w:t>
            </w:r>
            <w:r>
              <w:tab/>
              <w:t>La solicitarea Comisiei (Eurostat), statele membre furnizează clarificările suplimentare necesare pentru evaluarea calității informațiilor statistice.</w:t>
            </w:r>
          </w:p>
        </w:tc>
        <w:tc>
          <w:tcPr>
            <w:tcW w:w="4876" w:type="dxa"/>
            <w:hideMark/>
          </w:tcPr>
          <w:p w:rsidR="00C213EB" w:rsidRPr="005F3712" w:rsidRDefault="00C213EB" w:rsidP="00C213EB">
            <w:pPr>
              <w:pStyle w:val="Normal6"/>
              <w:rPr>
                <w:szCs w:val="24"/>
              </w:rPr>
            </w:pPr>
            <w:r>
              <w:t>6.</w:t>
            </w:r>
            <w:r>
              <w:tab/>
              <w:t xml:space="preserve">La solicitarea Comisiei (Eurostat), statele membre furnizează clarificările suplimentare necesare pentru evaluarea calității informațiilor statistice. </w:t>
            </w:r>
            <w:r>
              <w:rPr>
                <w:b/>
                <w:i/>
              </w:rPr>
              <w:t>Comisia are dreptul de a organiza vizite la autoritățile statistice naționale ale statelor membre în cazul în care nivelul de calitate a statisticilor nu este atins.</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lastRenderedPageBreak/>
        <w:t>&lt;Amend&gt;</w:t>
      </w:r>
      <w:r>
        <w:t>Amendamentul</w:t>
      </w:r>
      <w:r>
        <w:tab/>
      </w:r>
      <w:r>
        <w:tab/>
      </w:r>
      <w:r w:rsidRPr="005908C9">
        <w:rPr>
          <w:rStyle w:val="HideTWBExt"/>
          <w:b w:val="0"/>
        </w:rPr>
        <w:t>&lt;NumAm&gt;</w:t>
      </w:r>
      <w:r>
        <w:t>114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12 – alineatul 6</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6.</w:t>
            </w:r>
            <w:r>
              <w:tab/>
              <w:t>La solicitarea Comisiei (Eurostat), statele membre furnizează clarificările suplimentare necesare pentru evaluarea calității informațiilor statistice.</w:t>
            </w:r>
          </w:p>
        </w:tc>
        <w:tc>
          <w:tcPr>
            <w:tcW w:w="4876" w:type="dxa"/>
            <w:hideMark/>
          </w:tcPr>
          <w:p w:rsidR="00C213EB" w:rsidRPr="005F3712" w:rsidRDefault="00C213EB" w:rsidP="00C213EB">
            <w:pPr>
              <w:pStyle w:val="Normal6"/>
              <w:rPr>
                <w:szCs w:val="24"/>
              </w:rPr>
            </w:pPr>
            <w:r>
              <w:t>6.</w:t>
            </w:r>
            <w:r>
              <w:tab/>
              <w:t>La solicitarea Comisiei (Eurostat), statele membre furnizează clarificările suplimentare necesare pentru evaluarea calității informațiilor statistice</w:t>
            </w:r>
            <w:r>
              <w:rPr>
                <w:b/>
                <w:i/>
              </w:rPr>
              <w:t xml:space="preserve"> fără întârzieri nejustificate</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13 – alineatul 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Datele </w:t>
            </w:r>
            <w:r>
              <w:rPr>
                <w:b/>
                <w:i/>
              </w:rPr>
              <w:t>sunt</w:t>
            </w:r>
            <w:r>
              <w:t xml:space="preserve"> partajate între autoritățile naționale competente din diferite state membre, precum și între aceste autorități naționale competente și Comisie (Eurostat), exclusiv în scopul dezvoltării și producerii de statistici europene reglementate de prezentul regulament și al îmbunătățirii calității acestora.</w:t>
            </w:r>
          </w:p>
        </w:tc>
        <w:tc>
          <w:tcPr>
            <w:tcW w:w="4876" w:type="dxa"/>
            <w:hideMark/>
          </w:tcPr>
          <w:p w:rsidR="00C213EB" w:rsidRPr="005F3712" w:rsidRDefault="00C213EB" w:rsidP="00C213EB">
            <w:pPr>
              <w:pStyle w:val="Normal6"/>
              <w:rPr>
                <w:szCs w:val="24"/>
              </w:rPr>
            </w:pPr>
            <w:r>
              <w:t>1.</w:t>
            </w:r>
            <w:r>
              <w:tab/>
              <w:t xml:space="preserve">Datele </w:t>
            </w:r>
            <w:r>
              <w:rPr>
                <w:b/>
                <w:i/>
              </w:rPr>
              <w:t>pot fi</w:t>
            </w:r>
            <w:r>
              <w:t xml:space="preserve"> partajate între autoritățile naționale competente din diferite state membre, precum și între aceste autorități naționale competente și Comisie (Eurostat), exclusiv în scopul dezvoltării și producerii de statistici europene reglementate de prezentul regulament și al îmbunătățirii calității acestora.</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13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 xml:space="preserve">În interesul schimbului securizat de date în cadrul SSE, se iau toate măsurile de salvgardare necesare în ceea ce privește protecția fizică și logică a datelor. Comisia (Eurostat) instituie o infrastructură securizată pentru a facilita schimbul de date menționat la alineatul (1). Autoritățile naționale competente pentru statistici în temeiul prezentului regulament </w:t>
            </w:r>
            <w:r>
              <w:rPr>
                <w:b/>
                <w:i/>
              </w:rPr>
              <w:t>pot utiliza</w:t>
            </w:r>
            <w:r>
              <w:t xml:space="preserve"> această infrastructură securizată de partajare de date în scopul specificat la alineatul (1).</w:t>
            </w:r>
          </w:p>
        </w:tc>
        <w:tc>
          <w:tcPr>
            <w:tcW w:w="4876" w:type="dxa"/>
            <w:hideMark/>
          </w:tcPr>
          <w:p w:rsidR="00C213EB" w:rsidRPr="005F3712" w:rsidRDefault="00C213EB" w:rsidP="00C213EB">
            <w:pPr>
              <w:pStyle w:val="Normal6"/>
              <w:rPr>
                <w:szCs w:val="24"/>
              </w:rPr>
            </w:pPr>
            <w:r>
              <w:t>2.</w:t>
            </w:r>
            <w:r>
              <w:tab/>
              <w:t>În interesul schimbului securizat de date în cadrul SSE, se iau toate măsurile de salvgardare necesare în ceea ce privește protecția fizică</w:t>
            </w:r>
            <w:r>
              <w:rPr>
                <w:b/>
                <w:i/>
              </w:rPr>
              <w:t>, tehnică</w:t>
            </w:r>
            <w:r>
              <w:t xml:space="preserve"> și logică a datelor. Comisia (Eurostat) instituie o infrastructură securizată pentru a facilita schimbul de date menționat la alineatul (1). Autoritățile naționale competente pentru statistici în temeiul prezentului regulament </w:t>
            </w:r>
            <w:r>
              <w:rPr>
                <w:b/>
                <w:i/>
              </w:rPr>
              <w:t>utilizează</w:t>
            </w:r>
            <w:r>
              <w:t xml:space="preserve"> această infrastructură securizată de partajare de date în scopul specificat la alineatul (1).</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13 – alineatul 3 – litera b</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(b)</w:t>
            </w:r>
            <w:r>
              <w:tab/>
              <w:t>să se bazeze</w:t>
            </w:r>
            <w:r>
              <w:rPr>
                <w:b/>
                <w:i/>
              </w:rPr>
              <w:t>, de preferință,</w:t>
            </w:r>
            <w:r>
              <w:t xml:space="preserve"> pe tehnologii de protecție a vieții private, concepute special pentru a pune în aplicare principiile prevăzute de Regulamentele (UE) 2016/679 și (UE) 2018/1725, în special în ceea ce privește limitarea scopului, reducerea la minimum a datelor, perioadele de stocare limitate, integritatea și confidențialitatea;</w:t>
            </w:r>
          </w:p>
        </w:tc>
        <w:tc>
          <w:tcPr>
            <w:tcW w:w="4876" w:type="dxa"/>
            <w:hideMark/>
          </w:tcPr>
          <w:p w:rsidR="00C213EB" w:rsidRPr="005F3712" w:rsidRDefault="00C213EB" w:rsidP="00C213EB">
            <w:pPr>
              <w:pStyle w:val="Normal6"/>
              <w:rPr>
                <w:szCs w:val="24"/>
              </w:rPr>
            </w:pPr>
            <w:r>
              <w:t>(b)</w:t>
            </w:r>
            <w:r>
              <w:tab/>
              <w:t>să se bazeze pe tehnologii de protecție a vieții private, concepute special pentru a pune în aplicare principiile prevăzute de Regulamentele (UE) 2016/679 și (UE) 2018/1725, în special în ceea ce privește limitarea scopului, reducerea la minimum a datelor, perioadele de stocare limitate, integritatea și confidențialitatea;</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13 – alineatul 3 – litera ba (nouă)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(b a)</w:t>
            </w:r>
            <w:r>
              <w:rPr>
                <w:b/>
                <w:i/>
              </w:rPr>
              <w:tab/>
              <w:t>cu condiția să fie îndeplinită condiția pentru asigurarea protecției necesare a datelor cu caracter personal, și anume anonimizarea sau pseudonimizarea;</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119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13 – alineatul 5</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rPr>
                <w:b/>
                <w:i/>
              </w:rPr>
              <w:t>5.</w:t>
            </w:r>
            <w:r>
              <w:rPr>
                <w:b/>
                <w:i/>
              </w:rPr>
              <w:tab/>
              <w:t>În cazul în care studiile-pilot prevăzute la alineatul (4) din prezentul articol identifică soluții eficace și sigure pentru schimbul de date în scopurile menționate la alineatul (1), Comisia poate adopta acte de punere în aplicare care stabilesc specificații tehnice pentru schimbul de date și măsuri pentru confidențialitatea și securitatea informațiilor. Respectivele acte de punere în aplicare se adoptă în conformitate cu procedura de examinare menționată la articolul 18 alineatul (2).</w:t>
            </w:r>
          </w:p>
        </w:tc>
        <w:tc>
          <w:tcPr>
            <w:tcW w:w="4876" w:type="dxa"/>
            <w:hideMark/>
          </w:tcPr>
          <w:p w:rsidR="00C213EB" w:rsidRPr="005F3712" w:rsidRDefault="00C213EB" w:rsidP="00C213EB">
            <w:pPr>
              <w:pStyle w:val="Normal6"/>
              <w:rPr>
                <w:szCs w:val="24"/>
              </w:rPr>
            </w:pPr>
            <w:r>
              <w:rPr>
                <w:b/>
                <w:i/>
              </w:rPr>
              <w:t>eliminat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14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 xml:space="preserve">Statele membre pot participa la </w:t>
            </w:r>
            <w:r>
              <w:lastRenderedPageBreak/>
              <w:t>aceste studii, dar, împreună cu Comisia (Eurostat), asigură reprezentativitatea acestor studii la nivelul Uniunii.</w:t>
            </w:r>
          </w:p>
        </w:tc>
        <w:tc>
          <w:tcPr>
            <w:tcW w:w="4876" w:type="dxa"/>
            <w:hideMark/>
          </w:tcPr>
          <w:p w:rsidR="00C213EB" w:rsidRPr="005F3712" w:rsidRDefault="00C213EB" w:rsidP="00C213EB">
            <w:pPr>
              <w:pStyle w:val="Normal6"/>
              <w:rPr>
                <w:szCs w:val="24"/>
              </w:rPr>
            </w:pPr>
            <w:r>
              <w:lastRenderedPageBreak/>
              <w:t>2.</w:t>
            </w:r>
            <w:r>
              <w:tab/>
              <w:t xml:space="preserve">Statele membre pot participa la </w:t>
            </w:r>
            <w:r>
              <w:lastRenderedPageBreak/>
              <w:t>aceste studii, dar, împreună cu Comisia (Eurostat), asigură reprezentativitatea acestor studii la nivelul Uniunii</w:t>
            </w:r>
            <w:r>
              <w:rPr>
                <w:b/>
                <w:i/>
              </w:rPr>
              <w:t>, astfel încât diversitatea situațiilor naționale să fie bine reflectată</w:t>
            </w:r>
            <w:r>
              <w:t>.</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15 – alineatul 1 – partea introductivă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Contribuția financiară din bugetul general al Uniunii </w:t>
            </w:r>
            <w:r>
              <w:rPr>
                <w:b/>
                <w:i/>
              </w:rPr>
              <w:t>poate fi</w:t>
            </w:r>
            <w:r>
              <w:t xml:space="preserve"> furnizată institutelor naționale de statistică și altor autorități naționale menționate la articolul 5 alineatul (2) din Regulamentul (CE) nr. 223/2009, pentru:</w:t>
            </w:r>
          </w:p>
        </w:tc>
        <w:tc>
          <w:tcPr>
            <w:tcW w:w="4876" w:type="dxa"/>
            <w:hideMark/>
          </w:tcPr>
          <w:p w:rsidR="00C213EB" w:rsidRPr="005F3712" w:rsidRDefault="00C213EB" w:rsidP="00C213EB">
            <w:pPr>
              <w:pStyle w:val="Normal6"/>
              <w:rPr>
                <w:szCs w:val="24"/>
              </w:rPr>
            </w:pPr>
            <w:r>
              <w:t>1.</w:t>
            </w:r>
            <w:r>
              <w:tab/>
              <w:t xml:space="preserve">Contribuția financiară din bugetul general al Uniunii </w:t>
            </w:r>
            <w:r>
              <w:rPr>
                <w:b/>
                <w:i/>
              </w:rPr>
              <w:t>este</w:t>
            </w:r>
            <w:r>
              <w:t xml:space="preserve"> furnizată institutelor naționale de statistică și altor autorități naționale menționate la articolul 5 alineatul (2) din Regulamentul (CE) nr. 223/2009, pentru:</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(aa) dezvoltarea și/sau punerea în aplicare, precum și actualizarea colectării de date, a metodelor de colectare a datelor, a bazelor de eșantionare și a prelucrării datelor în scopuri statistice în temeiul prezentului regulament, pentru primii patru ani de colectare a datelor pentru fiecare domeniu reglementat de prezentul regulament;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122</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15 – alineatul 1 – partea introductivă</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Contribuția financiară din bugetul </w:t>
            </w:r>
            <w:r>
              <w:lastRenderedPageBreak/>
              <w:t xml:space="preserve">general al Uniunii </w:t>
            </w:r>
            <w:r>
              <w:rPr>
                <w:b/>
                <w:i/>
              </w:rPr>
              <w:t>poate fi</w:t>
            </w:r>
            <w:r>
              <w:t xml:space="preserve"> furnizată institutelor naționale de statistică și altor autorități naționale menționate la articolul 5 alineatul (2) din Regulamentul (CE) nr. 223/2009, pentru:</w:t>
            </w:r>
          </w:p>
        </w:tc>
        <w:tc>
          <w:tcPr>
            <w:tcW w:w="4876" w:type="dxa"/>
            <w:hideMark/>
          </w:tcPr>
          <w:p w:rsidR="00C213EB" w:rsidRPr="005F3712" w:rsidRDefault="00C213EB" w:rsidP="00C213EB">
            <w:pPr>
              <w:pStyle w:val="Normal6"/>
              <w:rPr>
                <w:szCs w:val="24"/>
              </w:rPr>
            </w:pPr>
            <w:r>
              <w:lastRenderedPageBreak/>
              <w:t>1.</w:t>
            </w:r>
            <w:r>
              <w:tab/>
              <w:t xml:space="preserve">Contribuția financiară din bugetul </w:t>
            </w:r>
            <w:r>
              <w:lastRenderedPageBreak/>
              <w:t xml:space="preserve">general al Uniunii </w:t>
            </w:r>
            <w:r>
              <w:rPr>
                <w:b/>
                <w:i/>
              </w:rPr>
              <w:t>în cadrul obiectivelor Programului privind piața unică ar trebui</w:t>
            </w:r>
            <w:r>
              <w:t xml:space="preserve"> furnizată institutelor naționale de statistică și altor autorități naționale menționate la articolul 5 alineatul (2) din Regulamentul (CE) nr. 223/2009, pentru:</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123</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15 – alineatul 2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2a.</w:t>
            </w:r>
            <w:r>
              <w:rPr>
                <w:b/>
                <w:i/>
              </w:rPr>
              <w:tab/>
              <w:t>Îmbunătățirea calității statisticilor și elaborarea de metodologii care îndeplinesc cerințele prezentului regulament pot fi eligibile pentru a beneficia de Instrumentul de sprijin tehnic sau de orice alt sprijin tehnic și asistență din partea Comisiei, care pot fi furnizate, de asemenea, prin schimbul de bune practici între statele membre.</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124</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17 – alineatul 2</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2.</w:t>
            </w:r>
            <w:r>
              <w:tab/>
              <w:t xml:space="preserve">Competența de a adopta acte delegate, menționată la articolul 5 alineatul (3), articolul 6 alineatul (6) și articolul 7 alineatul (2), </w:t>
            </w:r>
            <w:r>
              <w:rPr>
                <w:b/>
                <w:i/>
              </w:rPr>
              <w:t xml:space="preserve">i </w:t>
            </w:r>
            <w:r>
              <w:t xml:space="preserve">se conferă Comisiei pe o perioadă </w:t>
            </w:r>
            <w:r>
              <w:rPr>
                <w:b/>
                <w:i/>
              </w:rPr>
              <w:t>nedeterminată</w:t>
            </w:r>
            <w:r>
              <w:t xml:space="preserve"> de la [Oficiul pentru Publicații: vă rugăm să introduceți data exactă a intrării în vigoare </w:t>
            </w:r>
            <w:r>
              <w:lastRenderedPageBreak/>
              <w:t>a regulamentului].</w:t>
            </w:r>
          </w:p>
        </w:tc>
        <w:tc>
          <w:tcPr>
            <w:tcW w:w="4876" w:type="dxa"/>
            <w:hideMark/>
          </w:tcPr>
          <w:p w:rsidR="00C213EB" w:rsidRPr="005F3712" w:rsidRDefault="00C213EB" w:rsidP="00C213EB">
            <w:pPr>
              <w:pStyle w:val="Normal6"/>
              <w:rPr>
                <w:szCs w:val="24"/>
              </w:rPr>
            </w:pPr>
            <w:r>
              <w:lastRenderedPageBreak/>
              <w:t>2.</w:t>
            </w:r>
            <w:r>
              <w:tab/>
              <w:t xml:space="preserve">Competența de a adopta acte delegate, menționată la articolul 5 alineatul (3), articolul 6 alineatul (6) și articolul 7 alineatul (2), se conferă Comisiei pe o perioadă </w:t>
            </w:r>
            <w:r>
              <w:rPr>
                <w:b/>
                <w:i/>
              </w:rPr>
              <w:t>de cinci ani</w:t>
            </w:r>
            <w:r>
              <w:t xml:space="preserve"> de la [Oficiul pentru Publicații: vă rugăm să introduceți data exactă a intrării în vigoare </w:t>
            </w:r>
            <w:r>
              <w:lastRenderedPageBreak/>
              <w:t xml:space="preserve">a regulamentului]. </w:t>
            </w:r>
            <w:r>
              <w:rPr>
                <w:b/>
                <w:i/>
              </w:rPr>
              <w:t>Comisia prezintă un raport privind delegarea de competențe cel târziu cu nouă luni înainte de încheierea perioadei de cinci ani. Delegarea de competențe se prelungește tacit cu perioade de timp identice, cu excepția cazului în care Parlamentul European sau Consiliul se opun prelungirii respective cel târziu cu trei luni înainte de încheierea fiecărei perioade.</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125</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17 – alineatul 4</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4.</w:t>
            </w:r>
            <w:r>
              <w:tab/>
              <w:t>Înainte de adoptarea unui act delegat, Comisia consultă experții desemnați de fiecare stat membru în conformitate cu principiile prevăzute în Acordul interinstituțional din 13 aprilie 2016 privind o mai bună legiferare.</w:t>
            </w:r>
          </w:p>
        </w:tc>
        <w:tc>
          <w:tcPr>
            <w:tcW w:w="4876" w:type="dxa"/>
            <w:hideMark/>
          </w:tcPr>
          <w:p w:rsidR="00C213EB" w:rsidRPr="005F3712" w:rsidRDefault="00C213EB" w:rsidP="00C213EB">
            <w:pPr>
              <w:pStyle w:val="Normal6"/>
              <w:rPr>
                <w:szCs w:val="24"/>
              </w:rPr>
            </w:pPr>
            <w:r>
              <w:t>4.</w:t>
            </w:r>
            <w:r>
              <w:tab/>
              <w:t>Înainte de adoptarea unui act delegat, Comisia consultă experții desemnați de fiecare stat membru în conformitate cu principiile prevăzute în Acordul interinstituțional din 13 aprilie 2016 privind o mai bună legiferare</w:t>
            </w:r>
            <w:r>
              <w:rPr>
                <w:b/>
                <w:i/>
              </w:rPr>
              <w:t xml:space="preserve"> și informează Parlamentul European cu privire la activitatea pregătitoare aferentă actului său delegat</w:t>
            </w:r>
            <w:r>
              <w:t>.</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126</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 Sylvie Brunet, Anna Júlia Donáth, Max Orville</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19 – alineatul 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În cazul în care aplicarea </w:t>
            </w:r>
            <w:r>
              <w:lastRenderedPageBreak/>
              <w:t xml:space="preserve">prezentului regulament sau a actelor delegate sau de punere în aplicare adoptate în temeiul acestuia necesită adaptări majore ale sistemului statistic național al unui stat membru, Comisia poate acorda statelor membre, prin intermediul unor acte de punere în aplicare, derogări pentru o durată maximă de </w:t>
            </w:r>
            <w:r>
              <w:rPr>
                <w:b/>
                <w:i/>
              </w:rPr>
              <w:t>doi</w:t>
            </w:r>
            <w:r>
              <w:t xml:space="preserve"> ani.</w:t>
            </w:r>
          </w:p>
        </w:tc>
        <w:tc>
          <w:tcPr>
            <w:tcW w:w="4876" w:type="dxa"/>
            <w:hideMark/>
          </w:tcPr>
          <w:p w:rsidR="00C213EB" w:rsidRPr="005F3712" w:rsidRDefault="00C213EB" w:rsidP="00C213EB">
            <w:pPr>
              <w:pStyle w:val="Normal6"/>
              <w:rPr>
                <w:szCs w:val="24"/>
              </w:rPr>
            </w:pPr>
            <w:r>
              <w:lastRenderedPageBreak/>
              <w:t>1.</w:t>
            </w:r>
            <w:r>
              <w:tab/>
              <w:t xml:space="preserve">În cazul în care aplicarea </w:t>
            </w:r>
            <w:r>
              <w:lastRenderedPageBreak/>
              <w:t xml:space="preserve">prezentului regulament sau a actelor delegate sau de punere în aplicare adoptate în temeiul acestuia necesită adaptări majore ale sistemului statistic național al unui stat membru, Comisia poate acorda statelor membre, prin intermediul unor acte de punere în aplicare, derogări pentru o durată maximă de </w:t>
            </w:r>
            <w:r>
              <w:rPr>
                <w:b/>
                <w:i/>
              </w:rPr>
              <w:t>trei</w:t>
            </w:r>
            <w:r>
              <w:t xml:space="preserve"> ani.</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127</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19 – alineatul 1</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hideMark/>
          </w:tcPr>
          <w:p w:rsidR="00C213EB" w:rsidRPr="005F3712" w:rsidRDefault="00C213EB" w:rsidP="00C213EB">
            <w:pPr>
              <w:pStyle w:val="Normal6"/>
            </w:pPr>
            <w:r>
              <w:t>1.</w:t>
            </w:r>
            <w:r>
              <w:tab/>
              <w:t xml:space="preserve">În cazul în care aplicarea prezentului regulament sau a actelor delegate sau de punere în aplicare adoptate în temeiul acestuia necesită adaptări majore ale sistemului statistic național al unui stat membru, Comisia poate acorda statelor membre, prin intermediul unor acte de punere în aplicare, derogări pentru o durată maximă de </w:t>
            </w:r>
            <w:r>
              <w:rPr>
                <w:b/>
                <w:i/>
              </w:rPr>
              <w:t>doi</w:t>
            </w:r>
            <w:r>
              <w:t xml:space="preserve"> ani.</w:t>
            </w:r>
          </w:p>
        </w:tc>
        <w:tc>
          <w:tcPr>
            <w:tcW w:w="4876" w:type="dxa"/>
            <w:hideMark/>
          </w:tcPr>
          <w:p w:rsidR="00C213EB" w:rsidRPr="005F3712" w:rsidRDefault="00C213EB" w:rsidP="00C213EB">
            <w:pPr>
              <w:pStyle w:val="Normal6"/>
              <w:rPr>
                <w:szCs w:val="24"/>
              </w:rPr>
            </w:pPr>
            <w:r>
              <w:t>1.</w:t>
            </w:r>
            <w:r>
              <w:tab/>
              <w:t xml:space="preserve">În cazul în care aplicarea prezentului regulament sau a actelor delegate sau de punere în aplicare adoptate în temeiul acestuia necesită adaptări majore ale sistemului statistic național al unui stat membru, Comisia poate acorda statelor membre, prin intermediul unor acte de punere în aplicare, derogări pentru o durată maximă de </w:t>
            </w:r>
            <w:r>
              <w:rPr>
                <w:b/>
                <w:i/>
              </w:rPr>
              <w:t>trei</w:t>
            </w:r>
            <w:r>
              <w:t xml:space="preserve"> ani.</w:t>
            </w: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128</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Beata Szydło, Elżbieta Rafalska, Anna Zalewska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Articolul 19 – alineatul 1 a (nou)</w:t>
      </w:r>
      <w:r w:rsidRPr="005908C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3EB" w:rsidTr="00C213EB">
        <w:trPr>
          <w:jc w:val="center"/>
        </w:trPr>
        <w:tc>
          <w:tcPr>
            <w:tcW w:w="9752" w:type="dxa"/>
            <w:gridSpan w:val="2"/>
          </w:tcPr>
          <w:p w:rsidR="00C213EB" w:rsidRPr="005F3712" w:rsidRDefault="00C213EB" w:rsidP="00C213EB">
            <w:pPr>
              <w:keepNext/>
            </w:pPr>
          </w:p>
        </w:tc>
      </w:tr>
      <w:tr w:rsidR="00C213EB" w:rsidTr="00C213EB">
        <w:trPr>
          <w:jc w:val="center"/>
        </w:trPr>
        <w:tc>
          <w:tcPr>
            <w:tcW w:w="4876" w:type="dxa"/>
            <w:hideMark/>
          </w:tcPr>
          <w:p w:rsidR="00C213EB" w:rsidRPr="005F3712" w:rsidRDefault="00C213EB" w:rsidP="00C213EB">
            <w:pPr>
              <w:pStyle w:val="ColumnHeading"/>
              <w:keepNext/>
            </w:pPr>
            <w:r>
              <w:t>Textul propus de Comisie</w:t>
            </w:r>
          </w:p>
        </w:tc>
        <w:tc>
          <w:tcPr>
            <w:tcW w:w="4876" w:type="dxa"/>
            <w:hideMark/>
          </w:tcPr>
          <w:p w:rsidR="00C213EB" w:rsidRPr="005F3712" w:rsidRDefault="00C213EB" w:rsidP="00C213EB">
            <w:pPr>
              <w:pStyle w:val="ColumnHeading"/>
              <w:keepNext/>
            </w:pPr>
            <w:r>
              <w:t>Amendamentul</w:t>
            </w:r>
          </w:p>
        </w:tc>
      </w:tr>
      <w:tr w:rsidR="00C213EB" w:rsidTr="00C213EB">
        <w:trPr>
          <w:jc w:val="center"/>
        </w:trPr>
        <w:tc>
          <w:tcPr>
            <w:tcW w:w="4876" w:type="dxa"/>
          </w:tcPr>
          <w:p w:rsidR="00C213EB" w:rsidRPr="005F3712" w:rsidRDefault="00C213EB" w:rsidP="00C213EB">
            <w:pPr>
              <w:pStyle w:val="Normal6"/>
            </w:pPr>
          </w:p>
        </w:tc>
        <w:tc>
          <w:tcPr>
            <w:tcW w:w="4876" w:type="dxa"/>
            <w:hideMark/>
          </w:tcPr>
          <w:p w:rsidR="00C213EB" w:rsidRPr="005F3712" w:rsidRDefault="00C213EB" w:rsidP="00C213EB">
            <w:pPr>
              <w:pStyle w:val="Normal6"/>
              <w:rPr>
                <w:szCs w:val="24"/>
              </w:rPr>
            </w:pPr>
            <w:r>
              <w:rPr>
                <w:b/>
                <w:i/>
              </w:rPr>
              <w:t>1a.</w:t>
            </w:r>
            <w:r>
              <w:rPr>
                <w:b/>
                <w:i/>
              </w:rPr>
              <w:tab/>
              <w:t xml:space="preserve">În cazul în care o derogare astfel cum se menționează la alineatul (1) se justifică în continuare prin elemente de probă suficiente la sfârșitul perioadei pentru care a fost acordată, Comisia poate, prin intermediul unor acte de </w:t>
            </w:r>
            <w:r>
              <w:rPr>
                <w:b/>
                <w:i/>
              </w:rPr>
              <w:lastRenderedPageBreak/>
              <w:t>punere în aplicare, să acorde încă o derogare pentru o perioadă maximă de doi ani. Statul membru în cauză prezintă Comisiei o cerere care specifică motivele și temeiurile detaliate în sprijinul unei astfel de prelungiri, cu cel puțin șase luni înainte de expirarea perioadei de validitate a derogării acordate în temeiul alineatului (1).</w:t>
            </w:r>
          </w:p>
        </w:tc>
      </w:tr>
    </w:tbl>
    <w:p w:rsidR="00C213EB" w:rsidRPr="005F3712" w:rsidRDefault="00C213EB" w:rsidP="00C213EB">
      <w:pPr>
        <w:pStyle w:val="Olang"/>
      </w:pPr>
      <w:r w:rsidRPr="005F3712">
        <w:rPr>
          <w:noProof w:val="0"/>
        </w:rPr>
        <w:lastRenderedPageBreak/>
        <w:t xml:space="preserve">Or. </w:t>
      </w:r>
      <w:r w:rsidRPr="005908C9">
        <w:rPr>
          <w:rStyle w:val="HideTWBExt"/>
        </w:rPr>
        <w:t>&lt;Original&gt;</w:t>
      </w:r>
      <w:r w:rsidRPr="005908C9">
        <w:rPr>
          <w:rStyle w:val="HideTWBInt"/>
          <w:rFonts w:eastAsiaTheme="majorEastAsia"/>
        </w:rPr>
        <w:t>{EN}</w:t>
      </w:r>
      <w:r w:rsidRPr="005F3712">
        <w:rPr>
          <w:noProof w:val="0"/>
        </w:rPr>
        <w:t>en</w:t>
      </w:r>
      <w:r w:rsidRPr="005908C9">
        <w:rPr>
          <w:rStyle w:val="HideTWBExt"/>
        </w:rPr>
        <w:t>&lt;/Original&gt;</w:t>
      </w:r>
    </w:p>
    <w:p w:rsidR="00C213EB" w:rsidRPr="005F3712" w:rsidRDefault="00C213EB" w:rsidP="00C213EB">
      <w:r w:rsidRPr="005908C9">
        <w:rPr>
          <w:rStyle w:val="HideTWBExt"/>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129</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Katrin Langensiepen</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Anexa I – tabelul 1</w:t>
      </w:r>
      <w:r w:rsidRPr="005908C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C213EB" w:rsidTr="00C213EB">
        <w:trPr>
          <w:jc w:val="center"/>
        </w:trPr>
        <w:tc>
          <w:tcPr>
            <w:tcW w:w="9752" w:type="dxa"/>
            <w:gridSpan w:val="5"/>
          </w:tcPr>
          <w:p w:rsidR="00C213EB" w:rsidRPr="005F3712" w:rsidRDefault="00C213EB" w:rsidP="00C213EB">
            <w:pPr>
              <w:keepNext/>
            </w:pPr>
          </w:p>
        </w:tc>
      </w:tr>
      <w:tr w:rsidR="00C213EB" w:rsidTr="00C213EB">
        <w:trPr>
          <w:jc w:val="center"/>
        </w:trPr>
        <w:tc>
          <w:tcPr>
            <w:tcW w:w="9752" w:type="dxa"/>
            <w:gridSpan w:val="5"/>
            <w:hideMark/>
          </w:tcPr>
          <w:p w:rsidR="00C213EB" w:rsidRPr="005F3712" w:rsidRDefault="00C213EB" w:rsidP="00C213EB">
            <w:pPr>
              <w:pStyle w:val="AmColumnHeading"/>
              <w:keepNext/>
            </w:pPr>
            <w:r>
              <w:t>Textul propus de Comisie</w:t>
            </w:r>
          </w:p>
        </w:tc>
      </w:tr>
      <w:tr w:rsidR="00C213EB" w:rsidTr="00C213EB">
        <w:trPr>
          <w:jc w:val="center"/>
        </w:trPr>
        <w:tc>
          <w:tcPr>
            <w:tcW w:w="1950" w:type="dxa"/>
            <w:vMerge w:val="restart"/>
            <w:hideMark/>
          </w:tcPr>
          <w:p w:rsidR="00C213EB" w:rsidRPr="005F3712" w:rsidRDefault="00C213EB" w:rsidP="00C213EB">
            <w:pPr>
              <w:pStyle w:val="Normal6a"/>
            </w:pPr>
            <w:r>
              <w:t>Demografie</w:t>
            </w:r>
          </w:p>
        </w:tc>
        <w:tc>
          <w:tcPr>
            <w:tcW w:w="1950" w:type="dxa"/>
            <w:vMerge w:val="restart"/>
            <w:hideMark/>
          </w:tcPr>
          <w:p w:rsidR="00C213EB" w:rsidRPr="005F3712" w:rsidRDefault="00C213EB" w:rsidP="00C213EB">
            <w:pPr>
              <w:pStyle w:val="Normal6a"/>
            </w:pPr>
            <w:r>
              <w:t>Stocuri de populație</w:t>
            </w:r>
          </w:p>
        </w:tc>
        <w:tc>
          <w:tcPr>
            <w:tcW w:w="1951" w:type="dxa"/>
            <w:vMerge w:val="restart"/>
            <w:hideMark/>
          </w:tcPr>
          <w:p w:rsidR="00C213EB" w:rsidRPr="005F3712" w:rsidRDefault="00C213EB" w:rsidP="00C213EB">
            <w:pPr>
              <w:pStyle w:val="Normal6a"/>
            </w:pPr>
            <w:r>
              <w:t>Caracteristicile de bază ale persoanei</w:t>
            </w:r>
          </w:p>
        </w:tc>
        <w:tc>
          <w:tcPr>
            <w:tcW w:w="1950" w:type="dxa"/>
            <w:hideMark/>
          </w:tcPr>
          <w:p w:rsidR="00C213EB" w:rsidRPr="005F3712" w:rsidRDefault="00C213EB" w:rsidP="00C213EB">
            <w:pPr>
              <w:pStyle w:val="Normal6a"/>
              <w:rPr>
                <w:szCs w:val="24"/>
              </w:rPr>
            </w:pPr>
            <w:r>
              <w:t>6M</w:t>
            </w:r>
          </w:p>
        </w:tc>
        <w:tc>
          <w:tcPr>
            <w:tcW w:w="1951" w:type="dxa"/>
            <w:hideMark/>
          </w:tcPr>
          <w:p w:rsidR="00C213EB" w:rsidRPr="005F3712" w:rsidRDefault="00C213EB" w:rsidP="00C213EB">
            <w:pPr>
              <w:pStyle w:val="Normal6a"/>
              <w:rPr>
                <w:szCs w:val="24"/>
              </w:rPr>
            </w:pPr>
            <w:r>
              <w:t>30.6.YY și 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restart"/>
            <w:hideMark/>
          </w:tcPr>
          <w:p w:rsidR="00C213EB" w:rsidRPr="005F3712" w:rsidRDefault="00C213EB" w:rsidP="00C213EB">
            <w:pPr>
              <w:pStyle w:val="Normal6a"/>
            </w:pPr>
            <w:r>
              <w:t>Caracteristicile socio-economice ale persoanei</w:t>
            </w:r>
          </w:p>
        </w:tc>
        <w:tc>
          <w:tcPr>
            <w:tcW w:w="1950" w:type="dxa"/>
            <w:hideMark/>
          </w:tcPr>
          <w:p w:rsidR="00C213EB" w:rsidRPr="005F3712" w:rsidRDefault="00C213EB" w:rsidP="00C213EB">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Fertilitatea</w:t>
            </w:r>
          </w:p>
        </w:tc>
        <w:tc>
          <w:tcPr>
            <w:tcW w:w="1951" w:type="dxa"/>
            <w:vMerge w:val="restart"/>
            <w:hideMark/>
          </w:tcPr>
          <w:p w:rsidR="00C213EB" w:rsidRPr="005F3712" w:rsidRDefault="00C213EB" w:rsidP="00C213EB">
            <w:pPr>
              <w:pStyle w:val="Normal6a"/>
            </w:pPr>
            <w:r>
              <w:t>Nașteri</w:t>
            </w:r>
          </w:p>
        </w:tc>
        <w:tc>
          <w:tcPr>
            <w:tcW w:w="1950" w:type="dxa"/>
            <w:hideMark/>
          </w:tcPr>
          <w:p w:rsidR="00C213EB" w:rsidRPr="005F3712" w:rsidRDefault="00C213EB" w:rsidP="00C213EB">
            <w:pPr>
              <w:pStyle w:val="Normal6a"/>
            </w:pPr>
            <w:r>
              <w:t>Q</w:t>
            </w:r>
          </w:p>
        </w:tc>
        <w:tc>
          <w:tcPr>
            <w:tcW w:w="1951" w:type="dxa"/>
            <w:hideMark/>
          </w:tcPr>
          <w:p w:rsidR="00C213EB" w:rsidRPr="005F3712" w:rsidRDefault="00C213EB" w:rsidP="00C213EB">
            <w:pPr>
              <w:pStyle w:val="Normal6a"/>
              <w:rPr>
                <w:szCs w:val="24"/>
              </w:rPr>
            </w:pPr>
            <w:r>
              <w:t>Luna</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Avorturile efectuate în mod legal</w:t>
            </w:r>
            <w:r>
              <w:rPr>
                <w:vertAlign w:val="superscript"/>
              </w:rPr>
              <w:t>1</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Mortalitatea</w:t>
            </w:r>
          </w:p>
        </w:tc>
        <w:tc>
          <w:tcPr>
            <w:tcW w:w="1951" w:type="dxa"/>
            <w:vMerge w:val="restart"/>
            <w:hideMark/>
          </w:tcPr>
          <w:p w:rsidR="00C213EB" w:rsidRPr="005F3712" w:rsidRDefault="00C213EB" w:rsidP="00C213EB">
            <w:pPr>
              <w:pStyle w:val="Normal6a"/>
            </w:pPr>
            <w:r>
              <w:t>Decese</w:t>
            </w:r>
          </w:p>
        </w:tc>
        <w:tc>
          <w:tcPr>
            <w:tcW w:w="1950" w:type="dxa"/>
            <w:hideMark/>
          </w:tcPr>
          <w:p w:rsidR="00C213EB" w:rsidRPr="005F3712" w:rsidRDefault="00C213EB" w:rsidP="00C213EB">
            <w:pPr>
              <w:pStyle w:val="Normal6a"/>
            </w:pPr>
            <w:r>
              <w:t>Q</w:t>
            </w:r>
          </w:p>
        </w:tc>
        <w:tc>
          <w:tcPr>
            <w:tcW w:w="1951" w:type="dxa"/>
            <w:hideMark/>
          </w:tcPr>
          <w:p w:rsidR="00C213EB" w:rsidRPr="005F3712" w:rsidRDefault="00C213EB" w:rsidP="00C213EB">
            <w:pPr>
              <w:pStyle w:val="Normal6a"/>
              <w:rPr>
                <w:szCs w:val="24"/>
              </w:rPr>
            </w:pPr>
            <w:r>
              <w:t>Luna, săptămâna</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Cazuri de mortalitate infantilă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 xml:space="preserve">Cazuri de </w:t>
            </w:r>
            <w:r>
              <w:lastRenderedPageBreak/>
              <w:t>mortalitate fetală tardivă</w:t>
            </w:r>
          </w:p>
        </w:tc>
        <w:tc>
          <w:tcPr>
            <w:tcW w:w="1950" w:type="dxa"/>
            <w:hideMark/>
          </w:tcPr>
          <w:p w:rsidR="00C213EB" w:rsidRPr="005F3712" w:rsidRDefault="00C213EB" w:rsidP="00C213EB">
            <w:pPr>
              <w:pStyle w:val="Normal6a"/>
            </w:pPr>
            <w:r>
              <w:lastRenderedPageBreak/>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Parteneriate</w:t>
            </w:r>
          </w:p>
        </w:tc>
        <w:tc>
          <w:tcPr>
            <w:tcW w:w="1951" w:type="dxa"/>
            <w:hideMark/>
          </w:tcPr>
          <w:p w:rsidR="00C213EB" w:rsidRPr="005F3712" w:rsidRDefault="00C213EB" w:rsidP="00C213EB">
            <w:pPr>
              <w:pStyle w:val="Normal6a"/>
            </w:pPr>
            <w:r>
              <w:t>Căsătorii și parteneriate înregistrate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Caracteristicile persoanelor care se angajează într-o căsătorie sau într-un parteneriat înregistrat</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Divorțuri și parteneriate înregistrate reziliate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Migrație</w:t>
            </w:r>
          </w:p>
        </w:tc>
        <w:tc>
          <w:tcPr>
            <w:tcW w:w="1951" w:type="dxa"/>
            <w:vMerge w:val="restart"/>
            <w:hideMark/>
          </w:tcPr>
          <w:p w:rsidR="00C213EB" w:rsidRPr="005F3712" w:rsidRDefault="00C213EB" w:rsidP="00C213EB">
            <w:pPr>
              <w:pStyle w:val="Normal6a"/>
            </w:pPr>
            <w:r>
              <w:t>Imigranți</w:t>
            </w:r>
          </w:p>
        </w:tc>
        <w:tc>
          <w:tcPr>
            <w:tcW w:w="1950" w:type="dxa"/>
            <w:hideMark/>
          </w:tcPr>
          <w:p w:rsidR="00C213EB" w:rsidRPr="005F3712" w:rsidRDefault="00C213EB" w:rsidP="00C213EB">
            <w:pPr>
              <w:pStyle w:val="Normal6a"/>
              <w:rPr>
                <w:b/>
                <w:i/>
              </w:rPr>
            </w:pPr>
            <w:r>
              <w:rPr>
                <w:b/>
                <w:i/>
              </w:rPr>
              <w:t>Q</w:t>
            </w:r>
          </w:p>
        </w:tc>
        <w:tc>
          <w:tcPr>
            <w:tcW w:w="1951" w:type="dxa"/>
            <w:hideMark/>
          </w:tcPr>
          <w:p w:rsidR="00C213EB" w:rsidRPr="005F3712" w:rsidRDefault="00C213EB" w:rsidP="00C213EB">
            <w:pPr>
              <w:pStyle w:val="Normal6a"/>
              <w:rPr>
                <w:b/>
                <w:i/>
                <w:szCs w:val="24"/>
              </w:rPr>
            </w:pPr>
            <w:r>
              <w:rPr>
                <w:b/>
                <w:i/>
              </w:rPr>
              <w:t>Luna</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Emigranți</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Migrație internă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Dobândirea și pierderea cetățeniei statelor membre ale UE și a Uniunii</w:t>
            </w:r>
          </w:p>
        </w:tc>
        <w:tc>
          <w:tcPr>
            <w:tcW w:w="1951" w:type="dxa"/>
            <w:hideMark/>
          </w:tcPr>
          <w:p w:rsidR="00C213EB" w:rsidRPr="005F3712" w:rsidRDefault="00C213EB" w:rsidP="00C213EB">
            <w:pPr>
              <w:pStyle w:val="Normal6a"/>
            </w:pPr>
            <w:r>
              <w:t>Persoane care au dobândit cetățenia</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Persoane care au pierdut/au renunțat la cetățenie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gridSpan w:val="5"/>
            <w:hideMark/>
          </w:tcPr>
          <w:p w:rsidR="00C213EB" w:rsidRPr="005F3712" w:rsidRDefault="00C213EB" w:rsidP="00C213EB">
            <w:pPr>
              <w:pStyle w:val="Normal6a"/>
              <w:rPr>
                <w:szCs w:val="24"/>
              </w:rPr>
            </w:pPr>
            <w:r>
              <w:t>_______________________________________</w:t>
            </w:r>
          </w:p>
        </w:tc>
      </w:tr>
      <w:tr w:rsidR="00C213EB" w:rsidTr="00C213EB">
        <w:trPr>
          <w:jc w:val="center"/>
        </w:trPr>
        <w:tc>
          <w:tcPr>
            <w:tcW w:w="9752" w:type="dxa"/>
            <w:gridSpan w:val="5"/>
            <w:hideMark/>
          </w:tcPr>
          <w:p w:rsidR="00C213EB" w:rsidRPr="005F3712" w:rsidRDefault="00C213EB" w:rsidP="00C213EB">
            <w:pPr>
              <w:pStyle w:val="Normal6a"/>
              <w:rPr>
                <w:szCs w:val="24"/>
              </w:rPr>
            </w:pPr>
            <w:r>
              <w:rPr>
                <w:vertAlign w:val="superscript"/>
              </w:rPr>
              <w:t>1</w:t>
            </w:r>
            <w:r>
              <w:t xml:space="preserve"> De furnizat în mod voluntar.</w:t>
            </w:r>
          </w:p>
        </w:tc>
      </w:tr>
      <w:tr w:rsidR="00C213EB" w:rsidTr="00C213EB">
        <w:trPr>
          <w:jc w:val="center"/>
        </w:trPr>
        <w:tc>
          <w:tcPr>
            <w:tcW w:w="1950" w:type="dxa"/>
          </w:tcPr>
          <w:p w:rsidR="00C213EB" w:rsidRPr="005F3712" w:rsidRDefault="00C213EB" w:rsidP="00C213EB">
            <w:pPr>
              <w:pStyle w:val="Normal6a"/>
            </w:pPr>
          </w:p>
        </w:tc>
        <w:tc>
          <w:tcPr>
            <w:tcW w:w="1950" w:type="dxa"/>
          </w:tcPr>
          <w:p w:rsidR="00C213EB" w:rsidRPr="005F3712" w:rsidRDefault="00C213EB" w:rsidP="00C213EB">
            <w:pPr>
              <w:pStyle w:val="Normal6a"/>
            </w:pPr>
          </w:p>
        </w:tc>
        <w:tc>
          <w:tcPr>
            <w:tcW w:w="1951" w:type="dxa"/>
          </w:tcPr>
          <w:p w:rsidR="00C213EB" w:rsidRPr="005F3712" w:rsidRDefault="00C213EB" w:rsidP="00C213EB">
            <w:pPr>
              <w:pStyle w:val="Normal6a"/>
            </w:pPr>
          </w:p>
        </w:tc>
        <w:tc>
          <w:tcPr>
            <w:tcW w:w="1950" w:type="dxa"/>
          </w:tcPr>
          <w:p w:rsidR="00C213EB" w:rsidRPr="005F3712" w:rsidRDefault="00C213EB" w:rsidP="00C213EB">
            <w:pPr>
              <w:pStyle w:val="Normal6a"/>
            </w:pPr>
          </w:p>
        </w:tc>
        <w:tc>
          <w:tcPr>
            <w:tcW w:w="1951" w:type="dxa"/>
          </w:tcPr>
          <w:p w:rsidR="00C213EB" w:rsidRPr="005F3712" w:rsidRDefault="00C213EB" w:rsidP="00C213EB">
            <w:pPr>
              <w:pStyle w:val="Normal6a"/>
              <w:rPr>
                <w:szCs w:val="24"/>
              </w:rPr>
            </w:pPr>
          </w:p>
        </w:tc>
      </w:tr>
      <w:tr w:rsidR="00C213EB" w:rsidTr="00C213EB">
        <w:trPr>
          <w:jc w:val="center"/>
        </w:trPr>
        <w:tc>
          <w:tcPr>
            <w:tcW w:w="9752" w:type="dxa"/>
            <w:gridSpan w:val="5"/>
            <w:hideMark/>
          </w:tcPr>
          <w:p w:rsidR="00C213EB" w:rsidRPr="005F3712" w:rsidRDefault="00C213EB" w:rsidP="00C213EB">
            <w:pPr>
              <w:pStyle w:val="Normal6a"/>
              <w:jc w:val="center"/>
              <w:rPr>
                <w:i/>
                <w:szCs w:val="24"/>
              </w:rPr>
            </w:pPr>
            <w:r>
              <w:rPr>
                <w:i/>
              </w:rPr>
              <w:t>Amendamentul</w:t>
            </w:r>
          </w:p>
        </w:tc>
      </w:tr>
      <w:tr w:rsidR="00C213EB" w:rsidTr="00C213EB">
        <w:trPr>
          <w:jc w:val="center"/>
        </w:trPr>
        <w:tc>
          <w:tcPr>
            <w:tcW w:w="1950" w:type="dxa"/>
            <w:vMerge w:val="restart"/>
            <w:hideMark/>
          </w:tcPr>
          <w:p w:rsidR="00C213EB" w:rsidRPr="005F3712" w:rsidRDefault="00C213EB" w:rsidP="00C213EB">
            <w:pPr>
              <w:pStyle w:val="Normal6a"/>
            </w:pPr>
            <w:r>
              <w:t>Demografie</w:t>
            </w:r>
          </w:p>
        </w:tc>
        <w:tc>
          <w:tcPr>
            <w:tcW w:w="1950" w:type="dxa"/>
            <w:vMerge w:val="restart"/>
            <w:hideMark/>
          </w:tcPr>
          <w:p w:rsidR="00C213EB" w:rsidRPr="005F3712" w:rsidRDefault="00C213EB" w:rsidP="00C213EB">
            <w:pPr>
              <w:pStyle w:val="Normal6a"/>
            </w:pPr>
            <w:r>
              <w:t>Stocuri de populație</w:t>
            </w:r>
          </w:p>
        </w:tc>
        <w:tc>
          <w:tcPr>
            <w:tcW w:w="1951" w:type="dxa"/>
            <w:vMerge w:val="restart"/>
            <w:hideMark/>
          </w:tcPr>
          <w:p w:rsidR="00C213EB" w:rsidRPr="005F3712" w:rsidRDefault="00C213EB" w:rsidP="00C213EB">
            <w:pPr>
              <w:pStyle w:val="Normal6a"/>
            </w:pPr>
            <w:r>
              <w:t>Caracteristicile de bază ale persoanei</w:t>
            </w:r>
          </w:p>
        </w:tc>
        <w:tc>
          <w:tcPr>
            <w:tcW w:w="1950" w:type="dxa"/>
            <w:hideMark/>
          </w:tcPr>
          <w:p w:rsidR="00C213EB" w:rsidRPr="005F3712" w:rsidRDefault="00C213EB" w:rsidP="00C213EB">
            <w:pPr>
              <w:pStyle w:val="Normal6a"/>
              <w:rPr>
                <w:szCs w:val="24"/>
              </w:rPr>
            </w:pPr>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restart"/>
            <w:hideMark/>
          </w:tcPr>
          <w:p w:rsidR="00C213EB" w:rsidRPr="005F3712" w:rsidRDefault="00C213EB" w:rsidP="00C213EB">
            <w:pPr>
              <w:pStyle w:val="Normal6a"/>
            </w:pPr>
            <w:r>
              <w:t>Caracteristicile socio-economice ale persoanei</w:t>
            </w:r>
          </w:p>
        </w:tc>
        <w:tc>
          <w:tcPr>
            <w:tcW w:w="1950" w:type="dxa"/>
            <w:hideMark/>
          </w:tcPr>
          <w:p w:rsidR="00C213EB" w:rsidRPr="005F3712" w:rsidRDefault="00C213EB" w:rsidP="00C213EB">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Fertilitatea</w:t>
            </w:r>
          </w:p>
        </w:tc>
        <w:tc>
          <w:tcPr>
            <w:tcW w:w="1951" w:type="dxa"/>
            <w:vMerge w:val="restart"/>
            <w:hideMark/>
          </w:tcPr>
          <w:p w:rsidR="00C213EB" w:rsidRPr="005F3712" w:rsidRDefault="00C213EB" w:rsidP="00C213EB">
            <w:pPr>
              <w:pStyle w:val="Normal6a"/>
            </w:pPr>
            <w:r>
              <w:t>Nașteri</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Avorturile efectuate în mod legal</w:t>
            </w:r>
            <w:r>
              <w:rPr>
                <w:vertAlign w:val="superscript"/>
              </w:rPr>
              <w:t>1</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Mortalitatea</w:t>
            </w:r>
          </w:p>
        </w:tc>
        <w:tc>
          <w:tcPr>
            <w:tcW w:w="1951" w:type="dxa"/>
            <w:vMerge w:val="restart"/>
            <w:hideMark/>
          </w:tcPr>
          <w:p w:rsidR="00C213EB" w:rsidRPr="005F3712" w:rsidRDefault="00C213EB" w:rsidP="00C213EB">
            <w:pPr>
              <w:pStyle w:val="Normal6a"/>
            </w:pPr>
            <w:r>
              <w:t>Decese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Cazuri de mortalitate infantilă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Cazuri de mortalitate fetală tardivă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Parteneriate</w:t>
            </w:r>
          </w:p>
        </w:tc>
        <w:tc>
          <w:tcPr>
            <w:tcW w:w="1951" w:type="dxa"/>
            <w:hideMark/>
          </w:tcPr>
          <w:p w:rsidR="00C213EB" w:rsidRPr="005F3712" w:rsidRDefault="00C213EB" w:rsidP="00C213EB">
            <w:pPr>
              <w:pStyle w:val="Normal6a"/>
            </w:pPr>
            <w:r>
              <w:t>Căsătorii și parteneriate înregistrate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Caracteristicile persoanelor care se angajează într-o căsătorie sau într-un parteneriat înregistrat</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Divorțuri și parteneriate înregistrate reziliate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Migrație</w:t>
            </w:r>
          </w:p>
        </w:tc>
        <w:tc>
          <w:tcPr>
            <w:tcW w:w="1951" w:type="dxa"/>
            <w:vMerge w:val="restart"/>
            <w:hideMark/>
          </w:tcPr>
          <w:p w:rsidR="00C213EB" w:rsidRPr="005F3712" w:rsidRDefault="00C213EB" w:rsidP="00C213EB">
            <w:pPr>
              <w:pStyle w:val="Normal6a"/>
            </w:pPr>
            <w:r>
              <w:t>Imigranți</w:t>
            </w:r>
          </w:p>
        </w:tc>
        <w:tc>
          <w:tcPr>
            <w:tcW w:w="1950" w:type="dxa"/>
          </w:tcPr>
          <w:p w:rsidR="00C213EB" w:rsidRPr="005F3712" w:rsidRDefault="00C213EB" w:rsidP="00C213EB">
            <w:pPr>
              <w:pStyle w:val="Normal6a"/>
            </w:pPr>
          </w:p>
        </w:tc>
        <w:tc>
          <w:tcPr>
            <w:tcW w:w="1951" w:type="dxa"/>
          </w:tcPr>
          <w:p w:rsidR="00C213EB" w:rsidRPr="005F3712" w:rsidRDefault="00C213EB" w:rsidP="00C213EB">
            <w:pPr>
              <w:pStyle w:val="Normal6a"/>
              <w:rPr>
                <w:szCs w:val="24"/>
              </w:rPr>
            </w:pP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Emigranți</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Migrație internă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tcPr>
          <w:p w:rsidR="00C213EB" w:rsidRPr="005F3712" w:rsidRDefault="00C213EB" w:rsidP="00C213EB"/>
        </w:tc>
        <w:tc>
          <w:tcPr>
            <w:tcW w:w="1950" w:type="dxa"/>
            <w:vAlign w:val="center"/>
          </w:tcPr>
          <w:p w:rsidR="00C213EB" w:rsidRPr="005F3712" w:rsidRDefault="00C213EB" w:rsidP="00C213EB"/>
        </w:tc>
        <w:tc>
          <w:tcPr>
            <w:tcW w:w="1951" w:type="dxa"/>
          </w:tcPr>
          <w:p w:rsidR="00C213EB" w:rsidRPr="005F3712" w:rsidRDefault="00C213EB" w:rsidP="00C213EB">
            <w:pPr>
              <w:pStyle w:val="Normal6a"/>
              <w:rPr>
                <w:b/>
                <w:i/>
              </w:rPr>
            </w:pPr>
            <w:r>
              <w:rPr>
                <w:b/>
                <w:i/>
              </w:rPr>
              <w:t>Persoane deținute în centre</w:t>
            </w:r>
            <w:r>
              <w:rPr>
                <w:b/>
                <w:i/>
                <w:vertAlign w:val="superscript"/>
              </w:rPr>
              <w:t>2</w:t>
            </w:r>
          </w:p>
        </w:tc>
        <w:tc>
          <w:tcPr>
            <w:tcW w:w="1950" w:type="dxa"/>
          </w:tcPr>
          <w:p w:rsidR="00C213EB" w:rsidRPr="005F3712" w:rsidRDefault="00C213EB" w:rsidP="00C213EB">
            <w:pPr>
              <w:pStyle w:val="Normal6a"/>
              <w:rPr>
                <w:b/>
                <w:i/>
              </w:rPr>
            </w:pPr>
            <w:r>
              <w:rPr>
                <w:b/>
                <w:i/>
              </w:rPr>
              <w:t>A</w:t>
            </w:r>
          </w:p>
        </w:tc>
        <w:tc>
          <w:tcPr>
            <w:tcW w:w="1951" w:type="dxa"/>
          </w:tcPr>
          <w:p w:rsidR="00C213EB" w:rsidRPr="005F3712" w:rsidRDefault="00C213EB" w:rsidP="00C213EB">
            <w:pPr>
              <w:pStyle w:val="Normal6a"/>
              <w:rPr>
                <w:b/>
                <w:i/>
              </w:rPr>
            </w:pPr>
            <w:r>
              <w:rPr>
                <w:b/>
                <w:i/>
              </w:rPr>
              <w:t>Anul</w:t>
            </w:r>
          </w:p>
        </w:tc>
      </w:tr>
      <w:tr w:rsidR="00C213EB" w:rsidTr="00C213EB">
        <w:trPr>
          <w:jc w:val="center"/>
        </w:trPr>
        <w:tc>
          <w:tcPr>
            <w:tcW w:w="9752" w:type="dxa"/>
            <w:vMerge/>
            <w:vAlign w:val="center"/>
          </w:tcPr>
          <w:p w:rsidR="00C213EB" w:rsidRPr="005F3712" w:rsidRDefault="00C213EB" w:rsidP="00C213EB"/>
        </w:tc>
        <w:tc>
          <w:tcPr>
            <w:tcW w:w="1950" w:type="dxa"/>
            <w:vAlign w:val="center"/>
          </w:tcPr>
          <w:p w:rsidR="00C213EB" w:rsidRPr="005F3712" w:rsidRDefault="00C213EB" w:rsidP="00C213EB"/>
        </w:tc>
        <w:tc>
          <w:tcPr>
            <w:tcW w:w="1951" w:type="dxa"/>
          </w:tcPr>
          <w:p w:rsidR="00C213EB" w:rsidRPr="005F3712" w:rsidRDefault="00C213EB" w:rsidP="00C213EB">
            <w:pPr>
              <w:pStyle w:val="Normal6a"/>
              <w:rPr>
                <w:b/>
                <w:i/>
              </w:rPr>
            </w:pPr>
            <w:r>
              <w:rPr>
                <w:b/>
                <w:i/>
              </w:rPr>
              <w:t>Persoane deportate</w:t>
            </w:r>
            <w:r>
              <w:rPr>
                <w:b/>
                <w:i/>
                <w:vertAlign w:val="superscript"/>
              </w:rPr>
              <w:t>3</w:t>
            </w:r>
          </w:p>
        </w:tc>
        <w:tc>
          <w:tcPr>
            <w:tcW w:w="1950" w:type="dxa"/>
          </w:tcPr>
          <w:p w:rsidR="00C213EB" w:rsidRPr="005F3712" w:rsidRDefault="00C213EB" w:rsidP="00C213EB">
            <w:pPr>
              <w:pStyle w:val="Normal6a"/>
              <w:rPr>
                <w:b/>
                <w:i/>
              </w:rPr>
            </w:pPr>
            <w:r>
              <w:rPr>
                <w:b/>
                <w:i/>
              </w:rPr>
              <w:t>A</w:t>
            </w:r>
          </w:p>
        </w:tc>
        <w:tc>
          <w:tcPr>
            <w:tcW w:w="1951" w:type="dxa"/>
          </w:tcPr>
          <w:p w:rsidR="00C213EB" w:rsidRPr="005F3712" w:rsidRDefault="00C213EB" w:rsidP="00C213EB">
            <w:pPr>
              <w:pStyle w:val="Normal6a"/>
              <w:rPr>
                <w:b/>
                <w:i/>
              </w:rPr>
            </w:pPr>
            <w:r>
              <w:rPr>
                <w:b/>
                <w:i/>
              </w:rPr>
              <w:t>Anul</w:t>
            </w:r>
          </w:p>
        </w:tc>
      </w:tr>
      <w:tr w:rsidR="00C213EB" w:rsidTr="00C213EB">
        <w:trPr>
          <w:jc w:val="center"/>
        </w:trPr>
        <w:tc>
          <w:tcPr>
            <w:tcW w:w="9752" w:type="dxa"/>
            <w:vMerge/>
            <w:vAlign w:val="center"/>
          </w:tcPr>
          <w:p w:rsidR="00C213EB" w:rsidRPr="005F3712" w:rsidRDefault="00C213EB" w:rsidP="00C213EB"/>
        </w:tc>
        <w:tc>
          <w:tcPr>
            <w:tcW w:w="1950" w:type="dxa"/>
            <w:vAlign w:val="center"/>
          </w:tcPr>
          <w:p w:rsidR="00C213EB" w:rsidRPr="005F3712" w:rsidRDefault="00C213EB" w:rsidP="00C213EB"/>
        </w:tc>
        <w:tc>
          <w:tcPr>
            <w:tcW w:w="1951" w:type="dxa"/>
          </w:tcPr>
          <w:p w:rsidR="00C213EB" w:rsidRPr="005F3712" w:rsidRDefault="00C213EB" w:rsidP="00C213EB">
            <w:pPr>
              <w:pStyle w:val="Normal6a"/>
              <w:rPr>
                <w:b/>
                <w:i/>
              </w:rPr>
            </w:pPr>
            <w:r>
              <w:rPr>
                <w:b/>
                <w:i/>
              </w:rPr>
              <w:t>Persoane returnate sau refuzuri ale intrării</w:t>
            </w:r>
            <w:r>
              <w:rPr>
                <w:b/>
                <w:i/>
                <w:vertAlign w:val="superscript"/>
              </w:rPr>
              <w:t>4</w:t>
            </w:r>
          </w:p>
        </w:tc>
        <w:tc>
          <w:tcPr>
            <w:tcW w:w="1950" w:type="dxa"/>
          </w:tcPr>
          <w:p w:rsidR="00C213EB" w:rsidRPr="005F3712" w:rsidRDefault="00C213EB" w:rsidP="00C213EB">
            <w:pPr>
              <w:pStyle w:val="Normal6a"/>
              <w:rPr>
                <w:b/>
                <w:i/>
              </w:rPr>
            </w:pPr>
            <w:r>
              <w:rPr>
                <w:b/>
                <w:i/>
              </w:rPr>
              <w:t>A</w:t>
            </w:r>
          </w:p>
        </w:tc>
        <w:tc>
          <w:tcPr>
            <w:tcW w:w="1951" w:type="dxa"/>
          </w:tcPr>
          <w:p w:rsidR="00C213EB" w:rsidRPr="005F3712" w:rsidRDefault="00C213EB" w:rsidP="00C213EB">
            <w:pPr>
              <w:pStyle w:val="Normal6a"/>
              <w:rPr>
                <w:b/>
                <w:i/>
              </w:rPr>
            </w:pPr>
            <w:r>
              <w:rPr>
                <w:b/>
                <w:i/>
              </w:rPr>
              <w:t>Anul</w:t>
            </w:r>
          </w:p>
        </w:tc>
      </w:tr>
      <w:tr w:rsidR="00C213EB" w:rsidTr="00C213EB">
        <w:trPr>
          <w:jc w:val="center"/>
        </w:trPr>
        <w:tc>
          <w:tcPr>
            <w:tcW w:w="9752" w:type="dxa"/>
            <w:vMerge/>
            <w:vAlign w:val="center"/>
          </w:tcPr>
          <w:p w:rsidR="00C213EB" w:rsidRPr="005F3712" w:rsidRDefault="00C213EB" w:rsidP="00C213EB"/>
        </w:tc>
        <w:tc>
          <w:tcPr>
            <w:tcW w:w="1950" w:type="dxa"/>
            <w:vAlign w:val="center"/>
          </w:tcPr>
          <w:p w:rsidR="00C213EB" w:rsidRPr="005F3712" w:rsidRDefault="00C213EB" w:rsidP="00C213EB"/>
        </w:tc>
        <w:tc>
          <w:tcPr>
            <w:tcW w:w="1951" w:type="dxa"/>
          </w:tcPr>
          <w:p w:rsidR="00C213EB" w:rsidRPr="005F3712" w:rsidRDefault="00C213EB" w:rsidP="00C213EB">
            <w:pPr>
              <w:pStyle w:val="Normal6a"/>
              <w:rPr>
                <w:b/>
                <w:i/>
              </w:rPr>
            </w:pPr>
            <w:r>
              <w:rPr>
                <w:b/>
                <w:i/>
              </w:rPr>
              <w:t>Locuri de arest</w:t>
            </w:r>
            <w:r>
              <w:rPr>
                <w:b/>
                <w:i/>
                <w:vertAlign w:val="superscript"/>
              </w:rPr>
              <w:t>5</w:t>
            </w:r>
          </w:p>
        </w:tc>
        <w:tc>
          <w:tcPr>
            <w:tcW w:w="1950" w:type="dxa"/>
          </w:tcPr>
          <w:p w:rsidR="00C213EB" w:rsidRPr="005F3712" w:rsidRDefault="00C213EB" w:rsidP="00C213EB">
            <w:pPr>
              <w:pStyle w:val="Normal6a"/>
              <w:rPr>
                <w:b/>
                <w:i/>
              </w:rPr>
            </w:pPr>
            <w:r>
              <w:rPr>
                <w:b/>
                <w:i/>
              </w:rPr>
              <w:t>A</w:t>
            </w:r>
          </w:p>
        </w:tc>
        <w:tc>
          <w:tcPr>
            <w:tcW w:w="1951" w:type="dxa"/>
          </w:tcPr>
          <w:p w:rsidR="00C213EB" w:rsidRPr="005F3712" w:rsidRDefault="00C213EB" w:rsidP="00C213EB">
            <w:pPr>
              <w:pStyle w:val="Normal6a"/>
              <w:rPr>
                <w:b/>
                <w:i/>
              </w:rPr>
            </w:pPr>
            <w:r>
              <w:rPr>
                <w:b/>
                <w:i/>
              </w:rP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Dobândirea și pierderea cetățeniei statelor membre ale UE și a Uniunii</w:t>
            </w:r>
          </w:p>
        </w:tc>
        <w:tc>
          <w:tcPr>
            <w:tcW w:w="1951" w:type="dxa"/>
            <w:hideMark/>
          </w:tcPr>
          <w:p w:rsidR="00C213EB" w:rsidRPr="005F3712" w:rsidRDefault="00C213EB" w:rsidP="00C213EB">
            <w:pPr>
              <w:pStyle w:val="Normal6a"/>
            </w:pPr>
            <w:r>
              <w:t>Persoane care au dobândit cetățenia</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Persoane care au pierdut/au renunțat la cetățenie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gridSpan w:val="5"/>
            <w:hideMark/>
          </w:tcPr>
          <w:p w:rsidR="00C213EB" w:rsidRPr="005F3712" w:rsidRDefault="00C213EB" w:rsidP="00C213EB">
            <w:pPr>
              <w:pStyle w:val="Normal6a"/>
              <w:rPr>
                <w:szCs w:val="24"/>
              </w:rPr>
            </w:pPr>
            <w:r>
              <w:t>_______________________________________</w:t>
            </w:r>
          </w:p>
        </w:tc>
      </w:tr>
      <w:tr w:rsidR="00C213EB" w:rsidTr="00C213EB">
        <w:trPr>
          <w:jc w:val="center"/>
        </w:trPr>
        <w:tc>
          <w:tcPr>
            <w:tcW w:w="9752" w:type="dxa"/>
            <w:gridSpan w:val="5"/>
            <w:hideMark/>
          </w:tcPr>
          <w:p w:rsidR="00C213EB" w:rsidRPr="005F3712" w:rsidRDefault="00C213EB" w:rsidP="00C213EB">
            <w:pPr>
              <w:pStyle w:val="Normal6a"/>
              <w:rPr>
                <w:szCs w:val="24"/>
              </w:rPr>
            </w:pPr>
            <w:r>
              <w:rPr>
                <w:vertAlign w:val="superscript"/>
              </w:rPr>
              <w:t>1</w:t>
            </w:r>
            <w:r>
              <w:t xml:space="preserve"> De furnizat în mod voluntar.</w:t>
            </w:r>
          </w:p>
        </w:tc>
      </w:tr>
      <w:tr w:rsidR="00C213EB" w:rsidTr="00C213EB">
        <w:trPr>
          <w:jc w:val="center"/>
        </w:trPr>
        <w:tc>
          <w:tcPr>
            <w:tcW w:w="9752" w:type="dxa"/>
            <w:gridSpan w:val="5"/>
          </w:tcPr>
          <w:p w:rsidR="00C213EB" w:rsidRPr="005F3712" w:rsidRDefault="00C213EB" w:rsidP="00C213EB">
            <w:pPr>
              <w:pStyle w:val="Normal6a"/>
              <w:rPr>
                <w:b/>
                <w:i/>
              </w:rPr>
            </w:pPr>
            <w:r>
              <w:rPr>
                <w:b/>
                <w:i/>
                <w:vertAlign w:val="superscript"/>
              </w:rPr>
              <w:t>2</w:t>
            </w:r>
            <w:r>
              <w:rPr>
                <w:b/>
                <w:i/>
              </w:rPr>
              <w:t xml:space="preserve"> Defalcat în funcție de țara de origine</w:t>
            </w:r>
          </w:p>
        </w:tc>
      </w:tr>
      <w:tr w:rsidR="00C213EB" w:rsidTr="00C213EB">
        <w:trPr>
          <w:jc w:val="center"/>
        </w:trPr>
        <w:tc>
          <w:tcPr>
            <w:tcW w:w="9752" w:type="dxa"/>
            <w:gridSpan w:val="5"/>
          </w:tcPr>
          <w:p w:rsidR="00C213EB" w:rsidRPr="005F3712" w:rsidRDefault="00C213EB" w:rsidP="00C213EB">
            <w:pPr>
              <w:pStyle w:val="Normal6a"/>
              <w:rPr>
                <w:b/>
                <w:i/>
              </w:rPr>
            </w:pPr>
            <w:r>
              <w:rPr>
                <w:b/>
                <w:i/>
                <w:vertAlign w:val="superscript"/>
              </w:rPr>
              <w:t>3</w:t>
            </w:r>
            <w:r>
              <w:rPr>
                <w:b/>
                <w:i/>
              </w:rPr>
              <w:t xml:space="preserve"> Idem</w:t>
            </w:r>
          </w:p>
        </w:tc>
      </w:tr>
      <w:tr w:rsidR="00C213EB" w:rsidTr="00C213EB">
        <w:trPr>
          <w:jc w:val="center"/>
        </w:trPr>
        <w:tc>
          <w:tcPr>
            <w:tcW w:w="9752" w:type="dxa"/>
            <w:gridSpan w:val="5"/>
          </w:tcPr>
          <w:p w:rsidR="00C213EB" w:rsidRPr="005F3712" w:rsidRDefault="00C213EB" w:rsidP="00C213EB">
            <w:pPr>
              <w:pStyle w:val="Normal6a"/>
              <w:rPr>
                <w:b/>
                <w:i/>
              </w:rPr>
            </w:pPr>
            <w:r>
              <w:rPr>
                <w:b/>
                <w:i/>
                <w:vertAlign w:val="superscript"/>
              </w:rPr>
              <w:t>4</w:t>
            </w:r>
            <w:r>
              <w:rPr>
                <w:b/>
                <w:i/>
              </w:rPr>
              <w:t xml:space="preserve"> Idem</w:t>
            </w:r>
          </w:p>
        </w:tc>
      </w:tr>
      <w:tr w:rsidR="00C213EB" w:rsidTr="00C213EB">
        <w:trPr>
          <w:jc w:val="center"/>
        </w:trPr>
        <w:tc>
          <w:tcPr>
            <w:tcW w:w="9752" w:type="dxa"/>
            <w:gridSpan w:val="5"/>
          </w:tcPr>
          <w:p w:rsidR="00C213EB" w:rsidRPr="005F3712" w:rsidRDefault="00C213EB" w:rsidP="00C213EB">
            <w:pPr>
              <w:pStyle w:val="Normal6a"/>
              <w:rPr>
                <w:b/>
                <w:i/>
              </w:rPr>
            </w:pPr>
            <w:r>
              <w:rPr>
                <w:b/>
                <w:i/>
                <w:vertAlign w:val="superscript"/>
              </w:rPr>
              <w:t>5</w:t>
            </w:r>
            <w:r>
              <w:rPr>
                <w:b/>
                <w:i/>
              </w:rPr>
              <w:t xml:space="preserve"> Idem</w:t>
            </w:r>
          </w:p>
        </w:tc>
      </w:tr>
    </w:tbl>
    <w:p w:rsidR="00C213EB" w:rsidRPr="005F3712" w:rsidRDefault="00C213EB" w:rsidP="00C213EB">
      <w:pPr>
        <w:pStyle w:val="AmOrLang"/>
      </w:pPr>
      <w:r w:rsidRPr="005F3712">
        <w:t xml:space="preserve">Or. </w:t>
      </w:r>
      <w:r w:rsidRPr="005908C9">
        <w:rPr>
          <w:rStyle w:val="HideTWBExt"/>
        </w:rPr>
        <w:t>&lt;Original&gt;</w:t>
      </w:r>
      <w:r w:rsidRPr="005908C9">
        <w:rPr>
          <w:rStyle w:val="HideTWBInt"/>
          <w:rFonts w:eastAsiaTheme="majorEastAsia"/>
        </w:rPr>
        <w:t>{EN}</w:t>
      </w:r>
      <w:r w:rsidRPr="005F3712">
        <w:t>en</w:t>
      </w:r>
      <w:r w:rsidRPr="005908C9">
        <w:rPr>
          <w:rStyle w:val="HideTWBExt"/>
        </w:rPr>
        <w:t>&lt;/Original&gt;</w:t>
      </w:r>
    </w:p>
    <w:p w:rsidR="00C213EB" w:rsidRPr="005F3712" w:rsidRDefault="00C213EB" w:rsidP="00C213EB">
      <w:pPr>
        <w:pStyle w:val="AMNumberTabs0"/>
        <w:keepNext/>
        <w:rPr>
          <w:szCs w:val="24"/>
        </w:rPr>
      </w:pPr>
      <w:r w:rsidRPr="005908C9">
        <w:rPr>
          <w:rStyle w:val="HideTWBExt"/>
          <w:b w:val="0"/>
        </w:rPr>
        <w:t>&lt;/Amend&gt;</w:t>
      </w:r>
    </w:p>
    <w:p w:rsidR="00C213EB" w:rsidRPr="005F3712" w:rsidRDefault="00C213EB" w:rsidP="00C213EB">
      <w:pPr>
        <w:pStyle w:val="AMNumberTabs0"/>
        <w:keepNext/>
      </w:pPr>
      <w:r w:rsidRPr="005908C9">
        <w:rPr>
          <w:rStyle w:val="HideTWBExt"/>
          <w:b w:val="0"/>
        </w:rPr>
        <w:t>&lt;Amend&gt;</w:t>
      </w:r>
      <w:r>
        <w:t>Amendamentul</w:t>
      </w:r>
      <w:r>
        <w:tab/>
      </w:r>
      <w:r>
        <w:tab/>
      </w:r>
      <w:r w:rsidRPr="005908C9">
        <w:rPr>
          <w:rStyle w:val="HideTWBExt"/>
          <w:b w:val="0"/>
        </w:rPr>
        <w:t>&lt;NumAm&gt;</w:t>
      </w:r>
      <w:r>
        <w:t>130</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t>Irena Joveva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t>Propunere de regulament</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t>Anexa I – tabelul 1</w:t>
      </w:r>
      <w:r w:rsidRPr="005908C9">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C213EB" w:rsidTr="00C213EB">
        <w:trPr>
          <w:jc w:val="center"/>
        </w:trPr>
        <w:tc>
          <w:tcPr>
            <w:tcW w:w="9752" w:type="dxa"/>
            <w:gridSpan w:val="5"/>
          </w:tcPr>
          <w:p w:rsidR="00C213EB" w:rsidRPr="005F3712" w:rsidRDefault="00C213EB" w:rsidP="00C213EB">
            <w:pPr>
              <w:keepNext/>
            </w:pPr>
          </w:p>
        </w:tc>
      </w:tr>
      <w:tr w:rsidR="00C213EB" w:rsidTr="00C213EB">
        <w:trPr>
          <w:jc w:val="center"/>
        </w:trPr>
        <w:tc>
          <w:tcPr>
            <w:tcW w:w="9752" w:type="dxa"/>
            <w:gridSpan w:val="5"/>
            <w:hideMark/>
          </w:tcPr>
          <w:p w:rsidR="00C213EB" w:rsidRPr="005F3712" w:rsidRDefault="00C213EB" w:rsidP="00C213EB">
            <w:pPr>
              <w:pStyle w:val="AmColumnHeading"/>
              <w:keepNext/>
            </w:pPr>
            <w:r>
              <w:t>Textul propus de Comisie</w:t>
            </w:r>
          </w:p>
        </w:tc>
      </w:tr>
      <w:tr w:rsidR="00C213EB" w:rsidTr="00C213EB">
        <w:trPr>
          <w:jc w:val="center"/>
        </w:trPr>
        <w:tc>
          <w:tcPr>
            <w:tcW w:w="1950" w:type="dxa"/>
            <w:vMerge w:val="restart"/>
            <w:hideMark/>
          </w:tcPr>
          <w:p w:rsidR="00C213EB" w:rsidRPr="005F3712" w:rsidRDefault="00C213EB" w:rsidP="00C213EB">
            <w:pPr>
              <w:pStyle w:val="Normal6a"/>
            </w:pPr>
            <w:r>
              <w:t>Demografie</w:t>
            </w:r>
          </w:p>
        </w:tc>
        <w:tc>
          <w:tcPr>
            <w:tcW w:w="1950" w:type="dxa"/>
            <w:vMerge w:val="restart"/>
            <w:hideMark/>
          </w:tcPr>
          <w:p w:rsidR="00C213EB" w:rsidRPr="005F3712" w:rsidRDefault="00C213EB" w:rsidP="00C213EB">
            <w:pPr>
              <w:pStyle w:val="Normal6a"/>
            </w:pPr>
            <w:r>
              <w:t>Stocuri de populație</w:t>
            </w:r>
          </w:p>
        </w:tc>
        <w:tc>
          <w:tcPr>
            <w:tcW w:w="1951" w:type="dxa"/>
            <w:vMerge w:val="restart"/>
            <w:hideMark/>
          </w:tcPr>
          <w:p w:rsidR="00C213EB" w:rsidRPr="005F3712" w:rsidRDefault="00C213EB" w:rsidP="00C213EB">
            <w:pPr>
              <w:pStyle w:val="Normal6a"/>
            </w:pPr>
            <w:r>
              <w:t>Caracteristicile de bază ale persoanei</w:t>
            </w:r>
          </w:p>
        </w:tc>
        <w:tc>
          <w:tcPr>
            <w:tcW w:w="1950" w:type="dxa"/>
            <w:hideMark/>
          </w:tcPr>
          <w:p w:rsidR="00C213EB" w:rsidRPr="005F3712" w:rsidRDefault="00C213EB" w:rsidP="00C213EB">
            <w:pPr>
              <w:pStyle w:val="Normal6a"/>
              <w:rPr>
                <w:szCs w:val="24"/>
              </w:rPr>
            </w:pPr>
            <w:r>
              <w:t>6M</w:t>
            </w:r>
          </w:p>
        </w:tc>
        <w:tc>
          <w:tcPr>
            <w:tcW w:w="1951" w:type="dxa"/>
            <w:hideMark/>
          </w:tcPr>
          <w:p w:rsidR="00C213EB" w:rsidRPr="005F3712" w:rsidRDefault="00C213EB" w:rsidP="00C213EB">
            <w:pPr>
              <w:pStyle w:val="Normal6a"/>
              <w:rPr>
                <w:szCs w:val="24"/>
              </w:rPr>
            </w:pPr>
            <w:r>
              <w:t>30.6.YY și 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restart"/>
            <w:hideMark/>
          </w:tcPr>
          <w:p w:rsidR="00C213EB" w:rsidRPr="005F3712" w:rsidRDefault="00C213EB" w:rsidP="00C213EB">
            <w:pPr>
              <w:pStyle w:val="Normal6a"/>
            </w:pPr>
            <w:r>
              <w:t>Caracteristicile socio-economice ale persoanei</w:t>
            </w:r>
          </w:p>
        </w:tc>
        <w:tc>
          <w:tcPr>
            <w:tcW w:w="1950" w:type="dxa"/>
            <w:hideMark/>
          </w:tcPr>
          <w:p w:rsidR="00C213EB" w:rsidRPr="005F3712" w:rsidRDefault="00C213EB" w:rsidP="00C213EB">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Fertilitatea</w:t>
            </w:r>
          </w:p>
        </w:tc>
        <w:tc>
          <w:tcPr>
            <w:tcW w:w="1951" w:type="dxa"/>
            <w:vMerge w:val="restart"/>
            <w:hideMark/>
          </w:tcPr>
          <w:p w:rsidR="00C213EB" w:rsidRPr="005F3712" w:rsidRDefault="00C213EB" w:rsidP="00C213EB">
            <w:pPr>
              <w:pStyle w:val="Normal6a"/>
            </w:pPr>
            <w:r>
              <w:t>Nașteri</w:t>
            </w:r>
          </w:p>
        </w:tc>
        <w:tc>
          <w:tcPr>
            <w:tcW w:w="1950" w:type="dxa"/>
            <w:hideMark/>
          </w:tcPr>
          <w:p w:rsidR="00C213EB" w:rsidRPr="005F3712" w:rsidRDefault="00C213EB" w:rsidP="00C213EB">
            <w:pPr>
              <w:pStyle w:val="Normal6a"/>
            </w:pPr>
            <w:r>
              <w:t>Q</w:t>
            </w:r>
          </w:p>
        </w:tc>
        <w:tc>
          <w:tcPr>
            <w:tcW w:w="1951" w:type="dxa"/>
            <w:hideMark/>
          </w:tcPr>
          <w:p w:rsidR="00C213EB" w:rsidRPr="005F3712" w:rsidRDefault="00C213EB" w:rsidP="00C213EB">
            <w:pPr>
              <w:pStyle w:val="Normal6a"/>
              <w:rPr>
                <w:szCs w:val="24"/>
              </w:rPr>
            </w:pPr>
            <w:r>
              <w:t>Luna</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Avorturile efectuate în mod legal</w:t>
            </w:r>
            <w:r>
              <w:rPr>
                <w:vertAlign w:val="superscript"/>
              </w:rPr>
              <w:t>1</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Mortalitatea</w:t>
            </w:r>
          </w:p>
        </w:tc>
        <w:tc>
          <w:tcPr>
            <w:tcW w:w="1951" w:type="dxa"/>
            <w:vMerge w:val="restart"/>
            <w:hideMark/>
          </w:tcPr>
          <w:p w:rsidR="00C213EB" w:rsidRPr="005F3712" w:rsidRDefault="00C213EB" w:rsidP="00C213EB">
            <w:pPr>
              <w:pStyle w:val="Normal6a"/>
            </w:pPr>
            <w:r>
              <w:t>Decese</w:t>
            </w:r>
          </w:p>
        </w:tc>
        <w:tc>
          <w:tcPr>
            <w:tcW w:w="1950" w:type="dxa"/>
            <w:hideMark/>
          </w:tcPr>
          <w:p w:rsidR="00C213EB" w:rsidRPr="005F3712" w:rsidRDefault="00C213EB" w:rsidP="00C213EB">
            <w:pPr>
              <w:pStyle w:val="Normal6a"/>
            </w:pPr>
            <w:r>
              <w:t>Q</w:t>
            </w:r>
          </w:p>
        </w:tc>
        <w:tc>
          <w:tcPr>
            <w:tcW w:w="1951" w:type="dxa"/>
            <w:hideMark/>
          </w:tcPr>
          <w:p w:rsidR="00C213EB" w:rsidRPr="005F3712" w:rsidRDefault="00C213EB" w:rsidP="00C213EB">
            <w:pPr>
              <w:pStyle w:val="Normal6a"/>
              <w:rPr>
                <w:szCs w:val="24"/>
              </w:rPr>
            </w:pPr>
            <w:r>
              <w:t>Luna, săptămâna</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Cazuri de mortalitate infantilă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Cazuri de mortalitate fetală tardivă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Parteneriate</w:t>
            </w:r>
          </w:p>
        </w:tc>
        <w:tc>
          <w:tcPr>
            <w:tcW w:w="1951" w:type="dxa"/>
            <w:hideMark/>
          </w:tcPr>
          <w:p w:rsidR="00C213EB" w:rsidRPr="005F3712" w:rsidRDefault="00C213EB" w:rsidP="00C213EB">
            <w:pPr>
              <w:pStyle w:val="Normal6a"/>
            </w:pPr>
            <w:r>
              <w:t>Căsătorii și parteneriate înregistrate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Caracteristicile persoanelor care se angajează într-o căsătorie sau într-un parteneriat înregistrat</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Divorțuri și parteneriate înregistrate reziliate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Migrație</w:t>
            </w:r>
          </w:p>
        </w:tc>
        <w:tc>
          <w:tcPr>
            <w:tcW w:w="1951" w:type="dxa"/>
            <w:vMerge w:val="restart"/>
            <w:hideMark/>
          </w:tcPr>
          <w:p w:rsidR="00C213EB" w:rsidRPr="005F3712" w:rsidRDefault="00C213EB" w:rsidP="00C213EB">
            <w:pPr>
              <w:pStyle w:val="Normal6a"/>
            </w:pPr>
            <w:r>
              <w:t>Imigranți</w:t>
            </w:r>
          </w:p>
        </w:tc>
        <w:tc>
          <w:tcPr>
            <w:tcW w:w="1950" w:type="dxa"/>
            <w:hideMark/>
          </w:tcPr>
          <w:p w:rsidR="00C213EB" w:rsidRPr="005F3712" w:rsidRDefault="00C213EB" w:rsidP="00C213EB">
            <w:pPr>
              <w:pStyle w:val="Normal6a"/>
            </w:pPr>
            <w:r>
              <w:t>Q</w:t>
            </w:r>
          </w:p>
        </w:tc>
        <w:tc>
          <w:tcPr>
            <w:tcW w:w="1951" w:type="dxa"/>
            <w:hideMark/>
          </w:tcPr>
          <w:p w:rsidR="00C213EB" w:rsidRPr="005F3712" w:rsidRDefault="00C213EB" w:rsidP="00C213EB">
            <w:pPr>
              <w:pStyle w:val="Normal6a"/>
              <w:rPr>
                <w:szCs w:val="24"/>
              </w:rPr>
            </w:pPr>
            <w:r>
              <w:t>Luna</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Emigranți</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Migrație internă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Dobândirea și pierderea cetățeniei statelor membre ale UE și a Uniunii</w:t>
            </w:r>
          </w:p>
        </w:tc>
        <w:tc>
          <w:tcPr>
            <w:tcW w:w="1951" w:type="dxa"/>
            <w:hideMark/>
          </w:tcPr>
          <w:p w:rsidR="00C213EB" w:rsidRPr="005F3712" w:rsidRDefault="00C213EB" w:rsidP="00C213EB">
            <w:pPr>
              <w:pStyle w:val="Normal6a"/>
            </w:pPr>
            <w:r>
              <w:t>Persoane care au dobândit cetățenia</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Persoane care au pierdut/au renunțat la cetățenie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gridSpan w:val="5"/>
            <w:hideMark/>
          </w:tcPr>
          <w:p w:rsidR="00C213EB" w:rsidRPr="005F3712" w:rsidRDefault="00C213EB" w:rsidP="00C213EB">
            <w:pPr>
              <w:pStyle w:val="Normal6a"/>
              <w:rPr>
                <w:szCs w:val="24"/>
              </w:rPr>
            </w:pPr>
            <w:r>
              <w:t>_______________________________________</w:t>
            </w:r>
          </w:p>
        </w:tc>
      </w:tr>
      <w:tr w:rsidR="00C213EB" w:rsidTr="00C213EB">
        <w:trPr>
          <w:jc w:val="center"/>
        </w:trPr>
        <w:tc>
          <w:tcPr>
            <w:tcW w:w="9752" w:type="dxa"/>
            <w:gridSpan w:val="5"/>
            <w:hideMark/>
          </w:tcPr>
          <w:p w:rsidR="00C213EB" w:rsidRPr="005F3712" w:rsidRDefault="00C213EB" w:rsidP="00C213EB">
            <w:pPr>
              <w:pStyle w:val="Normal6a"/>
              <w:rPr>
                <w:szCs w:val="24"/>
              </w:rPr>
            </w:pPr>
            <w:r>
              <w:rPr>
                <w:vertAlign w:val="superscript"/>
              </w:rPr>
              <w:t>1</w:t>
            </w:r>
            <w:r>
              <w:t xml:space="preserve"> De furnizat în mod voluntar.</w:t>
            </w:r>
          </w:p>
        </w:tc>
      </w:tr>
      <w:tr w:rsidR="00C213EB" w:rsidTr="00C213EB">
        <w:trPr>
          <w:jc w:val="center"/>
        </w:trPr>
        <w:tc>
          <w:tcPr>
            <w:tcW w:w="1950" w:type="dxa"/>
          </w:tcPr>
          <w:p w:rsidR="00C213EB" w:rsidRPr="005F3712" w:rsidRDefault="00C213EB" w:rsidP="00C213EB">
            <w:pPr>
              <w:pStyle w:val="Normal6a"/>
            </w:pPr>
          </w:p>
        </w:tc>
        <w:tc>
          <w:tcPr>
            <w:tcW w:w="1950" w:type="dxa"/>
          </w:tcPr>
          <w:p w:rsidR="00C213EB" w:rsidRPr="005F3712" w:rsidRDefault="00C213EB" w:rsidP="00C213EB">
            <w:pPr>
              <w:pStyle w:val="Normal6a"/>
            </w:pPr>
          </w:p>
        </w:tc>
        <w:tc>
          <w:tcPr>
            <w:tcW w:w="1951" w:type="dxa"/>
          </w:tcPr>
          <w:p w:rsidR="00C213EB" w:rsidRPr="005F3712" w:rsidRDefault="00C213EB" w:rsidP="00C213EB">
            <w:pPr>
              <w:pStyle w:val="Normal6a"/>
            </w:pPr>
          </w:p>
        </w:tc>
        <w:tc>
          <w:tcPr>
            <w:tcW w:w="1950" w:type="dxa"/>
          </w:tcPr>
          <w:p w:rsidR="00C213EB" w:rsidRPr="005F3712" w:rsidRDefault="00C213EB" w:rsidP="00C213EB">
            <w:pPr>
              <w:pStyle w:val="Normal6a"/>
            </w:pPr>
          </w:p>
        </w:tc>
        <w:tc>
          <w:tcPr>
            <w:tcW w:w="1951" w:type="dxa"/>
          </w:tcPr>
          <w:p w:rsidR="00C213EB" w:rsidRPr="005F3712" w:rsidRDefault="00C213EB" w:rsidP="00C213EB">
            <w:pPr>
              <w:pStyle w:val="Normal6a"/>
              <w:rPr>
                <w:szCs w:val="24"/>
              </w:rPr>
            </w:pPr>
          </w:p>
        </w:tc>
      </w:tr>
      <w:tr w:rsidR="00C213EB" w:rsidTr="00C213EB">
        <w:trPr>
          <w:jc w:val="center"/>
        </w:trPr>
        <w:tc>
          <w:tcPr>
            <w:tcW w:w="9752" w:type="dxa"/>
            <w:gridSpan w:val="5"/>
            <w:hideMark/>
          </w:tcPr>
          <w:p w:rsidR="00C213EB" w:rsidRPr="005F3712" w:rsidRDefault="00C213EB" w:rsidP="00C213EB">
            <w:pPr>
              <w:pStyle w:val="Normal6a"/>
              <w:jc w:val="center"/>
              <w:rPr>
                <w:i/>
                <w:szCs w:val="24"/>
              </w:rPr>
            </w:pPr>
            <w:r>
              <w:rPr>
                <w:i/>
              </w:rPr>
              <w:t>Amendamentul</w:t>
            </w:r>
          </w:p>
        </w:tc>
      </w:tr>
      <w:tr w:rsidR="00C213EB" w:rsidTr="00C213EB">
        <w:trPr>
          <w:jc w:val="center"/>
        </w:trPr>
        <w:tc>
          <w:tcPr>
            <w:tcW w:w="1950" w:type="dxa"/>
            <w:vMerge w:val="restart"/>
            <w:hideMark/>
          </w:tcPr>
          <w:p w:rsidR="00C213EB" w:rsidRPr="005F3712" w:rsidRDefault="00C213EB" w:rsidP="00C213EB">
            <w:pPr>
              <w:pStyle w:val="Normal6a"/>
            </w:pPr>
            <w:r>
              <w:t>Demografie</w:t>
            </w:r>
          </w:p>
        </w:tc>
        <w:tc>
          <w:tcPr>
            <w:tcW w:w="1950" w:type="dxa"/>
            <w:vMerge w:val="restart"/>
            <w:hideMark/>
          </w:tcPr>
          <w:p w:rsidR="00C213EB" w:rsidRPr="005F3712" w:rsidRDefault="00C213EB" w:rsidP="00C213EB">
            <w:pPr>
              <w:pStyle w:val="Normal6a"/>
            </w:pPr>
            <w:r>
              <w:t>Stocuri de populație</w:t>
            </w:r>
          </w:p>
        </w:tc>
        <w:tc>
          <w:tcPr>
            <w:tcW w:w="1951" w:type="dxa"/>
            <w:vMerge w:val="restart"/>
            <w:hideMark/>
          </w:tcPr>
          <w:p w:rsidR="00C213EB" w:rsidRPr="005F3712" w:rsidRDefault="00C213EB" w:rsidP="00C213EB">
            <w:pPr>
              <w:pStyle w:val="Normal6a"/>
            </w:pPr>
            <w:r>
              <w:t>Caracteristicile de bază ale persoanei</w:t>
            </w:r>
            <w:r>
              <w:rPr>
                <w:b/>
                <w:bCs/>
                <w:i/>
                <w:iCs/>
              </w:rPr>
              <w:t>, inclusiv informații privind vârsta, sexul, tipurile de dizabilități și contextul de migrație</w:t>
            </w:r>
          </w:p>
        </w:tc>
        <w:tc>
          <w:tcPr>
            <w:tcW w:w="1950" w:type="dxa"/>
            <w:hideMark/>
          </w:tcPr>
          <w:p w:rsidR="00C213EB" w:rsidRPr="005F3712" w:rsidRDefault="00C213EB" w:rsidP="00C213EB">
            <w:pPr>
              <w:pStyle w:val="Normal6a"/>
              <w:rPr>
                <w:szCs w:val="24"/>
              </w:rPr>
            </w:pPr>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restart"/>
            <w:hideMark/>
          </w:tcPr>
          <w:p w:rsidR="00C213EB" w:rsidRPr="005F3712" w:rsidRDefault="00C213EB" w:rsidP="00C213EB">
            <w:pPr>
              <w:pStyle w:val="Normal6a"/>
            </w:pPr>
            <w:r>
              <w:t>Caracteristicile socio-economice ale persoanei</w:t>
            </w:r>
          </w:p>
        </w:tc>
        <w:tc>
          <w:tcPr>
            <w:tcW w:w="1950" w:type="dxa"/>
            <w:hideMark/>
          </w:tcPr>
          <w:p w:rsidR="00C213EB" w:rsidRPr="005F3712" w:rsidRDefault="00C213EB" w:rsidP="00C213EB">
            <w:r>
              <w:t>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MA</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D</w:t>
            </w:r>
          </w:p>
        </w:tc>
        <w:tc>
          <w:tcPr>
            <w:tcW w:w="1951" w:type="dxa"/>
            <w:hideMark/>
          </w:tcPr>
          <w:p w:rsidR="00C213EB" w:rsidRPr="005F3712" w:rsidRDefault="00C213EB" w:rsidP="00C213EB">
            <w:pPr>
              <w:pStyle w:val="Normal6a"/>
              <w:rPr>
                <w:szCs w:val="24"/>
              </w:rPr>
            </w:pPr>
            <w:r>
              <w:t>31.12.YY</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Fertilitatea</w:t>
            </w:r>
          </w:p>
        </w:tc>
        <w:tc>
          <w:tcPr>
            <w:tcW w:w="1951" w:type="dxa"/>
            <w:vMerge w:val="restart"/>
            <w:hideMark/>
          </w:tcPr>
          <w:p w:rsidR="00C213EB" w:rsidRPr="005F3712" w:rsidRDefault="00C213EB" w:rsidP="00C213EB">
            <w:pPr>
              <w:pStyle w:val="Normal6a"/>
            </w:pPr>
            <w:r>
              <w:t>Nașteri</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Avorturile efectuate în mod legal</w:t>
            </w:r>
            <w:r>
              <w:rPr>
                <w:vertAlign w:val="superscript"/>
              </w:rPr>
              <w:t>1</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Mortalitatea</w:t>
            </w:r>
          </w:p>
        </w:tc>
        <w:tc>
          <w:tcPr>
            <w:tcW w:w="1951" w:type="dxa"/>
            <w:vMerge w:val="restart"/>
            <w:hideMark/>
          </w:tcPr>
          <w:p w:rsidR="00C213EB" w:rsidRPr="005F3712" w:rsidRDefault="00C213EB" w:rsidP="00C213EB">
            <w:pPr>
              <w:pStyle w:val="Normal6a"/>
            </w:pPr>
            <w:r>
              <w:t>Decese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 xml:space="preserve">Cazuri de mortalitate </w:t>
            </w:r>
            <w:r>
              <w:lastRenderedPageBreak/>
              <w:t>infantilă</w:t>
            </w:r>
          </w:p>
        </w:tc>
        <w:tc>
          <w:tcPr>
            <w:tcW w:w="1950" w:type="dxa"/>
            <w:hideMark/>
          </w:tcPr>
          <w:p w:rsidR="00C213EB" w:rsidRPr="005F3712" w:rsidRDefault="00C213EB" w:rsidP="00C213EB">
            <w:pPr>
              <w:pStyle w:val="Normal6a"/>
            </w:pPr>
            <w:r>
              <w:lastRenderedPageBreak/>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Cazuri de mortalitate fetală tardivă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Parteneriate</w:t>
            </w:r>
          </w:p>
        </w:tc>
        <w:tc>
          <w:tcPr>
            <w:tcW w:w="1951" w:type="dxa"/>
            <w:hideMark/>
          </w:tcPr>
          <w:p w:rsidR="00C213EB" w:rsidRPr="005F3712" w:rsidRDefault="00C213EB" w:rsidP="00C213EB">
            <w:pPr>
              <w:pStyle w:val="Normal6a"/>
            </w:pPr>
            <w:r>
              <w:t>Căsătorii și parteneriate înregistrate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Caracteristicile persoanelor care se angajează într-o căsătorie sau într-un parteneriat înregistrat</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tcPr>
          <w:p w:rsidR="00C213EB" w:rsidRPr="005F3712" w:rsidRDefault="00C213EB" w:rsidP="00C213EB">
            <w:pPr>
              <w:pStyle w:val="Normal6a"/>
            </w:pPr>
          </w:p>
        </w:tc>
        <w:tc>
          <w:tcPr>
            <w:tcW w:w="1951" w:type="dxa"/>
            <w:hideMark/>
          </w:tcPr>
          <w:p w:rsidR="00C213EB" w:rsidRPr="005F3712" w:rsidRDefault="00C213EB" w:rsidP="00C213EB">
            <w:pPr>
              <w:pStyle w:val="Normal6a"/>
            </w:pPr>
            <w:r>
              <w:t>Divorțuri și parteneriate înregistrate reziliate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Migrație</w:t>
            </w:r>
          </w:p>
        </w:tc>
        <w:tc>
          <w:tcPr>
            <w:tcW w:w="1951" w:type="dxa"/>
            <w:vMerge w:val="restart"/>
            <w:hideMark/>
          </w:tcPr>
          <w:p w:rsidR="00C213EB" w:rsidRPr="005F3712" w:rsidRDefault="00C213EB" w:rsidP="00C213EB">
            <w:pPr>
              <w:pStyle w:val="Normal6a"/>
            </w:pPr>
            <w:r>
              <w:t>Imigranți</w:t>
            </w:r>
          </w:p>
        </w:tc>
        <w:tc>
          <w:tcPr>
            <w:tcW w:w="1950" w:type="dxa"/>
            <w:hideMark/>
          </w:tcPr>
          <w:p w:rsidR="00C213EB" w:rsidRPr="005F3712" w:rsidRDefault="00C213EB" w:rsidP="00C213EB">
            <w:pPr>
              <w:pStyle w:val="Normal6a"/>
            </w:pPr>
            <w:r>
              <w:t>Q</w:t>
            </w:r>
          </w:p>
        </w:tc>
        <w:tc>
          <w:tcPr>
            <w:tcW w:w="1951" w:type="dxa"/>
            <w:hideMark/>
          </w:tcPr>
          <w:p w:rsidR="00C213EB" w:rsidRPr="005F3712" w:rsidRDefault="00C213EB" w:rsidP="00C213EB">
            <w:pPr>
              <w:pStyle w:val="Normal6a"/>
              <w:rPr>
                <w:szCs w:val="24"/>
              </w:rPr>
            </w:pPr>
            <w:r>
              <w:t>Luna</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vMerge/>
            <w:vAlign w:val="center"/>
            <w:hideMark/>
          </w:tcPr>
          <w:p w:rsidR="00C213EB" w:rsidRPr="005F3712" w:rsidRDefault="00C213EB" w:rsidP="00C213EB"/>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Emigranți</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Migrație internă</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restart"/>
            <w:hideMark/>
          </w:tcPr>
          <w:p w:rsidR="00C213EB" w:rsidRPr="005F3712" w:rsidRDefault="00C213EB" w:rsidP="00C213EB">
            <w:pPr>
              <w:pStyle w:val="Normal6a"/>
            </w:pPr>
            <w:r>
              <w:t>Dobândirea și pierderea cetățeniei statelor membre ale UE și a Uniunii</w:t>
            </w:r>
          </w:p>
        </w:tc>
        <w:tc>
          <w:tcPr>
            <w:tcW w:w="1951" w:type="dxa"/>
            <w:hideMark/>
          </w:tcPr>
          <w:p w:rsidR="00C213EB" w:rsidRPr="005F3712" w:rsidRDefault="00C213EB" w:rsidP="00C213EB">
            <w:pPr>
              <w:pStyle w:val="Normal6a"/>
            </w:pPr>
            <w:r>
              <w:t>Persoane care au dobândit cetățenia</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vMerge/>
            <w:vAlign w:val="center"/>
            <w:hideMark/>
          </w:tcPr>
          <w:p w:rsidR="00C213EB" w:rsidRPr="005F3712" w:rsidRDefault="00C213EB" w:rsidP="00C213EB"/>
        </w:tc>
        <w:tc>
          <w:tcPr>
            <w:tcW w:w="1950" w:type="dxa"/>
            <w:vMerge/>
            <w:vAlign w:val="center"/>
            <w:hideMark/>
          </w:tcPr>
          <w:p w:rsidR="00C213EB" w:rsidRPr="005F3712" w:rsidRDefault="00C213EB" w:rsidP="00C213EB"/>
        </w:tc>
        <w:tc>
          <w:tcPr>
            <w:tcW w:w="1951" w:type="dxa"/>
            <w:hideMark/>
          </w:tcPr>
          <w:p w:rsidR="00C213EB" w:rsidRPr="005F3712" w:rsidRDefault="00C213EB" w:rsidP="00C213EB">
            <w:pPr>
              <w:pStyle w:val="Normal6a"/>
            </w:pPr>
            <w:r>
              <w:t>Persoane care au pierdut/au renunțat la cetățenie</w:t>
            </w:r>
          </w:p>
        </w:tc>
        <w:tc>
          <w:tcPr>
            <w:tcW w:w="1950" w:type="dxa"/>
            <w:hideMark/>
          </w:tcPr>
          <w:p w:rsidR="00C213EB" w:rsidRPr="005F3712" w:rsidRDefault="00C213EB" w:rsidP="00C213EB">
            <w:pPr>
              <w:pStyle w:val="Normal6a"/>
            </w:pPr>
            <w:r>
              <w:t>A</w:t>
            </w:r>
          </w:p>
        </w:tc>
        <w:tc>
          <w:tcPr>
            <w:tcW w:w="1951" w:type="dxa"/>
            <w:hideMark/>
          </w:tcPr>
          <w:p w:rsidR="00C213EB" w:rsidRPr="005F3712" w:rsidRDefault="00C213EB" w:rsidP="00C213EB">
            <w:pPr>
              <w:pStyle w:val="Normal6a"/>
              <w:rPr>
                <w:szCs w:val="24"/>
              </w:rPr>
            </w:pPr>
            <w:r>
              <w:t>Anul</w:t>
            </w:r>
          </w:p>
        </w:tc>
      </w:tr>
      <w:tr w:rsidR="00C213EB" w:rsidTr="00C213EB">
        <w:trPr>
          <w:jc w:val="center"/>
        </w:trPr>
        <w:tc>
          <w:tcPr>
            <w:tcW w:w="9752" w:type="dxa"/>
            <w:gridSpan w:val="5"/>
            <w:hideMark/>
          </w:tcPr>
          <w:p w:rsidR="00C213EB" w:rsidRPr="005F3712" w:rsidRDefault="00C213EB" w:rsidP="00C213EB">
            <w:pPr>
              <w:pStyle w:val="Normal6a"/>
              <w:rPr>
                <w:szCs w:val="24"/>
              </w:rPr>
            </w:pPr>
            <w:r>
              <w:t>_______________________________________</w:t>
            </w:r>
          </w:p>
        </w:tc>
      </w:tr>
      <w:tr w:rsidR="00C213EB" w:rsidTr="00C213EB">
        <w:trPr>
          <w:jc w:val="center"/>
        </w:trPr>
        <w:tc>
          <w:tcPr>
            <w:tcW w:w="9752" w:type="dxa"/>
            <w:gridSpan w:val="5"/>
            <w:hideMark/>
          </w:tcPr>
          <w:p w:rsidR="00C213EB" w:rsidRPr="005F3712" w:rsidRDefault="00C213EB" w:rsidP="00C213EB">
            <w:pPr>
              <w:pStyle w:val="Normal6a"/>
              <w:rPr>
                <w:szCs w:val="24"/>
              </w:rPr>
            </w:pPr>
            <w:r>
              <w:rPr>
                <w:vertAlign w:val="superscript"/>
              </w:rPr>
              <w:t>1</w:t>
            </w:r>
            <w:r>
              <w:t xml:space="preserve"> De furnizat în mod voluntar.</w:t>
            </w:r>
          </w:p>
        </w:tc>
      </w:tr>
    </w:tbl>
    <w:p w:rsidR="00C213EB" w:rsidRPr="005F3712" w:rsidRDefault="00C213EB" w:rsidP="00C213EB">
      <w:pPr>
        <w:pStyle w:val="AmOrLang"/>
      </w:pPr>
      <w:r w:rsidRPr="005F3712">
        <w:t xml:space="preserve">Or. </w:t>
      </w:r>
      <w:r w:rsidRPr="005908C9">
        <w:rPr>
          <w:rStyle w:val="HideTWBExt"/>
        </w:rPr>
        <w:t>&lt;Original&gt;</w:t>
      </w:r>
      <w:r w:rsidRPr="005908C9">
        <w:rPr>
          <w:rStyle w:val="HideTWBInt"/>
          <w:rFonts w:eastAsiaTheme="majorEastAsia"/>
        </w:rPr>
        <w:t>{EN}</w:t>
      </w:r>
      <w:r w:rsidRPr="005F3712">
        <w:t>en</w:t>
      </w:r>
      <w:r w:rsidRPr="005908C9">
        <w:rPr>
          <w:rStyle w:val="HideTWBExt"/>
        </w:rPr>
        <w:t>&lt;/Original&gt;</w:t>
      </w:r>
    </w:p>
    <w:p w:rsidR="00C213EB" w:rsidRPr="005F3712" w:rsidRDefault="00C213EB" w:rsidP="00C213EB">
      <w:pPr>
        <w:pStyle w:val="AMNumberTabs0"/>
        <w:keepNext/>
        <w:rPr>
          <w:szCs w:val="24"/>
        </w:rPr>
      </w:pPr>
      <w:r w:rsidRPr="005908C9">
        <w:rPr>
          <w:rStyle w:val="HideTWBExt"/>
          <w:b w:val="0"/>
        </w:rPr>
        <w:lastRenderedPageBreak/>
        <w:t>&lt;/Amend&gt;</w:t>
      </w:r>
    </w:p>
    <w:p w:rsidR="00C213EB" w:rsidRPr="005F3712" w:rsidRDefault="00C213EB" w:rsidP="00C213EB">
      <w:pPr>
        <w:pStyle w:val="AMNumberTabs0"/>
        <w:keepNext/>
      </w:pPr>
      <w:r w:rsidRPr="005908C9">
        <w:rPr>
          <w:rStyle w:val="HideTWBExt"/>
          <w:b w:val="0"/>
        </w:rPr>
        <w:t>&lt;Amend&gt;</w:t>
      </w:r>
      <w:r w:rsidRPr="005F3712">
        <w:t>Amendment</w:t>
      </w:r>
      <w:r w:rsidRPr="005F3712">
        <w:tab/>
      </w:r>
      <w:r w:rsidRPr="005F3712">
        <w:tab/>
      </w:r>
      <w:r w:rsidRPr="005908C9">
        <w:rPr>
          <w:rStyle w:val="HideTWBExt"/>
          <w:b w:val="0"/>
        </w:rPr>
        <w:t>&lt;NumAm&gt;</w:t>
      </w:r>
      <w:r w:rsidRPr="005F3712">
        <w:t>131</w:t>
      </w:r>
      <w:r w:rsidRPr="005908C9">
        <w:rPr>
          <w:rStyle w:val="HideTWBExt"/>
          <w:b w:val="0"/>
        </w:rPr>
        <w:t>&lt;/NumAm&gt;</w:t>
      </w:r>
    </w:p>
    <w:p w:rsidR="00C213EB" w:rsidRPr="005F3712" w:rsidRDefault="00C213EB" w:rsidP="00C213EB">
      <w:pPr>
        <w:pStyle w:val="NormalBold"/>
      </w:pPr>
      <w:r w:rsidRPr="005908C9">
        <w:rPr>
          <w:rStyle w:val="HideTWBExt"/>
          <w:b w:val="0"/>
        </w:rPr>
        <w:t>&lt;RepeatBlock-By&gt;&lt;Members&gt;</w:t>
      </w:r>
      <w:r w:rsidRPr="005F3712">
        <w:t>Lívia Járóka</w:t>
      </w:r>
      <w:r w:rsidRPr="005908C9">
        <w:rPr>
          <w:rStyle w:val="HideTWBExt"/>
          <w:b w:val="0"/>
        </w:rPr>
        <w:t>&lt;/Members&gt;</w:t>
      </w:r>
    </w:p>
    <w:p w:rsidR="00C213EB" w:rsidRPr="005F3712" w:rsidRDefault="00C213EB" w:rsidP="00C213EB">
      <w:r w:rsidRPr="005908C9">
        <w:rPr>
          <w:rStyle w:val="HideTWBExt"/>
        </w:rPr>
        <w:t>&lt;/RepeatBlock-By&gt;</w:t>
      </w:r>
    </w:p>
    <w:p w:rsidR="00C213EB" w:rsidRPr="005F3712" w:rsidRDefault="00C213EB" w:rsidP="00C213EB">
      <w:pPr>
        <w:pStyle w:val="NormalBold"/>
        <w:keepNext/>
      </w:pPr>
      <w:r w:rsidRPr="005908C9">
        <w:rPr>
          <w:rStyle w:val="HideTWBExt"/>
          <w:b w:val="0"/>
        </w:rPr>
        <w:t>&lt;DocAmend&gt;</w:t>
      </w:r>
      <w:r w:rsidRPr="005F3712">
        <w:t>Proposal for a regulation</w:t>
      </w:r>
      <w:r w:rsidRPr="005908C9">
        <w:rPr>
          <w:rStyle w:val="HideTWBExt"/>
          <w:b w:val="0"/>
        </w:rPr>
        <w:t>&lt;/DocAmend&gt;</w:t>
      </w:r>
    </w:p>
    <w:p w:rsidR="00C213EB" w:rsidRPr="005F3712" w:rsidRDefault="00C213EB" w:rsidP="00C213EB">
      <w:pPr>
        <w:pStyle w:val="NormalBold"/>
      </w:pPr>
      <w:r w:rsidRPr="005908C9">
        <w:rPr>
          <w:rStyle w:val="HideTWBExt"/>
          <w:b w:val="0"/>
        </w:rPr>
        <w:t>&lt;Article&gt;</w:t>
      </w:r>
      <w:r w:rsidRPr="005F3712">
        <w:t>Annex I – table 1 (new)</w:t>
      </w:r>
      <w:r w:rsidRPr="005908C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C213EB" w:rsidRPr="005F3712" w:rsidTr="00C213EB">
        <w:trPr>
          <w:jc w:val="center"/>
        </w:trPr>
        <w:tc>
          <w:tcPr>
            <w:tcW w:w="9752" w:type="dxa"/>
            <w:gridSpan w:val="3"/>
          </w:tcPr>
          <w:p w:rsidR="00C213EB" w:rsidRPr="005F3712" w:rsidRDefault="00C213EB" w:rsidP="00C213EB">
            <w:pPr>
              <w:keepNext/>
            </w:pPr>
          </w:p>
        </w:tc>
      </w:tr>
      <w:tr w:rsidR="00C213EB" w:rsidRPr="005F3712" w:rsidTr="00C213EB">
        <w:trPr>
          <w:jc w:val="center"/>
        </w:trPr>
        <w:tc>
          <w:tcPr>
            <w:tcW w:w="9752" w:type="dxa"/>
            <w:gridSpan w:val="3"/>
            <w:hideMark/>
          </w:tcPr>
          <w:p w:rsidR="00C213EB" w:rsidRPr="005F3712" w:rsidRDefault="00C213EB" w:rsidP="00C213EB">
            <w:pPr>
              <w:pStyle w:val="AmColumnHeading"/>
              <w:keepNext/>
            </w:pPr>
            <w:r w:rsidRPr="005F3712">
              <w:t>Text proposed by the Commission</w:t>
            </w:r>
          </w:p>
        </w:tc>
      </w:tr>
      <w:tr w:rsidR="00C213EB" w:rsidRPr="005F3712" w:rsidTr="00C213EB">
        <w:trPr>
          <w:trHeight w:val="1584"/>
          <w:jc w:val="center"/>
        </w:trPr>
        <w:tc>
          <w:tcPr>
            <w:tcW w:w="3250" w:type="dxa"/>
          </w:tcPr>
          <w:p w:rsidR="00C213EB" w:rsidRPr="005F3712" w:rsidRDefault="00C213EB" w:rsidP="00C213EB">
            <w:pPr>
              <w:pStyle w:val="Normal6a"/>
            </w:pPr>
          </w:p>
        </w:tc>
        <w:tc>
          <w:tcPr>
            <w:tcW w:w="3251" w:type="dxa"/>
          </w:tcPr>
          <w:p w:rsidR="00C213EB" w:rsidRPr="005F3712" w:rsidRDefault="00C213EB" w:rsidP="00C213EB">
            <w:pPr>
              <w:pStyle w:val="Normal6a"/>
              <w:rPr>
                <w:szCs w:val="24"/>
              </w:rPr>
            </w:pPr>
          </w:p>
        </w:tc>
        <w:tc>
          <w:tcPr>
            <w:tcW w:w="3251" w:type="dxa"/>
          </w:tcPr>
          <w:p w:rsidR="00C213EB" w:rsidRPr="005F3712" w:rsidRDefault="00C213EB" w:rsidP="00C213EB">
            <w:pPr>
              <w:pStyle w:val="Normal6a"/>
              <w:rPr>
                <w:szCs w:val="24"/>
              </w:rPr>
            </w:pPr>
          </w:p>
        </w:tc>
      </w:tr>
      <w:tr w:rsidR="00C213EB" w:rsidRPr="005F3712" w:rsidTr="00C213EB">
        <w:trPr>
          <w:jc w:val="center"/>
        </w:trPr>
        <w:tc>
          <w:tcPr>
            <w:tcW w:w="3250" w:type="dxa"/>
          </w:tcPr>
          <w:p w:rsidR="00C213EB" w:rsidRPr="005F3712" w:rsidRDefault="00C213EB" w:rsidP="00C213EB">
            <w:pPr>
              <w:pStyle w:val="Normal6a"/>
            </w:pPr>
          </w:p>
        </w:tc>
        <w:tc>
          <w:tcPr>
            <w:tcW w:w="3251" w:type="dxa"/>
          </w:tcPr>
          <w:p w:rsidR="00C213EB" w:rsidRPr="005F3712" w:rsidRDefault="00C213EB" w:rsidP="00C213EB">
            <w:pPr>
              <w:pStyle w:val="Normal6a"/>
            </w:pPr>
          </w:p>
        </w:tc>
        <w:tc>
          <w:tcPr>
            <w:tcW w:w="3251" w:type="dxa"/>
          </w:tcPr>
          <w:p w:rsidR="00C213EB" w:rsidRPr="005F3712" w:rsidRDefault="00C213EB" w:rsidP="00C213EB">
            <w:pPr>
              <w:pStyle w:val="Normal6a"/>
              <w:rPr>
                <w:szCs w:val="24"/>
              </w:rPr>
            </w:pPr>
          </w:p>
        </w:tc>
      </w:tr>
      <w:tr w:rsidR="00C213EB" w:rsidRPr="005F3712" w:rsidTr="00C213EB">
        <w:trPr>
          <w:jc w:val="center"/>
        </w:trPr>
        <w:tc>
          <w:tcPr>
            <w:tcW w:w="9752" w:type="dxa"/>
            <w:gridSpan w:val="3"/>
            <w:hideMark/>
          </w:tcPr>
          <w:p w:rsidR="00C213EB" w:rsidRPr="005F3712" w:rsidRDefault="00C213EB" w:rsidP="00C213EB">
            <w:pPr>
              <w:pStyle w:val="Normal6a"/>
              <w:jc w:val="center"/>
              <w:rPr>
                <w:i/>
                <w:szCs w:val="24"/>
              </w:rPr>
            </w:pPr>
            <w:r w:rsidRPr="005F3712">
              <w:rPr>
                <w:i/>
              </w:rPr>
              <w:t>Amendment</w:t>
            </w:r>
          </w:p>
        </w:tc>
      </w:tr>
      <w:tr w:rsidR="00C213EB" w:rsidRPr="005F3712" w:rsidTr="00C213EB">
        <w:trPr>
          <w:trHeight w:val="529"/>
          <w:jc w:val="center"/>
        </w:trPr>
        <w:tc>
          <w:tcPr>
            <w:tcW w:w="3250" w:type="dxa"/>
          </w:tcPr>
          <w:p w:rsidR="00C213EB" w:rsidRPr="005F3712" w:rsidRDefault="00C213EB" w:rsidP="00C213EB">
            <w:pPr>
              <w:pStyle w:val="Normal6a"/>
              <w:rPr>
                <w:b/>
                <w:i/>
              </w:rPr>
            </w:pPr>
            <w:r w:rsidRPr="005F3712">
              <w:rPr>
                <w:b/>
                <w:i/>
              </w:rPr>
              <w:t>Domain</w:t>
            </w:r>
          </w:p>
        </w:tc>
        <w:tc>
          <w:tcPr>
            <w:tcW w:w="3251" w:type="dxa"/>
          </w:tcPr>
          <w:p w:rsidR="00C213EB" w:rsidRPr="005F3712" w:rsidRDefault="00C213EB" w:rsidP="00C213EB">
            <w:pPr>
              <w:pStyle w:val="Normal6a"/>
              <w:rPr>
                <w:b/>
                <w:i/>
                <w:szCs w:val="24"/>
              </w:rPr>
            </w:pPr>
            <w:r w:rsidRPr="005F3712">
              <w:rPr>
                <w:b/>
                <w:i/>
              </w:rPr>
              <w:t>topics and detailed topics</w:t>
            </w:r>
          </w:p>
        </w:tc>
        <w:tc>
          <w:tcPr>
            <w:tcW w:w="3251" w:type="dxa"/>
          </w:tcPr>
          <w:p w:rsidR="00C213EB" w:rsidRPr="005F3712" w:rsidRDefault="00C213EB" w:rsidP="00C213EB">
            <w:pPr>
              <w:pStyle w:val="Normal6a"/>
              <w:rPr>
                <w:b/>
                <w:i/>
                <w:szCs w:val="24"/>
              </w:rPr>
            </w:pPr>
          </w:p>
        </w:tc>
      </w:tr>
      <w:tr w:rsidR="00C213EB" w:rsidRPr="005F3712" w:rsidTr="00C213EB">
        <w:trPr>
          <w:trHeight w:val="529"/>
          <w:jc w:val="center"/>
        </w:trPr>
        <w:tc>
          <w:tcPr>
            <w:tcW w:w="3250" w:type="dxa"/>
          </w:tcPr>
          <w:p w:rsidR="00C213EB" w:rsidRPr="005F3712" w:rsidRDefault="00C213EB" w:rsidP="00C213EB">
            <w:pPr>
              <w:rPr>
                <w:b/>
                <w:i/>
              </w:rPr>
            </w:pPr>
            <w:r w:rsidRPr="005F3712">
              <w:rPr>
                <w:b/>
                <w:i/>
              </w:rPr>
              <w:t>Demography</w:t>
            </w:r>
          </w:p>
        </w:tc>
        <w:tc>
          <w:tcPr>
            <w:tcW w:w="3251" w:type="dxa"/>
          </w:tcPr>
          <w:p w:rsidR="00C213EB" w:rsidRPr="005F3712" w:rsidRDefault="00C213EB" w:rsidP="00C213EB">
            <w:pPr>
              <w:rPr>
                <w:b/>
                <w:i/>
              </w:rPr>
            </w:pPr>
            <w:r w:rsidRPr="005F3712">
              <w:rPr>
                <w:b/>
                <w:i/>
              </w:rPr>
              <w:t>sex</w:t>
            </w:r>
          </w:p>
        </w:tc>
        <w:tc>
          <w:tcPr>
            <w:tcW w:w="3251" w:type="dxa"/>
          </w:tcPr>
          <w:p w:rsidR="00C213EB" w:rsidRPr="005F3712" w:rsidRDefault="00C213EB" w:rsidP="00C213EB">
            <w:pPr>
              <w:pStyle w:val="Normal6a"/>
              <w:rPr>
                <w:b/>
                <w:i/>
                <w:szCs w:val="24"/>
              </w:rPr>
            </w:pPr>
          </w:p>
        </w:tc>
      </w:tr>
      <w:tr w:rsidR="00C213EB" w:rsidRPr="005F3712" w:rsidTr="00C213EB">
        <w:trPr>
          <w:trHeight w:val="529"/>
          <w:jc w:val="center"/>
        </w:trPr>
        <w:tc>
          <w:tcPr>
            <w:tcW w:w="3250" w:type="dxa"/>
          </w:tcPr>
          <w:p w:rsidR="00C213EB" w:rsidRPr="005F3712" w:rsidRDefault="00C213EB" w:rsidP="00C213EB">
            <w:pPr>
              <w:pStyle w:val="Normal6a"/>
              <w:rPr>
                <w:b/>
                <w:i/>
              </w:rPr>
            </w:pPr>
          </w:p>
        </w:tc>
        <w:tc>
          <w:tcPr>
            <w:tcW w:w="3251" w:type="dxa"/>
          </w:tcPr>
          <w:p w:rsidR="00C213EB" w:rsidRPr="005F3712" w:rsidRDefault="00C213EB" w:rsidP="00C213EB">
            <w:pPr>
              <w:pStyle w:val="Normal6a"/>
              <w:rPr>
                <w:b/>
                <w:i/>
                <w:szCs w:val="24"/>
              </w:rPr>
            </w:pPr>
            <w:r w:rsidRPr="005F3712">
              <w:rPr>
                <w:b/>
                <w:i/>
              </w:rPr>
              <w:t>age</w:t>
            </w:r>
          </w:p>
        </w:tc>
        <w:tc>
          <w:tcPr>
            <w:tcW w:w="3251" w:type="dxa"/>
          </w:tcPr>
          <w:p w:rsidR="00C213EB" w:rsidRPr="005F3712" w:rsidRDefault="00C213EB" w:rsidP="00C213EB">
            <w:pPr>
              <w:pStyle w:val="Normal6a"/>
              <w:rPr>
                <w:b/>
                <w:i/>
                <w:szCs w:val="24"/>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Employment status</w:t>
            </w:r>
          </w:p>
        </w:tc>
        <w:tc>
          <w:tcPr>
            <w:tcW w:w="3251" w:type="dxa"/>
          </w:tcPr>
          <w:p w:rsidR="00C213EB" w:rsidRPr="005F3712" w:rsidRDefault="00C213EB" w:rsidP="00C213EB">
            <w:pPr>
              <w:rPr>
                <w:b/>
                <w:i/>
              </w:rPr>
            </w:pPr>
            <w:r w:rsidRPr="005F3712">
              <w:rPr>
                <w:b/>
                <w:i/>
              </w:rPr>
              <w:t xml:space="preserve">student </w:t>
            </w:r>
          </w:p>
        </w:tc>
        <w:tc>
          <w:tcPr>
            <w:tcW w:w="3251" w:type="dxa"/>
          </w:tcPr>
          <w:p w:rsidR="00C213EB" w:rsidRPr="005F3712" w:rsidRDefault="00C213EB" w:rsidP="00C213EB">
            <w:pPr>
              <w:rPr>
                <w:b/>
                <w:i/>
              </w:rPr>
            </w:pPr>
            <w:r w:rsidRPr="005F3712">
              <w:rPr>
                <w:b/>
                <w:i/>
              </w:rPr>
              <w:t>grade</w:t>
            </w: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employed</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unemployed</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retired</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contractor</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Geographical location / settlement characteristics</w:t>
            </w:r>
          </w:p>
        </w:tc>
        <w:tc>
          <w:tcPr>
            <w:tcW w:w="3251" w:type="dxa"/>
          </w:tcPr>
          <w:p w:rsidR="00C213EB" w:rsidRPr="005F3712" w:rsidRDefault="00C213EB" w:rsidP="00C213EB">
            <w:pPr>
              <w:rPr>
                <w:b/>
                <w:i/>
              </w:rPr>
            </w:pPr>
            <w:r w:rsidRPr="005F3712">
              <w:rPr>
                <w:b/>
                <w:i/>
              </w:rPr>
              <w:t>county town / canton town</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capital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 xml:space="preserve">city </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small town</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 xml:space="preserve">village </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hamlet</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 xml:space="preserve">Settlement characteristics </w:t>
            </w:r>
          </w:p>
        </w:tc>
        <w:tc>
          <w:tcPr>
            <w:tcW w:w="3251" w:type="dxa"/>
          </w:tcPr>
          <w:p w:rsidR="00C213EB" w:rsidRPr="005F3712" w:rsidRDefault="00C213EB" w:rsidP="00C213EB">
            <w:pPr>
              <w:rPr>
                <w:b/>
                <w:i/>
              </w:rPr>
            </w:pPr>
            <w:r w:rsidRPr="005F3712">
              <w:rPr>
                <w:b/>
                <w:i/>
              </w:rPr>
              <w:t>centre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agglomeration</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garden city</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edge of a settlement</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segregated settlement</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housing estate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Regional characteristics</w:t>
            </w:r>
          </w:p>
        </w:tc>
        <w:tc>
          <w:tcPr>
            <w:tcW w:w="3251" w:type="dxa"/>
          </w:tcPr>
          <w:p w:rsidR="00C213EB" w:rsidRPr="005F3712" w:rsidRDefault="00C213EB" w:rsidP="00C213EB">
            <w:pPr>
              <w:rPr>
                <w:b/>
                <w:i/>
              </w:rPr>
            </w:pPr>
            <w:r w:rsidRPr="005F3712">
              <w:rPr>
                <w:b/>
                <w:i/>
              </w:rPr>
              <w:t>alluvial location</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isolated village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marshy soil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 xml:space="preserve">sandy/loess soil </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clay soil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Public utilities coverage</w:t>
            </w:r>
          </w:p>
        </w:tc>
        <w:tc>
          <w:tcPr>
            <w:tcW w:w="3251" w:type="dxa"/>
          </w:tcPr>
          <w:p w:rsidR="00C213EB" w:rsidRPr="005F3712" w:rsidRDefault="00C213EB" w:rsidP="00C213EB">
            <w:pPr>
              <w:rPr>
                <w:b/>
                <w:i/>
              </w:rPr>
            </w:pPr>
            <w:r w:rsidRPr="005F3712">
              <w:rPr>
                <w:b/>
                <w:i/>
              </w:rPr>
              <w:t>street lighting</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guttering</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asphalt road network</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rubbish collection</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mobile internet network coverage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Health service coverage for a given settlement</w:t>
            </w:r>
          </w:p>
        </w:tc>
        <w:tc>
          <w:tcPr>
            <w:tcW w:w="3251" w:type="dxa"/>
          </w:tcPr>
          <w:p w:rsidR="00C213EB" w:rsidRPr="005F3712" w:rsidRDefault="00C213EB" w:rsidP="00C213EB">
            <w:pPr>
              <w:rPr>
                <w:b/>
                <w:i/>
              </w:rPr>
            </w:pPr>
            <w:r w:rsidRPr="005F3712">
              <w:rPr>
                <w:b/>
                <w:i/>
              </w:rPr>
              <w:t>family medicine practice for adults</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paediatrician</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 xml:space="preserve">district nurse </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family support service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eldercare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seniors’ residence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 xml:space="preserve">social service – social worker </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dentist service for adults</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children’s dentist</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outpatient clinic</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hospital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Educational opportunities/coverage</w:t>
            </w:r>
          </w:p>
        </w:tc>
        <w:tc>
          <w:tcPr>
            <w:tcW w:w="3251" w:type="dxa"/>
          </w:tcPr>
          <w:p w:rsidR="00C213EB" w:rsidRPr="005F3712" w:rsidRDefault="00C213EB" w:rsidP="00C213EB">
            <w:pPr>
              <w:rPr>
                <w:b/>
                <w:i/>
              </w:rPr>
            </w:pPr>
            <w:r w:rsidRPr="005F3712">
              <w:rPr>
                <w:b/>
                <w:i/>
              </w:rPr>
              <w:t>crèche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nursery school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primary school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secondary vocational institute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post-secondary educational institute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language school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local library</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music school</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Cultural institutions</w:t>
            </w:r>
          </w:p>
        </w:tc>
        <w:tc>
          <w:tcPr>
            <w:tcW w:w="3251" w:type="dxa"/>
          </w:tcPr>
          <w:p w:rsidR="00C213EB" w:rsidRPr="005F3712" w:rsidRDefault="00C213EB" w:rsidP="00C213EB">
            <w:pPr>
              <w:rPr>
                <w:b/>
                <w:i/>
              </w:rPr>
            </w:pPr>
            <w:r w:rsidRPr="005F3712">
              <w:rPr>
                <w:b/>
                <w:i/>
              </w:rPr>
              <w:t>local museum</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theatre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child and youth centre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cultural institute</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pPr>
              <w:rPr>
                <w:b/>
                <w:i/>
              </w:rPr>
            </w:pPr>
          </w:p>
        </w:tc>
        <w:tc>
          <w:tcPr>
            <w:tcW w:w="3251" w:type="dxa"/>
          </w:tcPr>
          <w:p w:rsidR="00C213EB" w:rsidRPr="005F3712" w:rsidRDefault="00C213EB" w:rsidP="00C213EB">
            <w:pPr>
              <w:rPr>
                <w:b/>
                <w:i/>
              </w:rPr>
            </w:pPr>
            <w:r w:rsidRPr="005F3712">
              <w:rPr>
                <w:b/>
                <w:i/>
              </w:rPr>
              <w:t>cinema</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val="restart"/>
          </w:tcPr>
          <w:p w:rsidR="00C213EB" w:rsidRPr="005F3712" w:rsidRDefault="00C213EB" w:rsidP="00C213EB">
            <w:pPr>
              <w:rPr>
                <w:b/>
                <w:i/>
              </w:rPr>
            </w:pPr>
            <w:r w:rsidRPr="005F3712">
              <w:rPr>
                <w:b/>
                <w:i/>
              </w:rPr>
              <w:t>Local media</w:t>
            </w:r>
          </w:p>
        </w:tc>
        <w:tc>
          <w:tcPr>
            <w:tcW w:w="3251" w:type="dxa"/>
          </w:tcPr>
          <w:p w:rsidR="00C213EB" w:rsidRPr="005F3712" w:rsidRDefault="00C213EB" w:rsidP="00C213EB">
            <w:pPr>
              <w:rPr>
                <w:b/>
                <w:i/>
              </w:rPr>
            </w:pPr>
            <w:r w:rsidRPr="005F3712">
              <w:rPr>
                <w:b/>
                <w:i/>
              </w:rPr>
              <w:t>newspaper</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tc>
        <w:tc>
          <w:tcPr>
            <w:tcW w:w="3251" w:type="dxa"/>
          </w:tcPr>
          <w:p w:rsidR="00C213EB" w:rsidRPr="005F3712" w:rsidRDefault="00C213EB" w:rsidP="00C213EB">
            <w:pPr>
              <w:rPr>
                <w:b/>
                <w:i/>
              </w:rPr>
            </w:pPr>
            <w:r w:rsidRPr="005F3712">
              <w:rPr>
                <w:b/>
                <w:i/>
              </w:rPr>
              <w:t>radio</w:t>
            </w:r>
          </w:p>
        </w:tc>
        <w:tc>
          <w:tcPr>
            <w:tcW w:w="3251" w:type="dxa"/>
          </w:tcPr>
          <w:p w:rsidR="00C213EB" w:rsidRPr="005F3712" w:rsidRDefault="00C213EB" w:rsidP="00C213EB">
            <w:pPr>
              <w:rPr>
                <w:b/>
                <w:i/>
              </w:rPr>
            </w:pPr>
          </w:p>
        </w:tc>
      </w:tr>
      <w:tr w:rsidR="00C213EB" w:rsidRPr="005F3712" w:rsidTr="00C213EB">
        <w:trPr>
          <w:trHeight w:val="529"/>
          <w:jc w:val="center"/>
        </w:trPr>
        <w:tc>
          <w:tcPr>
            <w:tcW w:w="3250" w:type="dxa"/>
            <w:vMerge/>
          </w:tcPr>
          <w:p w:rsidR="00C213EB" w:rsidRPr="005F3712" w:rsidRDefault="00C213EB" w:rsidP="00C213EB"/>
        </w:tc>
        <w:tc>
          <w:tcPr>
            <w:tcW w:w="3251" w:type="dxa"/>
          </w:tcPr>
          <w:p w:rsidR="00C213EB" w:rsidRPr="005F3712" w:rsidRDefault="00C213EB" w:rsidP="00C213EB">
            <w:pPr>
              <w:rPr>
                <w:b/>
                <w:i/>
              </w:rPr>
            </w:pPr>
            <w:r w:rsidRPr="005F3712">
              <w:rPr>
                <w:b/>
                <w:i/>
              </w:rPr>
              <w:t>TV</w:t>
            </w:r>
          </w:p>
        </w:tc>
        <w:tc>
          <w:tcPr>
            <w:tcW w:w="3251" w:type="dxa"/>
          </w:tcPr>
          <w:p w:rsidR="00C213EB" w:rsidRPr="005F3712" w:rsidRDefault="00C213EB" w:rsidP="00C213EB">
            <w:pPr>
              <w:rPr>
                <w:b/>
                <w:i/>
              </w:rPr>
            </w:pPr>
          </w:p>
        </w:tc>
      </w:tr>
    </w:tbl>
    <w:p w:rsidR="00C213EB" w:rsidRPr="005F3712" w:rsidRDefault="00C213EB" w:rsidP="00C213EB">
      <w:pPr>
        <w:pStyle w:val="Olang"/>
      </w:pPr>
      <w:r w:rsidRPr="005F3712">
        <w:rPr>
          <w:noProof w:val="0"/>
        </w:rPr>
        <w:t xml:space="preserve">Or. </w:t>
      </w:r>
      <w:r w:rsidRPr="005908C9">
        <w:rPr>
          <w:rStyle w:val="HideTWBExt"/>
        </w:rPr>
        <w:t>&lt;Original&gt;</w:t>
      </w:r>
      <w:r w:rsidRPr="005908C9">
        <w:rPr>
          <w:rStyle w:val="HideTWBInt"/>
          <w:rFonts w:eastAsiaTheme="majorEastAsia"/>
        </w:rPr>
        <w:t>{HU}</w:t>
      </w:r>
      <w:r w:rsidRPr="005F3712">
        <w:rPr>
          <w:noProof w:val="0"/>
        </w:rPr>
        <w:t>hu</w:t>
      </w:r>
      <w:r w:rsidRPr="005908C9">
        <w:rPr>
          <w:rStyle w:val="HideTWBExt"/>
        </w:rPr>
        <w:t>&lt;/Original&gt;</w:t>
      </w:r>
    </w:p>
    <w:p w:rsidR="005908C9" w:rsidRPr="00FC4386" w:rsidRDefault="005908C9" w:rsidP="005908C9">
      <w:r w:rsidRPr="005908C9">
        <w:rPr>
          <w:rStyle w:val="HideTWBExt"/>
        </w:rPr>
        <w:t>&lt;/Amend&gt;&lt;/RepeatBlock-Amend&gt;</w:t>
      </w:r>
    </w:p>
    <w:p w:rsidR="008363E4" w:rsidRPr="00526437" w:rsidRDefault="008363E4" w:rsidP="00C213EB"/>
    <w:sectPr w:rsidR="008363E4" w:rsidRPr="00526437" w:rsidSect="007372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3EB" w:rsidRPr="00526437" w:rsidRDefault="00C213EB">
      <w:r w:rsidRPr="00526437">
        <w:separator/>
      </w:r>
    </w:p>
  </w:endnote>
  <w:endnote w:type="continuationSeparator" w:id="0">
    <w:p w:rsidR="00C213EB" w:rsidRPr="00526437" w:rsidRDefault="00C213EB">
      <w:r w:rsidRPr="005264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B" w:rsidRPr="00526437" w:rsidRDefault="00C213EB" w:rsidP="007372CF">
    <w:pPr>
      <w:pStyle w:val="EPFooter"/>
    </w:pPr>
    <w:r w:rsidRPr="00526437">
      <w:t>PE</w:t>
    </w:r>
    <w:r w:rsidRPr="005908C9">
      <w:rPr>
        <w:rStyle w:val="HideTWBExt"/>
      </w:rPr>
      <w:t>&lt;NoPE&gt;</w:t>
    </w:r>
    <w:r w:rsidRPr="00526437">
      <w:t>749.193</w:t>
    </w:r>
    <w:r w:rsidRPr="005908C9">
      <w:rPr>
        <w:rStyle w:val="HideTWBExt"/>
      </w:rPr>
      <w:t>&lt;/NoPE&gt;&lt;Version&gt;</w:t>
    </w:r>
    <w:r w:rsidRPr="00526437">
      <w:t>v01-00</w:t>
    </w:r>
    <w:r w:rsidRPr="005908C9">
      <w:rPr>
        <w:rStyle w:val="HideTWBExt"/>
      </w:rPr>
      <w:t>&lt;/Version&gt;</w:t>
    </w:r>
    <w:r w:rsidRPr="00526437">
      <w:tab/>
    </w:r>
    <w:r w:rsidRPr="00526437">
      <w:fldChar w:fldCharType="begin"/>
    </w:r>
    <w:r w:rsidRPr="00526437">
      <w:instrText xml:space="preserve"> PAGE  \* MERGEFORMAT </w:instrText>
    </w:r>
    <w:r w:rsidRPr="00526437">
      <w:fldChar w:fldCharType="separate"/>
    </w:r>
    <w:r w:rsidR="00D17562">
      <w:rPr>
        <w:noProof/>
      </w:rPr>
      <w:t>2</w:t>
    </w:r>
    <w:r w:rsidRPr="00526437">
      <w:fldChar w:fldCharType="end"/>
    </w:r>
    <w:r w:rsidRPr="00526437">
      <w:t>/</w:t>
    </w:r>
    <w:fldSimple w:instr=" NUMPAGES  \* MERGEFORMAT ">
      <w:r w:rsidR="00D17562">
        <w:rPr>
          <w:noProof/>
        </w:rPr>
        <w:t>70</w:t>
      </w:r>
    </w:fldSimple>
    <w:r w:rsidRPr="00526437">
      <w:tab/>
    </w:r>
    <w:r w:rsidRPr="005908C9">
      <w:rPr>
        <w:rStyle w:val="HideTWBExt"/>
      </w:rPr>
      <w:t>&lt;PathFdR&gt;</w:t>
    </w:r>
    <w:r w:rsidRPr="00526437">
      <w:t>AM\1279682RO.docx</w:t>
    </w:r>
    <w:r w:rsidRPr="005908C9">
      <w:rPr>
        <w:rStyle w:val="HideTWBExt"/>
      </w:rPr>
      <w:t>&lt;/PathFdR&gt;</w:t>
    </w:r>
  </w:p>
  <w:p w:rsidR="00C213EB" w:rsidRPr="00526437" w:rsidRDefault="00C213EB" w:rsidP="007372CF">
    <w:pPr>
      <w:pStyle w:val="EPFooter2"/>
    </w:pPr>
    <w:r w:rsidRPr="0052643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B" w:rsidRPr="00526437" w:rsidRDefault="00C213EB" w:rsidP="007372CF">
    <w:pPr>
      <w:pStyle w:val="EPFooter"/>
    </w:pPr>
    <w:r w:rsidRPr="005908C9">
      <w:rPr>
        <w:rStyle w:val="HideTWBExt"/>
      </w:rPr>
      <w:t>&lt;PathFdR&gt;</w:t>
    </w:r>
    <w:r w:rsidRPr="00526437">
      <w:t>AM\1279682RO.docx</w:t>
    </w:r>
    <w:r w:rsidRPr="005908C9">
      <w:rPr>
        <w:rStyle w:val="HideTWBExt"/>
      </w:rPr>
      <w:t>&lt;/PathFdR&gt;</w:t>
    </w:r>
    <w:r w:rsidRPr="00526437">
      <w:tab/>
    </w:r>
    <w:r w:rsidRPr="00526437">
      <w:fldChar w:fldCharType="begin"/>
    </w:r>
    <w:r w:rsidRPr="00526437">
      <w:instrText xml:space="preserve"> PAGE  \* MERGEFORMAT </w:instrText>
    </w:r>
    <w:r w:rsidRPr="00526437">
      <w:fldChar w:fldCharType="separate"/>
    </w:r>
    <w:r w:rsidR="00D17562">
      <w:rPr>
        <w:noProof/>
      </w:rPr>
      <w:t>3</w:t>
    </w:r>
    <w:r w:rsidRPr="00526437">
      <w:fldChar w:fldCharType="end"/>
    </w:r>
    <w:r w:rsidRPr="00526437">
      <w:t>/</w:t>
    </w:r>
    <w:fldSimple w:instr=" NUMPAGES  \* MERGEFORMAT ">
      <w:r w:rsidR="00D17562">
        <w:rPr>
          <w:noProof/>
        </w:rPr>
        <w:t>70</w:t>
      </w:r>
    </w:fldSimple>
    <w:r w:rsidRPr="00526437">
      <w:tab/>
      <w:t>PE</w:t>
    </w:r>
    <w:r w:rsidRPr="005908C9">
      <w:rPr>
        <w:rStyle w:val="HideTWBExt"/>
      </w:rPr>
      <w:t>&lt;NoPE&gt;</w:t>
    </w:r>
    <w:r w:rsidRPr="00526437">
      <w:t>749.193</w:t>
    </w:r>
    <w:r w:rsidRPr="005908C9">
      <w:rPr>
        <w:rStyle w:val="HideTWBExt"/>
      </w:rPr>
      <w:t>&lt;/NoPE&gt;&lt;Version&gt;</w:t>
    </w:r>
    <w:r w:rsidRPr="00526437">
      <w:t>v01-00</w:t>
    </w:r>
    <w:r w:rsidRPr="005908C9">
      <w:rPr>
        <w:rStyle w:val="HideTWBExt"/>
      </w:rPr>
      <w:t>&lt;/Version&gt;</w:t>
    </w:r>
  </w:p>
  <w:p w:rsidR="00C213EB" w:rsidRPr="00526437" w:rsidRDefault="00C213EB" w:rsidP="007372CF">
    <w:pPr>
      <w:pStyle w:val="EPFooter2"/>
    </w:pPr>
    <w:r w:rsidRPr="00526437">
      <w:tab/>
    </w:r>
    <w:r w:rsidRPr="0052643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B" w:rsidRPr="00526437" w:rsidRDefault="00C213EB" w:rsidP="007372CF">
    <w:pPr>
      <w:pStyle w:val="EPFooter"/>
    </w:pPr>
    <w:r w:rsidRPr="005908C9">
      <w:rPr>
        <w:rStyle w:val="HideTWBExt"/>
      </w:rPr>
      <w:t>&lt;PathFdR&gt;</w:t>
    </w:r>
    <w:r w:rsidRPr="00526437">
      <w:t>AM\1279682RO.docx</w:t>
    </w:r>
    <w:r w:rsidRPr="005908C9">
      <w:rPr>
        <w:rStyle w:val="HideTWBExt"/>
      </w:rPr>
      <w:t>&lt;/PathFdR&gt;</w:t>
    </w:r>
    <w:r w:rsidRPr="00526437">
      <w:tab/>
    </w:r>
    <w:r w:rsidRPr="00526437">
      <w:tab/>
      <w:t>PE</w:t>
    </w:r>
    <w:r w:rsidRPr="005908C9">
      <w:rPr>
        <w:rStyle w:val="HideTWBExt"/>
      </w:rPr>
      <w:t>&lt;NoPE&gt;</w:t>
    </w:r>
    <w:r w:rsidRPr="00526437">
      <w:t>749.193</w:t>
    </w:r>
    <w:r w:rsidRPr="005908C9">
      <w:rPr>
        <w:rStyle w:val="HideTWBExt"/>
      </w:rPr>
      <w:t>&lt;/NoPE&gt;&lt;Version&gt;</w:t>
    </w:r>
    <w:r w:rsidRPr="00526437">
      <w:t>v01-00</w:t>
    </w:r>
    <w:r w:rsidRPr="005908C9">
      <w:rPr>
        <w:rStyle w:val="HideTWBExt"/>
      </w:rPr>
      <w:t>&lt;/Version&gt;</w:t>
    </w:r>
  </w:p>
  <w:p w:rsidR="00C213EB" w:rsidRPr="00526437" w:rsidRDefault="00C213EB" w:rsidP="007372CF">
    <w:pPr>
      <w:pStyle w:val="EPFooter2"/>
    </w:pPr>
    <w:r w:rsidRPr="00526437">
      <w:t>RO</w:t>
    </w:r>
    <w:r w:rsidRPr="00526437">
      <w:tab/>
    </w:r>
    <w:r w:rsidRPr="00526437">
      <w:rPr>
        <w:b w:val="0"/>
        <w:i/>
        <w:color w:val="C0C0C0"/>
        <w:sz w:val="22"/>
      </w:rPr>
      <w:t>Unită în diversitate</w:t>
    </w:r>
    <w:r w:rsidRPr="00526437">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3EB" w:rsidRPr="00526437" w:rsidRDefault="00C213EB">
      <w:r w:rsidRPr="00526437">
        <w:separator/>
      </w:r>
    </w:p>
  </w:footnote>
  <w:footnote w:type="continuationSeparator" w:id="0">
    <w:p w:rsidR="00C213EB" w:rsidRPr="00526437" w:rsidRDefault="00C213EB">
      <w:r w:rsidRPr="005264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B" w:rsidRDefault="00C213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B" w:rsidRDefault="00C21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EB" w:rsidRDefault="00C213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VTACTPART" w:val="xxx"/>
    <w:docVar w:name="TVTAMACTPART" w:val="xxx"/>
    <w:docVar w:name="TVTMEMBERS1" w:val="xxx"/>
    <w:docVar w:name="TXTAUTHOR" w:val="Sandra Pereira"/>
    <w:docVar w:name="TXTLANGUE" w:val="RO"/>
    <w:docVar w:name="TXTLANGUEMIN" w:val="ro"/>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RO.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09FB"/>
    <w:rsid w:val="00120E11"/>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67A26"/>
    <w:rsid w:val="00280EA6"/>
    <w:rsid w:val="002A1C82"/>
    <w:rsid w:val="002B6A7B"/>
    <w:rsid w:val="002C5761"/>
    <w:rsid w:val="002E3A85"/>
    <w:rsid w:val="002E3B4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94947"/>
    <w:rsid w:val="00495E20"/>
    <w:rsid w:val="004E0AAC"/>
    <w:rsid w:val="004E1C4C"/>
    <w:rsid w:val="004F03F0"/>
    <w:rsid w:val="004F2903"/>
    <w:rsid w:val="00513246"/>
    <w:rsid w:val="005246D8"/>
    <w:rsid w:val="00526437"/>
    <w:rsid w:val="00547F73"/>
    <w:rsid w:val="00557617"/>
    <w:rsid w:val="00571479"/>
    <w:rsid w:val="005908C9"/>
    <w:rsid w:val="005A7205"/>
    <w:rsid w:val="005A7EB4"/>
    <w:rsid w:val="005B32E3"/>
    <w:rsid w:val="005E50C2"/>
    <w:rsid w:val="005F3712"/>
    <w:rsid w:val="00607ABE"/>
    <w:rsid w:val="006337D4"/>
    <w:rsid w:val="00637384"/>
    <w:rsid w:val="0066168A"/>
    <w:rsid w:val="00665DDA"/>
    <w:rsid w:val="00670F19"/>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372CF"/>
    <w:rsid w:val="0074160E"/>
    <w:rsid w:val="007659AC"/>
    <w:rsid w:val="0079060C"/>
    <w:rsid w:val="007A42AB"/>
    <w:rsid w:val="007C71DE"/>
    <w:rsid w:val="007F2936"/>
    <w:rsid w:val="007F393F"/>
    <w:rsid w:val="00822C94"/>
    <w:rsid w:val="008245A8"/>
    <w:rsid w:val="008363E4"/>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213EB"/>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17562"/>
    <w:rsid w:val="00D42398"/>
    <w:rsid w:val="00D44842"/>
    <w:rsid w:val="00D677D5"/>
    <w:rsid w:val="00D72701"/>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D2B6C"/>
    <w:rsid w:val="00EE011D"/>
    <w:rsid w:val="00EE3E0D"/>
    <w:rsid w:val="00EF03A3"/>
    <w:rsid w:val="00EF11AD"/>
    <w:rsid w:val="00F27170"/>
    <w:rsid w:val="00F459F7"/>
    <w:rsid w:val="00F460E2"/>
    <w:rsid w:val="00F92B49"/>
    <w:rsid w:val="00FA192C"/>
    <w:rsid w:val="00FC1B08"/>
    <w:rsid w:val="00FC4386"/>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D3BC4"/>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ro-RO"/>
    </w:rPr>
  </w:style>
  <w:style w:type="paragraph" w:customStyle="1" w:styleId="Normal6">
    <w:name w:val="Normal6"/>
    <w:basedOn w:val="Normal"/>
    <w:link w:val="Normal6Char"/>
    <w:rsid w:val="002E3B41"/>
    <w:pPr>
      <w:spacing w:after="120"/>
    </w:pPr>
  </w:style>
  <w:style w:type="paragraph" w:customStyle="1" w:styleId="Normal12Italic">
    <w:name w:val="Normal12Italic"/>
    <w:basedOn w:val="Normal12"/>
    <w:rsid w:val="002E3B41"/>
    <w:rPr>
      <w:i/>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3B41"/>
    <w:pPr>
      <w:spacing w:after="240"/>
      <w:jc w:val="center"/>
    </w:pPr>
    <w:rPr>
      <w:i/>
    </w:rPr>
  </w:style>
  <w:style w:type="paragraph" w:customStyle="1" w:styleId="Olang">
    <w:name w:val="Olang"/>
    <w:basedOn w:val="Normal"/>
    <w:rsid w:val="002E3B41"/>
    <w:pPr>
      <w:spacing w:before="240" w:after="240"/>
      <w:jc w:val="right"/>
    </w:pPr>
    <w:rPr>
      <w:noProof/>
      <w:szCs w:val="24"/>
    </w:rPr>
  </w:style>
  <w:style w:type="paragraph" w:customStyle="1" w:styleId="JustificationTitle">
    <w:name w:val="JustificationTitle"/>
    <w:basedOn w:val="Normal"/>
    <w:next w:val="Normal12"/>
    <w:rsid w:val="002E3B41"/>
    <w:pPr>
      <w:keepNext/>
      <w:spacing w:before="240" w:after="240"/>
      <w:jc w:val="center"/>
    </w:pPr>
    <w:rPr>
      <w:i/>
      <w:noProof/>
    </w:rPr>
  </w:style>
  <w:style w:type="character" w:styleId="CommentReference">
    <w:name w:val="annotation reference"/>
    <w:basedOn w:val="DefaultParagraphFont"/>
    <w:rsid w:val="00C213EB"/>
    <w:rPr>
      <w:sz w:val="16"/>
      <w:szCs w:val="16"/>
    </w:rPr>
  </w:style>
  <w:style w:type="paragraph" w:styleId="CommentText">
    <w:name w:val="annotation text"/>
    <w:basedOn w:val="Normal"/>
    <w:link w:val="CommentTextChar"/>
    <w:rsid w:val="00C213EB"/>
    <w:rPr>
      <w:sz w:val="20"/>
    </w:rPr>
  </w:style>
  <w:style w:type="character" w:customStyle="1" w:styleId="CommentTextChar">
    <w:name w:val="Comment Text Char"/>
    <w:basedOn w:val="DefaultParagraphFont"/>
    <w:link w:val="CommentText"/>
    <w:rsid w:val="00C213EB"/>
  </w:style>
  <w:style w:type="paragraph" w:styleId="CommentSubject">
    <w:name w:val="annotation subject"/>
    <w:basedOn w:val="CommentText"/>
    <w:next w:val="CommentText"/>
    <w:link w:val="CommentSubjectChar"/>
    <w:semiHidden/>
    <w:unhideWhenUsed/>
    <w:rsid w:val="00C213EB"/>
    <w:rPr>
      <w:b/>
      <w:bCs/>
    </w:rPr>
  </w:style>
  <w:style w:type="character" w:customStyle="1" w:styleId="CommentSubjectChar">
    <w:name w:val="Comment Subject Char"/>
    <w:basedOn w:val="CommentTextChar"/>
    <w:link w:val="CommentSubject"/>
    <w:semiHidden/>
    <w:rsid w:val="00C213EB"/>
    <w:rPr>
      <w:b/>
      <w:bCs/>
    </w:rPr>
  </w:style>
  <w:style w:type="paragraph" w:styleId="BalloonText">
    <w:name w:val="Balloon Text"/>
    <w:basedOn w:val="Normal"/>
    <w:link w:val="BalloonTextChar"/>
    <w:semiHidden/>
    <w:unhideWhenUsed/>
    <w:rsid w:val="00C213EB"/>
    <w:rPr>
      <w:rFonts w:ascii="Segoe UI" w:hAnsi="Segoe UI" w:cs="Segoe UI"/>
      <w:sz w:val="18"/>
      <w:szCs w:val="18"/>
    </w:rPr>
  </w:style>
  <w:style w:type="character" w:customStyle="1" w:styleId="BalloonTextChar">
    <w:name w:val="Balloon Text Char"/>
    <w:basedOn w:val="DefaultParagraphFont"/>
    <w:link w:val="BalloonText"/>
    <w:semiHidden/>
    <w:rsid w:val="00C213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3F031-835E-47EE-AD70-40B5FFE2C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16389</Words>
  <Characters>100015</Characters>
  <Application>Microsoft Office Word</Application>
  <DocSecurity>0</DocSecurity>
  <Lines>4280</Lines>
  <Paragraphs>1301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2023-06-27T13:21:00Z</dcterms:created>
  <dcterms:modified xsi:type="dcterms:W3CDTF">2023-06-27T13:21:00Z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Bookout">
    <vt:lpwstr>OK - 2023/06/27 15:21</vt:lpwstr>
  </property>
  <property fmtid="{D5CDD505-2E9C-101B-9397-08002B2CF9AE}" pid="9" name="Created with">
    <vt:lpwstr>9.15.0 Build [20230501]</vt:lpwstr>
  </property>
  <property fmtid="{D5CDD505-2E9C-101B-9397-08002B2CF9AE}" pid="10" name="FooterPath">
    <vt:lpwstr>AM\1279682RO.docx</vt:lpwstr>
  </property>
  <property fmtid="{D5CDD505-2E9C-101B-9397-08002B2CF9AE}" pid="11" name="LastEdited with">
    <vt:lpwstr>9.15.0 Build [20230501]</vt:lpwstr>
  </property>
  <property fmtid="{D5CDD505-2E9C-101B-9397-08002B2CF9AE}" pid="12" name="PE number">
    <vt:lpwstr>749.193</vt:lpwstr>
  </property>
  <property fmtid="{D5CDD505-2E9C-101B-9397-08002B2CF9AE}" pid="13" name="SDLStudio">
    <vt:lpwstr/>
  </property>
  <property fmtid="{D5CDD505-2E9C-101B-9397-08002B2CF9AE}" pid="14" name="SendToEpades">
    <vt:lpwstr>OK(AMNUM) - 2023/06/13 20:14</vt:lpwstr>
  </property>
</Properties>
</file>