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7EC6" w:rsidRPr="00A27E36" w:rsidTr="002E3B41">
        <w:trPr>
          <w:trHeight w:hRule="exact" w:val="1418"/>
        </w:trPr>
        <w:tc>
          <w:tcPr>
            <w:tcW w:w="6804" w:type="dxa"/>
            <w:shd w:val="clear" w:color="auto" w:fill="auto"/>
            <w:vAlign w:val="center"/>
          </w:tcPr>
          <w:p w:rsidR="00BE5062" w:rsidRPr="00A27E36" w:rsidRDefault="007E363B" w:rsidP="002E3B41">
            <w:pPr>
              <w:pStyle w:val="EPName"/>
              <w:rPr>
                <w:color w:val="000000" w:themeColor="text1"/>
              </w:rPr>
            </w:pPr>
            <w:r w:rsidRPr="00A27E36">
              <w:rPr>
                <w:color w:val="000000" w:themeColor="text1"/>
              </w:rPr>
              <w:t>Europaparlamentet</w:t>
            </w:r>
          </w:p>
          <w:p w:rsidR="00BE5062" w:rsidRPr="00A27E36" w:rsidRDefault="007E363B" w:rsidP="00494947">
            <w:pPr>
              <w:pStyle w:val="EPTerm"/>
              <w:rPr>
                <w:color w:val="000000" w:themeColor="text1"/>
              </w:rPr>
            </w:pPr>
            <w:r w:rsidRPr="00A27E36">
              <w:rPr>
                <w:color w:val="000000" w:themeColor="text1"/>
              </w:rPr>
              <w:t>2019-2024</w:t>
            </w:r>
          </w:p>
        </w:tc>
        <w:tc>
          <w:tcPr>
            <w:tcW w:w="2268" w:type="dxa"/>
            <w:shd w:val="clear" w:color="auto" w:fill="auto"/>
          </w:tcPr>
          <w:p w:rsidR="00BE5062" w:rsidRPr="00A27E36" w:rsidRDefault="007E363B" w:rsidP="002E3B41">
            <w:pPr>
              <w:pStyle w:val="EPLogo"/>
              <w:rPr>
                <w:color w:val="000000" w:themeColor="text1"/>
              </w:rPr>
            </w:pPr>
            <w:r w:rsidRPr="00A27E36">
              <w:rPr>
                <w:noProof/>
                <w:color w:val="000000" w:themeColor="text1"/>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27E36" w:rsidRDefault="000E7234" w:rsidP="000E7234">
      <w:pPr>
        <w:pStyle w:val="LineTop"/>
        <w:rPr>
          <w:color w:val="000000" w:themeColor="text1"/>
        </w:rPr>
      </w:pPr>
    </w:p>
    <w:p w:rsidR="000E7234" w:rsidRPr="00A27E36" w:rsidRDefault="007E363B" w:rsidP="000E7234">
      <w:pPr>
        <w:pStyle w:val="EPBody"/>
        <w:rPr>
          <w:color w:val="000000" w:themeColor="text1"/>
        </w:rPr>
      </w:pPr>
      <w:r w:rsidRPr="00A27E36">
        <w:rPr>
          <w:rStyle w:val="HideTWBExt"/>
          <w:i w:val="0"/>
          <w:szCs w:val="20"/>
        </w:rPr>
        <w:t>&lt;Commission&gt;</w:t>
      </w:r>
      <w:r w:rsidRPr="00A27E36">
        <w:rPr>
          <w:rStyle w:val="HideTWBInt"/>
          <w:i w:val="0"/>
          <w:szCs w:val="20"/>
        </w:rPr>
        <w:t>{EMPL}</w:t>
      </w:r>
      <w:r w:rsidRPr="00A27E36">
        <w:rPr>
          <w:color w:val="000000" w:themeColor="text1"/>
        </w:rPr>
        <w:t>Utskottet för sysselsättning och sociala frågor</w:t>
      </w:r>
      <w:r w:rsidRPr="00A27E36">
        <w:rPr>
          <w:rStyle w:val="HideTWBExt"/>
          <w:i w:val="0"/>
          <w:szCs w:val="20"/>
        </w:rPr>
        <w:t>&lt;/Commission&gt;</w:t>
      </w:r>
    </w:p>
    <w:p w:rsidR="000E7234" w:rsidRPr="00A27E36" w:rsidRDefault="000E7234" w:rsidP="000E7234">
      <w:pPr>
        <w:pStyle w:val="LineBottom"/>
        <w:rPr>
          <w:color w:val="000000" w:themeColor="text1"/>
        </w:rPr>
      </w:pPr>
    </w:p>
    <w:p w:rsidR="00B85286" w:rsidRPr="00A27E36" w:rsidRDefault="007E363B">
      <w:pPr>
        <w:pStyle w:val="CoverReference"/>
        <w:rPr>
          <w:color w:val="000000" w:themeColor="text1"/>
        </w:rPr>
      </w:pPr>
      <w:r w:rsidRPr="00A27E36">
        <w:rPr>
          <w:rStyle w:val="HideTWBExt"/>
          <w:b w:val="0"/>
        </w:rPr>
        <w:t>&lt;RefProc&gt;</w:t>
      </w:r>
      <w:r w:rsidRPr="00A27E36">
        <w:rPr>
          <w:color w:val="000000" w:themeColor="text1"/>
        </w:rPr>
        <w:t>2023/0008</w:t>
      </w:r>
      <w:r w:rsidRPr="00A27E36">
        <w:rPr>
          <w:rStyle w:val="HideTWBExt"/>
          <w:b w:val="0"/>
        </w:rPr>
        <w:t>&lt;/RefProc&gt;&lt;RefTypeProc&gt;</w:t>
      </w:r>
      <w:r w:rsidRPr="00A27E36">
        <w:rPr>
          <w:color w:val="000000" w:themeColor="text1"/>
        </w:rPr>
        <w:t>(COD)</w:t>
      </w:r>
      <w:r w:rsidRPr="00A27E36">
        <w:rPr>
          <w:rStyle w:val="HideTWBExt"/>
          <w:b w:val="0"/>
        </w:rPr>
        <w:t>&lt;/RefTypeProc&gt;</w:t>
      </w:r>
    </w:p>
    <w:p w:rsidR="00B85286" w:rsidRPr="00A27E36" w:rsidRDefault="007E363B">
      <w:pPr>
        <w:pStyle w:val="CoverDate"/>
        <w:rPr>
          <w:color w:val="000000" w:themeColor="text1"/>
        </w:rPr>
      </w:pPr>
      <w:r w:rsidRPr="00A27E36">
        <w:rPr>
          <w:rStyle w:val="HideTWBExt"/>
        </w:rPr>
        <w:t>&lt;Date&gt;</w:t>
      </w:r>
      <w:r w:rsidRPr="00A27E36">
        <w:rPr>
          <w:rStyle w:val="HideTWBInt"/>
        </w:rPr>
        <w:t>{13/06/2023}</w:t>
      </w:r>
      <w:r w:rsidRPr="00A27E36">
        <w:rPr>
          <w:color w:val="000000" w:themeColor="text1"/>
        </w:rPr>
        <w:t>13.6.2023</w:t>
      </w:r>
      <w:r w:rsidRPr="00A27E36">
        <w:rPr>
          <w:rStyle w:val="HideTWBExt"/>
        </w:rPr>
        <w:t>&lt;/Date&gt;</w:t>
      </w:r>
    </w:p>
    <w:p w:rsidR="009B0305" w:rsidRPr="00A27E36" w:rsidRDefault="007E363B" w:rsidP="009B0305">
      <w:pPr>
        <w:pStyle w:val="CoverDocType"/>
        <w:rPr>
          <w:color w:val="000000" w:themeColor="text1"/>
        </w:rPr>
      </w:pPr>
      <w:r w:rsidRPr="00A27E36">
        <w:rPr>
          <w:rStyle w:val="HideTWBExt"/>
          <w:b w:val="0"/>
        </w:rPr>
        <w:t>&lt;TypeAM&gt;</w:t>
      </w:r>
      <w:r w:rsidRPr="00A27E36">
        <w:rPr>
          <w:color w:val="000000" w:themeColor="text1"/>
        </w:rPr>
        <w:t>ÄNDRINGSFÖRSLAG</w:t>
      </w:r>
      <w:r w:rsidRPr="00A27E36">
        <w:rPr>
          <w:rStyle w:val="HideTWBExt"/>
          <w:b w:val="0"/>
        </w:rPr>
        <w:t>&lt;/TypeAM&gt;</w:t>
      </w:r>
    </w:p>
    <w:p w:rsidR="00B85286" w:rsidRPr="00A27E36" w:rsidRDefault="007E363B" w:rsidP="001C2054">
      <w:pPr>
        <w:pStyle w:val="CoverDocType24a"/>
        <w:rPr>
          <w:color w:val="000000" w:themeColor="text1"/>
        </w:rPr>
      </w:pPr>
      <w:r w:rsidRPr="00A27E36">
        <w:rPr>
          <w:rStyle w:val="HideTWBExt"/>
          <w:b w:val="0"/>
        </w:rPr>
        <w:t>&lt;RangeAM&gt;</w:t>
      </w:r>
      <w:r w:rsidRPr="00A27E36">
        <w:rPr>
          <w:color w:val="000000" w:themeColor="text1"/>
        </w:rPr>
        <w:t>34 - 131</w:t>
      </w:r>
      <w:r w:rsidRPr="00A27E36">
        <w:rPr>
          <w:rStyle w:val="HideTWBExt"/>
          <w:b w:val="0"/>
        </w:rPr>
        <w:t>&lt;/RangeAM&gt;</w:t>
      </w:r>
    </w:p>
    <w:p w:rsidR="001C2054" w:rsidRPr="00A27E36" w:rsidRDefault="007E363B" w:rsidP="00A93F8C">
      <w:pPr>
        <w:pStyle w:val="CoverBold"/>
        <w:rPr>
          <w:color w:val="000000" w:themeColor="text1"/>
        </w:rPr>
      </w:pPr>
      <w:r w:rsidRPr="00A27E36">
        <w:rPr>
          <w:rStyle w:val="HideTWBExt"/>
          <w:b w:val="0"/>
        </w:rPr>
        <w:t>&lt;TitreType&gt;</w:t>
      </w:r>
      <w:r w:rsidRPr="00A27E36">
        <w:rPr>
          <w:color w:val="000000" w:themeColor="text1"/>
        </w:rPr>
        <w:t>Förslag till betänkande</w:t>
      </w:r>
      <w:bookmarkStart w:id="0" w:name="_GoBack"/>
      <w:bookmarkEnd w:id="0"/>
      <w:r w:rsidRPr="00A27E36">
        <w:rPr>
          <w:rStyle w:val="HideTWBExt"/>
          <w:b w:val="0"/>
        </w:rPr>
        <w:t>&lt;/TitreType&gt;</w:t>
      </w:r>
    </w:p>
    <w:p w:rsidR="00B85286" w:rsidRPr="00A27E36" w:rsidRDefault="007E363B" w:rsidP="00A93F8C">
      <w:pPr>
        <w:pStyle w:val="CoverBold"/>
        <w:rPr>
          <w:color w:val="000000" w:themeColor="text1"/>
        </w:rPr>
      </w:pPr>
      <w:r w:rsidRPr="00A27E36">
        <w:rPr>
          <w:rStyle w:val="HideTWBExt"/>
          <w:b w:val="0"/>
        </w:rPr>
        <w:t>&lt;Rapporteur&gt;</w:t>
      </w:r>
      <w:r w:rsidRPr="00A27E36">
        <w:rPr>
          <w:color w:val="000000" w:themeColor="text1"/>
        </w:rPr>
        <w:t>Sandra Pereira</w:t>
      </w:r>
      <w:r w:rsidRPr="00A27E36">
        <w:rPr>
          <w:rStyle w:val="HideTWBExt"/>
          <w:b w:val="0"/>
        </w:rPr>
        <w:t>&lt;/Rapporteur&gt;</w:t>
      </w:r>
    </w:p>
    <w:p w:rsidR="00B85286" w:rsidRPr="00A27E36" w:rsidRDefault="007E363B">
      <w:pPr>
        <w:pStyle w:val="CoverNormal24a"/>
        <w:rPr>
          <w:color w:val="000000" w:themeColor="text1"/>
        </w:rPr>
      </w:pPr>
      <w:r w:rsidRPr="00A27E36">
        <w:rPr>
          <w:rStyle w:val="HideTWBExt"/>
        </w:rPr>
        <w:t>&lt;DocRefPE&gt;</w:t>
      </w:r>
      <w:r w:rsidRPr="00A27E36">
        <w:rPr>
          <w:color w:val="000000" w:themeColor="text1"/>
        </w:rPr>
        <w:t>(PE746.665v01-00)</w:t>
      </w:r>
      <w:r w:rsidRPr="00A27E36">
        <w:rPr>
          <w:rStyle w:val="HideTWBExt"/>
        </w:rPr>
        <w:t>&lt;/DocRefPE&gt;</w:t>
      </w:r>
    </w:p>
    <w:p w:rsidR="00B85286" w:rsidRPr="00A27E36" w:rsidRDefault="007E363B">
      <w:pPr>
        <w:pStyle w:val="CoverNormal24a"/>
        <w:rPr>
          <w:color w:val="000000" w:themeColor="text1"/>
        </w:rPr>
      </w:pPr>
      <w:r w:rsidRPr="00A27E36">
        <w:rPr>
          <w:rStyle w:val="HideTWBExt"/>
        </w:rPr>
        <w:t>&lt;Titre&gt;</w:t>
      </w:r>
      <w:r w:rsidRPr="00A27E36">
        <w:rPr>
          <w:color w:val="000000" w:themeColor="text1"/>
        </w:rPr>
        <w:t>Europeisk statistik om befolkning och bostäder, ändring av förordning (EG)</w:t>
      </w:r>
      <w:r w:rsidR="008D1606">
        <w:rPr>
          <w:color w:val="000000" w:themeColor="text1"/>
        </w:rPr>
        <w:t> </w:t>
      </w:r>
      <w:r w:rsidRPr="00A27E36">
        <w:rPr>
          <w:color w:val="000000" w:themeColor="text1"/>
        </w:rPr>
        <w:t>nr 862/2007 och upphävande av förordningarna (EG) nr 763/2008 och (EU) nr 1260/2013</w:t>
      </w:r>
      <w:r w:rsidRPr="00A27E36">
        <w:rPr>
          <w:rStyle w:val="HideTWBExt"/>
        </w:rPr>
        <w:t>&lt;/Titre&gt;</w:t>
      </w:r>
    </w:p>
    <w:p w:rsidR="006337D4" w:rsidRPr="00A27E36" w:rsidRDefault="007E363B" w:rsidP="006337D4">
      <w:pPr>
        <w:pStyle w:val="CoverNormal"/>
        <w:rPr>
          <w:color w:val="000000" w:themeColor="text1"/>
        </w:rPr>
      </w:pPr>
      <w:r w:rsidRPr="00A27E36">
        <w:rPr>
          <w:rStyle w:val="HideTWBExt"/>
        </w:rPr>
        <w:t>&lt;DocAmend&gt;</w:t>
      </w:r>
      <w:r w:rsidRPr="00A27E36">
        <w:rPr>
          <w:color w:val="000000" w:themeColor="text1"/>
        </w:rPr>
        <w:t>Förslag till förordning</w:t>
      </w:r>
      <w:r w:rsidRPr="00A27E36">
        <w:rPr>
          <w:rStyle w:val="HideTWBExt"/>
        </w:rPr>
        <w:t>&lt;/DocAmend&gt;</w:t>
      </w:r>
    </w:p>
    <w:p w:rsidR="00B85286" w:rsidRPr="00A27E36" w:rsidRDefault="007E363B">
      <w:pPr>
        <w:pStyle w:val="CoverNormal24a"/>
        <w:rPr>
          <w:color w:val="000000" w:themeColor="text1"/>
        </w:rPr>
      </w:pPr>
      <w:r w:rsidRPr="00A27E36">
        <w:rPr>
          <w:rStyle w:val="HideTWBExt"/>
        </w:rPr>
        <w:t>&lt;DocRef&gt;</w:t>
      </w:r>
      <w:r w:rsidRPr="00A27E36">
        <w:rPr>
          <w:color w:val="000000" w:themeColor="text1"/>
        </w:rPr>
        <w:t>(COM(2023)0031 – C9</w:t>
      </w:r>
      <w:r w:rsidRPr="00A27E36">
        <w:rPr>
          <w:color w:val="000000" w:themeColor="text1"/>
        </w:rPr>
        <w:noBreakHyphen/>
        <w:t>0010/2023 – 2023/0008(COD))</w:t>
      </w:r>
      <w:r w:rsidRPr="00A27E36">
        <w:rPr>
          <w:rStyle w:val="HideTWBExt"/>
        </w:rPr>
        <w:t>&lt;/DocRef&gt;</w:t>
      </w:r>
    </w:p>
    <w:p w:rsidR="00B85286" w:rsidRPr="00A27E36" w:rsidRDefault="007E363B" w:rsidP="00E660E2">
      <w:pPr>
        <w:widowControl/>
        <w:tabs>
          <w:tab w:val="center" w:pos="4677"/>
        </w:tabs>
        <w:rPr>
          <w:color w:val="000000" w:themeColor="text1"/>
        </w:rPr>
      </w:pPr>
      <w:r w:rsidRPr="00A27E36">
        <w:rPr>
          <w:color w:val="000000" w:themeColor="text1"/>
        </w:rPr>
        <w:br w:type="page"/>
      </w:r>
      <w:r w:rsidRPr="00A27E36">
        <w:rPr>
          <w:color w:val="000000" w:themeColor="text1"/>
        </w:rPr>
        <w:lastRenderedPageBreak/>
        <w:t>AM_Com_LegReport</w:t>
      </w:r>
    </w:p>
    <w:p w:rsidR="00AE4942" w:rsidRPr="00A27E36" w:rsidRDefault="007E363B" w:rsidP="00AE4942">
      <w:pPr>
        <w:pStyle w:val="AMNumberTabs0"/>
        <w:keepNext/>
        <w:rPr>
          <w:color w:val="000000" w:themeColor="text1"/>
        </w:rPr>
      </w:pPr>
      <w:r w:rsidRPr="00A27E36">
        <w:rPr>
          <w:color w:val="000000" w:themeColor="text1"/>
        </w:rPr>
        <w:br w:type="page"/>
      </w:r>
      <w:r w:rsidR="00AE4942" w:rsidRPr="00A27E36">
        <w:rPr>
          <w:rStyle w:val="HideTWBExt"/>
          <w:b w:val="0"/>
        </w:rPr>
        <w:lastRenderedPageBreak/>
        <w:t>&lt;RepeatBlock-Amend&gt;&lt;Amend&gt;</w:t>
      </w:r>
      <w:r w:rsidR="00AE4942" w:rsidRPr="00A27E36">
        <w:rPr>
          <w:color w:val="000000" w:themeColor="text1"/>
        </w:rPr>
        <w:t>Ändringsförslag</w:t>
      </w:r>
      <w:r w:rsidR="00AE4942" w:rsidRPr="00A27E36">
        <w:rPr>
          <w:color w:val="000000" w:themeColor="text1"/>
        </w:rPr>
        <w:tab/>
      </w:r>
      <w:r w:rsidR="00AE4942" w:rsidRPr="00A27E36">
        <w:rPr>
          <w:color w:val="000000" w:themeColor="text1"/>
        </w:rPr>
        <w:tab/>
      </w:r>
      <w:r w:rsidR="00AE4942" w:rsidRPr="00A27E36">
        <w:rPr>
          <w:rStyle w:val="HideTWBExt"/>
          <w:b w:val="0"/>
        </w:rPr>
        <w:t>&lt;NumAm&gt;</w:t>
      </w:r>
      <w:r w:rsidR="00AE4942" w:rsidRPr="00A27E36">
        <w:rPr>
          <w:color w:val="000000" w:themeColor="text1"/>
        </w:rPr>
        <w:t>34</w:t>
      </w:r>
      <w:r w:rsidR="00AE4942"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Europeisk statistik om befolkning och bostäder behövs för utformning, genomförande och utvärdering av unionens politik, särskilt sådan som rör demografiska förändringar, den gröna och den digitala omställningen, främjande av energieffektivitet, ekonomisk, social och territoriell sammanhållning samt uppnåendet av målen för hållbar utveckling i FN:s Agenda 2030.</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Europeisk statistik om befolkning och bostäder </w:t>
            </w:r>
            <w:r w:rsidRPr="00A27E36">
              <w:rPr>
                <w:b/>
                <w:i/>
                <w:color w:val="000000" w:themeColor="text1"/>
              </w:rPr>
              <w:t>spelar en central roll i beslutsprocesserna och</w:t>
            </w:r>
            <w:r w:rsidRPr="00A27E36">
              <w:rPr>
                <w:color w:val="000000" w:themeColor="text1"/>
              </w:rPr>
              <w:t xml:space="preserve"> behövs </w:t>
            </w:r>
            <w:r w:rsidRPr="00A27E36">
              <w:rPr>
                <w:b/>
                <w:i/>
                <w:color w:val="000000" w:themeColor="text1"/>
              </w:rPr>
              <w:t>därför</w:t>
            </w:r>
            <w:r w:rsidRPr="00A27E36">
              <w:rPr>
                <w:color w:val="000000" w:themeColor="text1"/>
              </w:rPr>
              <w:t xml:space="preserve"> för utformning, genomförande och utvärdering av unionens politik, särskilt sådan som rör demografiska förändringar, den gröna och den digitala omställningen, främjande av energieffektivitet, ekonomisk, social och territoriell sammanhållning samt uppnåendet av målen för hållbar utveckling i FN:s Agenda 2030 </w:t>
            </w:r>
            <w:r w:rsidRPr="00A27E36">
              <w:rPr>
                <w:b/>
                <w:i/>
                <w:color w:val="000000" w:themeColor="text1"/>
              </w:rPr>
              <w:t>samt de överordnade målen i handlingsplanen för den europeiska pelaren för sociala rättigheter</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35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 Gualmini, Agnes Jongerius, Aurore Lalucq, Marc Angel, Klára Dobrev, Estrella</w:t>
      </w:r>
      <w:r w:rsidR="008D1606">
        <w:rPr>
          <w:color w:val="000000" w:themeColor="text1"/>
        </w:rPr>
        <w:t> </w:t>
      </w:r>
      <w:r w:rsidRPr="00A27E36">
        <w:rPr>
          <w:color w:val="000000" w:themeColor="text1"/>
        </w:rPr>
        <w:t>Durá</w:t>
      </w:r>
      <w:r w:rsidR="008D1606">
        <w:rPr>
          <w:color w:val="000000" w:themeColor="text1"/>
        </w:rPr>
        <w:t> </w:t>
      </w:r>
      <w:r w:rsidRPr="00A27E36">
        <w:rPr>
          <w:color w:val="000000" w:themeColor="text1"/>
        </w:rPr>
        <w:t>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Europeisk statistik om befolkning och bostäder behövs för utformning, genomförande och utvärdering av unionens politik, särskilt sådan som rör demografiska förändringar, den gröna och den digitala omställningen, främjande av energieffektivitet, ekonomisk, social och territoriell sammanhållning samt uppnåendet av målen för hållbar utveckling i FN:s Agenda 2030.</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Europeisk statistik om befolkning och bostäder behövs för utformning, genomförande och utvärdering av unionens politik, särskilt sådan som rör demografiska förändringar, den gröna och den digitala omställningen, främjande av energieffektivitet, ekonomisk, social och territoriell sammanhållning</w:t>
            </w:r>
            <w:r w:rsidRPr="00A27E36">
              <w:rPr>
                <w:b/>
                <w:i/>
                <w:color w:val="000000" w:themeColor="text1"/>
              </w:rPr>
              <w:t>, genomförandet av principerna i den europeiska pelaren för sociala rättigheter</w:t>
            </w:r>
            <w:r w:rsidRPr="00A27E36">
              <w:rPr>
                <w:color w:val="000000" w:themeColor="text1"/>
              </w:rPr>
              <w:t xml:space="preserve"> samt uppnåendet av målen för hållbar utveckling i FN:s Agenda 2030.</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36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6</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(6)</w:t>
            </w:r>
            <w:r w:rsidRPr="00A27E36">
              <w:rPr>
                <w:color w:val="000000" w:themeColor="text1"/>
              </w:rPr>
              <w:tab/>
              <w:t>År 2017 godkände kommittén för det europeiska statistiksystemet (ESS-kommittén) Budapestmemorandumet, där behovet av årlig statistik om storleken på befolkningen och vissa sociala, ekonomiska och demografiska karakteristikum i den, och av förbättrad statistik om migration konstaterades. För att principerna om jämlikhet och icke-diskriminering av medborgarna i all verksamhet och de enskilda medborgarnas rättigheter enligt Europeiska unionens stadga om de grundläggande rättigheterna</w:t>
            </w:r>
            <w:r w:rsidRPr="00A27E36">
              <w:rPr>
                <w:color w:val="000000" w:themeColor="text1"/>
                <w:vertAlign w:val="superscript"/>
              </w:rPr>
              <w:t>23</w:t>
            </w:r>
            <w:r w:rsidRPr="00A27E36">
              <w:rPr>
                <w:color w:val="000000" w:themeColor="text1"/>
              </w:rPr>
              <w:t xml:space="preserve"> och artiklarna 10 och 19 i EUF-fördraget ska iakttas behöver unionen tillförlitlig och jämförbar statistik. I förordning (EU) 2019/1700 fastställs en ram för insamling av uppgifter från urval som gör det möjligt att samla in uppgifter om jämlikhet och icke-diskriminering, i den mån detta är möjligt från urval, och att analysera vissa aspekter av jämlikhet och diskriminering genom att ta fram socioekonomiska indikatorer och information om erfarenheter av diskriminering. Dessutom genomför Europeiska unionens byrå för grundläggande rättigheter (FRA) och Europeiska jämställdhetsinstitutet (EIGE) särskilda studier och riktade undersökningar som ytterligare kan öka tillgången till jämlikhetsstatistik på EU-nivå. Det framtida samarbetet och samordningen mellan medlemsstaterna, Eurostat och dessa byråer bör stärkas för att tillgodose användarnas ökande krav på tillförlitliga och heltäckande uppgifter om jämlikhet och mångfald i unionen.</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(6)</w:t>
            </w:r>
            <w:r w:rsidRPr="00A27E36">
              <w:rPr>
                <w:color w:val="000000" w:themeColor="text1"/>
              </w:rPr>
              <w:tab/>
              <w:t>År 2017 godkände kommittén för det europeiska statistiksystemet (ESS-kommittén) Budapestmemorandumet, där behovet av årlig statistik om storleken på befolkningen och vissa sociala, ekonomiska och demografiska karakteristikum i den, och av förbättrad statistik om migration konstaterades. För att principerna om jämlikhet och icke-diskriminering av medborgarna i all verksamhet och de enskilda medborgarnas rättigheter enligt Europeiska unionens stadga om de grundläggande rättigheterna</w:t>
            </w:r>
            <w:r w:rsidRPr="00A27E36">
              <w:rPr>
                <w:color w:val="000000" w:themeColor="text1"/>
                <w:vertAlign w:val="superscript"/>
              </w:rPr>
              <w:t>23</w:t>
            </w:r>
            <w:r w:rsidRPr="00A27E36">
              <w:rPr>
                <w:color w:val="000000" w:themeColor="text1"/>
              </w:rPr>
              <w:t xml:space="preserve"> och artiklarna 10 och 19 i EUF-fördraget ska iakttas</w:t>
            </w:r>
            <w:r w:rsidRPr="00A27E36">
              <w:rPr>
                <w:b/>
                <w:i/>
                <w:color w:val="000000" w:themeColor="text1"/>
              </w:rPr>
              <w:t>,</w:t>
            </w:r>
            <w:r w:rsidRPr="00A27E36">
              <w:rPr>
                <w:color w:val="000000" w:themeColor="text1"/>
              </w:rPr>
              <w:t xml:space="preserve"> </w:t>
            </w:r>
            <w:r w:rsidRPr="00A27E36">
              <w:rPr>
                <w:b/>
                <w:i/>
                <w:color w:val="000000" w:themeColor="text1"/>
              </w:rPr>
              <w:t>och för att övervaka framstegen mot att förverkliga den europeiska pelaren för sociala rättigheter,</w:t>
            </w:r>
            <w:r w:rsidRPr="00A27E36">
              <w:rPr>
                <w:color w:val="000000" w:themeColor="text1"/>
              </w:rPr>
              <w:t xml:space="preserve"> behöver unionen tillförlitlig och jämförbar statistik. I förordning (EU) 2019/1700 fastställs en ram för insamling av uppgifter från urval som gör det möjligt att samla in uppgifter om jämlikhet och icke-diskriminering, i den mån detta är möjligt från urval, och att analysera vissa aspekter av jämlikhet och diskriminering genom att ta fram socioekonomiska indikatorer och information om erfarenheter av diskriminering. Dessutom genomför Europeiska unionens byrå för grundläggande rättigheter (FRA) och Europeiska jämställdhetsinstitutet (EIGE) särskilda studier och riktade undersökningar som ytterligare kan öka tillgången till jämlikhetsstatistik på EU</w:t>
            </w:r>
            <w:r w:rsidR="008D1606">
              <w:rPr>
                <w:color w:val="000000" w:themeColor="text1"/>
              </w:rPr>
              <w:noBreakHyphen/>
            </w:r>
            <w:r w:rsidRPr="00A27E36">
              <w:rPr>
                <w:color w:val="000000" w:themeColor="text1"/>
              </w:rPr>
              <w:t xml:space="preserve">nivå. </w:t>
            </w:r>
            <w:r w:rsidRPr="00A27E36">
              <w:rPr>
                <w:b/>
                <w:i/>
                <w:color w:val="000000" w:themeColor="text1"/>
              </w:rPr>
              <w:t>Dessutom tillhandahåller Eurofound insiktsfulla uppgifter och information som samlas in via undersökningar om människors arbets- och levnadsvillkor.</w:t>
            </w:r>
            <w:r w:rsidRPr="00A27E36">
              <w:rPr>
                <w:color w:val="000000" w:themeColor="text1"/>
              </w:rPr>
              <w:t xml:space="preserve"> Det framtida samarbetet och samordningen mellan medlemsstaterna, Eurostat och dessa byråer bör stärkas för att tillgodose användarnas ökande krav på tillförlitliga och heltäckande uppgifter om jämlikhet och mångfald i unionen.</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23</w:t>
            </w:r>
            <w:r w:rsidRPr="00A27E36">
              <w:rPr>
                <w:color w:val="000000" w:themeColor="text1"/>
              </w:rPr>
              <w:t xml:space="preserve"> EUT C 202, 7.6.2016, s. 389.</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vertAlign w:val="superscript"/>
              </w:rPr>
              <w:t>23</w:t>
            </w:r>
            <w:r w:rsidRPr="00A27E36">
              <w:rPr>
                <w:color w:val="000000" w:themeColor="text1"/>
              </w:rPr>
              <w:t xml:space="preserve"> EUT C 202, 7.6.2016, s. 389.</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37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6</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(6)</w:t>
            </w:r>
            <w:r w:rsidRPr="00A27E36">
              <w:rPr>
                <w:color w:val="000000" w:themeColor="text1"/>
              </w:rPr>
              <w:tab/>
              <w:t>År 2017 godkände kommittén för det europeiska statistiksystemet (ESS-kommittén) Budapestmemorandumet, där behovet av årlig statistik om storleken på befolkningen och vissa sociala, ekonomiska och demografiska karakteristikum i den, och av förbättrad statistik om migration konstaterades. För att principerna om jämlikhet och icke-diskriminering av medborgarna i all verksamhet och de enskilda medborgarnas rättigheter enligt Europeiska unionens stadga om de grundläggande rättigheterna</w:t>
            </w:r>
            <w:r w:rsidRPr="00A27E36">
              <w:rPr>
                <w:color w:val="000000" w:themeColor="text1"/>
                <w:vertAlign w:val="superscript"/>
              </w:rPr>
              <w:t>23</w:t>
            </w:r>
            <w:r w:rsidRPr="00A27E36">
              <w:rPr>
                <w:color w:val="000000" w:themeColor="text1"/>
              </w:rPr>
              <w:t xml:space="preserve"> och artiklarna 10 och 19 i EUF-fördraget ska iakttas behöver unionen tillförlitlig och jämförbar statistik. I förordning (EU) 2019/1700 fastställs en ram för insamling av uppgifter från urval som gör det möjligt att samla in uppgifter om jämlikhet och icke-diskriminering, i den mån detta är möjligt från urval, och att analysera vissa aspekter av jämlikhet och diskriminering genom att ta fram socioekonomiska indikatorer och information om erfarenheter av diskriminering. Dessutom genomför Europeiska unionens byrå för grundläggande rättigheter (FRA) och Europeiska jämställdhetsinstitutet (EIGE) särskilda studier och riktade undersökningar som ytterligare kan öka tillgången till jämlikhetsstatistik på EU-nivå. Det framtida samarbetet och samordningen mellan medlemsstaterna, Eurostat och dessa byråer bör stärkas för att tillgodose användarnas ökande krav på tillförlitliga och heltäckande uppgifter om jämlikhet och mångfald i unionen.</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(6)</w:t>
            </w:r>
            <w:r w:rsidRPr="00A27E36">
              <w:rPr>
                <w:color w:val="000000" w:themeColor="text1"/>
              </w:rPr>
              <w:tab/>
              <w:t>År 2017 godkände kommittén för det europeiska statistiksystemet (ESS</w:t>
            </w:r>
            <w:r w:rsidR="008D1606">
              <w:rPr>
                <w:color w:val="000000" w:themeColor="text1"/>
              </w:rPr>
              <w:noBreakHyphen/>
            </w:r>
            <w:r w:rsidRPr="00A27E36">
              <w:rPr>
                <w:color w:val="000000" w:themeColor="text1"/>
              </w:rPr>
              <w:t>kommittén) Budapestmemorandumet, där behovet av årlig statistik om storleken på befolkningen och vissa sociala, ekonomiska och demografiska karakteristikum i den, och av förbättrad statistik om migration konstaterades. För att principerna om jämlikhet och icke-diskriminering av medborgarna i all verksamhet och de enskilda medborgarnas rättigheter enligt Europeiska unionens stadga om de grundläggande rättigheterna</w:t>
            </w:r>
            <w:r w:rsidRPr="00A27E36">
              <w:rPr>
                <w:color w:val="000000" w:themeColor="text1"/>
                <w:vertAlign w:val="superscript"/>
              </w:rPr>
              <w:t>23</w:t>
            </w:r>
            <w:r w:rsidRPr="00A27E36">
              <w:rPr>
                <w:color w:val="000000" w:themeColor="text1"/>
              </w:rPr>
              <w:t xml:space="preserve"> och artiklarna 10 och 19 i EUF-fördraget ska iakttas behöver unionen tillförlitlig och jämförbar statistik. I förordning (EU)</w:t>
            </w:r>
            <w:r w:rsidR="008D1606">
              <w:rPr>
                <w:color w:val="000000" w:themeColor="text1"/>
              </w:rPr>
              <w:t> </w:t>
            </w:r>
            <w:r w:rsidRPr="00A27E36">
              <w:rPr>
                <w:color w:val="000000" w:themeColor="text1"/>
              </w:rPr>
              <w:t>2019/1700 fastställs en ram för insamling av uppgifter från urval som gör det möjligt att samla in uppgifter om jämlikhet och icke-diskriminering, i den mån detta är möjligt från urval, och att analysera vissa aspekter av jämlikhet och diskriminering genom att ta fram socioekonomiska indikatorer och information om erfarenheter av diskriminering. Dessutom genomför Europeiska unionens byrå för grundläggande rättigheter (FRA) och Europeiska jämställdhetsinstitutet (EIGE) särskilda studier och riktade undersökningar som ytterligare kan öka tillgången till jämlikhetsstatistik på EU</w:t>
            </w:r>
            <w:r w:rsidR="008D1606">
              <w:rPr>
                <w:color w:val="000000" w:themeColor="text1"/>
              </w:rPr>
              <w:noBreakHyphen/>
            </w:r>
            <w:r w:rsidRPr="00A27E36">
              <w:rPr>
                <w:color w:val="000000" w:themeColor="text1"/>
              </w:rPr>
              <w:t>nivå. Det framtida samarbetet och samordningen mellan medlemsstaterna, Eurostat och dessa byråer bör stärkas för att tillgodose användarnas ökande krav på tillförlitliga och heltäckande uppgifter om jämlikhet och mångfald i unionen</w:t>
            </w:r>
            <w:r w:rsidRPr="00A27E36">
              <w:rPr>
                <w:b/>
                <w:i/>
                <w:color w:val="000000" w:themeColor="text1"/>
              </w:rPr>
              <w:t>, samtidigt som skyddet av känsliga personuppgifter respekteras i enlighet med förordning 2016/679</w:t>
            </w:r>
            <w:r w:rsidRPr="00A27E36">
              <w:rPr>
                <w:color w:val="000000" w:themeColor="text1"/>
              </w:rPr>
              <w:t>.</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23</w:t>
            </w:r>
            <w:r w:rsidRPr="00A27E36">
              <w:rPr>
                <w:color w:val="000000" w:themeColor="text1"/>
              </w:rPr>
              <w:t xml:space="preserve"> EUT C 202, 7.6.2016, s. 389.</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vertAlign w:val="superscript"/>
              </w:rPr>
              <w:t>23</w:t>
            </w:r>
            <w:r w:rsidRPr="00A27E36">
              <w:rPr>
                <w:color w:val="000000" w:themeColor="text1"/>
              </w:rPr>
              <w:t xml:space="preserve"> EUT C 202, 7.6.2016, s. 389.</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38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7</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(7)</w:t>
            </w:r>
            <w:r w:rsidRPr="00A27E36">
              <w:rPr>
                <w:color w:val="000000" w:themeColor="text1"/>
              </w:rPr>
              <w:tab/>
              <w:t>I syfte att uppnå målen i den europeiska gröna given krävs bättre statistik om bostädernas energianvändning och energieffektivitet, detaljerade geografiska uppgifter om befolkningens fördelning samt fördjupade studier av förhållandet mellan befolkning och bostäder för att man ska kunna utveckla och utvärdera effektiva strategier. I och med covid-19-pandemin framkom behovet av tillförlitlig, frekvent och aktuell statistik om dödsfall i unionen. Behovet av uppgifter tillgodosågs genom frivillig uppgiftsinsamling från medlemsstaterna till kommissionen (Eurostat), men unionen behöver en lämplig mekanism för obligatorisk insamling av sådana uppgifter inom det europeiska statistiksystemet (ESS) med nödvändig frekvens, aktualitet och detaljrikedom.</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(7)</w:t>
            </w:r>
            <w:r w:rsidRPr="00A27E36">
              <w:rPr>
                <w:color w:val="000000" w:themeColor="text1"/>
              </w:rPr>
              <w:tab/>
              <w:t>I syfte att uppnå målen i den europeiska gröna given krävs bättre statistik om bostädernas energianvändning och energieffektivitet, detaljerade geografiska uppgifter om befolkningens fördelning samt fördjupade studier av förhållandet mellan befolkning och bostäder för att man ska kunna utveckla och utvärdera effektiva strategier.</w:t>
            </w:r>
            <w:r w:rsidRPr="00A27E36">
              <w:rPr>
                <w:b/>
                <w:i/>
                <w:color w:val="000000" w:themeColor="text1"/>
              </w:rPr>
              <w:t xml:space="preserve"> Eftersom den gröna omställningen i grunden förändrar den europeiska industrin och ekonomin kommer dessutom förändringarna på arbetsmarknaden att bli enorma, och därför kommer det att krävas en ny evidensbaserad politik för att ta itu med de akuta utmaningarna avseende miljömässiga och sociala aspekter. Det är nämligen nödvändigt att bättre identifiera och förutse kompetensbehov genom att i tid dela upp uppgiftsinsamlingen för att på ett lämpligt sätt ta itu med de nya ”gröna jobben” och förbereda arbetskraften, särskilt arbetstagare med färre utbildningsmöjligheter och akuta behov av kompetenshöjning och omskolning, under hela omställningen.</w:t>
            </w:r>
            <w:r w:rsidRPr="00A27E36">
              <w:rPr>
                <w:color w:val="000000" w:themeColor="text1"/>
              </w:rPr>
              <w:t xml:space="preserve"> I och med covid-19-pandemin framkom behovet av tillförlitlig, frekvent och aktuell statistik om dödsfall i unionen. Behovet av uppgifter tillgodosågs genom frivillig uppgiftsinsamling från medlemsstaterna till kommissionen (Eurostat), men unionen behöver en lämplig mekanism för obligatorisk insamling av sådana uppgifter inom det europeiska statistiksystemet (ESS) med nödvändig frekvens, aktualitet och detaljrikedom.</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39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7</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(7)</w:t>
            </w:r>
            <w:r w:rsidRPr="00A27E36">
              <w:rPr>
                <w:color w:val="000000" w:themeColor="text1"/>
              </w:rPr>
              <w:tab/>
              <w:t>I syfte att uppnå målen i den europeiska gröna given krävs bättre statistik om bostädernas energianvändning och energieffektivitet, detaljerade geografiska uppgifter om befolkningens fördelning samt fördjupade studier av förhållandet mellan befolkning och bostäder för att man ska kunna utveckla och utvärdera effektiva strategier. I och med covid-19-pandemin framkom behovet av tillförlitlig, frekvent och aktuell statistik om dödsfall i unionen. Behovet av uppgifter tillgodosågs genom frivillig uppgiftsinsamling från medlemsstaterna till kommissionen (Eurostat), men unionen behöver en lämplig mekanism för obligatorisk insamling av sådana uppgifter inom det europeiska statistiksystemet (ESS) med nödvändig frekvens, aktualitet och detaljrikedom.</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(7)</w:t>
            </w:r>
            <w:r w:rsidRPr="00A27E36">
              <w:rPr>
                <w:color w:val="000000" w:themeColor="text1"/>
              </w:rPr>
              <w:tab/>
              <w:t xml:space="preserve">I syfte att uppnå målen i den europeiska gröna given </w:t>
            </w:r>
            <w:r w:rsidRPr="00A27E36">
              <w:rPr>
                <w:b/>
                <w:i/>
                <w:color w:val="000000" w:themeColor="text1"/>
              </w:rPr>
              <w:t>och i handlingsplanen för den europeiska pelaren för sociala rättigheter, för att ta itu med de ekonomiska och sociala kriser som orsakats av det ryska anfallskriget i Ukraina och för att bekämpa levnadskostnadskrisen,</w:t>
            </w:r>
            <w:r w:rsidRPr="00A27E36">
              <w:rPr>
                <w:color w:val="000000" w:themeColor="text1"/>
              </w:rPr>
              <w:t xml:space="preserve"> krävs bättre statistik om bostädernas energianvändning och energieffektivitet, detaljerade geografiska uppgifter om befolkningens fördelning samt fördjupade studier av förhållandet mellan befolkning och bostäder för att man ska kunna utveckla och utvärdera effektiva strategier. I och med covid-19-pandemin framkom behovet av tillförlitlig, frekvent och aktuell statistik om dödsfall i unionen. Behovet av uppgifter tillgodosågs genom frivillig uppgiftsinsamling från medlemsstaterna till kommissionen (Eurostat), men unionen behöver en lämplig mekanism för obligatorisk insamling av sådana uppgifter inom det europeiska statistiksystemet (ESS) med nödvändig frekvens, aktualitet och detaljrikedom.</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7</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(7)</w:t>
            </w:r>
            <w:r w:rsidRPr="00A27E36">
              <w:rPr>
                <w:color w:val="000000" w:themeColor="text1"/>
              </w:rPr>
              <w:tab/>
              <w:t>I syfte att uppnå målen i den europeiska gröna given krävs bättre statistik om bostädernas energianvändning och energieffektivitet, detaljerade geografiska uppgifter om befolkningens fördelning samt fördjupade studier av förhållandet mellan befolkning och bostäder för att man ska kunna utveckla och utvärdera effektiva strategier. I och med covid-19-pandemin framkom behovet av tillförlitlig, frekvent och aktuell statistik om dödsfall i unionen. Behovet av uppgifter tillgodosågs genom frivillig uppgiftsinsamling från medlemsstaterna till kommissionen (Eurostat), men unionen behöver en lämplig mekanism för obligatorisk insamling av sådana uppgifter inom det europeiska statistiksystemet (ESS) med nödvändig frekvens, aktualitet och detaljrikedom.</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(7)</w:t>
            </w:r>
            <w:r w:rsidRPr="00A27E36">
              <w:rPr>
                <w:color w:val="000000" w:themeColor="text1"/>
              </w:rPr>
              <w:tab/>
              <w:t xml:space="preserve">I syfte att uppnå målen i den europeiska gröna given krävs bättre statistik om bostädernas energianvändning och energieffektivitet, detaljerade geografiska uppgifter om befolkningens fördelning samt fördjupade studier av förhållandet mellan befolkning och bostäder för att man ska kunna utveckla och utvärdera effektiva strategier. I och med covid-19-pandemin framkom behovet av tillförlitlig, frekvent och aktuell statistik om dödsfall i unionen. Behovet av uppgifter tillgodosågs genom frivillig uppgiftsinsamling från medlemsstaterna till kommissionen (Eurostat), men unionen behöver en lämplig mekanism för obligatorisk insamling av sådana uppgifter inom det europeiska statistiksystemet (ESS) med nödvändig frekvens, aktualitet och detaljrikedom. </w:t>
            </w:r>
            <w:r w:rsidRPr="00A27E36">
              <w:rPr>
                <w:b/>
                <w:i/>
                <w:color w:val="000000" w:themeColor="text1"/>
              </w:rPr>
              <w:t>Omfattningen av den obligatoriska insamlingen av sådana uppgifter ska vägas mot medlemsstaternas ytterligare administrativa bördor och merkostnader.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Lívia Járóka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7a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(7a)</w:t>
            </w:r>
            <w:r w:rsidRPr="00A27E36">
              <w:rPr>
                <w:b/>
                <w:i/>
                <w:color w:val="000000" w:themeColor="text1"/>
              </w:rPr>
              <w:tab/>
              <w:t>Uppmärksamhet riktas mot en djärvare och mer djupgående studie om befolkning och bostäder, vilken även kan beskriva sambandet mellan orsak och verkan samt utgöra grunden för den framtida utvecklingen av EU-politik och sektorspolitik av olika slag. En sådan studie belyser till exempel ojämlik infrastruktur och geografisk ojämlikhet, ojämlikheter i deltagande i sysselsättning, möjligheter till och ojämlikheter i deltagande i utbildning, möjligheter till rörlighet och därmed förknippade ojämlikheter i transportinfrastruktur. Dessutom är det viktigt att förbättring av sociala förhållanden och olika integrationsprogram i detta syfte även har förmågan att bemöta andra förändringar i socialpolitiken.</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{HU}</w:t>
      </w:r>
      <w:r w:rsidRPr="00A27E36">
        <w:rPr>
          <w:noProof w:val="0"/>
          <w:color w:val="000000" w:themeColor="text1"/>
        </w:rPr>
        <w:t>hu</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7a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(7a)</w:t>
            </w:r>
            <w:r w:rsidRPr="00A27E36">
              <w:rPr>
                <w:b/>
                <w:i/>
                <w:color w:val="000000" w:themeColor="text1"/>
              </w:rPr>
              <w:tab/>
              <w:t>För att övervaka framstegen i genomförandet av den europeiska pelaren för sociala rättigheter, de övergripande målen i dess handlingsplan och den europeiska barngarantin på nationell nivå och för att bedöma klimatförändringarnas och politikens fördelningseffekter i allmänhet, behöver unionen en lämplig mekanism för obligatorisk insamling av sådana uppgifter inom EES med nödvändig frekvens, aktualitet och detaljnivå.</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9</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(9)</w:t>
            </w:r>
            <w:r w:rsidRPr="00A27E36">
              <w:rPr>
                <w:color w:val="000000" w:themeColor="text1"/>
              </w:rPr>
              <w:tab/>
              <w:t>I Europaparlamentets och rådets förordning (EG) nr 223/2009</w:t>
            </w:r>
            <w:r w:rsidRPr="00A27E36">
              <w:rPr>
                <w:color w:val="000000" w:themeColor="text1"/>
                <w:vertAlign w:val="superscript"/>
              </w:rPr>
              <w:t>24</w:t>
            </w:r>
            <w:r w:rsidRPr="00A27E36">
              <w:rPr>
                <w:color w:val="000000" w:themeColor="text1"/>
              </w:rPr>
              <w:t xml:space="preserve"> fastställs en rättslig ram för att utveckla, framställa och sprida europeisk statistik, utifrån gemensamma statistiska principer. I den förordningen anges kvalitetskriterier och hänvisas till behovet av att minska bördan för uppgiftslämnarna och bidra till det mer övergripande målet att minska den administrativa bördan. En ny rättslig ram för europeisk statistik om befolkning och bostäder bör genomföra de kvalitetskriterier som anges i den förordningen och underlätta </w:t>
            </w:r>
            <w:r w:rsidRPr="00A27E36">
              <w:rPr>
                <w:b/>
                <w:i/>
                <w:color w:val="000000" w:themeColor="text1"/>
              </w:rPr>
              <w:t>minskningen</w:t>
            </w:r>
            <w:r w:rsidRPr="00A27E36">
              <w:rPr>
                <w:color w:val="000000" w:themeColor="text1"/>
              </w:rPr>
              <w:t xml:space="preserve"> av bördan genom en ändamålsenlig och effektiv återanvändning av tillgängliga uppgiftskällor, inbegripet administrativa uppgifter.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(9)</w:t>
            </w:r>
            <w:r w:rsidRPr="00A27E36">
              <w:rPr>
                <w:color w:val="000000" w:themeColor="text1"/>
              </w:rPr>
              <w:tab/>
              <w:t>I Europaparlamentets och rådets förordning (EG) nr 223/2009</w:t>
            </w:r>
            <w:r w:rsidRPr="00A27E36">
              <w:rPr>
                <w:color w:val="000000" w:themeColor="text1"/>
                <w:vertAlign w:val="superscript"/>
              </w:rPr>
              <w:t>24</w:t>
            </w:r>
            <w:r w:rsidRPr="00A27E36">
              <w:rPr>
                <w:color w:val="000000" w:themeColor="text1"/>
              </w:rPr>
              <w:t xml:space="preserve"> fastställs en rättslig ram för att utveckla, framställa och sprida europeisk statistik, utifrån gemensamma statistiska principer. I den förordningen anges kvalitetskriterier och hänvisas till behovet av att minska bördan för uppgiftslämnarna och bidra till det mer övergripande målet att minska den administrativa bördan. En ny rättslig ram för europeisk statistik om befolkning och bostäder bör genomföra de kvalitetskriterier som anges i den förordningen och underlätta </w:t>
            </w:r>
            <w:r w:rsidRPr="00A27E36">
              <w:rPr>
                <w:b/>
                <w:i/>
                <w:color w:val="000000" w:themeColor="text1"/>
              </w:rPr>
              <w:t>en minskning</w:t>
            </w:r>
            <w:r w:rsidRPr="00A27E36">
              <w:rPr>
                <w:color w:val="000000" w:themeColor="text1"/>
              </w:rPr>
              <w:t xml:space="preserve"> av </w:t>
            </w:r>
            <w:r w:rsidRPr="00A27E36">
              <w:rPr>
                <w:b/>
                <w:i/>
                <w:color w:val="000000" w:themeColor="text1"/>
              </w:rPr>
              <w:t>den övergripande administrativa</w:t>
            </w:r>
            <w:r w:rsidRPr="00A27E36">
              <w:rPr>
                <w:color w:val="000000" w:themeColor="text1"/>
              </w:rPr>
              <w:t xml:space="preserve"> bördan genom en ändamålsenlig och effektiv återanvändning av tillgängliga uppgiftskällor, inbegripet administrativa uppgifter.</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24</w:t>
            </w:r>
            <w:r w:rsidRPr="00A27E36">
              <w:rPr>
                <w:color w:val="000000" w:themeColor="text1"/>
              </w:rPr>
              <w:t xml:space="preserve"> Europaparlamentets och rådets förordning (EG) nr 223/2009 av den 11 mars 2009 om europeisk statistik och om upphävande av Europaparlamentets och rådets förordning (EG, Euratom) nr 1101/2008 om utlämnande av insynsskyddade statistiska uppgifter till Europeiska gemenskapernas statistikkontor, rådets förordning (EG) nr 322/97 om gemenskapsstatistik och rådets beslut 89/382/EEG, Euratom om inrättande av en kommitté för Europeiska gemenskapernas statistiska program (EUT L 87, 31.3.2009, s. 164).</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vertAlign w:val="superscript"/>
              </w:rPr>
              <w:t>24</w:t>
            </w:r>
            <w:r w:rsidRPr="00A27E36">
              <w:rPr>
                <w:color w:val="000000" w:themeColor="text1"/>
              </w:rPr>
              <w:t xml:space="preserve"> Europaparlamentets och rådets förordning (EG) nr 223/2009 av den</w:t>
            </w:r>
            <w:r w:rsidR="008D1606">
              <w:rPr>
                <w:color w:val="000000" w:themeColor="text1"/>
              </w:rPr>
              <w:t> </w:t>
            </w:r>
            <w:r w:rsidRPr="00A27E36">
              <w:rPr>
                <w:color w:val="000000" w:themeColor="text1"/>
              </w:rPr>
              <w:t>11</w:t>
            </w:r>
            <w:r w:rsidR="008D1606">
              <w:rPr>
                <w:color w:val="000000" w:themeColor="text1"/>
              </w:rPr>
              <w:t> </w:t>
            </w:r>
            <w:r w:rsidRPr="00A27E36">
              <w:rPr>
                <w:color w:val="000000" w:themeColor="text1"/>
              </w:rPr>
              <w:t>mars 2009 om europeisk statistik och om upphävande av Europaparlamentets och rådets förordning (EG, Euratom) nr 1101/2008 om utlämnande av insynsskyddade statistiska uppgifter till Europeiska gemenskapernas statistikkontor, rådets förordning (EG) nr</w:t>
            </w:r>
            <w:r w:rsidR="008D1606">
              <w:rPr>
                <w:color w:val="000000" w:themeColor="text1"/>
              </w:rPr>
              <w:t> </w:t>
            </w:r>
            <w:r w:rsidRPr="00A27E36">
              <w:rPr>
                <w:color w:val="000000" w:themeColor="text1"/>
              </w:rPr>
              <w:t>322/97 om gemenskapsstatistik och rådets beslut 89/382/EEG, Euratom om inrättande av en kommitté för Europeiska</w:t>
            </w:r>
            <w:r w:rsidR="008D1606">
              <w:rPr>
                <w:color w:val="000000" w:themeColor="text1"/>
              </w:rPr>
              <w:t> </w:t>
            </w:r>
            <w:r w:rsidRPr="00A27E36">
              <w:rPr>
                <w:color w:val="000000" w:themeColor="text1"/>
              </w:rPr>
              <w:t>gemenskapernas statistiska program (EUT L 87, 31.3.2009, s. 164).</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9</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(9)</w:t>
            </w:r>
            <w:r w:rsidRPr="00A27E36">
              <w:rPr>
                <w:color w:val="000000" w:themeColor="text1"/>
              </w:rPr>
              <w:tab/>
              <w:t>I Europaparlamentets och rådets förordning (EG) nr 223/2009</w:t>
            </w:r>
            <w:r w:rsidRPr="00A27E36">
              <w:rPr>
                <w:color w:val="000000" w:themeColor="text1"/>
                <w:vertAlign w:val="superscript"/>
              </w:rPr>
              <w:t>24</w:t>
            </w:r>
            <w:r w:rsidRPr="00A27E36">
              <w:rPr>
                <w:color w:val="000000" w:themeColor="text1"/>
              </w:rPr>
              <w:t xml:space="preserve"> fastställs en rättslig ram för att utveckla, framställa och sprida europeisk statistik, utifrån gemensamma statistiska principer. I den förordningen anges kvalitetskriterier och hänvisas till behovet av att minska bördan för uppgiftslämnarna och bidra till det mer övergripande målet att minska den administrativa bördan. En ny rättslig ram för europeisk statistik om befolkning och bostäder bör genomföra de kvalitetskriterier som anges i den förordningen och underlätta minskningen av bördan genom en ändamålsenlig och effektiv återanvändning av tillgängliga uppgiftskällor, inbegripet administrativa uppgifter.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(9)</w:t>
            </w:r>
            <w:r w:rsidRPr="00A27E36">
              <w:rPr>
                <w:color w:val="000000" w:themeColor="text1"/>
              </w:rPr>
              <w:tab/>
              <w:t>I Europaparlamentets och rådets förordning (EG) nr 223/2009</w:t>
            </w:r>
            <w:r w:rsidRPr="00A27E36">
              <w:rPr>
                <w:color w:val="000000" w:themeColor="text1"/>
                <w:vertAlign w:val="superscript"/>
              </w:rPr>
              <w:t>24</w:t>
            </w:r>
            <w:r w:rsidRPr="00A27E36">
              <w:rPr>
                <w:color w:val="000000" w:themeColor="text1"/>
              </w:rPr>
              <w:t xml:space="preserve"> fastställs en rättslig ram för att utveckla, framställa och sprida europeisk statistik, utifrån gemensamma statistiska principer. I den förordningen anges kvalitetskriterier och hänvisas till behovet av att minska bördan för uppgiftslämnarna och bidra till det mer övergripande målet att minska den administrativa bördan. En ny rättslig ram för europeisk statistik om befolkning och bostäder bör genomföra </w:t>
            </w:r>
            <w:r w:rsidRPr="00A27E36">
              <w:rPr>
                <w:b/>
                <w:i/>
                <w:color w:val="000000" w:themeColor="text1"/>
              </w:rPr>
              <w:t>och bygga på</w:t>
            </w:r>
            <w:r w:rsidRPr="00A27E36">
              <w:rPr>
                <w:color w:val="000000" w:themeColor="text1"/>
              </w:rPr>
              <w:t xml:space="preserve"> de kvalitetskriterier som anges i den förordningen och underlätta minskningen av bördan genom en ändamålsenlig och effektiv återanvändning av tillgängliga uppgiftskällor, inbegripet administrativa uppgifter.</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24</w:t>
            </w:r>
            <w:r w:rsidRPr="00A27E36">
              <w:rPr>
                <w:color w:val="000000" w:themeColor="text1"/>
              </w:rPr>
              <w:t xml:space="preserve"> Europaparlamentets och rådets förordning (EG) nr 223/2009 av den 11 mars 2009 om europeisk statistik och om upphävande av Europaparlamentets och rådets förordning (EG, Euratom) nr 1101/2008 om utlämnande av insynsskyddade statistiska uppgifter till Europeiska gemenskapernas statistikkontor, rådets förordning (EG) nr 322/97 om gemenskapsstatistik och rådets beslut 89/382/EEG, Euratom om inrättande av en kommitté för Europeiska gemenskapernas statistiska program (EUT L 87, 31.3.2009, s. 164).</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vertAlign w:val="superscript"/>
              </w:rPr>
              <w:t>24</w:t>
            </w:r>
            <w:r w:rsidRPr="00A27E36">
              <w:rPr>
                <w:color w:val="000000" w:themeColor="text1"/>
              </w:rPr>
              <w:t xml:space="preserve"> Europaparlamentets och rådets förordning (EG) nr 223/2009 av den</w:t>
            </w:r>
            <w:r w:rsidR="008D1606">
              <w:rPr>
                <w:color w:val="000000" w:themeColor="text1"/>
              </w:rPr>
              <w:t> </w:t>
            </w:r>
            <w:r w:rsidRPr="00A27E36">
              <w:rPr>
                <w:color w:val="000000" w:themeColor="text1"/>
              </w:rPr>
              <w:t>11</w:t>
            </w:r>
            <w:r w:rsidR="008D1606">
              <w:rPr>
                <w:color w:val="000000" w:themeColor="text1"/>
              </w:rPr>
              <w:t> </w:t>
            </w:r>
            <w:r w:rsidRPr="00A27E36">
              <w:rPr>
                <w:color w:val="000000" w:themeColor="text1"/>
              </w:rPr>
              <w:t>mars 2009 om europeisk statistik och om upphävande av Europaparlamentets och rådets förordning (EG, Euratom) nr 1101/2008 om utlämnande av insynsskyddade statistiska uppgifter till Europeiska gemenskapernas statistikkontor, rådets förordning (EG)</w:t>
            </w:r>
            <w:r w:rsidR="008D1606">
              <w:rPr>
                <w:color w:val="000000" w:themeColor="text1"/>
              </w:rPr>
              <w:t> </w:t>
            </w:r>
            <w:r w:rsidRPr="00A27E36">
              <w:rPr>
                <w:color w:val="000000" w:themeColor="text1"/>
              </w:rPr>
              <w:t>nr</w:t>
            </w:r>
            <w:r w:rsidR="008D1606">
              <w:rPr>
                <w:color w:val="000000" w:themeColor="text1"/>
              </w:rPr>
              <w:t> </w:t>
            </w:r>
            <w:r w:rsidRPr="00A27E36">
              <w:rPr>
                <w:color w:val="000000" w:themeColor="text1"/>
              </w:rPr>
              <w:t>322/97 om gemenskapsstatistik och rådets beslut 89/382/EEG, Euratom om inrättande av en kommitté för Europeiska</w:t>
            </w:r>
            <w:r w:rsidR="008D1606">
              <w:rPr>
                <w:color w:val="000000" w:themeColor="text1"/>
              </w:rPr>
              <w:t> </w:t>
            </w:r>
            <w:r w:rsidRPr="00A27E36">
              <w:rPr>
                <w:color w:val="000000" w:themeColor="text1"/>
              </w:rPr>
              <w:t>gemenskapernas statistiska program (EUT L 87, 31.3.2009, s. 164).</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9a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8D1606">
            <w:pPr>
              <w:pStyle w:val="Normal6"/>
              <w:rPr>
                <w:color w:val="000000" w:themeColor="text1"/>
                <w:szCs w:val="24"/>
              </w:rPr>
            </w:pPr>
            <w:r w:rsidRPr="00A27E36">
              <w:rPr>
                <w:b/>
                <w:i/>
                <w:color w:val="000000" w:themeColor="text1"/>
              </w:rPr>
              <w:t>(9a)</w:t>
            </w:r>
            <w:r w:rsidRPr="00A27E36">
              <w:rPr>
                <w:b/>
                <w:i/>
                <w:color w:val="000000" w:themeColor="text1"/>
              </w:rPr>
              <w:tab/>
              <w:t>En minskning av de administrativa bördorna på europeisk nivå är ett centralt mål i förordning (EG) nr 223/2009. Kommissionens meddelande EU:s</w:t>
            </w:r>
            <w:r w:rsidR="008D1606">
              <w:rPr>
                <w:b/>
                <w:i/>
                <w:color w:val="000000" w:themeColor="text1"/>
              </w:rPr>
              <w:t> </w:t>
            </w:r>
            <w:r w:rsidRPr="00A27E36">
              <w:rPr>
                <w:b/>
                <w:i/>
                <w:color w:val="000000" w:themeColor="text1"/>
              </w:rPr>
              <w:t>konkurrenskraft på lång sikt – efter 2030 syftar till att rationalisera och förenkla rapporteringskraven med 25 % för vart och ett av de gröna, digitala och ekonomiska temaområdena, och kommissionens kommande förslag har potential att minska den administrativa bördan och förbättra konkurrenskraften för alla företag i EU, inklusive små och medelstora företag.</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(11)</w:t>
            </w:r>
            <w:r w:rsidRPr="00A27E36">
              <w:rPr>
                <w:color w:val="000000" w:themeColor="text1"/>
              </w:rPr>
              <w:tab/>
              <w:t>Den demografiska utvecklingen och nyliga migrationstrender har skapat efterfrågan på snabbare, mer frekvent och mer detaljerad europeisk statistik om befolkning, demografiska händelser och bostäder, inklusive uppgifter om ämnen eller grupper som har blivit politiskt och socialt relevanta under det senaste årtiondet. Dessutom är den befintliga rättsliga ramen inte tillräckligt flexibel för att kunna anpassas till föränderliga politiska behov och möjliggöra användning av nya källor på nationell nivå och unionsnivå. Dessutom har strukturen på den befintliga rättsliga ramen i form av tre separata förordningar, som antagits vid olika tidpunkter, lett till inneboende inkonsekvenser i statistiken. Eftersom förordning (EU) nr 1260/2013 upphör att gälla den 31 augusti 2028 krävs slutligen en ny rättslig grund för den befolkningsstatistik som samlas in enligt den förordningen. Det är därför nödvändigt att ersätta den nuvarande rättsliga ramen med en ny, mer enhetlig och flexibel ram som bör ändra relevanta delar av förordning (EG) nr 862/2007 och upphäva förordningarna (EG) nr 763/2008 och (EU) nr 1260/2013.</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(11)</w:t>
            </w:r>
            <w:r w:rsidRPr="00A27E36">
              <w:rPr>
                <w:color w:val="000000" w:themeColor="text1"/>
              </w:rPr>
              <w:tab/>
            </w:r>
            <w:r w:rsidRPr="00A27E36">
              <w:rPr>
                <w:b/>
                <w:i/>
                <w:color w:val="000000" w:themeColor="text1"/>
              </w:rPr>
              <w:t>Rysslands pågående aggression mot Ukraina, klimatförändringarna, den digitala omställningen,</w:t>
            </w:r>
            <w:r w:rsidRPr="00A27E36">
              <w:rPr>
                <w:color w:val="000000" w:themeColor="text1"/>
              </w:rPr>
              <w:t xml:space="preserve"> den demografiska utvecklingen och nyliga migrationstrender har skapat efterfrågan på snabbare, mer frekvent och mer detaljerad europeisk statistik om befolkning</w:t>
            </w:r>
            <w:r w:rsidRPr="00A27E36">
              <w:rPr>
                <w:b/>
                <w:i/>
                <w:color w:val="000000" w:themeColor="text1"/>
              </w:rPr>
              <w:t>, socioekonomisk utveckling</w:t>
            </w:r>
            <w:r w:rsidRPr="00A27E36">
              <w:rPr>
                <w:color w:val="000000" w:themeColor="text1"/>
              </w:rPr>
              <w:t>, demografiska händelser och bostäder, inklusive uppgifter om ämnen eller grupper som har blivit politiskt och socialt relevanta under det senaste årtiondet. Dessutom är den befintliga rättsliga ramen inte tillräckligt flexibel för att kunna anpassas till föränderliga politiska behov och möjliggöra användning av nya källor på nationell nivå och unionsnivå. Dessutom har strukturen på den befintliga rättsliga ramen i form av tre separata förordningar, som antagits vid olika tidpunkter, lett till inneboende inkonsekvenser i statistiken. Eftersom förordning (EU) nr 1260/2013 upphör att gälla den 31 augusti 2028 krävs slutligen en ny rättslig grund för den befolkningsstatistik som samlas in enligt den förordningen. Det är därför nödvändigt att ersätta den nuvarande rättsliga ramen med en ny, mer enhetlig och flexibel ram som bör ändra relevanta delar av förordning (EG) nr 862/2007 och upphäva förordningarna (EG) nr 763/2008 och (EU)</w:t>
            </w:r>
            <w:r w:rsidR="008D1606">
              <w:rPr>
                <w:color w:val="000000" w:themeColor="text1"/>
              </w:rPr>
              <w:t> </w:t>
            </w:r>
            <w:r w:rsidRPr="00A27E36">
              <w:rPr>
                <w:color w:val="000000" w:themeColor="text1"/>
              </w:rPr>
              <w:t>nr 1260/2013.</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(13)</w:t>
            </w:r>
            <w:r w:rsidRPr="00A27E36">
              <w:rPr>
                <w:color w:val="000000" w:themeColor="text1"/>
              </w:rPr>
              <w:tab/>
              <w:t>Den snabbt föränderliga karaktären hos vissa befolknings- och bostadskarakteristikum, särskilt när det gäller demografiska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(13)</w:t>
            </w:r>
            <w:r w:rsidRPr="00A27E36">
              <w:rPr>
                <w:color w:val="000000" w:themeColor="text1"/>
              </w:rPr>
              <w:tab/>
              <w:t xml:space="preserve">Den snabbt föränderliga karaktären hos vissa befolknings- och bostadskarakteristikum, särskilt när det gäller demografiska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 </w:t>
            </w:r>
            <w:r w:rsidRPr="00A27E36">
              <w:rPr>
                <w:b/>
                <w:i/>
                <w:color w:val="000000" w:themeColor="text1"/>
              </w:rPr>
              <w:t>I detta syfte bör medlemsstaterna tillhandahålla lämpliga resurser till sina nationella statistikbyråer.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(13)</w:t>
            </w:r>
            <w:r w:rsidRPr="00A27E36">
              <w:rPr>
                <w:color w:val="000000" w:themeColor="text1"/>
              </w:rPr>
              <w:tab/>
              <w:t>Den snabbt föränderliga karaktären hos vissa befolknings- och bostadskarakteristikum, särskilt när det gäller demografiska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(13)</w:t>
            </w:r>
            <w:r w:rsidRPr="00A27E36">
              <w:rPr>
                <w:color w:val="000000" w:themeColor="text1"/>
              </w:rPr>
              <w:tab/>
              <w:t>Den snabbt föränderliga karaktären hos vissa befolknings- och bostadskarakteristikum, särskilt när det gäller demografiska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w:t>
            </w:r>
            <w:r w:rsidRPr="00A27E36">
              <w:rPr>
                <w:b/>
                <w:i/>
                <w:color w:val="000000" w:themeColor="text1"/>
              </w:rPr>
              <w:t>, om möjligt genom användning av administrativa data och administrativa register</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49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Lívia Járóka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(13)</w:t>
            </w:r>
            <w:r w:rsidRPr="00A27E36">
              <w:rPr>
                <w:color w:val="000000" w:themeColor="text1"/>
              </w:rPr>
              <w:tab/>
              <w:t>Den snabbt föränderliga karaktären hos vissa befolknings- och bostadskarakteristikum, särskilt när det gäller demografiska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(13)</w:t>
            </w:r>
            <w:r w:rsidRPr="00A27E36">
              <w:rPr>
                <w:color w:val="000000" w:themeColor="text1"/>
              </w:rPr>
              <w:tab/>
              <w:t xml:space="preserve">Den snabbt föränderliga karaktären hos vissa befolknings- och bostadskarakteristikum, särskilt när det gäller demografiska fenomen och migration </w:t>
            </w:r>
            <w:r w:rsidRPr="00A27E36">
              <w:rPr>
                <w:b/>
                <w:i/>
                <w:color w:val="000000" w:themeColor="text1"/>
              </w:rPr>
              <w:t>(inom och utanför medlemsstaterna, eller vid mobilisering)</w:t>
            </w:r>
            <w:r w:rsidRPr="00A27E36">
              <w:rPr>
                <w:color w:val="000000" w:themeColor="text1"/>
              </w:rPr>
              <w:t>, och det motsvarande behovet av en snabb målinriktning och anpassning av politiken innebär att det finns ett behov av att statistik finns tillgänglig i god tid kort efter referensperioden. Statistikens periodicitet och aktualitet bör därför utvecklas avsevärt.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{HU}</w:t>
      </w:r>
      <w:r w:rsidRPr="00A27E36">
        <w:rPr>
          <w:noProof w:val="0"/>
          <w:color w:val="000000" w:themeColor="text1"/>
        </w:rPr>
        <w:t>hu</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(13)</w:t>
            </w:r>
            <w:r w:rsidRPr="00A27E36">
              <w:rPr>
                <w:color w:val="000000" w:themeColor="text1"/>
              </w:rPr>
              <w:tab/>
              <w:t>Den snabbt föränderliga karaktären hos vissa befolknings- och bostadskarakteristikum, särskilt när det gäller demografiska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(13)</w:t>
            </w:r>
            <w:r w:rsidRPr="00A27E36">
              <w:rPr>
                <w:color w:val="000000" w:themeColor="text1"/>
              </w:rPr>
              <w:tab/>
              <w:t xml:space="preserve">Den snabbt föränderliga karaktären hos vissa befolknings- och bostadskarakteristikum, särskilt när det gäller demografiska </w:t>
            </w:r>
            <w:r w:rsidRPr="00A27E36">
              <w:rPr>
                <w:b/>
                <w:i/>
                <w:color w:val="000000" w:themeColor="text1"/>
              </w:rPr>
              <w:t>och socioekonomiska</w:t>
            </w:r>
            <w:r w:rsidRPr="00A27E36">
              <w:rPr>
                <w:color w:val="000000" w:themeColor="text1"/>
              </w:rPr>
              <w:t xml:space="preserve"> fenomen och migration, och det motsvarande behovet av en snabb målinriktning och anpassning av politiken innebär att det finns ett behov av att statistik finns tillgänglig i god tid kort efter referensperioden. Statistikens periodicitet och aktualitet bör därför utvecklas avsevärt.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Lívia Járóka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13a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(13a)</w:t>
            </w:r>
            <w:r w:rsidRPr="00A27E36">
              <w:rPr>
                <w:b/>
                <w:i/>
                <w:color w:val="000000" w:themeColor="text1"/>
              </w:rPr>
              <w:tab/>
              <w:t>Bostadsstatistik och ofullständiga uppgifter om befolkningsundersökningar måste, mot bakgrund av de fastställda målen, konsekvent återspegla effekterna av de olika sociala mekanismer på bostadsområdet som kan identifiera hur djupa klyftorna är mellan befolkningsgrupper, deras samband mellan orsak och verkan, exempelvis de ojämlikheter som främst påverkar minoriteter som lever i segregerade bostadsområden, människor som lever i fattigdom, andra marginaliserade medborgare och personer som bor i isolerade byar, samt andra faktorer som avslöjar geologisk ojämlikhet eller ojämlik infrastruktur, ojämlik tillgång till utbildning och sysselsättning, samt effekterna av ojämlikheter som hänger ihop med bostadsförhållanden.</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{HU}</w:t>
      </w:r>
      <w:r w:rsidRPr="00A27E36">
        <w:rPr>
          <w:noProof w:val="0"/>
          <w:color w:val="000000" w:themeColor="text1"/>
        </w:rPr>
        <w:t>hu</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Lívia Járóka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13b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(13b)</w:t>
            </w:r>
            <w:r w:rsidRPr="00A27E36">
              <w:rPr>
                <w:b/>
                <w:i/>
                <w:color w:val="000000" w:themeColor="text1"/>
              </w:rPr>
              <w:tab/>
              <w:t>Riktade resurser som tilldelas på grundval av resultaten i statistiska undersökningar som handlar om användning av data om de olika politiska portföljerna, bör inriktas på investeringar som är avsedda att kompensera för geografiska nackdelar och som syftar till att uppnå målen för grön energi och andra infrastrukturprojekt, exempelvis sådana som syftar till att utveckla digital uppgradering, som förbättrar livskvaliteten och bostäderna i de mest missgynnade regionerna och i de regioner som har flera nackdelar, samt ger möjligheter till fri rörlighet, vilket påverkar utbildning, deltagande i sysselsättning och tillgång till hälso- och sjukvård, samt främjar program som syftar till att hjälpa marginaliserade samhällsgrupper att komma ikapp och därmed kunna delta i ekonomisk verksamhet.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{HU}</w:t>
      </w:r>
      <w:r w:rsidRPr="00A27E36">
        <w:rPr>
          <w:noProof w:val="0"/>
          <w:color w:val="000000" w:themeColor="text1"/>
        </w:rPr>
        <w:t>hu</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17</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(17)</w:t>
            </w:r>
            <w:r w:rsidRPr="00A27E36">
              <w:rPr>
                <w:color w:val="000000" w:themeColor="text1"/>
              </w:rPr>
              <w:tab/>
              <w:t>Den nuvarande rättsliga ramen för europeisk statistik om befolkning och bostäder behöver uppdateras för att säkerställa att de för närvarande separata statistiska processerna integreras på lämpligt sätt i en gemensam ram som gör det möjligt för ESS att på ett effektivt sätt tillgodose unionens nya informationsbehov och främja statistiska innovationer. De statistiska produkterna måste förbättras för att förbli relevanta i ljuset av demografiska, migrationsrelaterade, sociala och ekonomiska förändringar i samhället.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(17)</w:t>
            </w:r>
            <w:r w:rsidRPr="00A27E36">
              <w:rPr>
                <w:color w:val="000000" w:themeColor="text1"/>
              </w:rPr>
              <w:tab/>
              <w:t xml:space="preserve">Den nuvarande rättsliga ramen för europeisk statistik om befolkning och bostäder behöver uppdateras för att säkerställa att de för närvarande separata statistiska processerna integreras på lämpligt sätt i en gemensam ram som gör det möjligt för ESS att på ett effektivt sätt tillgodose unionens nya informationsbehov och främja statistiska innovationer. De statistiska produkterna måste förbättras för att förbli relevanta i ljuset av demografiska, migrationsrelaterade, sociala och ekonomiska förändringar i samhället </w:t>
            </w:r>
            <w:r w:rsidRPr="00A27E36">
              <w:rPr>
                <w:b/>
                <w:i/>
                <w:color w:val="000000" w:themeColor="text1"/>
              </w:rPr>
              <w:t>och för att tillhandahålla bästa möjliga stöd för politik och beslutsfattande</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8D1606">
      <w:pPr>
        <w:pStyle w:val="AMNumberTabs0"/>
        <w:keepNext/>
        <w:keepLines/>
        <w:widowControl/>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54</w:t>
      </w:r>
      <w:r w:rsidRPr="00A27E36">
        <w:rPr>
          <w:rStyle w:val="HideTWBExt"/>
          <w:b w:val="0"/>
        </w:rPr>
        <w:t>&lt;/NumAm&gt;</w:t>
      </w:r>
    </w:p>
    <w:p w:rsidR="00AE4942" w:rsidRPr="00A27E36" w:rsidRDefault="00AE4942" w:rsidP="008D1606">
      <w:pPr>
        <w:pStyle w:val="NormalBold"/>
        <w:keepNext/>
        <w:keepLines/>
        <w:widowControl/>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8D1606">
      <w:pPr>
        <w:keepNext/>
        <w:keepLines/>
        <w:widowControl/>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17</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(17)</w:t>
            </w:r>
            <w:r w:rsidRPr="00A27E36">
              <w:rPr>
                <w:color w:val="000000" w:themeColor="text1"/>
              </w:rPr>
              <w:tab/>
              <w:t xml:space="preserve">Den nuvarande rättsliga ramen för europeisk statistik om befolkning och bostäder behöver uppdateras för att säkerställa att de för närvarande separata statistiska processerna integreras på lämpligt sätt i en gemensam ram som gör det möjligt för ESS att på ett effektivt sätt tillgodose unionens nya informationsbehov och främja statistiska innovationer. De statistiska produkterna måste förbättras för att förbli relevanta i ljuset av demografiska, migrationsrelaterade, sociala och ekonomiska förändringar </w:t>
            </w:r>
            <w:r w:rsidRPr="00A27E36">
              <w:rPr>
                <w:b/>
                <w:i/>
                <w:color w:val="000000" w:themeColor="text1"/>
              </w:rPr>
              <w:t>i samhället</w:t>
            </w:r>
            <w:r w:rsidRPr="00A27E36">
              <w:rPr>
                <w:color w:val="000000" w:themeColor="text1"/>
              </w:rPr>
              <w: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(17)</w:t>
            </w:r>
            <w:r w:rsidRPr="00A27E36">
              <w:rPr>
                <w:color w:val="000000" w:themeColor="text1"/>
              </w:rPr>
              <w:tab/>
              <w:t xml:space="preserve">Den nuvarande rättsliga ramen för europeisk statistik om befolkning och bostäder behöver uppdateras för att säkerställa att de för närvarande separata statistiska processerna integreras på lämpligt sätt i en gemensam ram som gör det möjligt för ESS att på ett effektivt sätt tillgodose unionens nya informationsbehov och främja statistiska innovationer. De statistiska produkterna måste förbättras för att förbli relevanta i ljuset av demografiska, migrationsrelaterade, sociala och ekonomiska förändringar </w:t>
            </w:r>
            <w:r w:rsidRPr="00A27E36">
              <w:rPr>
                <w:b/>
                <w:i/>
                <w:color w:val="000000" w:themeColor="text1"/>
              </w:rPr>
              <w:t>och utmaningar</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19</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(19)</w:t>
            </w:r>
            <w:r w:rsidRPr="00A27E36">
              <w:rPr>
                <w:color w:val="000000" w:themeColor="text1"/>
              </w:rPr>
              <w:tab/>
              <w:t xml:space="preserve">Unionens folkräkningar </w:t>
            </w:r>
            <w:r w:rsidRPr="00A27E36">
              <w:rPr>
                <w:b/>
                <w:i/>
                <w:color w:val="000000" w:themeColor="text1"/>
              </w:rPr>
              <w:t>bör</w:t>
            </w:r>
            <w:r w:rsidRPr="00A27E36">
              <w:rPr>
                <w:color w:val="000000" w:themeColor="text1"/>
              </w:rPr>
              <w:t xml:space="preserve"> bli mer kostnadseffektiva genom att man fullt ut utnyttjar de omfattande administrativa uppgifter som finns tillgängliga i medlemsstaterna eller en kombination av olika källor, inbegripet källor med anknytning till sakernas internet och tillhandahållandet av digitala tjänster. De bör också användas för att åter fastställa det demografiska referensscenariot och omfatta undersökningar av de administrativa uppgiftskällornas omfattning.</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(19)</w:t>
            </w:r>
            <w:r w:rsidRPr="00A27E36">
              <w:rPr>
                <w:color w:val="000000" w:themeColor="text1"/>
              </w:rPr>
              <w:tab/>
              <w:t xml:space="preserve">Unionens folkräkningar </w:t>
            </w:r>
            <w:r w:rsidRPr="00A27E36">
              <w:rPr>
                <w:b/>
                <w:i/>
                <w:color w:val="000000" w:themeColor="text1"/>
              </w:rPr>
              <w:t>skulle kunna</w:t>
            </w:r>
            <w:r w:rsidRPr="00A27E36">
              <w:rPr>
                <w:color w:val="000000" w:themeColor="text1"/>
              </w:rPr>
              <w:t xml:space="preserve"> bli mer kostnadseffektiva genom att man fullt ut utnyttjar de omfattande administrativa uppgifter som finns tillgängliga i medlemsstaterna eller en kombination av olika källor, inbegripet källor med anknytning till sakernas internet och tillhandahållandet av digitala tjänster. </w:t>
            </w:r>
            <w:r w:rsidRPr="00A27E36">
              <w:rPr>
                <w:b/>
                <w:i/>
                <w:color w:val="000000" w:themeColor="text1"/>
              </w:rPr>
              <w:t>Även om användningen av sådana källor skulle förbättra tillgängligheten och aktualiteten för tillgängliga uppgifter, bör särskilda samarbetsavtal om datadelning mellan nationella statistikbyråer eller andra behöriga nationella myndigheter och databasleverantörer inrättas för att fastställa nödvändiga skyddsåtgärder för insamling av personuppgifter för att undvika eventuellt missbruk av känsliga uppgifter, eftersom tillgången till sådana uppgifter inte på något sätt bör ändra eller störa de registrerades grundläggande rättigheter.</w:t>
            </w:r>
            <w:r w:rsidRPr="00A27E36">
              <w:rPr>
                <w:color w:val="000000" w:themeColor="text1"/>
              </w:rPr>
              <w:t xml:space="preserve"> De bör också användas för att åter fastställa det demografiska referensscenariot och omfatta undersökningar av de administrativa uppgiftskällornas omfattning.</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19</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(19)</w:t>
            </w:r>
            <w:r w:rsidRPr="00A27E36">
              <w:rPr>
                <w:color w:val="000000" w:themeColor="text1"/>
              </w:rPr>
              <w:tab/>
              <w:t>Unionens folkräkningar bör bli mer kostnadseffektiva genom att man fullt ut utnyttjar de omfattande administrativa uppgifter som finns tillgängliga i medlemsstaterna eller en kombination av olika källor, inbegripet källor med anknytning till sakernas internet och tillhandahållandet av digitala tjänster. De bör också användas för att åter fastställa det demografiska referensscenariot och omfatta undersökningar av de administrativa uppgiftskällornas omfattning.</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(19)</w:t>
            </w:r>
            <w:r w:rsidRPr="00A27E36">
              <w:rPr>
                <w:color w:val="000000" w:themeColor="text1"/>
              </w:rPr>
              <w:tab/>
              <w:t>Unionens folkräkningar bör bli mer kostnadseffektiva</w:t>
            </w:r>
            <w:r w:rsidRPr="00A27E36">
              <w:rPr>
                <w:b/>
                <w:i/>
                <w:color w:val="000000" w:themeColor="text1"/>
              </w:rPr>
              <w:t>, särskilt</w:t>
            </w:r>
            <w:r w:rsidRPr="00A27E36">
              <w:rPr>
                <w:color w:val="000000" w:themeColor="text1"/>
              </w:rPr>
              <w:t xml:space="preserve"> genom att man fullt ut utnyttjar de omfattande administrativa uppgifter som finns tillgängliga i medlemsstaterna eller en kombination av olika källor, inbegripet källor med anknytning till sakernas internet och tillhandahållandet av digitala tjänster</w:t>
            </w:r>
            <w:r w:rsidRPr="00A27E36">
              <w:rPr>
                <w:b/>
                <w:i/>
                <w:color w:val="000000" w:themeColor="text1"/>
              </w:rPr>
              <w:t>, samtidigt som känsliga personuppgifters integritet respekteras</w:t>
            </w:r>
            <w:r w:rsidRPr="00A27E36">
              <w:rPr>
                <w:color w:val="000000" w:themeColor="text1"/>
              </w:rPr>
              <w:t>. De bör också användas för att åter fastställa det demografiska referensscenariot och omfatta undersökningar av de administrativa uppgiftskällornas omfattning.</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Katrin Langensiepen</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19</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(19)</w:t>
            </w:r>
            <w:r w:rsidRPr="00A27E36">
              <w:rPr>
                <w:color w:val="000000" w:themeColor="text1"/>
              </w:rPr>
              <w:tab/>
              <w:t>Unionens folkräkningar bör bli mer kostnadseffektiva genom att man fullt ut utnyttjar de omfattande administrativa uppgifter som finns tillgängliga i medlemsstaterna eller en kombination av olika källor, inbegripet källor med anknytning till sakernas internet och tillhandahållandet av digitala tjänster. De bör också användas för att åter fastställa det demografiska referensscenariot och omfatta undersökningar av de administrativa uppgiftskällornas omfattning.</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(19)</w:t>
            </w:r>
            <w:r w:rsidRPr="00A27E36">
              <w:rPr>
                <w:color w:val="000000" w:themeColor="text1"/>
              </w:rPr>
              <w:tab/>
              <w:t xml:space="preserve">Unionens folkräkningar bör bli mer kostnadseffektiva genom att man fullt ut utnyttjar de omfattande administrativa uppgifter som finns tillgängliga i medlemsstaterna eller en kombination av </w:t>
            </w:r>
            <w:r w:rsidRPr="00A27E36">
              <w:rPr>
                <w:b/>
                <w:i/>
                <w:color w:val="000000" w:themeColor="text1"/>
              </w:rPr>
              <w:t>innovativa metoder och</w:t>
            </w:r>
            <w:r w:rsidRPr="00A27E36">
              <w:rPr>
                <w:color w:val="000000" w:themeColor="text1"/>
              </w:rPr>
              <w:t xml:space="preserve"> olika källor, inbegripet källor med anknytning till sakernas internet och tillhandahållandet av digitala tjänster. De bör också användas för att åter fastställa det demografiska referensscenariot och omfatta undersökningar av de administrativa uppgiftskällornas omfattning.</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20</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(20)</w:t>
            </w:r>
            <w:r w:rsidRPr="00A27E36">
              <w:rPr>
                <w:color w:val="000000" w:themeColor="text1"/>
              </w:rPr>
              <w:tab/>
              <w:t>Medlemsstaterna och kommissionen (Eurostat) bör ha varaktig tillgång till så många olika uppgiftskällor som möjligt för att framställa europeisk statistik om befolkning och bostäder av hög kvalitet och på ett kostnadseffektivt sätt. I detta avseende är det mycket viktigt att nationella statistikmyndigheter får snabb tillgång till och snabbt kan använda administrativa uppgifter som ägs av offentliga förvaltningar på nationell, regional och lokal nivå, i enlighet med artikel 17a i förordning (EG) nr 223/2009. Statistik om byggnaders energieffektivitet kan till exempel baseras på administrativa uppgifter om utfärdandet av energicertifikat för byggnader enligt Europaparlamentets och rådets direktiv 2010/31/EU</w:t>
            </w:r>
            <w:r w:rsidRPr="00A27E36">
              <w:rPr>
                <w:color w:val="000000" w:themeColor="text1"/>
                <w:vertAlign w:val="superscript"/>
              </w:rPr>
              <w:t>31</w:t>
            </w:r>
            <w:r w:rsidRPr="00A27E36">
              <w:rPr>
                <w:color w:val="000000" w:themeColor="text1"/>
              </w:rPr>
              <w:t>. De nationella statistikbyråerna måste också involveras i beslut om utformning och utveckling av relevanta administrativa uppgiftskällor för att säkerställa att dessa kan vidareutnyttjas för sammanställning av officiell statistik.</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(20)</w:t>
            </w:r>
            <w:r w:rsidRPr="00A27E36">
              <w:rPr>
                <w:color w:val="000000" w:themeColor="text1"/>
              </w:rPr>
              <w:tab/>
              <w:t>Medlemsstaterna och kommissionen (Eurostat) bör ha varaktig tillgång till så många olika uppgiftskällor som möjligt för att framställa europeisk statistik om befolkning och bostäder av hög kvalitet och på ett kostnadseffektivt sätt. I detta avseende är det mycket viktigt att nationella statistikmyndigheter får snabb tillgång till och snabbt kan använda administrativa uppgifter som ägs av offentliga förvaltningar på nationell, regional och lokal nivå, i enlighet med artikel 17a i förordning (EG) nr 223/2009</w:t>
            </w:r>
            <w:r w:rsidRPr="00A27E36">
              <w:rPr>
                <w:b/>
                <w:i/>
                <w:color w:val="000000" w:themeColor="text1"/>
              </w:rPr>
              <w:t>, på ett kostnadseffektivt sätt</w:t>
            </w:r>
            <w:r w:rsidRPr="00A27E36">
              <w:rPr>
                <w:color w:val="000000" w:themeColor="text1"/>
              </w:rPr>
              <w:t>. Statistik om byggnaders energieffektivitet kan till exempel baseras på administrativa uppgifter om utfärdandet av energicertifikat för byggnader enligt Europaparlamentets och rådets direktiv 2010/31/EU</w:t>
            </w:r>
            <w:r w:rsidRPr="00A27E36">
              <w:rPr>
                <w:color w:val="000000" w:themeColor="text1"/>
                <w:vertAlign w:val="superscript"/>
              </w:rPr>
              <w:t>31</w:t>
            </w:r>
            <w:r w:rsidRPr="00A27E36">
              <w:rPr>
                <w:color w:val="000000" w:themeColor="text1"/>
              </w:rPr>
              <w:t>. De nationella statistikbyråerna måste också involveras i beslut om utformning och utveckling av relevanta administrativa uppgiftskällor för att säkerställa att dessa kan vidareutnyttjas för sammanställning av officiell statistik.</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31</w:t>
            </w:r>
            <w:r w:rsidRPr="00A27E36">
              <w:rPr>
                <w:color w:val="000000" w:themeColor="text1"/>
              </w:rPr>
              <w:t xml:space="preserve"> Europaparlamentets och rådets direktiv 2010/31/EU av den 19 maj 2010 om byggnaders energiprestanda (EUT L 153, 18.6.2010, s. 13).</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vertAlign w:val="superscript"/>
              </w:rPr>
              <w:t>31</w:t>
            </w:r>
            <w:r w:rsidRPr="00A27E36">
              <w:rPr>
                <w:color w:val="000000" w:themeColor="text1"/>
              </w:rPr>
              <w:t xml:space="preserve"> Europaparlamentets och rådets direktiv</w:t>
            </w:r>
            <w:r w:rsidR="008D1606">
              <w:rPr>
                <w:color w:val="000000" w:themeColor="text1"/>
              </w:rPr>
              <w:t> </w:t>
            </w:r>
            <w:r w:rsidRPr="00A27E36">
              <w:rPr>
                <w:color w:val="000000" w:themeColor="text1"/>
              </w:rPr>
              <w:t>2010/31/EU av den 19 maj 2010 om byggnaders energiprestanda (EUT</w:t>
            </w:r>
            <w:r w:rsidR="008D1606">
              <w:rPr>
                <w:color w:val="000000" w:themeColor="text1"/>
              </w:rPr>
              <w:t> </w:t>
            </w:r>
            <w:r w:rsidRPr="00A27E36">
              <w:rPr>
                <w:color w:val="000000" w:themeColor="text1"/>
              </w:rPr>
              <w:t>L</w:t>
            </w:r>
            <w:r w:rsidR="008D1606">
              <w:rPr>
                <w:color w:val="000000" w:themeColor="text1"/>
              </w:rPr>
              <w:t> </w:t>
            </w:r>
            <w:r w:rsidRPr="00A27E36">
              <w:rPr>
                <w:color w:val="000000" w:themeColor="text1"/>
              </w:rPr>
              <w:t>153, 18.6.2010, s. 13).</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59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(23)</w:t>
            </w:r>
            <w:r w:rsidRPr="00A27E36">
              <w:rPr>
                <w:color w:val="000000" w:themeColor="text1"/>
              </w:rPr>
              <w:tab/>
              <w:t>Uppgifter som innehas av privata aktörer kan förbättra täckningen, aktualiteten och krishanteringsförmågan av europeisk statistik om befolkning och bostäder, eller möjliggöra statistisk innovation. Sådana uppgifter kan komplettera befintlig statistik om demografi och migration, leda till statistisk innovation och till och med ligga till grund för framställningen av tidiga skattningar. De nationella statistikbyråerna och andra behöriga nationella myndigheter samt kommissionen (Eurostat) bör ha tillgång till och använda sådana uppgifter.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(23)</w:t>
            </w:r>
            <w:r w:rsidRPr="00A27E36">
              <w:rPr>
                <w:color w:val="000000" w:themeColor="text1"/>
              </w:rPr>
              <w:tab/>
              <w:t>Uppgifter som innehas av privata aktörer kan förbättra täckningen, aktualiteten och krishanteringsförmågan av europeisk statistik om befolkning och bostäder, eller möjliggöra statistisk innovation. Sådana uppgifter kan komplettera befintlig statistik om demografi och migration, leda till statistisk innovation och till och med ligga till grund för framställningen av tidiga skattningar. De nationella statistikbyråerna och andra behöriga nationella myndigheter samt kommissionen (Eurostat) bör ha tillgång till och använda sådana uppgifter genom ingåendet av specifika protokoll för datadelning</w:t>
            </w:r>
            <w:r w:rsidRPr="00A27E36">
              <w:rPr>
                <w:b/>
                <w:i/>
                <w:color w:val="000000" w:themeColor="text1"/>
              </w:rPr>
              <w:t>, baserat på specifika protokoll för datadelning</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23a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8D1606">
            <w:pPr>
              <w:pStyle w:val="Normal6"/>
              <w:rPr>
                <w:color w:val="000000" w:themeColor="text1"/>
                <w:szCs w:val="24"/>
              </w:rPr>
            </w:pPr>
            <w:r w:rsidRPr="00A27E36">
              <w:rPr>
                <w:b/>
                <w:i/>
                <w:color w:val="000000" w:themeColor="text1"/>
              </w:rPr>
              <w:t>(23a)</w:t>
            </w:r>
            <w:r w:rsidRPr="00A27E36">
              <w:rPr>
                <w:b/>
                <w:i/>
                <w:color w:val="000000" w:themeColor="text1"/>
              </w:rPr>
              <w:tab/>
              <w:t>I detta avseende kommer datadelning mellan privatägda dataleverantörer eller dataföretag och de nationella statistikbyråerna och kommissionen (Eurostat) att baseras på fastställda specifika protokoll för datadelning och samarbetsavtal som utformats av berörda aktörer och i enlighet med artikel 6 i förordning (EU)</w:t>
            </w:r>
            <w:r w:rsidR="008D1606">
              <w:rPr>
                <w:b/>
                <w:i/>
                <w:color w:val="000000" w:themeColor="text1"/>
              </w:rPr>
              <w:t> </w:t>
            </w:r>
            <w:r w:rsidRPr="00A27E36">
              <w:rPr>
                <w:b/>
                <w:i/>
                <w:color w:val="000000" w:themeColor="text1"/>
              </w:rPr>
              <w:t>2016/679 och artikel 5 i förordning</w:t>
            </w:r>
            <w:r w:rsidR="008D1606">
              <w:rPr>
                <w:b/>
                <w:i/>
                <w:color w:val="000000" w:themeColor="text1"/>
              </w:rPr>
              <w:t> </w:t>
            </w:r>
            <w:r w:rsidRPr="00A27E36">
              <w:rPr>
                <w:b/>
                <w:i/>
                <w:color w:val="000000" w:themeColor="text1"/>
              </w:rPr>
              <w:t>(EU) 2018/1725, där det anges att den registrerade måste ge sitt samtycke till användningen av sina uppgifter och i enlighet med de särskilda reglerna för datakommunikationstjänster, inbegripet tillgång till information i slutanvändarens enhet som föreskrivs i direktiv 2002/58/EG.</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24</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(24)</w:t>
            </w:r>
            <w:r w:rsidRPr="00A27E36">
              <w:rPr>
                <w:color w:val="000000" w:themeColor="text1"/>
              </w:rPr>
              <w:tab/>
              <w:t>För att säkerställa jämförbarhet mellan europeisk statistik om befolkning och bostäder på unionsnivå är det viktigt att gemensamma befolkningsdefinitioner används och genomförs på ett harmoniserat sätt. För att genomföra ett enda harmoniserat befolkningsunderlag på ett konsekvent, robust och kostnadseffektivt sätt, samtidigt som man säkerställer snabba resultat, måste statistiska metoder och modelleringsmetoder som livstecken och andel kvarstannande tillämpas.</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(24)</w:t>
            </w:r>
            <w:r w:rsidRPr="00A27E36">
              <w:rPr>
                <w:color w:val="000000" w:themeColor="text1"/>
              </w:rPr>
              <w:tab/>
              <w:t>För att säkerställa jämförbarhet mellan europeisk statistik om befolkning och bostäder på unionsnivå är det viktigt att gemensamma befolkningsdefinitioner används och genomförs på ett harmoniserat sätt. För att genomföra ett enda harmoniserat befolkningsunderlag på ett konsekvent, robust och kostnadseffektivt sätt, samtidigt som man säkerställer snabba resultat, måste statistiska metoder och modelleringsmetoder som livstecken och andel kvarstannande tillämpas</w:t>
            </w:r>
            <w:r w:rsidRPr="00A27E36">
              <w:rPr>
                <w:b/>
                <w:i/>
                <w:color w:val="000000" w:themeColor="text1"/>
              </w:rPr>
              <w:t>, medan bestämmelserna i artikel 2 d i förordning 763/2008 och artikel 2 d i förordning 1260/2013 ska behållas</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26</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(26)</w:t>
            </w:r>
            <w:r w:rsidRPr="00A27E36">
              <w:rPr>
                <w:color w:val="000000" w:themeColor="text1"/>
              </w:rPr>
              <w:tab/>
              <w:t>Europeisk statistik om befolkning och bostäder bör uppfylla de kvalitetskriterier om relevans, noggrannhet, aktualitet och punktlighet, tillgänglighet och tydlighet, jämförbarhet och samstämmighet som anges i förordning (EG) nr 223/2009. Dess kvalitet bör förbättras i takt med att unionens behov utvecklas. Lämpliga resultat från den kvalitetsbedömning som utförs av kommissionen (Eurostat) bör vara offentligt tillgängliga för statistikanvändare</w:t>
            </w:r>
            <w:r w:rsidRPr="00A27E36">
              <w:rPr>
                <w:b/>
                <w:i/>
                <w:color w:val="000000" w:themeColor="text1"/>
              </w:rPr>
              <w:t>.</w:t>
            </w:r>
            <w:r w:rsidRPr="00A27E36">
              <w:rPr>
                <w:color w:val="000000" w:themeColor="text1"/>
              </w:rPr>
              <w:t xml:space="preserve"> </w:t>
            </w:r>
            <w:r w:rsidRPr="00A27E36">
              <w:rPr>
                <w:b/>
                <w:i/>
                <w:color w:val="000000" w:themeColor="text1"/>
              </w:rPr>
              <w:t>Tillgången</w:t>
            </w:r>
            <w:r w:rsidRPr="00A27E36">
              <w:rPr>
                <w:color w:val="000000" w:themeColor="text1"/>
              </w:rPr>
              <w:t xml:space="preserve"> till denna statistik </w:t>
            </w:r>
            <w:r w:rsidRPr="00A27E36">
              <w:rPr>
                <w:b/>
                <w:i/>
                <w:color w:val="000000" w:themeColor="text1"/>
              </w:rPr>
              <w:t>bör vara kostnadsfri och enkel</w:t>
            </w:r>
            <w:r w:rsidRPr="00A27E36">
              <w:rPr>
                <w:color w:val="000000" w:themeColor="text1"/>
              </w:rPr>
              <w:t xml:space="preserve"> genom kommissionens (Eurostat) databaser på dess webbplats och i dess publikationer.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(26)</w:t>
            </w:r>
            <w:r w:rsidRPr="00A27E36">
              <w:rPr>
                <w:color w:val="000000" w:themeColor="text1"/>
              </w:rPr>
              <w:tab/>
              <w:t>Europeisk statistik om befolkning och bostäder bör uppfylla de kvalitetskriterier om relevans, noggrannhet, aktualitet och punktlighet, tillgänglighet och tydlighet, jämförbarhet och samstämmighet som anges i förordning (EG) nr 223/2009. Dess kvalitet bör förbättras i takt med att unionens behov utvecklas</w:t>
            </w:r>
            <w:r w:rsidRPr="00A27E36">
              <w:rPr>
                <w:b/>
                <w:i/>
                <w:color w:val="000000" w:themeColor="text1"/>
              </w:rPr>
              <w:t>, och mekanismer bör inrättas för att hantera möjliga situationer där uppgifternas kvalitet inte garanteras</w:t>
            </w:r>
            <w:r w:rsidRPr="00A27E36">
              <w:rPr>
                <w:color w:val="000000" w:themeColor="text1"/>
              </w:rPr>
              <w:t>.</w:t>
            </w:r>
            <w:r w:rsidRPr="00A27E36">
              <w:rPr>
                <w:b/>
                <w:i/>
                <w:color w:val="000000" w:themeColor="text1"/>
              </w:rPr>
              <w:t xml:space="preserve"> I sådana fall bör kommissionen (Eurostat) ha rätt att kontrollera den metod som används och organisera besök på plats hos de myndigheter som samlar in uppgifterna. Bistånd och tekniskt stöd bör också tillhandahållas på begäran av nationella myndigheter</w:t>
            </w:r>
            <w:r w:rsidRPr="00A27E36">
              <w:rPr>
                <w:color w:val="000000" w:themeColor="text1"/>
              </w:rPr>
              <w:t xml:space="preserve">. Lämpliga resultat från den kvalitetsbedömning som utförs av kommissionen (Eurostat) bör vara offentligt tillgängliga för statistikanvändare </w:t>
            </w:r>
            <w:r w:rsidRPr="00A27E36">
              <w:rPr>
                <w:b/>
                <w:i/>
                <w:color w:val="000000" w:themeColor="text1"/>
              </w:rPr>
              <w:t>genom att säkerställa kostnadsfri och enkel</w:t>
            </w:r>
            <w:r w:rsidRPr="00A27E36">
              <w:rPr>
                <w:color w:val="000000" w:themeColor="text1"/>
              </w:rPr>
              <w:t xml:space="preserve"> tillgång till denna statistik genom kommissionens (Eurostat) databaser på dess webbplats och i dess publikationer.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26b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(26b)</w:t>
            </w:r>
            <w:r w:rsidRPr="00A27E36">
              <w:rPr>
                <w:b/>
                <w:i/>
                <w:color w:val="000000" w:themeColor="text1"/>
              </w:rPr>
              <w:tab/>
              <w:t>Tillräcklig, aktuell och effektiv politik förutsätter tillförlitliga och jämförbara uppgifter uppdelade efter kön, ålder, nationalitet, etniskt ursprung, funktionsnedsättning, socioekonomisk status, geografiskt område och andra parametrar i enlighet med FN:s grundläggande principer för officiell statistik. Dessa uppgifter är relevanta för att bättre förstå befolknings- och bostadstrender, bekämpa intersektionell diskriminering och genomföra och bedöma unionens politik, mål och åtgärder, såsom den europeiska pelaren för sociala rättigheter, den europeiska barngarantin, den europeiska vårdstrategin, den europeiska strategin för rättigheter för personer med funktionsnedsättning och den europeiska plattformen för bekämpning av hemlöshet, som alla i hög grad bygger på uppgifter om hushåll och familjer. Insamlingen och användningen av sådana uppgifter måste ske med full respekt för unionens och nationella normer för integritet och grundläggande rättigheter, särskilt inom statistisk forskning som omfattar minderåriga.</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26a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(26a)</w:t>
            </w:r>
            <w:r w:rsidRPr="00A27E36">
              <w:rPr>
                <w:b/>
                <w:i/>
                <w:color w:val="000000" w:themeColor="text1"/>
              </w:rPr>
              <w:tab/>
              <w:t>Den europeiska statistiken över befolkning och bostäder bör ta itu med den bestående bristen på uppgifter om utsatta grupper (befolkningsgrupper som är svåra att nå), t.ex. personer som bor på institutioner (t.ex. militära institutioner, kriminalvårdsanstalter, sovplatser i skolor och universitet, religiösa institutioner, sjukhus, boendecenter, institutioner för personer med funktionsnedsättning och barnhem), personer i åldern 75+, personer med funktionsnedsättning, hemlösa, personer med invandrarbakgrund och statslösa personer. För att överbrygga denna dataklyfta och förhindra sociala och ekonomiska ojämlikheter som uppstår till följd av den bör medlemsstaterna utarbeta strategier och riktade lösningar för insamling av uppgifter om befolkningsgrupper som är svåra att nå, särskilt när det gäller att lokalisera, kontakta, övertala och intervjua sådana befolkningsgrupper.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27</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(27)</w:t>
            </w:r>
            <w:r w:rsidRPr="00A27E36">
              <w:rPr>
                <w:color w:val="000000" w:themeColor="text1"/>
              </w:rPr>
              <w:tab/>
              <w:t>I förordning (EG) nr 223/2009 finns bestämmelser om tillhandahållande av uppgifter från medlemsstaterna till kommissionen (Eurostat) och om användning av dem, inklusive överföring och skydd av konfidentiella uppgifter. De åtgärder som vidtas i enlighet med den här förordningen bör säkerställa att konfidentiella uppgifter endast tillhandahålls och används för statistiska ändamål i enlighet med artiklarna 21 och 22 i den förordningen.</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(27)</w:t>
            </w:r>
            <w:r w:rsidRPr="00A27E36">
              <w:rPr>
                <w:color w:val="000000" w:themeColor="text1"/>
              </w:rPr>
              <w:tab/>
              <w:t xml:space="preserve">I förordning (EG) nr 223/2009 finns bestämmelser om tillhandahållande av uppgifter från medlemsstaterna till kommissionen (Eurostat) och om användning av dem, inklusive överföring och skydd av konfidentiella uppgifter. De åtgärder som vidtas i enlighet med den här förordningen bör säkerställa att konfidentiella uppgifter endast tillhandahålls och används för </w:t>
            </w:r>
            <w:r w:rsidRPr="00A27E36">
              <w:rPr>
                <w:b/>
                <w:i/>
                <w:color w:val="000000" w:themeColor="text1"/>
              </w:rPr>
              <w:t>strikt</w:t>
            </w:r>
            <w:r w:rsidRPr="00A27E36">
              <w:rPr>
                <w:color w:val="000000" w:themeColor="text1"/>
              </w:rPr>
              <w:t xml:space="preserve"> statistiska ändamål i enlighet med artiklarna 21 och 22 i den förordningen.</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29</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(29)</w:t>
            </w:r>
            <w:r w:rsidRPr="00A27E36">
              <w:rPr>
                <w:color w:val="000000" w:themeColor="text1"/>
              </w:rPr>
              <w:tab/>
              <w:t>Uppgiftskällor som finns tillgängliga på nationell nivå kan inte alltid på ett korrekt sätt fånga upp företeelser som rör den fria rörligheten för personer i unionen, personers tillgång till gränsöverskridande tjänster om demografiska händelser och utövandet av personers rätt att köpa och äga bostäder som används som primärbostäder, semesterbostäder och fritidsbostäder i hela unionen. Det finns också asymmetrier i de bilaterala migrationsströmmarna och svårigheter att mäta befolkningsgrupper, till exempel bland migranter, hemlösa och statslösa. Därför bör datadelning, i syfte att sammanställa statistik om befolkning och migration och säkerställa dess kvalitet, förstärkas och betraktas som ytterligare en uppgiftskälla. En sådan förstärkt datadelning kan omfatta ett brett spektrum av relevanta uppgifter, från uppgifter som uppenbart inte gör det möjligt att identifiera statistiska enheter, vare sig direkt eller indirekt, till uppgifter som potentiellt omfattas av krav på insynsskydd för statistiska uppgifter. Medlemsstaterna bör, i eget och i övriga medlemsstaters intresse, delta i datadelningsverksamhet, inbegripet i pilotprojekt för bedömning av innovativa säkra lösningar. Kommissionen (Eurostat) bör också inrätta en säker infrastruktur för att underlätta en sådan datadelning samtidigt som alla nödvändiga skyddsåtgärder säkerställs.</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(29)</w:t>
            </w:r>
            <w:r w:rsidRPr="00A27E36">
              <w:rPr>
                <w:color w:val="000000" w:themeColor="text1"/>
              </w:rPr>
              <w:tab/>
              <w:t xml:space="preserve">Uppgiftskällor som finns tillgängliga på nationell nivå kan inte alltid på ett korrekt sätt fånga upp företeelser som rör den fria rörligheten för personer i unionen, personers tillgång till gränsöverskridande tjänster om demografiska händelser och utövandet av personers rätt att köpa och äga bostäder som används som primärbostäder, semesterbostäder och fritidsbostäder i hela unionen. Det finns också asymmetrier i de bilaterala migrationsströmmarna och svårigheter att mäta befolkningsgrupper, till exempel bland migranter, hemlösa och statslösa. Därför bör datadelning, i syfte att sammanställa statistik om befolkning och migration och säkerställa dess kvalitet, förstärkas och betraktas som ytterligare en uppgiftskälla. En sådan förstärkt datadelning kan omfatta ett brett spektrum av relevanta uppgifter, från uppgifter som uppenbart inte gör det möjligt att identifiera statistiska enheter, vare sig direkt eller indirekt, till uppgifter som potentiellt omfattas av krav på insynsskydd för statistiska uppgifter. Medlemsstaterna bör, i eget och i övriga medlemsstaters intresse, delta i datadelningsverksamhet, inbegripet i pilotprojekt för bedömning av innovativa säkra lösningar. Kommissionen (Eurostat) bör också inrätta en säker infrastruktur för att underlätta en sådan datadelning samtidigt som alla nödvändiga skyddsåtgärder säkerställs </w:t>
            </w:r>
            <w:r w:rsidRPr="00A27E36">
              <w:rPr>
                <w:b/>
                <w:i/>
                <w:color w:val="000000" w:themeColor="text1"/>
              </w:rPr>
              <w:t>för dataskyddet</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30</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(30)</w:t>
            </w:r>
            <w:r w:rsidRPr="00A27E36">
              <w:rPr>
                <w:color w:val="000000" w:themeColor="text1"/>
              </w:rPr>
              <w:tab/>
              <w:t>När datadelning innebär behandling av personuppgifter i enlighet med Europaparlamentets och rådets förordning (EU) 2016/679</w:t>
            </w:r>
            <w:r w:rsidRPr="00A27E36">
              <w:rPr>
                <w:color w:val="000000" w:themeColor="text1"/>
                <w:vertAlign w:val="superscript"/>
              </w:rPr>
              <w:t>37</w:t>
            </w:r>
            <w:r w:rsidRPr="00A27E36">
              <w:rPr>
                <w:color w:val="000000" w:themeColor="text1"/>
              </w:rPr>
              <w:t xml:space="preserve"> eller förordning (EU) 2018/1725 </w:t>
            </w:r>
            <w:r w:rsidRPr="00A27E36">
              <w:rPr>
                <w:b/>
                <w:i/>
                <w:color w:val="000000" w:themeColor="text1"/>
              </w:rPr>
              <w:t>bör</w:t>
            </w:r>
            <w:r w:rsidRPr="00A27E36">
              <w:rPr>
                <w:color w:val="000000" w:themeColor="text1"/>
              </w:rPr>
              <w:t xml:space="preserve"> principerna om ändamålsbegränsning, uppgiftsminimering, lagringsbegränsning, integritet och konfidentialitet tillämpas fullt ut. I synnerhet bör mekanismer för datadelning som bygger på integritetsfrämjande teknik särskilt utformad för att genomföra dessa principer </w:t>
            </w:r>
            <w:r w:rsidRPr="00A27E36">
              <w:rPr>
                <w:b/>
                <w:i/>
                <w:color w:val="000000" w:themeColor="text1"/>
              </w:rPr>
              <w:t>föredras framför direkt uppgiftsöverföring</w:t>
            </w:r>
            <w:r w:rsidRPr="00A27E36">
              <w:rPr>
                <w:color w:val="000000" w:themeColor="text1"/>
              </w:rPr>
              <w:t>.</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(30)</w:t>
            </w:r>
            <w:r w:rsidRPr="00A27E36">
              <w:rPr>
                <w:color w:val="000000" w:themeColor="text1"/>
              </w:rPr>
              <w:tab/>
              <w:t>När datadelning innebär behandling av personuppgifter i enlighet med Europaparlamentets och rådets förordning (EU) 2016/679</w:t>
            </w:r>
            <w:r w:rsidRPr="00A27E36">
              <w:rPr>
                <w:color w:val="000000" w:themeColor="text1"/>
                <w:vertAlign w:val="superscript"/>
              </w:rPr>
              <w:t>37</w:t>
            </w:r>
            <w:r w:rsidRPr="00A27E36">
              <w:rPr>
                <w:color w:val="000000" w:themeColor="text1"/>
              </w:rPr>
              <w:t xml:space="preserve"> eller förordning (EU)</w:t>
            </w:r>
            <w:r w:rsidR="008D1606">
              <w:rPr>
                <w:color w:val="000000" w:themeColor="text1"/>
              </w:rPr>
              <w:t> </w:t>
            </w:r>
            <w:r w:rsidRPr="00A27E36">
              <w:rPr>
                <w:color w:val="000000" w:themeColor="text1"/>
              </w:rPr>
              <w:t xml:space="preserve">2018/1725 </w:t>
            </w:r>
            <w:r w:rsidRPr="00A27E36">
              <w:rPr>
                <w:b/>
                <w:i/>
                <w:color w:val="000000" w:themeColor="text1"/>
              </w:rPr>
              <w:t>ska de delade uppgifterna anonymiseras eller pseudonymiseras och</w:t>
            </w:r>
            <w:r w:rsidRPr="00A27E36">
              <w:rPr>
                <w:color w:val="000000" w:themeColor="text1"/>
              </w:rPr>
              <w:t xml:space="preserve"> principerna om ändamålsbegränsning, uppgiftsminimering, lagringsbegränsning, integritet och konfidentialitet </w:t>
            </w:r>
            <w:r w:rsidRPr="00A27E36">
              <w:rPr>
                <w:b/>
                <w:i/>
                <w:color w:val="000000" w:themeColor="text1"/>
              </w:rPr>
              <w:t>bör</w:t>
            </w:r>
            <w:r w:rsidRPr="00A27E36">
              <w:rPr>
                <w:color w:val="000000" w:themeColor="text1"/>
              </w:rPr>
              <w:t xml:space="preserve"> tillämpas fullt ut. I synnerhet bör mekanismer för datadelning som bygger på integritetsfrämjande teknik särskilt utformad för att genomföra dessa principer </w:t>
            </w:r>
            <w:r w:rsidRPr="00A27E36">
              <w:rPr>
                <w:b/>
                <w:i/>
                <w:color w:val="000000" w:themeColor="text1"/>
              </w:rPr>
              <w:t>bli den nya standarden</w:t>
            </w:r>
            <w:r w:rsidRPr="00A27E36">
              <w:rPr>
                <w:color w:val="000000" w:themeColor="text1"/>
              </w:rPr>
              <w:t>.</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37</w:t>
            </w:r>
            <w:r w:rsidRPr="00A27E36">
              <w:rPr>
                <w:color w:val="000000" w:themeColor="text1"/>
              </w:rPr>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vertAlign w:val="superscript"/>
              </w:rPr>
              <w:t>37</w:t>
            </w:r>
            <w:r w:rsidRPr="00A27E36">
              <w:rPr>
                <w:color w:val="000000" w:themeColor="text1"/>
              </w:rPr>
              <w:t xml:space="preserve"> Europaparlamentets och rådets förordning (EU) 2016/679 av den</w:t>
            </w:r>
            <w:r w:rsidR="008D1606">
              <w:rPr>
                <w:color w:val="000000" w:themeColor="text1"/>
              </w:rPr>
              <w:t> </w:t>
            </w:r>
            <w:r w:rsidRPr="00A27E36">
              <w:rPr>
                <w:color w:val="000000" w:themeColor="text1"/>
              </w:rPr>
              <w:t>27</w:t>
            </w:r>
            <w:r w:rsidR="008D1606">
              <w:rPr>
                <w:color w:val="000000" w:themeColor="text1"/>
              </w:rPr>
              <w:t> </w:t>
            </w:r>
            <w:r w:rsidRPr="00A27E36">
              <w:rPr>
                <w:color w:val="000000" w:themeColor="text1"/>
              </w:rPr>
              <w:t>april</w:t>
            </w:r>
            <w:r w:rsidR="008D1606">
              <w:rPr>
                <w:color w:val="000000" w:themeColor="text1"/>
              </w:rPr>
              <w:t> </w:t>
            </w:r>
            <w:r w:rsidRPr="00A27E36">
              <w:rPr>
                <w:color w:val="000000" w:themeColor="text1"/>
              </w:rPr>
              <w:t>2016 om skydd för fysiska personer med avseende på behandling av personuppgifter och om det fria flödet av sådana uppgifter och om upphävande av direktiv 95/46/EG (allmän dataskyddsförordning) (EUT L 119, 4.5.2016, s. 1).</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Lívia Járóka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30</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(30)</w:t>
            </w:r>
            <w:r w:rsidRPr="00A27E36">
              <w:rPr>
                <w:color w:val="000000" w:themeColor="text1"/>
              </w:rPr>
              <w:tab/>
              <w:t>När datadelning innebär behandling av personuppgifter i enlighet med Europaparlamentets och rådets förordning (EU) 2016/679</w:t>
            </w:r>
            <w:r w:rsidRPr="00A27E36">
              <w:rPr>
                <w:color w:val="000000" w:themeColor="text1"/>
                <w:vertAlign w:val="superscript"/>
              </w:rPr>
              <w:t>37</w:t>
            </w:r>
            <w:r w:rsidRPr="00A27E36">
              <w:rPr>
                <w:color w:val="000000" w:themeColor="text1"/>
              </w:rPr>
              <w:t xml:space="preserve"> eller förordning (EU) 2018/1725 bör principerna om ändamålsbegränsning, uppgiftsminimering, lagringsbegränsning, integritet och konfidentialitet tillämpas fullt ut. I synnerhet bör mekanismer för datadelning som bygger på integritetsfrämjande teknik särskilt utformad för att genomföra dessa principer föredras framför direkt uppgiftsöverföring.</w:t>
            </w:r>
          </w:p>
        </w:tc>
        <w:tc>
          <w:tcPr>
            <w:tcW w:w="4876" w:type="dxa"/>
            <w:hideMark/>
          </w:tcPr>
          <w:p w:rsidR="00AE4942" w:rsidRPr="00A27E36" w:rsidRDefault="00AE4942" w:rsidP="00A752A9">
            <w:pPr>
              <w:pStyle w:val="Normal6"/>
              <w:rPr>
                <w:color w:val="000000" w:themeColor="text1"/>
                <w:szCs w:val="24"/>
              </w:rPr>
            </w:pPr>
            <w:r w:rsidRPr="00A27E36">
              <w:rPr>
                <w:i/>
                <w:color w:val="000000" w:themeColor="text1"/>
              </w:rPr>
              <w:t>(Berör inte den svenska versionen.)</w:t>
            </w:r>
            <w:r w:rsidRPr="00A27E36">
              <w:rPr>
                <w:color w:val="000000" w:themeColor="text1"/>
              </w:rPr>
              <w:tab/>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37</w:t>
            </w:r>
            <w:r w:rsidRPr="00A27E36">
              <w:rPr>
                <w:color w:val="000000" w:themeColor="text1"/>
              </w:rPr>
              <w:t xml:space="preserve"> 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tc>
        <w:tc>
          <w:tcPr>
            <w:tcW w:w="4876" w:type="dxa"/>
            <w:hideMark/>
          </w:tcPr>
          <w:p w:rsidR="00AE4942" w:rsidRPr="00A27E36" w:rsidRDefault="00AE4942" w:rsidP="00A752A9">
            <w:pPr>
              <w:pStyle w:val="Normal6"/>
              <w:rPr>
                <w:color w:val="000000" w:themeColor="text1"/>
                <w:szCs w:val="24"/>
              </w:rPr>
            </w:pP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{HU}</w:t>
      </w:r>
      <w:r w:rsidRPr="00A27E36">
        <w:rPr>
          <w:noProof w:val="0"/>
          <w:color w:val="000000" w:themeColor="text1"/>
        </w:rPr>
        <w:t>hu</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69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(32)</w:t>
            </w:r>
            <w:r w:rsidRPr="00A27E36">
              <w:rPr>
                <w:color w:val="000000" w:themeColor="text1"/>
              </w:rPr>
              <w:tab/>
              <w:t xml:space="preserve">På längre sikt bör samarbetet inom det europeiska statistiksystemet för att mildra gränsöverskridande statistiska kvalitetsproblem, såsom dubbelräkning av personer bosatta i unionen som utnyttjar rätten till fri rörlighet, </w:t>
            </w:r>
            <w:r w:rsidRPr="00A27E36">
              <w:rPr>
                <w:b/>
                <w:i/>
                <w:color w:val="000000" w:themeColor="text1"/>
              </w:rPr>
              <w:t>i så stor utsträckning som möjligt dra nytta</w:t>
            </w:r>
            <w:r w:rsidRPr="00A27E36">
              <w:rPr>
                <w:color w:val="000000" w:themeColor="text1"/>
              </w:rPr>
              <w:t xml:space="preserve"> av gemensamma digitala identifierare som inrättats på unionsnivå genom förordning (EU) nr 910/2014.</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(32)</w:t>
            </w:r>
            <w:r w:rsidRPr="00A27E36">
              <w:rPr>
                <w:color w:val="000000" w:themeColor="text1"/>
              </w:rPr>
              <w:tab/>
              <w:t xml:space="preserve">På längre sikt bör samarbetet inom det europeiska statistiksystemet för att mildra gränsöverskridande statistiska kvalitetsproblem, såsom dubbelräkning av personer bosatta i unionen som utnyttjar rätten till fri rörlighet, </w:t>
            </w:r>
            <w:r w:rsidRPr="00A27E36">
              <w:rPr>
                <w:b/>
                <w:i/>
                <w:color w:val="000000" w:themeColor="text1"/>
              </w:rPr>
              <w:t>underlättas genom införandet</w:t>
            </w:r>
            <w:r w:rsidRPr="00A27E36">
              <w:rPr>
                <w:color w:val="000000" w:themeColor="text1"/>
              </w:rPr>
              <w:t xml:space="preserve"> av gemensamma digitala identifierare som inrättats på unionsnivå genom förordning (EU) nr 910/2014.</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(33)</w:t>
            </w:r>
            <w:r w:rsidRPr="00A27E36">
              <w:rPr>
                <w:color w:val="000000" w:themeColor="text1"/>
              </w:rPr>
              <w:tab/>
              <w:t>Denna förordning påverkar inte tillämpningen av Europaparlamentets och rådets direktiv 2002/58/EG</w:t>
            </w:r>
            <w:r w:rsidRPr="00A27E36">
              <w:rPr>
                <w:color w:val="000000" w:themeColor="text1"/>
                <w:vertAlign w:val="superscript"/>
              </w:rPr>
              <w:t>38</w:t>
            </w:r>
            <w:r w:rsidRPr="00A27E36">
              <w:rPr>
                <w:color w:val="000000" w:themeColor="text1"/>
              </w:rPr>
              <w:t xml:space="preserve"> eller förordningarna (EU) 2016/679 och (EU) 2018/1725. Inom sina respektive tillämpningsområden ska de senare förordningarna vara tillämpliga på behandling av personuppgifter enligt denna förordning.</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(33)</w:t>
            </w:r>
            <w:r w:rsidRPr="00A27E36">
              <w:rPr>
                <w:color w:val="000000" w:themeColor="text1"/>
              </w:rPr>
              <w:tab/>
              <w:t>Denna förordning påverkar inte tillämpningen av Europaparlamentets och rådets direktiv 2002/58/EG</w:t>
            </w:r>
            <w:r w:rsidRPr="00A27E36">
              <w:rPr>
                <w:color w:val="000000" w:themeColor="text1"/>
                <w:vertAlign w:val="superscript"/>
              </w:rPr>
              <w:t>38</w:t>
            </w:r>
            <w:r w:rsidRPr="00A27E36">
              <w:rPr>
                <w:color w:val="000000" w:themeColor="text1"/>
              </w:rPr>
              <w:t xml:space="preserve"> eller förordningarna (EU) 2016/679 och (EU)</w:t>
            </w:r>
            <w:r w:rsidR="008D1606">
              <w:rPr>
                <w:color w:val="000000" w:themeColor="text1"/>
              </w:rPr>
              <w:t> </w:t>
            </w:r>
            <w:r w:rsidRPr="00A27E36">
              <w:rPr>
                <w:color w:val="000000" w:themeColor="text1"/>
              </w:rPr>
              <w:t xml:space="preserve">2018/1725. Inom sina respektive tillämpningsområden ska de senare förordningarna vara tillämpliga på behandling av personuppgifter enligt denna förordning. </w:t>
            </w:r>
            <w:r w:rsidRPr="00A27E36">
              <w:rPr>
                <w:b/>
                <w:i/>
                <w:color w:val="000000" w:themeColor="text1"/>
              </w:rPr>
              <w:t>Med hänsyn till behovet av ytterligare behandling av personuppgifter för statistiska ändamål ska anonymiserade eller pseudonymiserade uppgifter användas för att garantera de skyddsåtgärder som antagits enligt artikel</w:t>
            </w:r>
            <w:r w:rsidR="008D1606">
              <w:rPr>
                <w:b/>
                <w:i/>
                <w:color w:val="000000" w:themeColor="text1"/>
              </w:rPr>
              <w:t> </w:t>
            </w:r>
            <w:r w:rsidRPr="00A27E36">
              <w:rPr>
                <w:b/>
                <w:i/>
                <w:color w:val="000000" w:themeColor="text1"/>
              </w:rPr>
              <w:t>89 i förordning (EU) 2016/679 och artikel 13 i förordning (EU) 2018/1725.</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38</w:t>
            </w:r>
            <w:r w:rsidRPr="00A27E36">
              <w:rPr>
                <w:color w:val="000000" w:themeColor="text1"/>
              </w:rPr>
              <w:t xml:space="preserve"> Europaparlamentets och rådets direktiv 2002/58/EG av den 12 juli 2002 om behandling av personuppgifter och integritetsskydd inom sektorn för elektronisk kommunikation (Direktiv om integritet och elektronisk kommunikation) (EGT L 201, 31.7.2002, s. 37).</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vertAlign w:val="superscript"/>
              </w:rPr>
              <w:t>38</w:t>
            </w:r>
            <w:r w:rsidRPr="00A27E36">
              <w:rPr>
                <w:color w:val="000000" w:themeColor="text1"/>
              </w:rPr>
              <w:t xml:space="preserve"> Europaparlamentets och rådets direktiv</w:t>
            </w:r>
            <w:r w:rsidR="008D1606">
              <w:rPr>
                <w:color w:val="000000" w:themeColor="text1"/>
              </w:rPr>
              <w:t> </w:t>
            </w:r>
            <w:r w:rsidRPr="00A27E36">
              <w:rPr>
                <w:color w:val="000000" w:themeColor="text1"/>
              </w:rPr>
              <w:t>2002/58/EG av den 12 juli 2002 om behandling av personuppgifter och integritetsskydd inom sektorn för elektronisk kommunikation (Direktiv om integritet och elektronisk kommunikation) (EGT L 201, 31.7.2002, s. 37).</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Katrin Langensiepen</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(33)</w:t>
            </w:r>
            <w:r w:rsidRPr="00A27E36">
              <w:rPr>
                <w:color w:val="000000" w:themeColor="text1"/>
              </w:rPr>
              <w:tab/>
              <w:t>Denna förordning påverkar inte tillämpningen av Europaparlamentets och rådets direktiv 2002/58/EG</w:t>
            </w:r>
            <w:r w:rsidRPr="00A27E36">
              <w:rPr>
                <w:color w:val="000000" w:themeColor="text1"/>
                <w:vertAlign w:val="superscript"/>
              </w:rPr>
              <w:t>38</w:t>
            </w:r>
            <w:r w:rsidRPr="00A27E36">
              <w:rPr>
                <w:color w:val="000000" w:themeColor="text1"/>
              </w:rPr>
              <w:t xml:space="preserve"> eller förordningarna (EU) 2016/679 och (EU) 2018/1725. Inom sina respektive tillämpningsområden ska de senare förordningarna vara tillämpliga på behandling av personuppgifter enligt denna förordning.</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(33)</w:t>
            </w:r>
            <w:r w:rsidRPr="00A27E36">
              <w:rPr>
                <w:color w:val="000000" w:themeColor="text1"/>
              </w:rPr>
              <w:tab/>
              <w:t>Denna förordning påverkar inte tillämpningen av Europaparlamentets och rådets direktiv 2002/58/EG</w:t>
            </w:r>
            <w:r w:rsidRPr="00A27E36">
              <w:rPr>
                <w:color w:val="000000" w:themeColor="text1"/>
                <w:vertAlign w:val="superscript"/>
              </w:rPr>
              <w:t>38</w:t>
            </w:r>
            <w:r w:rsidRPr="00A27E36">
              <w:rPr>
                <w:color w:val="000000" w:themeColor="text1"/>
              </w:rPr>
              <w:t xml:space="preserve"> eller förordningarna (EU) 2016/679 och (EU)</w:t>
            </w:r>
            <w:r w:rsidR="008D1606">
              <w:rPr>
                <w:color w:val="000000" w:themeColor="text1"/>
              </w:rPr>
              <w:t> </w:t>
            </w:r>
            <w:r w:rsidRPr="00A27E36">
              <w:rPr>
                <w:color w:val="000000" w:themeColor="text1"/>
              </w:rPr>
              <w:t>2018/1725. Inom sina respektive tillämpningsområden ska de senare förordningarna vara tillämpliga på behandling av personuppgifter enligt denna förordning.</w:t>
            </w:r>
            <w:r w:rsidRPr="00A27E36">
              <w:rPr>
                <w:b/>
                <w:i/>
                <w:color w:val="000000" w:themeColor="text1"/>
              </w:rPr>
              <w:t xml:space="preserve"> I synnerhet bör statistik framställas genom att anonymiserade uppgifter behandlas. Endast när statistik inte kan framställas genom behandling av anonymiserade uppgifter bör pseudonymiserade uppgifter behandlas.</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38</w:t>
            </w:r>
            <w:r w:rsidRPr="00A27E36">
              <w:rPr>
                <w:color w:val="000000" w:themeColor="text1"/>
              </w:rPr>
              <w:t xml:space="preserve"> Europaparlamentets och rådets direktiv 2002/58/EG av den 12 juli 2002 om behandling av personuppgifter och integritetsskydd inom sektorn för elektronisk kommunikation (Direktiv om integritet och elektronisk kommunikation) (EGT L 201, 31.7.2002, s. 37).</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vertAlign w:val="superscript"/>
              </w:rPr>
              <w:t>38</w:t>
            </w:r>
            <w:r w:rsidRPr="00A27E36">
              <w:rPr>
                <w:color w:val="000000" w:themeColor="text1"/>
              </w:rPr>
              <w:t xml:space="preserve"> Europaparlamentets och rådets direktiv</w:t>
            </w:r>
            <w:r w:rsidR="008D1606">
              <w:rPr>
                <w:color w:val="000000" w:themeColor="text1"/>
              </w:rPr>
              <w:t> </w:t>
            </w:r>
            <w:r w:rsidRPr="00A27E36">
              <w:rPr>
                <w:color w:val="000000" w:themeColor="text1"/>
              </w:rPr>
              <w:t>2002/58/EG av den 12 juli 2002 om behandling av personuppgifter och integritetsskydd inom sektorn för elektronisk kommunikation (Direktiv om integritet och elektronisk kommunikation) (EGT L 201, 31.7.2002, s. 37).</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35</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(35)</w:t>
            </w:r>
            <w:r w:rsidRPr="00A27E36">
              <w:rPr>
                <w:color w:val="000000" w:themeColor="text1"/>
              </w:rPr>
              <w:tab/>
              <w:t>I syfte att ta hänsyn till demografiska, ekonomiska och sociala trender samt till den tekniska utvecklingen bör befogenheten att anta akter i enlighet med artikel 290 i EUF-fördraget delegeras till kommissionen i syfte att ändra förteckningen, beskrivningen, periodiciteten och referenstiderna för specifika ämnen som omfattas av europeisk statistik om befolkning och bostäder, att uppdatera den periodicitet och de referenstider som anges i bilagan till denna förordning och att närmare ange den information som medlemsstaterna ska lämna på särskild basis.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A27E36">
              <w:rPr>
                <w:color w:val="000000" w:themeColor="text1"/>
                <w:vertAlign w:val="superscript"/>
              </w:rPr>
              <w:t>39</w:t>
            </w:r>
            <w:r w:rsidRPr="00A27E36">
              <w:rPr>
                <w:color w:val="000000" w:themeColor="text1"/>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(35)</w:t>
            </w:r>
            <w:r w:rsidRPr="00A27E36">
              <w:rPr>
                <w:color w:val="000000" w:themeColor="text1"/>
              </w:rPr>
              <w:tab/>
              <w:t>I syfte att ta hänsyn till demografiska, ekonomiska och sociala trender samt till den tekniska utvecklingen bör befogenheten att anta akter i enlighet med artikel 290 i EUF-fördraget delegeras till kommissionen i syfte att ändra förteckningen, beskrivningen, periodiciteten och referenstiderna för specifika ämnen som omfattas av europeisk statistik om befolkning och bostäder, att uppdatera den periodicitet och de referenstider som anges i bilagan till denna förordning och att närmare ange den information som medlemsstaterna ska lämna på särskild basis</w:t>
            </w:r>
            <w:r w:rsidRPr="00A27E36">
              <w:rPr>
                <w:b/>
                <w:i/>
                <w:color w:val="000000" w:themeColor="text1"/>
              </w:rPr>
              <w:t>. Ingen sådan delegerad akt ska ge medlemsstaterna uppgiften att uppfylla krav som endast är tillgängliga genom insamling av uppgifter direkt från enskilda personer, och ingen sådan delegerad akt ska uppmana medlemsstaterna att samla in eller undersöka känsliga personuppgifter enligt definitionen i förordning 2016/679</w:t>
            </w:r>
            <w:r w:rsidRPr="00A27E36">
              <w:rPr>
                <w:color w:val="000000" w:themeColor="text1"/>
              </w:rPr>
              <w:t>.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A27E36">
              <w:rPr>
                <w:color w:val="000000" w:themeColor="text1"/>
                <w:vertAlign w:val="superscript"/>
              </w:rPr>
              <w:t>39</w:t>
            </w:r>
            <w:r w:rsidRPr="00A27E36">
              <w:rPr>
                <w:color w:val="000000" w:themeColor="text1"/>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39</w:t>
            </w:r>
            <w:r w:rsidRPr="00A27E36">
              <w:rPr>
                <w:color w:val="000000" w:themeColor="text1"/>
              </w:rPr>
              <w:t xml:space="preserve"> EUT L 123, 12.5.2016, s. 1.</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vertAlign w:val="superscript"/>
              </w:rPr>
              <w:t>39</w:t>
            </w:r>
            <w:r w:rsidRPr="00A27E36">
              <w:rPr>
                <w:color w:val="000000" w:themeColor="text1"/>
              </w:rPr>
              <w:t xml:space="preserve"> EUT L 123, 12.5.2016, s. 1.</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35</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(35)</w:t>
            </w:r>
            <w:r w:rsidRPr="00A27E36">
              <w:rPr>
                <w:color w:val="000000" w:themeColor="text1"/>
              </w:rPr>
              <w:tab/>
              <w:t xml:space="preserve">I syfte att ta hänsyn till demografiska, ekonomiska och sociala trender </w:t>
            </w:r>
            <w:r w:rsidRPr="00A27E36">
              <w:rPr>
                <w:b/>
                <w:i/>
                <w:color w:val="000000" w:themeColor="text1"/>
              </w:rPr>
              <w:t>samt</w:t>
            </w:r>
            <w:r w:rsidRPr="00A27E36">
              <w:rPr>
                <w:color w:val="000000" w:themeColor="text1"/>
              </w:rPr>
              <w:t xml:space="preserve"> till den tekniska utvecklingen bör befogenheten att anta akter i enlighet med artikel 290 i EUF-fördraget delegeras till kommissionen i syfte att ändra förteckningen, beskrivningen, periodiciteten och referenstiderna för specifika ämnen som omfattas av europeisk statistik om befolkning och bostäder, att uppdatera den periodicitet och de referenstider som anges i bilagan till denna förordning och att närmare ange den information som medlemsstaterna ska lämna på särskild basis.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A27E36">
              <w:rPr>
                <w:color w:val="000000" w:themeColor="text1"/>
                <w:vertAlign w:val="superscript"/>
              </w:rPr>
              <w:t>39</w:t>
            </w:r>
            <w:r w:rsidRPr="00A27E36">
              <w:rPr>
                <w:color w:val="000000" w:themeColor="text1"/>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(35)</w:t>
            </w:r>
            <w:r w:rsidRPr="00A27E36">
              <w:rPr>
                <w:color w:val="000000" w:themeColor="text1"/>
              </w:rPr>
              <w:tab/>
              <w:t>I syfte att ta hänsyn till demografiska, ekonomiska och sociala trender</w:t>
            </w:r>
            <w:r w:rsidRPr="00A27E36">
              <w:rPr>
                <w:b/>
                <w:i/>
                <w:color w:val="000000" w:themeColor="text1"/>
              </w:rPr>
              <w:t>,</w:t>
            </w:r>
            <w:r w:rsidRPr="00A27E36">
              <w:rPr>
                <w:color w:val="000000" w:themeColor="text1"/>
              </w:rPr>
              <w:t xml:space="preserve"> till den tekniska utvecklingen </w:t>
            </w:r>
            <w:r w:rsidRPr="00A27E36">
              <w:rPr>
                <w:b/>
                <w:i/>
                <w:color w:val="000000" w:themeColor="text1"/>
              </w:rPr>
              <w:t>och behovet av att utforma en välriktad politik i god tid</w:t>
            </w:r>
            <w:r w:rsidRPr="00A27E36">
              <w:rPr>
                <w:color w:val="000000" w:themeColor="text1"/>
              </w:rPr>
              <w:t xml:space="preserve"> bör befogenheten att anta akter i enlighet med artikel 290 i EUF-fördraget delegeras till kommissionen i syfte att ändra förteckningen, beskrivningen, periodiciteten och referenstiderna för specifika ämnen som omfattas av europeisk statistik om befolkning och bostäder, att uppdatera den periodicitet och de referenstider som anges i bilagan till denna förordning och att närmare ange den information som medlemsstaterna ska lämna på särskild basis.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A27E36">
              <w:rPr>
                <w:color w:val="000000" w:themeColor="text1"/>
                <w:vertAlign w:val="superscript"/>
              </w:rPr>
              <w:t>39</w:t>
            </w:r>
            <w:r w:rsidRPr="00A27E36">
              <w:rPr>
                <w:color w:val="000000" w:themeColor="text1"/>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__________________</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__________________</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vertAlign w:val="superscript"/>
              </w:rPr>
              <w:t>39</w:t>
            </w:r>
            <w:r w:rsidRPr="00A27E36">
              <w:rPr>
                <w:color w:val="000000" w:themeColor="text1"/>
              </w:rPr>
              <w:t xml:space="preserve"> EUT L 123, 12.5.2016, s. 1.</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vertAlign w:val="superscript"/>
              </w:rPr>
              <w:t>39</w:t>
            </w:r>
            <w:r w:rsidRPr="00A27E36">
              <w:rPr>
                <w:color w:val="000000" w:themeColor="text1"/>
              </w:rPr>
              <w:t xml:space="preserve"> EUT L 123, 12.5.2016, s. 1.</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Skäl 35a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(35a)</w:t>
            </w:r>
            <w:r w:rsidRPr="00A27E36">
              <w:rPr>
                <w:b/>
                <w:i/>
                <w:color w:val="000000" w:themeColor="text1"/>
              </w:rPr>
              <w:tab/>
              <w:t>Betydelsen av europeisk statistik som en viktig del av evidensbaserat beslutsfattande återspeglas i EU:s budget för 2021–2027 i syfte att säkerställa ekonomiskt stöd för utveckling, framställning och spridning av europeisk statistik av hög kvalitet genom programmet för den inre marknaden. Reformering av insamlingen av uppgifter genom effektivt samarbete mellan relevanta nationella myndigheter, statistikbyråer och uppgiftslämnare samt förbättring av datakvaliteten bör kunna omfattas av instrumentet för tekniskt stöd. I detta syfte ska medlen användas för att hjälpa de nationella statistikbyråerna och andra behöriga nationella myndigheter att samla in de uppgifter som kommissionen (Eurostat) begär, särskilt när särskilda uppgifter samlas in i enlighet med denna förordning.</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2 – stycke 1 – led 2 – led ba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(ba)</w:t>
            </w:r>
            <w:r w:rsidRPr="00A27E36">
              <w:rPr>
                <w:b/>
                <w:i/>
                <w:color w:val="000000" w:themeColor="text1"/>
              </w:rPr>
              <w:tab/>
              <w:t>I de fall omständigheterna i led a eller b inte kan fastställas avses med stadigvarande bosättning den plats där personen är folkbokförd.</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Eftersom befolkningsregister inte till fullo fångar upp begreppet befolkningsbas bör bestämmelserna i artikel 2 d i förordning (EU) nr 763/2008 och artikel 2 d i förordning (EU) nr1260/2013 återinföras.</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2 – stycke 1 – led 8a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(8a)</w:t>
            </w:r>
            <w:r w:rsidRPr="00A27E36">
              <w:rPr>
                <w:b/>
                <w:i/>
                <w:color w:val="000000" w:themeColor="text1"/>
              </w:rPr>
              <w:tab/>
              <w:t>befolkningsgrupper som är svåra att nå: grupper av personer som hindras eller upplever att de hindras från att vara fullständigt representerade i insamlingen av statistiska uppgifter.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2 – stycke 1 – led 8a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(8a)</w:t>
            </w:r>
            <w:r w:rsidRPr="00A27E36">
              <w:rPr>
                <w:b/>
                <w:i/>
                <w:color w:val="000000" w:themeColor="text1"/>
              </w:rPr>
              <w:tab/>
              <w:t>befolkningsgrupper som är svåra att nå: grupper av personer som hindras eller upplever att de hindras från att vara fullständigt representerade i insamlingen av statistiska uppgifter.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2 – stycke 1 – led 12a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(12a)</w:t>
            </w:r>
            <w:r w:rsidRPr="00A27E36">
              <w:rPr>
                <w:b/>
                <w:i/>
                <w:color w:val="000000" w:themeColor="text1"/>
              </w:rPr>
              <w:tab/>
              <w:t>institution: ett kollektivt bostadsutrymme där långtidsboende och tjänster tillhandahålls en grupp människor.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79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2 – stycke 1 – led 13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(13)</w:t>
            </w:r>
            <w:r w:rsidRPr="00A27E36">
              <w:rPr>
                <w:color w:val="000000" w:themeColor="text1"/>
              </w:rPr>
              <w:tab/>
              <w:t>familj: grupp av två eller flera personer som bor i samma hushåll och som är närstående genom föräldraskap eller genom äktenskap, registrerat partnerskap eller samboförhållande.</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(13)</w:t>
            </w:r>
            <w:r w:rsidRPr="00A27E36">
              <w:rPr>
                <w:color w:val="000000" w:themeColor="text1"/>
              </w:rPr>
              <w:tab/>
              <w:t xml:space="preserve">familj: grupp av två eller flera personer som bor i samma hushåll </w:t>
            </w:r>
            <w:r w:rsidRPr="00A27E36">
              <w:rPr>
                <w:b/>
                <w:i/>
                <w:color w:val="000000" w:themeColor="text1"/>
              </w:rPr>
              <w:t>eller i flera hushåll</w:t>
            </w:r>
            <w:r w:rsidRPr="00A27E36">
              <w:rPr>
                <w:color w:val="000000" w:themeColor="text1"/>
              </w:rPr>
              <w:t xml:space="preserve"> och som är närstående genom föräldraskap eller genom äktenskap, registrerat partnerskap eller samboförhållande.</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2 – stycke 1 – led 21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(21)</w:t>
            </w:r>
            <w:r w:rsidRPr="00A27E36">
              <w:rPr>
                <w:color w:val="000000" w:themeColor="text1"/>
              </w:rPr>
              <w:tab/>
              <w:t>variabel: ett karakteristikum för en statistisk enhet som kan anta fler än ett värde i en uppsättning värden.</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(21)</w:t>
            </w:r>
            <w:r w:rsidRPr="00A27E36">
              <w:rPr>
                <w:color w:val="000000" w:themeColor="text1"/>
              </w:rPr>
              <w:tab/>
              <w:t xml:space="preserve">variabel: ett karakteristikum för en statistisk enhet som kan anta fler än ett värde i en uppsättning värden. </w:t>
            </w:r>
            <w:r w:rsidRPr="00A27E36">
              <w:rPr>
                <w:b/>
                <w:i/>
                <w:color w:val="000000" w:themeColor="text1"/>
              </w:rPr>
              <w:t>En variabel räknas som en kombination av ett karakteristikum för en observationsenhet och motsvarande måttenhet med geografisk indelning som en av dem.</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Det skulle vara lämpligt att införa en liknande bestämmelse som ingår i förordningen om statistik om jordbrukets insatsvaror och produkter efter överenskommelsen med kommissionen om hur antalet variabler ska beräknas.</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3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Befolkningsunderlaget ska omfatta alla stadigvarande bosatta personer, oavsett medborgarskap eller om personen är eller tidigare har varit statslös</w:t>
            </w:r>
            <w:r w:rsidRPr="00A27E36">
              <w:rPr>
                <w:b/>
                <w:i/>
                <w:color w:val="000000" w:themeColor="text1"/>
              </w:rPr>
              <w:t>, och oavsett om personens bosättning eller vistelse är godkänd eller tillåten av de behöriga myndigheterna</w:t>
            </w:r>
            <w:r w:rsidRPr="00A27E36">
              <w:rPr>
                <w:color w:val="000000" w:themeColor="text1"/>
              </w:rPr>
              <w: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w:t>
            </w:r>
            <w:r w:rsidRPr="00A27E36">
              <w:rPr>
                <w:color w:val="000000" w:themeColor="text1"/>
              </w:rPr>
              <w:tab/>
              <w:t>Befolkningsunderlaget ska omfatta alla stadigvarande bosatta personer, oavsett medborgarskap eller om personen är eller tidigare har varit statslös.</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3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Befolkningsunderlaget ska omfatta alla stadigvarande bosatta personer, oavsett medborgarskap eller om personen är eller tidigare har varit statslös</w:t>
            </w:r>
            <w:r w:rsidRPr="00A27E36">
              <w:rPr>
                <w:b/>
                <w:i/>
                <w:color w:val="000000" w:themeColor="text1"/>
              </w:rPr>
              <w:t>, och oavsett om personens bosättning eller vistelse är godkänd eller tillåten av de behöriga myndigheterna</w:t>
            </w:r>
            <w:r w:rsidRPr="00A27E36">
              <w:rPr>
                <w:color w:val="000000" w:themeColor="text1"/>
              </w:rPr>
              <w: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w:t>
            </w:r>
            <w:r w:rsidRPr="00A27E36">
              <w:rPr>
                <w:color w:val="000000" w:themeColor="text1"/>
              </w:rPr>
              <w:tab/>
              <w:t>Befolkningsunderlaget ska omfatta alla stadigvarande bosatta personer, oavsett medborgarskap eller om personen är eller tidigare har varit statslös.</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3 – punkt 6 – led b</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b)</w:t>
            </w:r>
            <w:r w:rsidRPr="00A27E36">
              <w:rPr>
                <w:color w:val="000000" w:themeColor="text1"/>
              </w:rPr>
              <w:tab/>
              <w:t xml:space="preserve">skattningsmetoder </w:t>
            </w:r>
            <w:r w:rsidRPr="00A27E36">
              <w:rPr>
                <w:b/>
                <w:i/>
                <w:color w:val="000000" w:themeColor="text1"/>
              </w:rPr>
              <w:t>som livstecken</w:t>
            </w:r>
            <w:r w:rsidRPr="00A27E36">
              <w:rPr>
                <w:color w:val="000000" w:themeColor="text1"/>
              </w:rPr>
              <w:t xml:space="preserve"> för att korrigera för faktisk närvaro på den förmodade platsen för stadigvarande bosättning under större delen av de 12 månader som slutar med referensdatumet, och </w:t>
            </w:r>
            <w:r w:rsidRPr="00A27E36">
              <w:rPr>
                <w:b/>
                <w:i/>
                <w:color w:val="000000" w:themeColor="text1"/>
              </w:rPr>
              <w:t>andel kvarstannande</w:t>
            </w:r>
            <w:r w:rsidRPr="00A27E36">
              <w:rPr>
                <w:color w:val="000000" w:themeColor="text1"/>
              </w:rPr>
              <w:t xml:space="preserve"> för att skatta antalet personer som avser eller förväntas stanna under större delen av de 12 månaderna efter ankomsten.</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b)</w:t>
            </w:r>
            <w:r w:rsidRPr="00A27E36">
              <w:rPr>
                <w:color w:val="000000" w:themeColor="text1"/>
              </w:rPr>
              <w:tab/>
              <w:t>skattningsmetoder för att korrigera för faktisk närvaro på den förmodade platsen för stadigvarande bosättning under större delen av de 12 månader som slutar med referensdatumet, och för att skatta antalet personer som avser eller förväntas stanna under större delen av de 12</w:t>
            </w:r>
            <w:r w:rsidR="008D1606">
              <w:rPr>
                <w:color w:val="000000" w:themeColor="text1"/>
              </w:rPr>
              <w:t> </w:t>
            </w:r>
            <w:r w:rsidRPr="00A27E36">
              <w:rPr>
                <w:color w:val="000000" w:themeColor="text1"/>
              </w:rPr>
              <w:t>månaderna efter ankomsten.</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3 – punkt 6a (ny)</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6a.</w:t>
            </w:r>
            <w:r w:rsidRPr="00A27E36">
              <w:rPr>
                <w:b/>
                <w:i/>
                <w:color w:val="000000" w:themeColor="text1"/>
              </w:rPr>
              <w:tab/>
              <w:t>Punkterna 5 och 6 b ska inte tillämpas i den mån som vetenskapligt baserade, väldokumenterade och allmänt tillgängliga statistiska skattningsmetoder vederbörligen kan motivera att skillnaden mellan den totala befolkningens lagliga eller registrerade bosättning i medlemsstaterna i enlighet med artikel 9.1 a och stadigvarande bosättning är mindre än 3 procentenheter.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4 – stycke 1 – led e</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(e)</w:t>
            </w:r>
            <w:r w:rsidRPr="00A27E36">
              <w:rPr>
                <w:color w:val="000000" w:themeColor="text1"/>
              </w:rPr>
              <w:tab/>
              <w:t>Bostadshus, bostadsutrymmen och konventionella bostäder.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(e)</w:t>
            </w:r>
            <w:r w:rsidRPr="00A27E36">
              <w:rPr>
                <w:color w:val="000000" w:themeColor="text1"/>
              </w:rPr>
              <w:tab/>
              <w:t>Bostadshus, bostadsutrymmen och konventionella bostäder</w:t>
            </w:r>
            <w:r w:rsidRPr="00A27E36">
              <w:rPr>
                <w:b/>
                <w:i/>
                <w:color w:val="000000" w:themeColor="text1"/>
              </w:rPr>
              <w:t>, inklusive institutioner</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1 – inledningen</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Europeisk statistik om befolkning och bostäder ska omfatta följande områden:</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Europeisk statistik om befolkning och bostäder ska omfatta följande områden </w:t>
            </w:r>
            <w:r w:rsidRPr="00A27E36">
              <w:rPr>
                <w:b/>
                <w:i/>
                <w:color w:val="000000" w:themeColor="text1"/>
              </w:rPr>
              <w:t>och möjliggöra framställning av uppgifter uppdelade efter ålder, kön, typ av funktionshinder och migrationsbakgrund</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1 – led c</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(c)</w:t>
            </w:r>
            <w:r w:rsidRPr="00A27E36">
              <w:rPr>
                <w:color w:val="000000" w:themeColor="text1"/>
              </w:rPr>
              <w:tab/>
              <w:t xml:space="preserve">Familjer </w:t>
            </w:r>
            <w:r w:rsidRPr="00A27E36">
              <w:rPr>
                <w:b/>
                <w:i/>
                <w:color w:val="000000" w:themeColor="text1"/>
              </w:rPr>
              <w:t>och hushåll.</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(c)</w:t>
            </w:r>
            <w:r w:rsidRPr="00A27E36">
              <w:rPr>
                <w:color w:val="000000" w:themeColor="text1"/>
              </w:rPr>
              <w:tab/>
              <w:t>Familjer</w:t>
            </w:r>
            <w:r w:rsidRPr="00A27E36">
              <w:rPr>
                <w:b/>
                <w:i/>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1 – led ca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(ca)</w:t>
            </w:r>
            <w:r w:rsidRPr="00A27E36">
              <w:rPr>
                <w:b/>
                <w:i/>
                <w:color w:val="000000" w:themeColor="text1"/>
              </w:rPr>
              <w:tab/>
              <w:t>hushåll.</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89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Katrin Langensiepen</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Statistik på de områden som förtecknas i punkt 1 ska organiseras i datauppsättningar enligt de ämnen och specifika ämnen som anges i bilagan.</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w:t>
            </w:r>
            <w:r w:rsidRPr="00A27E36">
              <w:rPr>
                <w:color w:val="000000" w:themeColor="text1"/>
              </w:rPr>
              <w:tab/>
              <w:t>Statistik på de områden som förtecknas i punkt 1 ska organiseras i datauppsättningar enligt de ämnen och specifika ämnen som anges i bilagan.</w:t>
            </w:r>
            <w:r w:rsidRPr="00A27E36">
              <w:rPr>
                <w:b/>
                <w:i/>
                <w:color w:val="000000" w:themeColor="text1"/>
              </w:rPr>
              <w:t xml:space="preserve"> De ämnen som anges i bilagan ska delas upp efter ålder och kön.</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3</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3.</w:t>
            </w:r>
            <w:r w:rsidRPr="00A27E36">
              <w:rPr>
                <w:color w:val="000000" w:themeColor="text1"/>
              </w:rPr>
              <w:tab/>
              <w:t xml:space="preserve">Kommissionen ges befogenhet att anta delegerade akter i enlighet med artikel 17 för att ändra den förteckning över specifika ämnen som anges i bilagan. </w:t>
            </w:r>
            <w:r w:rsidRPr="00A27E36">
              <w:rPr>
                <w:b/>
                <w:i/>
                <w:color w:val="000000" w:themeColor="text1"/>
              </w:rPr>
              <w:t>Dessa delegerade akter ska antas senast tolv månader före det att den berörda referenstiden börjar.</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3.</w:t>
            </w:r>
            <w:r w:rsidRPr="00A27E36">
              <w:rPr>
                <w:color w:val="000000" w:themeColor="text1"/>
              </w:rPr>
              <w:tab/>
              <w:t>Kommissionen ges befogenhet att anta delegerade akter i enlighet med artikel</w:t>
            </w:r>
            <w:r w:rsidR="008D1606">
              <w:rPr>
                <w:color w:val="000000" w:themeColor="text1"/>
              </w:rPr>
              <w:t> </w:t>
            </w:r>
            <w:r w:rsidRPr="00A27E36">
              <w:rPr>
                <w:color w:val="000000" w:themeColor="text1"/>
              </w:rPr>
              <w:t>17 för att ändra den förteckning över specifika ämnen som anges i bilagan.</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4</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4.</w:t>
            </w:r>
            <w:r w:rsidRPr="00A27E36">
              <w:rPr>
                <w:color w:val="000000" w:themeColor="text1"/>
              </w:rPr>
              <w:tab/>
              <w:t xml:space="preserve">När kommissionen utövar befogenheten att anta delegerade akter enligt punkt 3 i denna artikel ska den säkerställa att </w:t>
            </w:r>
            <w:r w:rsidRPr="00A27E36">
              <w:rPr>
                <w:b/>
                <w:i/>
                <w:color w:val="000000" w:themeColor="text1"/>
              </w:rPr>
              <w:t>dessa akter</w:t>
            </w:r>
            <w:r w:rsidRPr="00A27E36">
              <w:rPr>
                <w:color w:val="000000" w:themeColor="text1"/>
              </w:rPr>
              <w:t xml:space="preserve"> inte medför en betydande </w:t>
            </w:r>
            <w:r w:rsidRPr="00A27E36">
              <w:rPr>
                <w:b/>
                <w:i/>
                <w:color w:val="000000" w:themeColor="text1"/>
              </w:rPr>
              <w:t>och oproportionerlig</w:t>
            </w:r>
            <w:r w:rsidRPr="00A27E36">
              <w:rPr>
                <w:color w:val="000000" w:themeColor="text1"/>
              </w:rPr>
              <w:t xml:space="preserve"> börda för medlemsstaterna </w:t>
            </w:r>
            <w:r w:rsidRPr="00A27E36">
              <w:rPr>
                <w:b/>
                <w:i/>
                <w:color w:val="000000" w:themeColor="text1"/>
              </w:rPr>
              <w:t>och</w:t>
            </w:r>
            <w:r w:rsidRPr="00A27E36">
              <w:rPr>
                <w:color w:val="000000" w:themeColor="text1"/>
              </w:rPr>
              <w:t xml:space="preserve"> uppgiftslämnarna. Varje nytt specifikt ämne ska bedömas med avseende på dess genomförbarhet genom pilotstudier som genomförs av kommissionen (Eurostat) och medlemsstaterna i enlighet med artikel 14.</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4.</w:t>
            </w:r>
            <w:r w:rsidRPr="00A27E36">
              <w:rPr>
                <w:color w:val="000000" w:themeColor="text1"/>
              </w:rPr>
              <w:tab/>
              <w:t>När kommissionen utövar befogenheten att anta delegerade akter enligt punkt 3 i denna artikel ska den säkerställa att</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a) de delegerade akterna syftar till att uppnå kostnads- och bördeneutralitet eller att minska kostnader och bördor och</w:t>
            </w:r>
            <w:r w:rsidRPr="00A27E36">
              <w:rPr>
                <w:color w:val="000000" w:themeColor="text1"/>
              </w:rPr>
              <w:t xml:space="preserve"> inte medför</w:t>
            </w:r>
            <w:r w:rsidRPr="00A27E36">
              <w:rPr>
                <w:b/>
                <w:i/>
                <w:color w:val="000000" w:themeColor="text1"/>
              </w:rPr>
              <w:t>, under några omständigheter,</w:t>
            </w:r>
            <w:r w:rsidRPr="00A27E36">
              <w:rPr>
                <w:color w:val="000000" w:themeColor="text1"/>
              </w:rPr>
              <w:t xml:space="preserve"> en betydande </w:t>
            </w:r>
            <w:r w:rsidRPr="00A27E36">
              <w:rPr>
                <w:b/>
                <w:i/>
                <w:color w:val="000000" w:themeColor="text1"/>
              </w:rPr>
              <w:t xml:space="preserve">extra kostnad eller </w:t>
            </w:r>
            <w:r w:rsidRPr="00A27E36">
              <w:rPr>
                <w:color w:val="000000" w:themeColor="text1"/>
              </w:rPr>
              <w:t xml:space="preserve">börda för medlemsstaterna </w:t>
            </w:r>
            <w:r w:rsidRPr="00A27E36">
              <w:rPr>
                <w:b/>
                <w:i/>
                <w:color w:val="000000" w:themeColor="text1"/>
              </w:rPr>
              <w:t>eller för</w:t>
            </w:r>
            <w:r w:rsidRPr="00A27E36">
              <w:rPr>
                <w:color w:val="000000" w:themeColor="text1"/>
              </w:rPr>
              <w:t xml:space="preserve"> uppgiftslämnarna,</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b) högst två specifika ämnen för områdets befolkningsstatistik, ett specifikt ämne för områdets bostadsstatistik och ett specifikt ämne för det områdets familjer och den bostadsstatistik som förtecknas i bilagan ska ersättas med ett annat specifikt ämne och högst ett specifikt ämne för alla områden ska läggas till under en period på tio på varandra följande år,</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c)</w:t>
            </w:r>
            <w:r w:rsidRPr="00A27E36">
              <w:rPr>
                <w:color w:val="000000" w:themeColor="text1"/>
              </w:rPr>
              <w:t xml:space="preserve"> varje nytt specifikt ämne ska bedömas med avseende på dess genomförbarhet genom pilotstudier som genomförs av kommissionen (Eurostat) och medlemsstaterna i enlighet med artikel 14. </w:t>
            </w:r>
            <w:r w:rsidRPr="00A27E36">
              <w:rPr>
                <w:b/>
                <w:i/>
                <w:color w:val="000000" w:themeColor="text1"/>
              </w:rPr>
              <w:t>Dessa delegerade akter ska antas senast 18 månader före det att den berörda referenstiden börjar.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Det föreliggande förslaget ger kommissionen en mycket bred befogenhet utan begränsningar och skyddsåtgärder för medlemsstaterna. Befogenheten bör vara strikt begränsad och skyddsåtgärder bör införas för att undvika ökade insatser, bördor och produktionskostnader.</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4</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4.</w:t>
            </w:r>
            <w:r w:rsidRPr="00A27E36">
              <w:rPr>
                <w:color w:val="000000" w:themeColor="text1"/>
              </w:rPr>
              <w:tab/>
              <w:t xml:space="preserve">När kommissionen utövar befogenheten att anta delegerade akter enligt punkt 3 i denna artikel ska den säkerställa att dessa akter inte medför </w:t>
            </w:r>
            <w:r w:rsidRPr="00A27E36">
              <w:rPr>
                <w:b/>
                <w:i/>
                <w:color w:val="000000" w:themeColor="text1"/>
              </w:rPr>
              <w:t>en betydande och oproportionerlig</w:t>
            </w:r>
            <w:r w:rsidRPr="00A27E36">
              <w:rPr>
                <w:color w:val="000000" w:themeColor="text1"/>
              </w:rPr>
              <w:t xml:space="preserve"> </w:t>
            </w:r>
            <w:r w:rsidRPr="00A27E36">
              <w:rPr>
                <w:b/>
                <w:i/>
                <w:color w:val="000000" w:themeColor="text1"/>
              </w:rPr>
              <w:t>börda</w:t>
            </w:r>
            <w:r w:rsidRPr="00A27E36">
              <w:rPr>
                <w:color w:val="000000" w:themeColor="text1"/>
              </w:rPr>
              <w:t xml:space="preserve"> för medlemsstaterna och uppgiftslämnarna. Varje nytt specifikt ämne ska bedömas med avseende på dess genomförbarhet genom pilotstudier som genomförs av kommissionen (Eurostat) och medlemsstaterna i enlighet med artikel 14.</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4.</w:t>
            </w:r>
            <w:r w:rsidRPr="00A27E36">
              <w:rPr>
                <w:color w:val="000000" w:themeColor="text1"/>
              </w:rPr>
              <w:tab/>
              <w:t xml:space="preserve">När kommissionen utövar befogenheten att anta delegerade akter enligt punkt 3 i denna artikel ska den säkerställa att dessa akter inte medför </w:t>
            </w:r>
            <w:r w:rsidRPr="00A27E36">
              <w:rPr>
                <w:b/>
                <w:i/>
                <w:color w:val="000000" w:themeColor="text1"/>
              </w:rPr>
              <w:t>betydande och oproportionerliga bördor</w:t>
            </w:r>
            <w:r w:rsidRPr="00A27E36">
              <w:rPr>
                <w:color w:val="000000" w:themeColor="text1"/>
              </w:rPr>
              <w:t xml:space="preserve"> för medlemsstaterna och uppgiftslämnarna.</w:t>
            </w:r>
            <w:r w:rsidRPr="00A27E36">
              <w:rPr>
                <w:b/>
                <w:i/>
                <w:color w:val="000000" w:themeColor="text1"/>
              </w:rPr>
              <w:t xml:space="preserve"> Ingen sådan delegerad akt ska därför ge medlemsstaterna uppgiften att uppfylla kraven enbart genom direkt uppgiftsinsamling från enskilda personer eller uppgifter som omfattas av förordning 2019/1700. Vidare ska ingen delegerad akt uppmana medlemsstaterna att samla in eller undersöka känsliga personuppgifter enligt definitionen i förordning 2016/679</w:t>
            </w:r>
            <w:r w:rsidRPr="00A27E36">
              <w:rPr>
                <w:color w:val="000000" w:themeColor="text1"/>
              </w:rPr>
              <w:t>. Varje nytt specifikt ämne ska bedömas med avseende på dess genomförbarhet genom pilotstudier som genomförs av kommissionen (Eurostat) och medlemsstaterna i enlighet med artikel 14.</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Sara Skyttedal</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5 – punkt 5 – stycke 1 – inledningen</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Kommissionen ska anta genomförandeakter för att ange tekniska egenskaper för de datauppsättningar och metadata som ska tillhandahållas kommissionen (Eurostat). I dessa genomförandeakter ska vid behov följande tekniska aspekter anges:</w:t>
            </w: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5.</w:t>
            </w:r>
            <w:r w:rsidRPr="00A27E36">
              <w:rPr>
                <w:b/>
                <w:i/>
                <w:color w:val="000000" w:themeColor="text1"/>
              </w:rPr>
              <w:tab/>
            </w:r>
            <w:r w:rsidRPr="00A27E36">
              <w:rPr>
                <w:color w:val="000000" w:themeColor="text1"/>
              </w:rPr>
              <w:t xml:space="preserve">Kommissionen ska anta genomförandeakter för att ange tekniska egenskaper för de datauppsättningar och metadata som ska tillhandahållas kommissionen (Eurostat). </w:t>
            </w:r>
            <w:r w:rsidRPr="00A27E36">
              <w:rPr>
                <w:b/>
                <w:i/>
                <w:color w:val="000000" w:themeColor="text1"/>
              </w:rPr>
              <w:t>Ingen sådan genomförandeakt ska ge medlemsstaterna uppgiften att uppfylla kraven enbart genom direkt uppgiftsinsamling från enskilda personer eller uppgifter som omfattas av förordning 2019/1700. Vidare ska ingen genomförandeakt uppmana medlemsstaterna att samla in eller undersöka känsliga personuppgifter enligt definitionen i förordning 2016/679.</w:t>
            </w:r>
            <w:r w:rsidRPr="00A27E36">
              <w:rPr>
                <w:color w:val="000000" w:themeColor="text1"/>
              </w:rPr>
              <w:t xml:space="preserve"> I dessa genomförandeakter ska vid behov följande tekniska aspekter anges:</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7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Kommissionen ges befogenhet att anta delegerade akter för att komplettera denna förordning i enlighet med artikel 17 genom att ange de datauppsättningar och metadata som medlemsstaterna ska tillhandahålla på särskild basis, om insamlingen av ytterligare statistik anses nödvändig för att tillgodose ytterligare statistiska behov enligt denna förordning.</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w:t>
            </w:r>
            <w:r w:rsidRPr="00A27E36">
              <w:rPr>
                <w:color w:val="000000" w:themeColor="text1"/>
              </w:rPr>
              <w:tab/>
              <w:t>Kommissionen ges befogenhet att anta delegerade akter för att komplettera denna förordning i enlighet med artikel 17 genom att ange de datauppsättningar och metadata som medlemsstaterna ska tillhandahålla på särskild basis, om insamlingen av ytterligare statistik anses nödvändig för att tillgodose ytterligare statistiska behov enligt denna förordning</w:t>
            </w:r>
            <w:r w:rsidRPr="00A27E36">
              <w:rPr>
                <w:b/>
                <w:i/>
                <w:color w:val="000000" w:themeColor="text1"/>
              </w:rPr>
              <w:t>, samtidigt som man prioriterar de administrativa uppgiftskällor och register som ska användas för insamlingen av begärda uppgifter</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8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2.</w:t>
            </w:r>
            <w:r w:rsidRPr="00A27E36">
              <w:rPr>
                <w:b/>
                <w:i/>
                <w:color w:val="000000" w:themeColor="text1"/>
              </w:rPr>
              <w:tab/>
              <w:t>När medlemsstaterna offentliggör den statistik som krävs enligt denna förordning på nationell nivå före de tidsfrister för tillhandahållande som fastställs i enlighet med artiklarna 5.5 och 7.5 ska de tillhandahålla statistiken till kommissionen (Eurostat) enligt följande:</w:t>
            </w: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utgår</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(a)</w:t>
            </w:r>
            <w:r w:rsidRPr="00A27E36">
              <w:rPr>
                <w:b/>
                <w:i/>
                <w:color w:val="000000" w:themeColor="text1"/>
              </w:rPr>
              <w:tab/>
              <w:t>Statistik med en periodicitet på ett kvartal eller sex månader senast en arbetsdag efter det nationella offentliggörandet.</w:t>
            </w:r>
          </w:p>
        </w:tc>
        <w:tc>
          <w:tcPr>
            <w:tcW w:w="4876" w:type="dxa"/>
          </w:tcPr>
          <w:p w:rsidR="00AE4942" w:rsidRPr="00A27E36" w:rsidRDefault="00AE4942" w:rsidP="00A752A9">
            <w:pPr>
              <w:pStyle w:val="Normal6"/>
              <w:rPr>
                <w:color w:val="000000" w:themeColor="text1"/>
                <w:szCs w:val="24"/>
              </w:rPr>
            </w:pP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(b)</w:t>
            </w:r>
            <w:r w:rsidRPr="00A27E36">
              <w:rPr>
                <w:b/>
                <w:i/>
                <w:color w:val="000000" w:themeColor="text1"/>
              </w:rPr>
              <w:tab/>
              <w:t>Statistik med en periodicitet på ett år senast tre arbetsdagar efter det nationella offentliggörandet.</w:t>
            </w:r>
          </w:p>
        </w:tc>
        <w:tc>
          <w:tcPr>
            <w:tcW w:w="4876" w:type="dxa"/>
          </w:tcPr>
          <w:p w:rsidR="00AE4942" w:rsidRPr="00A27E36" w:rsidRDefault="00AE4942" w:rsidP="00A752A9">
            <w:pPr>
              <w:pStyle w:val="Normal6"/>
              <w:rPr>
                <w:color w:val="000000" w:themeColor="text1"/>
                <w:szCs w:val="24"/>
              </w:rPr>
            </w:pP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(c)</w:t>
            </w:r>
            <w:r w:rsidRPr="00A27E36">
              <w:rPr>
                <w:b/>
                <w:i/>
                <w:color w:val="000000" w:themeColor="text1"/>
              </w:rPr>
              <w:tab/>
              <w:t>Statistik med en periodicitet på flera år och ett decennium senast sju arbetsdagar efter det nationella offentliggörandet.</w:t>
            </w:r>
          </w:p>
        </w:tc>
        <w:tc>
          <w:tcPr>
            <w:tcW w:w="4876" w:type="dxa"/>
          </w:tcPr>
          <w:p w:rsidR="00AE4942" w:rsidRPr="00A27E36" w:rsidRDefault="00AE4942" w:rsidP="00A752A9">
            <w:pPr>
              <w:pStyle w:val="Normal6"/>
              <w:rPr>
                <w:color w:val="000000" w:themeColor="text1"/>
                <w:szCs w:val="24"/>
              </w:rPr>
            </w:pP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Uppgifter som offentliggörs på nationell nivå kan presenteras i helt annat format och tillämpningsområde än de datamängder som överförs till kommissionen på grundval av denna förordning. Att förbereda sig för en lämplig form som bygger på denna förordning kan vara en ganska svår uppgift. Därför kan medlemsstaterna tvingas att skjuta upp nationella publikationer för att hålla tidsfrister enligt punkt 2, vilket skulle vara till nackdel för användarna. Sådana tidigare överföringar av uppgifter kan snarare bli föremål för överenskommelser på operativ (Eurostat) nivå, särskilt med tanke på de befintliga exemplen.</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8 – punkt 3 – stycke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De reviderade datauppsättningarna och metadata ska tillhandahållas inom de tidsfrister som anges i punkt 2 i denna artikel och kompletteras med kvalitetsrapporter i enlighet med artikel 12.</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 xml:space="preserve">De reviderade datauppsättningarna och metadata ska tillhandahållas inom de tidsfrister som anges i punkt 2 i denna artikel och kompletteras med kvalitetsrapporter i enlighet med artikel 12. </w:t>
            </w:r>
            <w:r w:rsidRPr="00A27E36">
              <w:rPr>
                <w:b/>
                <w:i/>
                <w:color w:val="000000" w:themeColor="text1"/>
              </w:rPr>
              <w:t>Medlemsstaterna ska underrätta kommissionen om beslutet att revidera vissa datauppsättningar så snart beslutet har fattats.</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8 – punkt 3 – stycke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 xml:space="preserve">De reviderade datauppsättningarna och metadata ska tillhandahållas inom </w:t>
            </w:r>
            <w:r w:rsidRPr="00A27E36">
              <w:rPr>
                <w:b/>
                <w:i/>
                <w:color w:val="000000" w:themeColor="text1"/>
              </w:rPr>
              <w:t>de tidsfrister som anges i punkt 2 i denna artikel och kompletteras med kvalitetsrapporter i enlighet med artikel 12</w:t>
            </w:r>
            <w:r w:rsidRPr="00A27E36">
              <w:rPr>
                <w:color w:val="000000" w:themeColor="text1"/>
              </w:rPr>
              <w:t>.</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 xml:space="preserve">De reviderade datauppsättningarna och metadata ska tillhandahållas inom </w:t>
            </w:r>
            <w:r w:rsidRPr="00A27E36">
              <w:rPr>
                <w:b/>
                <w:i/>
                <w:color w:val="000000" w:themeColor="text1"/>
              </w:rPr>
              <w:t>40</w:t>
            </w:r>
            <w:r w:rsidR="008D1606">
              <w:rPr>
                <w:b/>
                <w:i/>
                <w:color w:val="000000" w:themeColor="text1"/>
              </w:rPr>
              <w:t> </w:t>
            </w:r>
            <w:r w:rsidRPr="00A27E36">
              <w:rPr>
                <w:b/>
                <w:i/>
                <w:color w:val="000000" w:themeColor="text1"/>
              </w:rPr>
              <w:t>arbetsdagar</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De tidsfrister för överföring som anges i punkt 2 är för korta och bör förlängas för att begränsa den extra bördan för de nationella statistikbyråerna.</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9 – punkt 1 – inledningen</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Medlemsstaterna och kommissionen (Eurostat) ska använda en eller en kombination av följande uppgiftskällor, förutsatt att de gör det möjligt att framställa statistik som uppfyller kvalitetskraven i artikel 12:</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Medlemsstaterna och kommissionen (Eurostat) ska använda en eller en kombination av följande uppgiftskällor, </w:t>
            </w:r>
            <w:r w:rsidRPr="00A27E36">
              <w:rPr>
                <w:b/>
                <w:i/>
                <w:color w:val="000000" w:themeColor="text1"/>
              </w:rPr>
              <w:t>förutsatt att uppgifterna samlas in och behandlas i enlighet med de skyddsåtgärder som fastställs i tillämplig EU-lagstiftning om uppgiftsskydd och</w:t>
            </w:r>
            <w:r w:rsidRPr="00A27E36">
              <w:rPr>
                <w:color w:val="000000" w:themeColor="text1"/>
              </w:rPr>
              <w:t xml:space="preserve"> förutsatt att de gör det möjligt att framställa statistik som uppfyller kvalitetskraven i artikel 12:</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99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9 – punkt 1 – led d</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(d)</w:t>
            </w:r>
            <w:r w:rsidRPr="00A27E36">
              <w:rPr>
                <w:color w:val="000000" w:themeColor="text1"/>
              </w:rPr>
              <w:tab/>
              <w:t>Vidareutnyttjande av uppgifter som härrör från datadelning mellan nationella statistikmyndigheter och kommissionen (Eurostat) inom det europeiska statistiksystemet.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(d)</w:t>
            </w:r>
            <w:r w:rsidRPr="00A27E36">
              <w:rPr>
                <w:color w:val="000000" w:themeColor="text1"/>
              </w:rPr>
              <w:tab/>
              <w:t xml:space="preserve">Vidareutnyttjande av uppgifter som härrör från </w:t>
            </w:r>
            <w:r w:rsidRPr="00A27E36">
              <w:rPr>
                <w:b/>
                <w:i/>
                <w:color w:val="000000" w:themeColor="text1"/>
              </w:rPr>
              <w:t>frivillig</w:t>
            </w:r>
            <w:r w:rsidRPr="00A27E36">
              <w:rPr>
                <w:color w:val="000000" w:themeColor="text1"/>
              </w:rPr>
              <w:t xml:space="preserve"> datadelning mellan nationella statistikmyndigheter och kommissionen (Eurostat) inom det europeiska statistiksystemet.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9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Medlemsstaterna ska bedöma och övervaka kvaliteten på sina uppgiftskällor</w:t>
            </w:r>
            <w:r w:rsidRPr="00A27E36">
              <w:rPr>
                <w:b/>
                <w:i/>
                <w:color w:val="000000" w:themeColor="text1"/>
              </w:rPr>
              <w:t>, inbegripet administrativa register och andra lämpliga källor som används</w:t>
            </w:r>
            <w:r w:rsidRPr="00A27E36">
              <w:rPr>
                <w:color w:val="000000" w:themeColor="text1"/>
              </w:rPr>
              <w: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w:t>
            </w:r>
            <w:r w:rsidRPr="00A27E36">
              <w:rPr>
                <w:color w:val="000000" w:themeColor="text1"/>
              </w:rPr>
              <w:tab/>
              <w:t>Medlemsstaterna ska bedöma och övervaka kvaliteten på sina uppgiftskällor.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Det finns ingen anledning att särskilt uppmärksamma en av källorna. Alla uppgiftskällor bör vara av liknande hög kvalitet.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9 – punkt 4</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4.</w:t>
            </w:r>
            <w:r w:rsidRPr="00A27E36">
              <w:rPr>
                <w:color w:val="000000" w:themeColor="text1"/>
              </w:rPr>
              <w:tab/>
              <w:t>Den statistik som sammanställs enligt denna förordning ska baseras på statistiskt sunda och väldokumenterade metoder som tar hänsyn till internationella rekommendationer och bästa praxis såsom livstecken, andel kvarstannande och andra vetenskapligt baserade statistiska skattningsmetoder som används för att sammanställa den stadigvarande bofasta befolkningen i medlemsstaterna.</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4.</w:t>
            </w:r>
            <w:r w:rsidRPr="00A27E36">
              <w:rPr>
                <w:color w:val="000000" w:themeColor="text1"/>
              </w:rPr>
              <w:tab/>
              <w:t>Den statistik som sammanställs enligt denna förordning ska baseras på statistiskt sunda och väldokumenterade metoder som tar hänsyn till internationella rekommendationer och bästa praxis såsom livstecken, andel kvarstannande och andra vetenskapligt baserade statistiska skattningsmetoder som används för att sammanställa den stadigvarande bofasta befolkningen i medlemsstaterna</w:t>
            </w:r>
            <w:r w:rsidRPr="00A27E36">
              <w:rPr>
                <w:b/>
                <w:i/>
                <w:color w:val="000000" w:themeColor="text1"/>
              </w:rPr>
              <w:t>, förutsatt att lämpliga åtgärder för att skydda de registrerades rättigheter och friheter respekteras</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9 – punkt 5</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5.</w:t>
            </w:r>
            <w:r w:rsidRPr="00A27E36">
              <w:rPr>
                <w:color w:val="000000" w:themeColor="text1"/>
              </w:rPr>
              <w:tab/>
              <w:t xml:space="preserve">På begäran </w:t>
            </w:r>
            <w:r w:rsidRPr="00A27E36">
              <w:rPr>
                <w:b/>
                <w:i/>
                <w:color w:val="000000" w:themeColor="text1"/>
              </w:rPr>
              <w:t>för att bedöma den statistiska kvaliteten</w:t>
            </w:r>
            <w:r w:rsidRPr="00A27E36">
              <w:rPr>
                <w:color w:val="000000" w:themeColor="text1"/>
              </w:rPr>
              <w:t xml:space="preserve"> ska medlemsstaterna förse kommissionen (Eurostat) med resultaten av bedömningen av uppgiftskällorna, dokumentationen av metoder och nödvändiga förtydliganden.</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5.</w:t>
            </w:r>
            <w:r w:rsidRPr="00A27E36">
              <w:rPr>
                <w:color w:val="000000" w:themeColor="text1"/>
              </w:rPr>
              <w:tab/>
              <w:t xml:space="preserve">På </w:t>
            </w:r>
            <w:r w:rsidRPr="00A27E36">
              <w:rPr>
                <w:b/>
                <w:i/>
                <w:color w:val="000000" w:themeColor="text1"/>
              </w:rPr>
              <w:t>vederbörligen motiverad</w:t>
            </w:r>
            <w:r w:rsidRPr="00A27E36">
              <w:rPr>
                <w:color w:val="000000" w:themeColor="text1"/>
              </w:rPr>
              <w:t xml:space="preserve"> begäran </w:t>
            </w:r>
            <w:r w:rsidRPr="00A27E36">
              <w:rPr>
                <w:b/>
                <w:i/>
                <w:color w:val="000000" w:themeColor="text1"/>
              </w:rPr>
              <w:t>av kommissionen (Eurostat)</w:t>
            </w:r>
            <w:r w:rsidRPr="00A27E36">
              <w:rPr>
                <w:color w:val="000000" w:themeColor="text1"/>
              </w:rPr>
              <w:t xml:space="preserve"> ska medlemsstaterna förse kommissionen (Eurostat) med resultaten av bedömningen av uppgiftskällorna, dokumentationen av metoder och nödvändiga förtydliganden.</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Den ordalydelse som används i förordningen om integrerad europeisk social statistik (förordning EU 2019/1700) verkar lämpligare.</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10 – punkt 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Nationella myndigheter med ansvar för administrativa uppgiftskällor som är relevanta för tillämpningen av denna förordning ska tillåta vidareutnyttjande av dessa uppgifter i tillräckligt god tid och med tillräcklig frekvens för att statistik ska kunna framställas och lämnas in inom tidsfristerna och i enlighet med de särskilda kvalitetskraven enligt denna förordning. Snabb tillgång till administrativa register, och de operativa formerna för detta, ska omfattas av samarbetsavtal som ska upprättas mellan dessa nationella myndigheter och de nationella statistikmyndigheterna.</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Nationella myndigheter med ansvar för administrativa uppgiftskällor som är relevanta för tillämpningen av denna förordning ska tillåta vidareutnyttjande av dessa uppgifter i tillräckligt god tid och med tillräcklig frekvens för att statistik ska kunna framställas och lämnas in inom tidsfristerna och i enlighet med de särskilda kvalitetskraven enligt denna förordning. Snabb tillgång till administrativa register, och de operativa formerna för detta, ska omfattas av samarbetsavtal som ska upprättas mellan dessa nationella myndigheter och de nationella statistikmyndigheterna </w:t>
            </w:r>
            <w:r w:rsidRPr="00A27E36">
              <w:rPr>
                <w:b/>
                <w:i/>
                <w:color w:val="000000" w:themeColor="text1"/>
              </w:rPr>
              <w:t>eller i relevanta nationella rättsakter som definierar tillgången till relevanta uppgiftskällor</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Medlemsstaterna bör själva bestämma hur de ska komma överens med de nationella uppgiftslämnarna, eftersom det finns skillnader i administrativa förutsättningar och rättsliga förfaranden. Därför bör bestämmelsen vara mer flexibel här.</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2 – led b</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(b)</w:t>
            </w:r>
            <w:r w:rsidRPr="00A27E36">
              <w:rPr>
                <w:b/>
                <w:i/>
                <w:color w:val="000000" w:themeColor="text1"/>
              </w:rPr>
              <w:tab/>
              <w:t>inkludera eller skatta befolkningsgrupper som är svåra att nå,</w:t>
            </w: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utgår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pStyle w:val="JustificationTitle"/>
        <w:rPr>
          <w:noProof w:val="0"/>
          <w:color w:val="000000" w:themeColor="text1"/>
        </w:rPr>
      </w:pPr>
      <w:r w:rsidRPr="00A27E36">
        <w:rPr>
          <w:rStyle w:val="HideTWBExt"/>
          <w:i w:val="0"/>
        </w:rPr>
        <w:t>&lt;TitreJust&gt;</w:t>
      </w:r>
      <w:r w:rsidRPr="00A27E36">
        <w:rPr>
          <w:color w:val="000000" w:themeColor="text1"/>
        </w:rPr>
        <w:t>Motivering</w:t>
      </w:r>
      <w:r w:rsidRPr="00A27E36">
        <w:rPr>
          <w:rStyle w:val="HideTWBExt"/>
          <w:i w:val="0"/>
        </w:rPr>
        <w:t>&lt;/TitreJust&gt;</w:t>
      </w:r>
    </w:p>
    <w:p w:rsidR="00AE4942" w:rsidRPr="00A27E36" w:rsidRDefault="00AE4942" w:rsidP="00AE4942">
      <w:pPr>
        <w:pStyle w:val="Normal12Italic"/>
        <w:rPr>
          <w:noProof w:val="0"/>
          <w:color w:val="000000" w:themeColor="text1"/>
        </w:rPr>
      </w:pPr>
      <w:r w:rsidRPr="00A27E36">
        <w:rPr>
          <w:color w:val="000000" w:themeColor="text1"/>
        </w:rPr>
        <w:t>Eftersom det inte finns några allmänt accepterade källor eller metoder för att följa denna bestämmelse verkar det vara för tidigt att lagstifta i denna fråga.</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2 – led ba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(ba)</w:t>
            </w:r>
            <w:r w:rsidRPr="00A27E36">
              <w:rPr>
                <w:b/>
                <w:i/>
                <w:color w:val="000000" w:themeColor="text1"/>
              </w:rPr>
              <w:tab/>
              <w:t>i förekommande fall uppgifter uppdelade efter ålder, kön, funktionsnedsättning, socioekonomisk status och andra kännetecken, i enlighet med FN:s grundläggande principer för officiell statistik,</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2 – led d</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(d)</w:t>
            </w:r>
            <w:r w:rsidRPr="00A27E36">
              <w:rPr>
                <w:b/>
                <w:i/>
                <w:color w:val="000000" w:themeColor="text1"/>
              </w:rPr>
              <w:tab/>
              <w:t>fastställa ramar som är lämpliga för de syften som anges i denna förordning och i artikel 12 i förordning (EU) 2019/1700,</w:t>
            </w: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utgår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2 – led e</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(e)</w:t>
            </w:r>
            <w:r w:rsidRPr="00A27E36">
              <w:rPr>
                <w:color w:val="000000" w:themeColor="text1"/>
              </w:rPr>
              <w:tab/>
              <w:t>undvika eventuella risker för underskattning eller dubbelräkning i samband med den fria rörligheten för personer i unionen, personers tillgång till gränsöverskridande tjänster i samband med demografiska händelser och personers rätt att köpa, äga och använda bostadsfastigheter över gränserna i hela unionen,</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(e)</w:t>
            </w:r>
            <w:r w:rsidRPr="00A27E36">
              <w:rPr>
                <w:color w:val="000000" w:themeColor="text1"/>
              </w:rPr>
              <w:tab/>
              <w:t>undvika eventuella risker för underskattning eller dubbelräkning i samband med den fria rörligheten för personer i unionen, personers tillgång till gränsöverskridande tjänster i samband med demografiska händelser och personers rätt att köpa, äga och använda bostadsfastigheter över gränserna i hela unionen</w:t>
            </w:r>
            <w:r w:rsidRPr="00A27E36">
              <w:rPr>
                <w:b/>
                <w:i/>
                <w:color w:val="000000" w:themeColor="text1"/>
              </w:rPr>
              <w:t>, inte minst genom införandet av gemensamma digitala identifierare</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2 – led f</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(f)</w:t>
            </w:r>
            <w:r w:rsidRPr="00A27E36">
              <w:rPr>
                <w:color w:val="000000" w:themeColor="text1"/>
              </w:rPr>
              <w:tab/>
            </w:r>
            <w:r w:rsidRPr="00A27E36">
              <w:rPr>
                <w:b/>
                <w:i/>
                <w:color w:val="000000" w:themeColor="text1"/>
              </w:rPr>
              <w:t>minska</w:t>
            </w:r>
            <w:r w:rsidRPr="00A27E36">
              <w:rPr>
                <w:color w:val="000000" w:themeColor="text1"/>
              </w:rPr>
              <w:t xml:space="preserve"> asymmetrierna i migrationsströmmarna,</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(f)</w:t>
            </w:r>
            <w:r w:rsidRPr="00A27E36">
              <w:rPr>
                <w:color w:val="000000" w:themeColor="text1"/>
              </w:rPr>
              <w:tab/>
            </w:r>
            <w:r w:rsidRPr="00A27E36">
              <w:rPr>
                <w:b/>
                <w:i/>
                <w:color w:val="000000" w:themeColor="text1"/>
              </w:rPr>
              <w:t>undvika eventuella risker för underskattning eller dubbelräkning avseende</w:t>
            </w:r>
            <w:r w:rsidRPr="00A27E36">
              <w:rPr>
                <w:color w:val="000000" w:themeColor="text1"/>
              </w:rPr>
              <w:t xml:space="preserve"> asymmetrierna i migrationsströmmarna,</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109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2 – led g</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(g)</w:t>
            </w:r>
            <w:r w:rsidRPr="00A27E36">
              <w:rPr>
                <w:b/>
                <w:i/>
                <w:color w:val="000000" w:themeColor="text1"/>
              </w:rPr>
              <w:tab/>
              <w:t>lämna alla uppgifter till kommissionen (Eurostat) som behövs för att säkerställa att den offentliggjorda europeiska statistiken är fullständig.</w:t>
            </w: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utgår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4</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4.</w:t>
            </w:r>
            <w:r w:rsidRPr="00A27E36">
              <w:rPr>
                <w:color w:val="000000" w:themeColor="text1"/>
              </w:rPr>
              <w:tab/>
              <w:t>Kommissionen ska anta genomförandeakter som fastställer praktiska arrangemang för kvalitetsrapporterna och deras innehåll. Dessa genomförandeakter ska antas i enlighet med det granskningsförfarande som avses i artikel 18.2.</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4.</w:t>
            </w:r>
            <w:r w:rsidRPr="00A27E36">
              <w:rPr>
                <w:color w:val="000000" w:themeColor="text1"/>
              </w:rPr>
              <w:tab/>
              <w:t xml:space="preserve">Kommissionen ska anta genomförandeakter som fastställer praktiska arrangemang för kvalitetsrapporterna och deras innehåll. Dessa genomförandeakter ska antas i enlighet med det granskningsförfarande som avses i artikel 18.2 </w:t>
            </w:r>
            <w:r w:rsidRPr="00A27E36">
              <w:rPr>
                <w:b/>
                <w:i/>
                <w:color w:val="000000" w:themeColor="text1"/>
              </w:rPr>
              <w:t>och får inte medföra någon betydande extra börda och kostnad för medlemsstaterna</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5</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5.</w:t>
            </w:r>
            <w:r w:rsidRPr="00A27E36">
              <w:rPr>
                <w:color w:val="000000" w:themeColor="text1"/>
              </w:rPr>
              <w:tab/>
              <w:t>Medlemsstaterna ska informera kommissionen (Eurostat) så snart som möjligt om alla relevanta upplysningar eller förändringar som rör genomförandet av denna förordning och som kan påverka kvaliteten på den statistik som tillhandahålls.</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5.</w:t>
            </w:r>
            <w:r w:rsidRPr="00A27E36">
              <w:rPr>
                <w:color w:val="000000" w:themeColor="text1"/>
              </w:rPr>
              <w:tab/>
              <w:t xml:space="preserve">Medlemsstaterna ska informera kommissionen (Eurostat) så snart som möjligt om alla relevanta upplysningar eller förändringar som rör genomförandet av denna förordning och som kan påverka kvaliteten på den statistik som tillhandahålls. </w:t>
            </w:r>
            <w:r w:rsidRPr="00A27E36">
              <w:rPr>
                <w:b/>
                <w:i/>
                <w:color w:val="000000" w:themeColor="text1"/>
              </w:rPr>
              <w:t>Medlemsstaterna ska åtgärda de orsaker som kan påverka kvaliteten på den statistik som tillhandahålls så snart som möjligt och senast fyra månader efter det att statistiken har tillhandahållits.</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6</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6.</w:t>
            </w:r>
            <w:r w:rsidRPr="00A27E36">
              <w:rPr>
                <w:color w:val="000000" w:themeColor="text1"/>
              </w:rPr>
              <w:tab/>
              <w:t xml:space="preserve">På begäran av kommissionen (Eurostat) ska medlemsstaterna tillhandahålla </w:t>
            </w:r>
            <w:r w:rsidRPr="00A27E36">
              <w:rPr>
                <w:b/>
                <w:i/>
                <w:color w:val="000000" w:themeColor="text1"/>
              </w:rPr>
              <w:t>de</w:t>
            </w:r>
            <w:r w:rsidRPr="00A27E36">
              <w:rPr>
                <w:color w:val="000000" w:themeColor="text1"/>
              </w:rPr>
              <w:t xml:space="preserve"> kompletterande </w:t>
            </w:r>
            <w:r w:rsidRPr="00A27E36">
              <w:rPr>
                <w:b/>
                <w:i/>
                <w:color w:val="000000" w:themeColor="text1"/>
              </w:rPr>
              <w:t>klargöranden</w:t>
            </w:r>
            <w:r w:rsidRPr="00A27E36">
              <w:rPr>
                <w:color w:val="000000" w:themeColor="text1"/>
              </w:rPr>
              <w:t xml:space="preserve"> som är nödvändiga för att utvärdera </w:t>
            </w:r>
            <w:r w:rsidRPr="00A27E36">
              <w:rPr>
                <w:b/>
                <w:i/>
                <w:color w:val="000000" w:themeColor="text1"/>
              </w:rPr>
              <w:t>statistikens</w:t>
            </w:r>
            <w:r w:rsidRPr="00A27E36">
              <w:rPr>
                <w:color w:val="000000" w:themeColor="text1"/>
              </w:rPr>
              <w:t xml:space="preserve"> kvalitet.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6.</w:t>
            </w:r>
            <w:r w:rsidRPr="00A27E36">
              <w:rPr>
                <w:color w:val="000000" w:themeColor="text1"/>
              </w:rPr>
              <w:tab/>
              <w:t xml:space="preserve">På </w:t>
            </w:r>
            <w:r w:rsidRPr="00A27E36">
              <w:rPr>
                <w:b/>
                <w:i/>
                <w:color w:val="000000" w:themeColor="text1"/>
              </w:rPr>
              <w:t>vederbörligen motiverad</w:t>
            </w:r>
            <w:r w:rsidRPr="00A27E36">
              <w:rPr>
                <w:color w:val="000000" w:themeColor="text1"/>
              </w:rPr>
              <w:t xml:space="preserve"> begäran av kommissionen (Eurostat) ska medlemsstaterna tillhandahålla </w:t>
            </w:r>
            <w:r w:rsidRPr="00A27E36">
              <w:rPr>
                <w:b/>
                <w:i/>
                <w:color w:val="000000" w:themeColor="text1"/>
              </w:rPr>
              <w:t>det</w:t>
            </w:r>
            <w:r w:rsidRPr="00A27E36">
              <w:rPr>
                <w:color w:val="000000" w:themeColor="text1"/>
              </w:rPr>
              <w:t xml:space="preserve"> kompletterande </w:t>
            </w:r>
            <w:r w:rsidRPr="00A27E36">
              <w:rPr>
                <w:b/>
                <w:i/>
                <w:color w:val="000000" w:themeColor="text1"/>
              </w:rPr>
              <w:t>klargörande</w:t>
            </w:r>
            <w:r w:rsidRPr="00A27E36">
              <w:rPr>
                <w:color w:val="000000" w:themeColor="text1"/>
              </w:rPr>
              <w:t xml:space="preserve"> som krävs för att utvärdera </w:t>
            </w:r>
            <w:r w:rsidRPr="00A27E36">
              <w:rPr>
                <w:b/>
                <w:i/>
                <w:color w:val="000000" w:themeColor="text1"/>
              </w:rPr>
              <w:t>de statistiska uppgifternas</w:t>
            </w:r>
            <w:r w:rsidRPr="00A27E36">
              <w:rPr>
                <w:color w:val="000000" w:themeColor="text1"/>
              </w:rPr>
              <w:t xml:space="preserve"> kvalitet.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6</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6.</w:t>
            </w:r>
            <w:r w:rsidRPr="00A27E36">
              <w:rPr>
                <w:color w:val="000000" w:themeColor="text1"/>
              </w:rPr>
              <w:tab/>
              <w:t>På begäran av kommissionen (Eurostat) ska medlemsstaterna tillhandahålla de kompletterande klargöranden som är nödvändiga för att utvärdera statistikens kvalitet.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6.</w:t>
            </w:r>
            <w:r w:rsidRPr="00A27E36">
              <w:rPr>
                <w:color w:val="000000" w:themeColor="text1"/>
              </w:rPr>
              <w:tab/>
              <w:t xml:space="preserve">På begäran av kommissionen (Eurostat) ska medlemsstaterna tillhandahålla de kompletterande klargöranden som är nödvändiga för att utvärdera statistikens kvalitet. </w:t>
            </w:r>
            <w:r w:rsidRPr="00A27E36">
              <w:rPr>
                <w:b/>
                <w:i/>
                <w:color w:val="000000" w:themeColor="text1"/>
              </w:rPr>
              <w:t>Kommissionen har rätt att anordna besök hos medlemsstaternas nationella statistikmyndigheter om statistikens kvalitet inte uppfylls.</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Milan Brglez, Gabriele Bischoff, João Albuquerque, Vilija Blinkevičiūtė, Elisabetta</w:t>
      </w:r>
      <w:r w:rsidR="008D1606">
        <w:rPr>
          <w:color w:val="000000" w:themeColor="text1"/>
        </w:rPr>
        <w:t> </w:t>
      </w:r>
      <w:r w:rsidRPr="00A27E36">
        <w:rPr>
          <w:color w:val="000000" w:themeColor="text1"/>
        </w:rPr>
        <w:t>Gualmini, Agnes Jongerius, Aurore Lalucq, Marc Angel, Klára Dobrev, Estrella Durá Ferrandis, Alicia Homs Ginel, Daniela Rondinelli, Ilan De Basso, Carina</w:t>
      </w:r>
      <w:r w:rsidR="008D1606">
        <w:rPr>
          <w:color w:val="000000" w:themeColor="text1"/>
        </w:rPr>
        <w:t> </w:t>
      </w:r>
      <w:r w:rsidRPr="00A27E36">
        <w:rPr>
          <w:color w:val="000000" w:themeColor="text1"/>
        </w:rPr>
        <w:t>Ohlsson, Lina Gálvez Muñoz</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12 – punkt 6</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6.</w:t>
            </w:r>
            <w:r w:rsidRPr="00A27E36">
              <w:rPr>
                <w:color w:val="000000" w:themeColor="text1"/>
              </w:rPr>
              <w:tab/>
              <w:t>På begäran av kommissionen (Eurostat) ska medlemsstaterna tillhandahålla de kompletterande klargöranden som är nödvändiga för att utvärdera statistikens kvalitet.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6.</w:t>
            </w:r>
            <w:r w:rsidRPr="00A27E36">
              <w:rPr>
                <w:color w:val="000000" w:themeColor="text1"/>
              </w:rPr>
              <w:tab/>
              <w:t xml:space="preserve">På begäran av kommissionen (Eurostat) ska medlemsstaterna tillhandahålla de kompletterande klargöranden som är nödvändiga för att utvärdera statistikens kvalitet </w:t>
            </w:r>
            <w:r w:rsidRPr="00A27E36">
              <w:rPr>
                <w:b/>
                <w:i/>
                <w:color w:val="000000" w:themeColor="text1"/>
              </w:rPr>
              <w:t>utan onödigt dröjsmål</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13 – punkt 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 xml:space="preserve">Uppgifter </w:t>
            </w:r>
            <w:r w:rsidRPr="00A27E36">
              <w:rPr>
                <w:b/>
                <w:i/>
                <w:color w:val="000000" w:themeColor="text1"/>
              </w:rPr>
              <w:t>ska</w:t>
            </w:r>
            <w:r w:rsidRPr="00A27E36">
              <w:rPr>
                <w:color w:val="000000" w:themeColor="text1"/>
              </w:rPr>
              <w:t xml:space="preserve"> utbytas mellan de behöriga nationella myndigheterna i olika medlemsstater och mellan dessa behöriga nationella myndigheter och kommissionen (Eurostat), uteslutande i syfte att utveckla och framställa europeisk statistik som omfattas av denna förordning och att förbättra dess kvalitet.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Uppgifter </w:t>
            </w:r>
            <w:r w:rsidRPr="00A27E36">
              <w:rPr>
                <w:b/>
                <w:i/>
                <w:color w:val="000000" w:themeColor="text1"/>
              </w:rPr>
              <w:t>får</w:t>
            </w:r>
            <w:r w:rsidRPr="00A27E36">
              <w:rPr>
                <w:color w:val="000000" w:themeColor="text1"/>
              </w:rPr>
              <w:t xml:space="preserve"> utbytas mellan de behöriga nationella myndigheterna i olika medlemsstater och mellan dessa behöriga nationella myndigheter och kommissionen (Eurostat), uteslutande i syfte att utveckla och framställa europeisk statistik som omfattas av denna förordning och att förbättra dess kvalitet.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13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 xml:space="preserve">För att åstadkomma en säker datadelning inom ESS ska alla nödvändiga skyddsåtgärder vidtas med avseende på det fysiska och logiska skyddet av uppgifter. Kommissionen (Eurostat) ska inrätta en säker infrastruktur för att underlätta den datadelning som avses i punkt 1. Behöriga nationella myndigheter för statistik enligt denna förordning </w:t>
            </w:r>
            <w:r w:rsidRPr="00A27E36">
              <w:rPr>
                <w:b/>
                <w:i/>
                <w:color w:val="000000" w:themeColor="text1"/>
              </w:rPr>
              <w:t>får</w:t>
            </w:r>
            <w:r w:rsidRPr="00A27E36">
              <w:rPr>
                <w:color w:val="000000" w:themeColor="text1"/>
              </w:rPr>
              <w:t xml:space="preserve"> använda denna säkra infrastruktur för datadelning för det ändamål som anges i punkt 1.</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w:t>
            </w:r>
            <w:r w:rsidRPr="00A27E36">
              <w:rPr>
                <w:color w:val="000000" w:themeColor="text1"/>
              </w:rPr>
              <w:tab/>
              <w:t>För att åstadkomma en säker datadelning inom ESS ska alla nödvändiga skyddsåtgärder vidtas med avseende på det fysiska</w:t>
            </w:r>
            <w:r w:rsidRPr="00A27E36">
              <w:rPr>
                <w:b/>
                <w:i/>
                <w:color w:val="000000" w:themeColor="text1"/>
              </w:rPr>
              <w:t>, tekniska</w:t>
            </w:r>
            <w:r w:rsidRPr="00A27E36">
              <w:rPr>
                <w:color w:val="000000" w:themeColor="text1"/>
              </w:rPr>
              <w:t xml:space="preserve"> och logiska skyddet av uppgifter. Kommissionen (Eurostat) ska inrätta en säker infrastruktur för att underlätta den datadelning som avses i punkt 1. Behöriga nationella myndigheter för statistik enligt denna förordning </w:t>
            </w:r>
            <w:r w:rsidRPr="00A27E36">
              <w:rPr>
                <w:b/>
                <w:i/>
                <w:color w:val="000000" w:themeColor="text1"/>
              </w:rPr>
              <w:t>ska</w:t>
            </w:r>
            <w:r w:rsidRPr="00A27E36">
              <w:rPr>
                <w:color w:val="000000" w:themeColor="text1"/>
              </w:rPr>
              <w:t xml:space="preserve"> använda denna säkra infrastruktur för datadelning för det ändamål som anges i punkt 1.</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13 – punkt 3 – led b</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(b)</w:t>
            </w:r>
            <w:r w:rsidRPr="00A27E36">
              <w:rPr>
                <w:color w:val="000000" w:themeColor="text1"/>
              </w:rPr>
              <w:tab/>
            </w:r>
            <w:r w:rsidRPr="00A27E36">
              <w:rPr>
                <w:b/>
                <w:i/>
                <w:color w:val="000000" w:themeColor="text1"/>
              </w:rPr>
              <w:t>företrädesvis</w:t>
            </w:r>
            <w:r w:rsidRPr="00A27E36">
              <w:rPr>
                <w:color w:val="000000" w:themeColor="text1"/>
              </w:rPr>
              <w:t xml:space="preserve"> på grundval av integritetsfrämjande teknik som är särskilt utformad för att genomföra principerna i förordningarna (EU) 2016/679 och (EU) 2018/1725, med särskild hänsyn till ändamålsbegränsning, uppgiftsminimering, lagringsbegränsning, integritet och konfidentialitet.</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(b)</w:t>
            </w:r>
            <w:r w:rsidRPr="00A27E36">
              <w:rPr>
                <w:color w:val="000000" w:themeColor="text1"/>
              </w:rPr>
              <w:tab/>
              <w:t>på grundval av integritetsfrämjande teknik som är särskilt utformad för att genomföra principerna i förordningarna (EU) 2016/679 och (EU) 2018/1725, med särskild hänsyn till ändamålsbegränsning, uppgiftsminimering, lagringsbegränsning, integritet och konfidentialitet.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13 – punkt 3 – led ba (nytt)</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(ba)</w:t>
            </w:r>
            <w:r w:rsidRPr="00A27E36">
              <w:rPr>
                <w:b/>
                <w:i/>
                <w:color w:val="000000" w:themeColor="text1"/>
              </w:rPr>
              <w:tab/>
              <w:t>förutsatt att villkoret för att säkerställa nödvändigt skydd av personuppgifter, nämligen anonymisering eller pseudonymisering, är uppfyllt.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119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13 – punkt 5</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b/>
                <w:i/>
                <w:color w:val="000000" w:themeColor="text1"/>
              </w:rPr>
              <w:t>5.</w:t>
            </w:r>
            <w:r w:rsidRPr="00A27E36">
              <w:rPr>
                <w:b/>
                <w:i/>
                <w:color w:val="000000" w:themeColor="text1"/>
              </w:rPr>
              <w:tab/>
              <w:t>Om pilotstudierna enligt punkt 4 i denna artikel identifierar effektiva och säkra datadelningslösningar för de ändamål som avses i punkt 1 får kommissionen anta genomförandeakter för att fastställa tekniska specifikationer för datadelningen och åtgärder för informationens konfidentialitet och säkerhet. Dessa genomförandeakter ska antas i enlighet med det granskningsförfarande som avses i artikel 18.2.</w:t>
            </w: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utgår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14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Medlemsstaterna får delta i dessa studier men ska tillsammans med kommissionen (Eurostat) säkerställa att dessa studier är representativa på unionsnivå.</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2.</w:t>
            </w:r>
            <w:r w:rsidRPr="00A27E36">
              <w:rPr>
                <w:color w:val="000000" w:themeColor="text1"/>
              </w:rPr>
              <w:tab/>
              <w:t xml:space="preserve">Medlemsstaterna får delta i dessa studier men ska tillsammans med kommissionen (Eurostat) säkerställa att dessa studier är representativa på unionsnivå </w:t>
            </w:r>
            <w:r w:rsidRPr="00A27E36">
              <w:rPr>
                <w:b/>
                <w:i/>
                <w:color w:val="000000" w:themeColor="text1"/>
              </w:rPr>
              <w:t>så att de nationella förhållandena återspeglas väl</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15 – punkt 1 – inledningen</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 xml:space="preserve">Finansiella bidrag från unionens allmänna budget </w:t>
            </w:r>
            <w:r w:rsidRPr="00A27E36">
              <w:rPr>
                <w:b/>
                <w:i/>
                <w:color w:val="000000" w:themeColor="text1"/>
              </w:rPr>
              <w:t>får</w:t>
            </w:r>
            <w:r w:rsidRPr="00A27E36">
              <w:rPr>
                <w:color w:val="000000" w:themeColor="text1"/>
              </w:rPr>
              <w:t xml:space="preserve"> tillhandahållas till nationella statistikbyråer och andra nationella myndigheter som avses i artikel 5.2 i förordning (EG) nr 223/2009 för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Finansiella bidrag från unionens allmänna budget </w:t>
            </w:r>
            <w:r w:rsidRPr="00A27E36">
              <w:rPr>
                <w:b/>
                <w:i/>
                <w:color w:val="000000" w:themeColor="text1"/>
              </w:rPr>
              <w:t>ska</w:t>
            </w:r>
            <w:r w:rsidRPr="00A27E36">
              <w:rPr>
                <w:color w:val="000000" w:themeColor="text1"/>
              </w:rPr>
              <w:t xml:space="preserve"> tillhandahållas till nationella statistikbyråer och andra nationella myndigheter som avses i artikel 5.2 i förordning (EG) nr 223/2009 för</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(aa) utveckling och/eller införande av uppgiftsinsamling och förbättring av aktualitet, metoder för uppgiftsinsamling, urvalsramar och databehandling för statistik enligt denna förordning, under de första fyra åren för uppgiftsinsamlingen för varje område som omfattas av denna förordning,</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122</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15 – punkt 1 – inledningen</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 xml:space="preserve">Finansiella bidrag från unionens allmänna budget </w:t>
            </w:r>
            <w:r w:rsidRPr="00A27E36">
              <w:rPr>
                <w:b/>
                <w:i/>
                <w:color w:val="000000" w:themeColor="text1"/>
              </w:rPr>
              <w:t>får</w:t>
            </w:r>
            <w:r w:rsidRPr="00A27E36">
              <w:rPr>
                <w:color w:val="000000" w:themeColor="text1"/>
              </w:rPr>
              <w:t xml:space="preserve"> tillhandahållas till nationella statistikbyråer och andra nationella myndigheter som avses i artikel 5.2 i förordning (EG) nr 223/2009 för</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1.</w:t>
            </w:r>
            <w:r w:rsidRPr="00A27E36">
              <w:rPr>
                <w:color w:val="000000" w:themeColor="text1"/>
              </w:rPr>
              <w:tab/>
              <w:t xml:space="preserve">Finansiella bidrag från unionens allmänna budget </w:t>
            </w:r>
            <w:r w:rsidRPr="00A27E36">
              <w:rPr>
                <w:b/>
                <w:i/>
                <w:color w:val="000000" w:themeColor="text1"/>
              </w:rPr>
              <w:t>inom ramen för målen i programmet för den inre marknaden bör</w:t>
            </w:r>
            <w:r w:rsidRPr="00A27E36">
              <w:rPr>
                <w:color w:val="000000" w:themeColor="text1"/>
              </w:rPr>
              <w:t xml:space="preserve"> tillhandahållas till nationella statistikbyråer och andra nationella myndigheter som avses i artikel 5.2 i förordning (EG)</w:t>
            </w:r>
            <w:r w:rsidR="008D1606">
              <w:rPr>
                <w:color w:val="000000" w:themeColor="text1"/>
              </w:rPr>
              <w:t> </w:t>
            </w:r>
            <w:r w:rsidRPr="00A27E36">
              <w:rPr>
                <w:color w:val="000000" w:themeColor="text1"/>
              </w:rPr>
              <w:t>nr</w:t>
            </w:r>
            <w:r w:rsidR="008D1606">
              <w:rPr>
                <w:color w:val="000000" w:themeColor="text1"/>
              </w:rPr>
              <w:t> </w:t>
            </w:r>
            <w:r w:rsidRPr="00A27E36">
              <w:rPr>
                <w:color w:val="000000" w:themeColor="text1"/>
              </w:rPr>
              <w:t>223/2009 för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123</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15 – punkt 2a (ny)</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A752A9">
            <w:pPr>
              <w:pStyle w:val="Normal6"/>
              <w:rPr>
                <w:color w:val="000000" w:themeColor="text1"/>
                <w:szCs w:val="24"/>
              </w:rPr>
            </w:pPr>
            <w:r w:rsidRPr="00A27E36">
              <w:rPr>
                <w:b/>
                <w:i/>
                <w:color w:val="000000" w:themeColor="text1"/>
              </w:rPr>
              <w:t>2a.</w:t>
            </w:r>
            <w:r w:rsidRPr="00A27E36">
              <w:rPr>
                <w:b/>
                <w:i/>
                <w:color w:val="000000" w:themeColor="text1"/>
              </w:rPr>
              <w:tab/>
              <w:t>Att förbättra statistikens kvalitet och utveckla metoder som uppfyller kraven i denna förordning kan vara berättigat till stöd från instrumentet för tekniskt stöd eller annat tekniskt stöd från kommissionen, vilket också kan tillhandahållas genom utbyte av bästa praxis mellan medlemsstaterna.</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124</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17 – punkt 2</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2.</w:t>
            </w:r>
            <w:r w:rsidRPr="00A27E36">
              <w:rPr>
                <w:color w:val="000000" w:themeColor="text1"/>
              </w:rPr>
              <w:tab/>
              <w:t xml:space="preserve">Den befogenhet att anta delegerade akter som avses i artiklarna 5.3, 6.6 och 7.2 ska ges till kommissionen </w:t>
            </w:r>
            <w:r w:rsidRPr="00A27E36">
              <w:rPr>
                <w:b/>
                <w:bCs/>
                <w:i/>
                <w:iCs/>
                <w:color w:val="000000" w:themeColor="text1"/>
              </w:rPr>
              <w:t>tills vidare</w:t>
            </w:r>
            <w:r w:rsidRPr="00A27E36">
              <w:rPr>
                <w:color w:val="000000" w:themeColor="text1"/>
              </w:rPr>
              <w:t xml:space="preserve"> från och med den [OP: för in dagen för denna förordnings ikraftträdande].</w:t>
            </w:r>
          </w:p>
        </w:tc>
        <w:tc>
          <w:tcPr>
            <w:tcW w:w="4876" w:type="dxa"/>
            <w:hideMark/>
          </w:tcPr>
          <w:p w:rsidR="00AE4942" w:rsidRPr="00A27E36" w:rsidRDefault="00AE4942" w:rsidP="008D1606">
            <w:pPr>
              <w:pStyle w:val="Normal6"/>
              <w:rPr>
                <w:color w:val="000000" w:themeColor="text1"/>
                <w:szCs w:val="24"/>
              </w:rPr>
            </w:pPr>
            <w:r w:rsidRPr="00A27E36">
              <w:rPr>
                <w:color w:val="000000" w:themeColor="text1"/>
              </w:rPr>
              <w:t>2.</w:t>
            </w:r>
            <w:r w:rsidRPr="00A27E36">
              <w:rPr>
                <w:color w:val="000000" w:themeColor="text1"/>
              </w:rPr>
              <w:tab/>
              <w:t>Den befogenhet att anta delegerade akter som avses i artikel 5.3 och artikel 6.6</w:t>
            </w:r>
            <w:r w:rsidR="008D1606">
              <w:rPr>
                <w:color w:val="000000" w:themeColor="text1"/>
              </w:rPr>
              <w:t> </w:t>
            </w:r>
            <w:r w:rsidRPr="00A27E36">
              <w:rPr>
                <w:color w:val="000000" w:themeColor="text1"/>
              </w:rPr>
              <w:t xml:space="preserve">och 7.2 ska ges till kommissionen </w:t>
            </w:r>
            <w:r w:rsidRPr="00A27E36">
              <w:rPr>
                <w:b/>
                <w:i/>
                <w:color w:val="000000" w:themeColor="text1"/>
              </w:rPr>
              <w:t>för en period på fem år</w:t>
            </w:r>
            <w:r w:rsidRPr="00A27E36">
              <w:rPr>
                <w:color w:val="000000" w:themeColor="text1"/>
              </w:rPr>
              <w:t xml:space="preserve"> från och med den [OP: för in dagen för denna förordnings ikraftträdande]. </w:t>
            </w:r>
            <w:r w:rsidRPr="00A27E36">
              <w:rPr>
                <w:b/>
                <w:i/>
                <w:color w:val="000000" w:themeColor="text1"/>
              </w:rPr>
              <w:t>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125</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17 – punkt 4</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4.</w:t>
            </w:r>
            <w:r w:rsidRPr="00A27E36">
              <w:rPr>
                <w:color w:val="000000" w:themeColor="text1"/>
              </w:rPr>
              <w:tab/>
              <w:t>Innan kommissionen antar en delegerad akt ska den samråda med experter som utsetts av varje medlemsstat i enlighet med principerna i det interinstitutionella avtalet av den 13 april 2016 om bättre lagstiftning.</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4.</w:t>
            </w:r>
            <w:r w:rsidRPr="00A27E36">
              <w:rPr>
                <w:color w:val="000000" w:themeColor="text1"/>
              </w:rPr>
              <w:tab/>
              <w:t xml:space="preserve">Innan kommissionen antar en delegerad akt ska den samråda med experter som utsetts av varje medlemsstat i enlighet med principerna i det interinstitutionella avtalet om bättre lagstiftning av den 13 april 2016 </w:t>
            </w:r>
            <w:r w:rsidRPr="00A27E36">
              <w:rPr>
                <w:b/>
                <w:i/>
                <w:color w:val="000000" w:themeColor="text1"/>
              </w:rPr>
              <w:t>och informera Europaparlamentet om sin delegerade akts förberedande arbete</w:t>
            </w:r>
            <w:r w:rsidRPr="00A27E36">
              <w:rPr>
                <w:color w:val="000000" w:themeColor="text1"/>
              </w:rPr>
              <w:t>.</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126</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 Sylvie Brunet, Anna Júlia Donáth, Max Orville</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19 – punkt 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 xml:space="preserve">Om tillämpningen av denna förordning, eller de delegerade akter eller genomförandeakter som antas i enlighet med den, kräver omfattande anpassningar av en medlemsstats nationella statistiksystem får kommissionen genom genomförandeakter bevilja medlemsstaten undantag för en period på högst </w:t>
            </w:r>
            <w:r w:rsidRPr="00A27E36">
              <w:rPr>
                <w:b/>
                <w:i/>
                <w:color w:val="000000" w:themeColor="text1"/>
              </w:rPr>
              <w:t>två</w:t>
            </w:r>
            <w:r w:rsidRPr="00A27E36">
              <w:rPr>
                <w:color w:val="000000" w:themeColor="text1"/>
              </w:rPr>
              <w:t xml:space="preserve"> år.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Om tillämpningen av denna förordning, eller de delegerade akter eller genomförandeakter som antas i enlighet med den, kräver omfattande anpassningar av en medlemsstats nationella statistiksystem får kommissionen genom genomförandeakter bevilja medlemsstaten undantag för en period på högst </w:t>
            </w:r>
            <w:r w:rsidRPr="00A27E36">
              <w:rPr>
                <w:b/>
                <w:i/>
                <w:color w:val="000000" w:themeColor="text1"/>
              </w:rPr>
              <w:t>tre</w:t>
            </w:r>
            <w:r w:rsidRPr="00A27E36">
              <w:rPr>
                <w:color w:val="000000" w:themeColor="text1"/>
              </w:rPr>
              <w:t xml:space="preserve"> år.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127</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19 – punkt 1</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hideMark/>
          </w:tcPr>
          <w:p w:rsidR="00AE4942" w:rsidRPr="00A27E36" w:rsidRDefault="00AE4942" w:rsidP="00A752A9">
            <w:pPr>
              <w:pStyle w:val="Normal6"/>
              <w:rPr>
                <w:color w:val="000000" w:themeColor="text1"/>
              </w:rPr>
            </w:pPr>
            <w:r w:rsidRPr="00A27E36">
              <w:rPr>
                <w:color w:val="000000" w:themeColor="text1"/>
              </w:rPr>
              <w:t>1.</w:t>
            </w:r>
            <w:r w:rsidRPr="00A27E36">
              <w:rPr>
                <w:color w:val="000000" w:themeColor="text1"/>
              </w:rPr>
              <w:tab/>
              <w:t xml:space="preserve">Om tillämpningen av denna förordning, eller de delegerade akter eller genomförandeakter som antas i enlighet med den, kräver omfattande anpassningar av en medlemsstats nationella statistiksystem får kommissionen genom genomförandeakter bevilja medlemsstaten undantag för en period på högst </w:t>
            </w:r>
            <w:r w:rsidRPr="00A27E36">
              <w:rPr>
                <w:b/>
                <w:i/>
                <w:color w:val="000000" w:themeColor="text1"/>
              </w:rPr>
              <w:t>två</w:t>
            </w:r>
            <w:r w:rsidRPr="00A27E36">
              <w:rPr>
                <w:color w:val="000000" w:themeColor="text1"/>
              </w:rPr>
              <w:t xml:space="preserve"> år.</w:t>
            </w:r>
          </w:p>
        </w:tc>
        <w:tc>
          <w:tcPr>
            <w:tcW w:w="4876" w:type="dxa"/>
            <w:hideMark/>
          </w:tcPr>
          <w:p w:rsidR="00AE4942" w:rsidRPr="00A27E36" w:rsidRDefault="00AE4942" w:rsidP="00A752A9">
            <w:pPr>
              <w:pStyle w:val="Normal6"/>
              <w:rPr>
                <w:color w:val="000000" w:themeColor="text1"/>
                <w:szCs w:val="24"/>
              </w:rPr>
            </w:pPr>
            <w:r w:rsidRPr="00A27E36">
              <w:rPr>
                <w:color w:val="000000" w:themeColor="text1"/>
              </w:rPr>
              <w:t>1.</w:t>
            </w:r>
            <w:r w:rsidRPr="00A27E36">
              <w:rPr>
                <w:color w:val="000000" w:themeColor="text1"/>
              </w:rPr>
              <w:tab/>
              <w:t xml:space="preserve">Om tillämpningen av denna förordning, eller de delegerade akter eller genomförandeakter som antas i enlighet med den, kräver omfattande anpassningar av en medlemsstats nationella statistiksystem får kommissionen genom genomförandeakter bevilja medlemsstaten undantag för en period på högst </w:t>
            </w:r>
            <w:r w:rsidRPr="00A27E36">
              <w:rPr>
                <w:b/>
                <w:i/>
                <w:color w:val="000000" w:themeColor="text1"/>
              </w:rPr>
              <w:t>tre</w:t>
            </w:r>
            <w:r w:rsidRPr="00A27E36">
              <w:rPr>
                <w:color w:val="000000" w:themeColor="text1"/>
              </w:rPr>
              <w:t xml:space="preserve"> år.</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128</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Beata Szydło, Elżbieta Rafalska, Anna Zalewska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Artikel 19 – punkt 1a (ny)</w:t>
      </w:r>
      <w:r w:rsidRPr="00A27E3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7E36" w:rsidRPr="00A27E36" w:rsidTr="00A752A9">
        <w:trPr>
          <w:jc w:val="center"/>
        </w:trPr>
        <w:tc>
          <w:tcPr>
            <w:tcW w:w="9752" w:type="dxa"/>
            <w:gridSpan w:val="2"/>
          </w:tcPr>
          <w:p w:rsidR="00AE4942" w:rsidRPr="00A27E36" w:rsidRDefault="00AE4942" w:rsidP="00A752A9">
            <w:pPr>
              <w:keepNext/>
              <w:rPr>
                <w:color w:val="000000" w:themeColor="text1"/>
              </w:rPr>
            </w:pPr>
          </w:p>
        </w:tc>
      </w:tr>
      <w:tr w:rsidR="00A27E36" w:rsidRPr="00A27E36" w:rsidTr="00A752A9">
        <w:trPr>
          <w:jc w:val="center"/>
        </w:trPr>
        <w:tc>
          <w:tcPr>
            <w:tcW w:w="4876" w:type="dxa"/>
            <w:hideMark/>
          </w:tcPr>
          <w:p w:rsidR="00AE4942" w:rsidRPr="00A27E36" w:rsidRDefault="00AE4942" w:rsidP="00A752A9">
            <w:pPr>
              <w:pStyle w:val="ColumnHeading"/>
              <w:keepNext/>
              <w:rPr>
                <w:color w:val="000000" w:themeColor="text1"/>
              </w:rPr>
            </w:pPr>
            <w:r w:rsidRPr="00A27E36">
              <w:rPr>
                <w:color w:val="000000" w:themeColor="text1"/>
              </w:rPr>
              <w:t>Kommissionens förslag</w:t>
            </w:r>
          </w:p>
        </w:tc>
        <w:tc>
          <w:tcPr>
            <w:tcW w:w="4876" w:type="dxa"/>
            <w:hideMark/>
          </w:tcPr>
          <w:p w:rsidR="00AE4942" w:rsidRPr="00A27E36" w:rsidRDefault="00AE4942" w:rsidP="00A752A9">
            <w:pPr>
              <w:pStyle w:val="ColumnHeading"/>
              <w:keepNext/>
              <w:rPr>
                <w:color w:val="000000" w:themeColor="text1"/>
              </w:rPr>
            </w:pPr>
            <w:r w:rsidRPr="00A27E36">
              <w:rPr>
                <w:color w:val="000000" w:themeColor="text1"/>
              </w:rPr>
              <w:t>Ändringsförslag</w:t>
            </w:r>
          </w:p>
        </w:tc>
      </w:tr>
      <w:tr w:rsidR="00A27E36" w:rsidRPr="00A27E36" w:rsidTr="00A752A9">
        <w:trPr>
          <w:jc w:val="center"/>
        </w:trPr>
        <w:tc>
          <w:tcPr>
            <w:tcW w:w="4876" w:type="dxa"/>
          </w:tcPr>
          <w:p w:rsidR="00AE4942" w:rsidRPr="00A27E36" w:rsidRDefault="00AE4942" w:rsidP="00A752A9">
            <w:pPr>
              <w:pStyle w:val="Normal6"/>
              <w:rPr>
                <w:color w:val="000000" w:themeColor="text1"/>
              </w:rPr>
            </w:pPr>
          </w:p>
        </w:tc>
        <w:tc>
          <w:tcPr>
            <w:tcW w:w="4876" w:type="dxa"/>
            <w:hideMark/>
          </w:tcPr>
          <w:p w:rsidR="00AE4942" w:rsidRPr="00A27E36" w:rsidRDefault="00AE4942" w:rsidP="008D1606">
            <w:pPr>
              <w:pStyle w:val="Normal6"/>
              <w:rPr>
                <w:color w:val="000000" w:themeColor="text1"/>
                <w:szCs w:val="24"/>
              </w:rPr>
            </w:pPr>
            <w:r w:rsidRPr="00A27E36">
              <w:rPr>
                <w:b/>
                <w:i/>
                <w:color w:val="000000" w:themeColor="text1"/>
              </w:rPr>
              <w:t>1a.</w:t>
            </w:r>
            <w:r w:rsidRPr="00A27E36">
              <w:rPr>
                <w:b/>
                <w:i/>
                <w:color w:val="000000" w:themeColor="text1"/>
              </w:rPr>
              <w:tab/>
              <w:t>Om ett undantag enligt punkt 1, med stöd av tillräckliga bevis, fortfarande är motiverat vid utgången av den period för vilken det beviljats får kommissionen, genom genomförandeakter, bevilja ytterligare ett undantag under en period om högst två år. Den berörda medlemsstaten ska lämna in en begäran, i vilken skälen och de närmare orsakerna till stöd för denna förlängning anges, till kommissionen inte senare än sex</w:t>
            </w:r>
            <w:r w:rsidR="008D1606">
              <w:rPr>
                <w:b/>
                <w:i/>
                <w:color w:val="000000" w:themeColor="text1"/>
              </w:rPr>
              <w:t> </w:t>
            </w:r>
            <w:r w:rsidRPr="00A27E36">
              <w:rPr>
                <w:b/>
                <w:i/>
                <w:color w:val="000000" w:themeColor="text1"/>
              </w:rPr>
              <w:t>månader före utgången av giltighetsperioden för undantaget enligt punkt 1.</w:t>
            </w: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{EN}</w:t>
      </w:r>
      <w:r w:rsidRPr="00A27E36">
        <w:rPr>
          <w:noProof w:val="0"/>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129</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Katrin Langensiepen</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Bilaga I – tabell 1</w:t>
      </w:r>
      <w:r w:rsidRPr="00A27E3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A27E36" w:rsidRPr="00A27E36" w:rsidTr="00A752A9">
        <w:trPr>
          <w:jc w:val="center"/>
        </w:trPr>
        <w:tc>
          <w:tcPr>
            <w:tcW w:w="9752" w:type="dxa"/>
            <w:gridSpan w:val="5"/>
          </w:tcPr>
          <w:p w:rsidR="00AE4942" w:rsidRPr="00A27E36" w:rsidRDefault="00AE4942" w:rsidP="00A752A9">
            <w:pPr>
              <w:keepNext/>
              <w:rPr>
                <w:color w:val="000000" w:themeColor="text1"/>
              </w:rPr>
            </w:pPr>
          </w:p>
        </w:tc>
      </w:tr>
      <w:tr w:rsidR="00A27E36" w:rsidRPr="00A27E36" w:rsidTr="00A752A9">
        <w:trPr>
          <w:jc w:val="center"/>
        </w:trPr>
        <w:tc>
          <w:tcPr>
            <w:tcW w:w="9752" w:type="dxa"/>
            <w:gridSpan w:val="5"/>
            <w:hideMark/>
          </w:tcPr>
          <w:p w:rsidR="00AE4942" w:rsidRPr="00A27E36" w:rsidRDefault="00AE4942" w:rsidP="00A752A9">
            <w:pPr>
              <w:pStyle w:val="AmColumnHeading"/>
              <w:keepNext/>
              <w:rPr>
                <w:color w:val="000000" w:themeColor="text1"/>
              </w:rPr>
            </w:pPr>
            <w:r w:rsidRPr="00A27E36">
              <w:rPr>
                <w:color w:val="000000" w:themeColor="text1"/>
              </w:rPr>
              <w:t>Kommissionens förslag</w:t>
            </w:r>
          </w:p>
        </w:tc>
      </w:tr>
      <w:tr w:rsidR="00A27E36" w:rsidRPr="00A27E36" w:rsidTr="00A752A9">
        <w:trPr>
          <w:jc w:val="center"/>
        </w:trPr>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Demografi</w:t>
            </w: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Befolkningsantal</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grundläggande karakteristikum</w:t>
            </w:r>
          </w:p>
        </w:tc>
        <w:tc>
          <w:tcPr>
            <w:tcW w:w="1950" w:type="dxa"/>
            <w:hideMark/>
          </w:tcPr>
          <w:p w:rsidR="00AE4942" w:rsidRPr="00A27E36" w:rsidRDefault="00AE4942" w:rsidP="00A752A9">
            <w:pPr>
              <w:pStyle w:val="Normal6a"/>
              <w:rPr>
                <w:color w:val="000000" w:themeColor="text1"/>
                <w:szCs w:val="24"/>
              </w:rPr>
            </w:pPr>
            <w:r w:rsidRPr="00A27E36">
              <w:rPr>
                <w:color w:val="000000" w:themeColor="text1"/>
              </w:rPr>
              <w:t>6M</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30.6.ÅÅ och 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socioekonomiska karakteristikum</w:t>
            </w:r>
          </w:p>
        </w:tc>
        <w:tc>
          <w:tcPr>
            <w:tcW w:w="1950" w:type="dxa"/>
            <w:hideMark/>
          </w:tcPr>
          <w:p w:rsidR="00AE4942" w:rsidRPr="00A27E36" w:rsidRDefault="00AE4942" w:rsidP="00A752A9">
            <w:pPr>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Fertilitet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Födslar</w:t>
            </w:r>
          </w:p>
        </w:tc>
        <w:tc>
          <w:tcPr>
            <w:tcW w:w="1950" w:type="dxa"/>
            <w:hideMark/>
          </w:tcPr>
          <w:p w:rsidR="00AE4942" w:rsidRPr="00A27E36" w:rsidRDefault="00AE4942" w:rsidP="00A752A9">
            <w:pPr>
              <w:pStyle w:val="Normal6a"/>
              <w:rPr>
                <w:color w:val="000000" w:themeColor="text1"/>
              </w:rPr>
            </w:pPr>
            <w:r w:rsidRPr="00A27E36">
              <w:rPr>
                <w:color w:val="000000" w:themeColor="text1"/>
              </w:rPr>
              <w:t>Q</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Månad</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Lagligt genomförda aborter</w:t>
            </w:r>
            <w:r w:rsidRPr="00A27E36">
              <w:rPr>
                <w:color w:val="000000" w:themeColor="text1"/>
                <w:vertAlign w:val="superscript"/>
              </w:rPr>
              <w:t>1</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Mortalitet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Dödsfall</w:t>
            </w:r>
          </w:p>
        </w:tc>
        <w:tc>
          <w:tcPr>
            <w:tcW w:w="1950" w:type="dxa"/>
            <w:hideMark/>
          </w:tcPr>
          <w:p w:rsidR="00AE4942" w:rsidRPr="00A27E36" w:rsidRDefault="00AE4942" w:rsidP="00A752A9">
            <w:pPr>
              <w:pStyle w:val="Normal6a"/>
              <w:rPr>
                <w:color w:val="000000" w:themeColor="text1"/>
              </w:rPr>
            </w:pPr>
            <w:r w:rsidRPr="00A27E36">
              <w:rPr>
                <w:color w:val="000000" w:themeColor="text1"/>
              </w:rPr>
              <w:t>Q</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Månad, Vecka</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Dödsfall bland spädbarn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Sena dödsfall hos foster</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Partnerskap</w:t>
            </w:r>
          </w:p>
        </w:tc>
        <w:tc>
          <w:tcPr>
            <w:tcW w:w="1951" w:type="dxa"/>
            <w:hideMark/>
          </w:tcPr>
          <w:p w:rsidR="00AE4942" w:rsidRPr="00A27E36" w:rsidRDefault="00AE4942" w:rsidP="00A752A9">
            <w:pPr>
              <w:pStyle w:val="Normal6a"/>
              <w:rPr>
                <w:color w:val="000000" w:themeColor="text1"/>
              </w:rPr>
            </w:pPr>
            <w:r w:rsidRPr="00A27E36">
              <w:rPr>
                <w:color w:val="000000" w:themeColor="text1"/>
              </w:rPr>
              <w:t>Äktenskap och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Karakteristikum för personer som ingår äktenskap eller registrerat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Skilsmässor och avslutade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Migration</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Invandrare</w:t>
            </w:r>
          </w:p>
        </w:tc>
        <w:tc>
          <w:tcPr>
            <w:tcW w:w="1950" w:type="dxa"/>
            <w:hideMark/>
          </w:tcPr>
          <w:p w:rsidR="00AE4942" w:rsidRPr="00A27E36" w:rsidRDefault="00AE4942" w:rsidP="00A752A9">
            <w:pPr>
              <w:pStyle w:val="Normal6a"/>
              <w:rPr>
                <w:b/>
                <w:i/>
                <w:color w:val="000000" w:themeColor="text1"/>
              </w:rPr>
            </w:pPr>
            <w:r w:rsidRPr="00A27E36">
              <w:rPr>
                <w:b/>
                <w:i/>
                <w:color w:val="000000" w:themeColor="text1"/>
              </w:rPr>
              <w:t>Q</w:t>
            </w:r>
          </w:p>
        </w:tc>
        <w:tc>
          <w:tcPr>
            <w:tcW w:w="1951" w:type="dxa"/>
            <w:hideMark/>
          </w:tcPr>
          <w:p w:rsidR="00AE4942" w:rsidRPr="00A27E36" w:rsidRDefault="00AE4942" w:rsidP="00A752A9">
            <w:pPr>
              <w:pStyle w:val="Normal6a"/>
              <w:rPr>
                <w:b/>
                <w:i/>
                <w:color w:val="000000" w:themeColor="text1"/>
                <w:szCs w:val="24"/>
              </w:rPr>
            </w:pPr>
            <w:r w:rsidRPr="00A27E36">
              <w:rPr>
                <w:b/>
                <w:i/>
                <w:color w:val="000000" w:themeColor="text1"/>
              </w:rPr>
              <w:t>Månad</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Utvandrare</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Intern migration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Förvärv och förlust av medborgarskap i EU:s medlemsstater och unionen</w:t>
            </w: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förvärvat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förlorat/avstått från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rPr>
              <w:t>_______________________________________</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vertAlign w:val="superscript"/>
              </w:rPr>
              <w:t>1</w:t>
            </w:r>
            <w:r w:rsidRPr="00A27E36">
              <w:rPr>
                <w:color w:val="000000" w:themeColor="text1"/>
              </w:rPr>
              <w:t xml:space="preserve"> Tillhandahålls på frivillig basis.</w:t>
            </w:r>
          </w:p>
        </w:tc>
      </w:tr>
      <w:tr w:rsidR="00A27E36" w:rsidRPr="00A27E36" w:rsidTr="00A752A9">
        <w:trPr>
          <w:jc w:val="center"/>
        </w:trPr>
        <w:tc>
          <w:tcPr>
            <w:tcW w:w="1950" w:type="dxa"/>
          </w:tcPr>
          <w:p w:rsidR="00AE4942" w:rsidRPr="00A27E36" w:rsidRDefault="00AE4942" w:rsidP="00A752A9">
            <w:pPr>
              <w:pStyle w:val="Normal6a"/>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tcPr>
          <w:p w:rsidR="00AE4942" w:rsidRPr="00A27E36" w:rsidRDefault="00AE4942" w:rsidP="00A752A9">
            <w:pPr>
              <w:pStyle w:val="Normal6a"/>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tcPr>
          <w:p w:rsidR="00AE4942" w:rsidRPr="00A27E36" w:rsidRDefault="00AE4942" w:rsidP="00A752A9">
            <w:pPr>
              <w:pStyle w:val="Normal6a"/>
              <w:rPr>
                <w:color w:val="000000" w:themeColor="text1"/>
                <w:szCs w:val="24"/>
              </w:rPr>
            </w:pPr>
          </w:p>
        </w:tc>
      </w:tr>
      <w:tr w:rsidR="00A27E36" w:rsidRPr="00A27E36" w:rsidTr="00A752A9">
        <w:trPr>
          <w:jc w:val="center"/>
        </w:trPr>
        <w:tc>
          <w:tcPr>
            <w:tcW w:w="9752" w:type="dxa"/>
            <w:gridSpan w:val="5"/>
            <w:hideMark/>
          </w:tcPr>
          <w:p w:rsidR="00AE4942" w:rsidRPr="00A27E36" w:rsidRDefault="00AE4942" w:rsidP="00A752A9">
            <w:pPr>
              <w:pStyle w:val="Normal6a"/>
              <w:jc w:val="center"/>
              <w:rPr>
                <w:i/>
                <w:color w:val="000000" w:themeColor="text1"/>
                <w:szCs w:val="24"/>
              </w:rPr>
            </w:pPr>
            <w:r w:rsidRPr="00A27E36">
              <w:rPr>
                <w:i/>
                <w:color w:val="000000" w:themeColor="text1"/>
              </w:rPr>
              <w:t>Ändringsförslag</w:t>
            </w:r>
          </w:p>
        </w:tc>
      </w:tr>
      <w:tr w:rsidR="00A27E36" w:rsidRPr="00A27E36" w:rsidTr="00A752A9">
        <w:trPr>
          <w:jc w:val="center"/>
        </w:trPr>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Demografi</w:t>
            </w: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Befolkningsantal</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grundläggande karakteristikum</w:t>
            </w:r>
          </w:p>
        </w:tc>
        <w:tc>
          <w:tcPr>
            <w:tcW w:w="1950" w:type="dxa"/>
            <w:hideMark/>
          </w:tcPr>
          <w:p w:rsidR="00AE4942" w:rsidRPr="00A27E36" w:rsidRDefault="00AE4942" w:rsidP="00A752A9">
            <w:pPr>
              <w:pStyle w:val="Normal6a"/>
              <w:rPr>
                <w:color w:val="000000" w:themeColor="text1"/>
                <w:szCs w:val="24"/>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socioekonomiska karakteristikum</w:t>
            </w:r>
          </w:p>
        </w:tc>
        <w:tc>
          <w:tcPr>
            <w:tcW w:w="1950" w:type="dxa"/>
            <w:hideMark/>
          </w:tcPr>
          <w:p w:rsidR="00AE4942" w:rsidRPr="00A27E36" w:rsidRDefault="00AE4942" w:rsidP="00A752A9">
            <w:pPr>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Fertilitet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Födslar</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Lagligt genomförda aborter</w:t>
            </w:r>
            <w:r w:rsidRPr="00A27E36">
              <w:rPr>
                <w:color w:val="000000" w:themeColor="text1"/>
                <w:vertAlign w:val="superscript"/>
              </w:rPr>
              <w:t>1</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Mortalitet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Dödsfall</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Dödsfall bland spädbarn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Sena dödsfall hos foster</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Partnerskap</w:t>
            </w:r>
          </w:p>
        </w:tc>
        <w:tc>
          <w:tcPr>
            <w:tcW w:w="1951" w:type="dxa"/>
            <w:hideMark/>
          </w:tcPr>
          <w:p w:rsidR="00AE4942" w:rsidRPr="00A27E36" w:rsidRDefault="00AE4942" w:rsidP="00A752A9">
            <w:pPr>
              <w:pStyle w:val="Normal6a"/>
              <w:rPr>
                <w:color w:val="000000" w:themeColor="text1"/>
              </w:rPr>
            </w:pPr>
            <w:r w:rsidRPr="00A27E36">
              <w:rPr>
                <w:color w:val="000000" w:themeColor="text1"/>
              </w:rPr>
              <w:t>Äktenskap och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Karakteristikum för personer som ingår äktenskap eller registrerat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Skilsmässor och avslutade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Migration</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Invandrare</w:t>
            </w:r>
          </w:p>
        </w:tc>
        <w:tc>
          <w:tcPr>
            <w:tcW w:w="1950" w:type="dxa"/>
          </w:tcPr>
          <w:p w:rsidR="00AE4942" w:rsidRPr="00A27E36" w:rsidRDefault="00AE4942" w:rsidP="00A752A9">
            <w:pPr>
              <w:pStyle w:val="Normal6a"/>
              <w:rPr>
                <w:color w:val="000000" w:themeColor="text1"/>
              </w:rPr>
            </w:pPr>
          </w:p>
        </w:tc>
        <w:tc>
          <w:tcPr>
            <w:tcW w:w="1951" w:type="dxa"/>
          </w:tcPr>
          <w:p w:rsidR="00AE4942" w:rsidRPr="00A27E36" w:rsidRDefault="00AE4942" w:rsidP="00A752A9">
            <w:pPr>
              <w:pStyle w:val="Normal6a"/>
              <w:rPr>
                <w:color w:val="000000" w:themeColor="text1"/>
                <w:szCs w:val="24"/>
              </w:rPr>
            </w:pP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Utvandrare</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Intern migration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tcPr>
          <w:p w:rsidR="00AE4942" w:rsidRPr="00A27E36" w:rsidRDefault="00AE4942" w:rsidP="00A752A9">
            <w:pPr>
              <w:rPr>
                <w:color w:val="000000" w:themeColor="text1"/>
              </w:rPr>
            </w:pPr>
          </w:p>
        </w:tc>
        <w:tc>
          <w:tcPr>
            <w:tcW w:w="1950" w:type="dxa"/>
            <w:vAlign w:val="center"/>
          </w:tcPr>
          <w:p w:rsidR="00AE4942" w:rsidRPr="00A27E36" w:rsidRDefault="00AE4942" w:rsidP="00A752A9">
            <w:pPr>
              <w:rPr>
                <w:color w:val="000000" w:themeColor="text1"/>
              </w:rPr>
            </w:pPr>
          </w:p>
        </w:tc>
        <w:tc>
          <w:tcPr>
            <w:tcW w:w="1951" w:type="dxa"/>
          </w:tcPr>
          <w:p w:rsidR="00AE4942" w:rsidRPr="00A27E36" w:rsidRDefault="00AE4942" w:rsidP="00A752A9">
            <w:pPr>
              <w:pStyle w:val="Normal6a"/>
              <w:rPr>
                <w:b/>
                <w:i/>
                <w:color w:val="000000" w:themeColor="text1"/>
              </w:rPr>
            </w:pPr>
            <w:r w:rsidRPr="00A27E36">
              <w:rPr>
                <w:b/>
                <w:i/>
                <w:color w:val="000000" w:themeColor="text1"/>
              </w:rPr>
              <w:t>Personer som kvarhålls i anläggningar</w:t>
            </w:r>
            <w:r w:rsidRPr="00A27E36">
              <w:rPr>
                <w:b/>
                <w:i/>
                <w:color w:val="000000" w:themeColor="text1"/>
                <w:vertAlign w:val="superscript"/>
              </w:rPr>
              <w:t>2</w:t>
            </w:r>
          </w:p>
        </w:tc>
        <w:tc>
          <w:tcPr>
            <w:tcW w:w="1950" w:type="dxa"/>
          </w:tcPr>
          <w:p w:rsidR="00AE4942" w:rsidRPr="00A27E36" w:rsidRDefault="00AE4942" w:rsidP="00A752A9">
            <w:pPr>
              <w:pStyle w:val="Normal6a"/>
              <w:rPr>
                <w:b/>
                <w:i/>
                <w:color w:val="000000" w:themeColor="text1"/>
              </w:rPr>
            </w:pPr>
            <w:r w:rsidRPr="00A27E36">
              <w:rPr>
                <w:b/>
                <w:i/>
                <w:color w:val="000000" w:themeColor="text1"/>
              </w:rPr>
              <w:t>A</w:t>
            </w:r>
          </w:p>
        </w:tc>
        <w:tc>
          <w:tcPr>
            <w:tcW w:w="1951" w:type="dxa"/>
          </w:tcPr>
          <w:p w:rsidR="00AE4942" w:rsidRPr="00A27E36" w:rsidRDefault="00AE4942" w:rsidP="00A752A9">
            <w:pPr>
              <w:pStyle w:val="Normal6a"/>
              <w:rPr>
                <w:b/>
                <w:i/>
                <w:color w:val="000000" w:themeColor="text1"/>
              </w:rPr>
            </w:pPr>
            <w:r w:rsidRPr="00A27E36">
              <w:rPr>
                <w:b/>
                <w:i/>
                <w:color w:val="000000" w:themeColor="text1"/>
              </w:rPr>
              <w:t>År</w:t>
            </w:r>
          </w:p>
        </w:tc>
      </w:tr>
      <w:tr w:rsidR="00A27E36" w:rsidRPr="00A27E36" w:rsidTr="00A752A9">
        <w:trPr>
          <w:jc w:val="center"/>
        </w:trPr>
        <w:tc>
          <w:tcPr>
            <w:tcW w:w="9752" w:type="dxa"/>
            <w:vMerge/>
            <w:vAlign w:val="center"/>
          </w:tcPr>
          <w:p w:rsidR="00AE4942" w:rsidRPr="00A27E36" w:rsidRDefault="00AE4942" w:rsidP="00A752A9">
            <w:pPr>
              <w:rPr>
                <w:color w:val="000000" w:themeColor="text1"/>
              </w:rPr>
            </w:pPr>
          </w:p>
        </w:tc>
        <w:tc>
          <w:tcPr>
            <w:tcW w:w="1950" w:type="dxa"/>
            <w:vAlign w:val="center"/>
          </w:tcPr>
          <w:p w:rsidR="00AE4942" w:rsidRPr="00A27E36" w:rsidRDefault="00AE4942" w:rsidP="00A752A9">
            <w:pPr>
              <w:rPr>
                <w:color w:val="000000" w:themeColor="text1"/>
              </w:rPr>
            </w:pPr>
          </w:p>
        </w:tc>
        <w:tc>
          <w:tcPr>
            <w:tcW w:w="1951" w:type="dxa"/>
          </w:tcPr>
          <w:p w:rsidR="00AE4942" w:rsidRPr="00A27E36" w:rsidRDefault="00AE4942" w:rsidP="00A752A9">
            <w:pPr>
              <w:pStyle w:val="Normal6a"/>
              <w:rPr>
                <w:b/>
                <w:i/>
                <w:color w:val="000000" w:themeColor="text1"/>
              </w:rPr>
            </w:pPr>
            <w:r w:rsidRPr="00A27E36">
              <w:rPr>
                <w:b/>
                <w:i/>
                <w:color w:val="000000" w:themeColor="text1"/>
              </w:rPr>
              <w:t>Personer som deporterats</w:t>
            </w:r>
            <w:r w:rsidRPr="00A27E36">
              <w:rPr>
                <w:b/>
                <w:i/>
                <w:color w:val="000000" w:themeColor="text1"/>
                <w:vertAlign w:val="superscript"/>
              </w:rPr>
              <w:t>3</w:t>
            </w:r>
          </w:p>
        </w:tc>
        <w:tc>
          <w:tcPr>
            <w:tcW w:w="1950" w:type="dxa"/>
          </w:tcPr>
          <w:p w:rsidR="00AE4942" w:rsidRPr="00A27E36" w:rsidRDefault="00AE4942" w:rsidP="00A752A9">
            <w:pPr>
              <w:pStyle w:val="Normal6a"/>
              <w:rPr>
                <w:b/>
                <w:i/>
                <w:color w:val="000000" w:themeColor="text1"/>
              </w:rPr>
            </w:pPr>
            <w:r w:rsidRPr="00A27E36">
              <w:rPr>
                <w:b/>
                <w:i/>
                <w:color w:val="000000" w:themeColor="text1"/>
              </w:rPr>
              <w:t>A</w:t>
            </w:r>
          </w:p>
        </w:tc>
        <w:tc>
          <w:tcPr>
            <w:tcW w:w="1951" w:type="dxa"/>
          </w:tcPr>
          <w:p w:rsidR="00AE4942" w:rsidRPr="00A27E36" w:rsidRDefault="00AE4942" w:rsidP="00A752A9">
            <w:pPr>
              <w:pStyle w:val="Normal6a"/>
              <w:rPr>
                <w:b/>
                <w:i/>
                <w:color w:val="000000" w:themeColor="text1"/>
              </w:rPr>
            </w:pPr>
            <w:r w:rsidRPr="00A27E36">
              <w:rPr>
                <w:b/>
                <w:i/>
                <w:color w:val="000000" w:themeColor="text1"/>
              </w:rPr>
              <w:t>År</w:t>
            </w:r>
          </w:p>
        </w:tc>
      </w:tr>
      <w:tr w:rsidR="00A27E36" w:rsidRPr="00A27E36" w:rsidTr="00A752A9">
        <w:trPr>
          <w:jc w:val="center"/>
        </w:trPr>
        <w:tc>
          <w:tcPr>
            <w:tcW w:w="9752" w:type="dxa"/>
            <w:vMerge/>
            <w:vAlign w:val="center"/>
          </w:tcPr>
          <w:p w:rsidR="00AE4942" w:rsidRPr="00A27E36" w:rsidRDefault="00AE4942" w:rsidP="00A752A9">
            <w:pPr>
              <w:rPr>
                <w:color w:val="000000" w:themeColor="text1"/>
              </w:rPr>
            </w:pPr>
          </w:p>
        </w:tc>
        <w:tc>
          <w:tcPr>
            <w:tcW w:w="1950" w:type="dxa"/>
            <w:vAlign w:val="center"/>
          </w:tcPr>
          <w:p w:rsidR="00AE4942" w:rsidRPr="00A27E36" w:rsidRDefault="00AE4942" w:rsidP="00A752A9">
            <w:pPr>
              <w:rPr>
                <w:color w:val="000000" w:themeColor="text1"/>
              </w:rPr>
            </w:pPr>
          </w:p>
        </w:tc>
        <w:tc>
          <w:tcPr>
            <w:tcW w:w="1951" w:type="dxa"/>
          </w:tcPr>
          <w:p w:rsidR="00AE4942" w:rsidRPr="00A27E36" w:rsidRDefault="00AE4942" w:rsidP="00A752A9">
            <w:pPr>
              <w:pStyle w:val="Normal6a"/>
              <w:rPr>
                <w:b/>
                <w:i/>
                <w:color w:val="000000" w:themeColor="text1"/>
              </w:rPr>
            </w:pPr>
            <w:r w:rsidRPr="00A27E36">
              <w:rPr>
                <w:b/>
                <w:i/>
                <w:color w:val="000000" w:themeColor="text1"/>
              </w:rPr>
              <w:t>Personer som återsänts eller nekats inresa</w:t>
            </w:r>
            <w:r w:rsidRPr="00A27E36">
              <w:rPr>
                <w:b/>
                <w:i/>
                <w:color w:val="000000" w:themeColor="text1"/>
                <w:vertAlign w:val="superscript"/>
              </w:rPr>
              <w:t>4</w:t>
            </w:r>
          </w:p>
        </w:tc>
        <w:tc>
          <w:tcPr>
            <w:tcW w:w="1950" w:type="dxa"/>
          </w:tcPr>
          <w:p w:rsidR="00AE4942" w:rsidRPr="00A27E36" w:rsidRDefault="00AE4942" w:rsidP="00A752A9">
            <w:pPr>
              <w:pStyle w:val="Normal6a"/>
              <w:rPr>
                <w:b/>
                <w:i/>
                <w:color w:val="000000" w:themeColor="text1"/>
              </w:rPr>
            </w:pPr>
            <w:r w:rsidRPr="00A27E36">
              <w:rPr>
                <w:b/>
                <w:i/>
                <w:color w:val="000000" w:themeColor="text1"/>
              </w:rPr>
              <w:t>A</w:t>
            </w:r>
          </w:p>
        </w:tc>
        <w:tc>
          <w:tcPr>
            <w:tcW w:w="1951" w:type="dxa"/>
          </w:tcPr>
          <w:p w:rsidR="00AE4942" w:rsidRPr="00A27E36" w:rsidRDefault="00AE4942" w:rsidP="00A752A9">
            <w:pPr>
              <w:pStyle w:val="Normal6a"/>
              <w:rPr>
                <w:b/>
                <w:i/>
                <w:color w:val="000000" w:themeColor="text1"/>
              </w:rPr>
            </w:pPr>
            <w:r w:rsidRPr="00A27E36">
              <w:rPr>
                <w:b/>
                <w:i/>
                <w:color w:val="000000" w:themeColor="text1"/>
              </w:rPr>
              <w:t>År</w:t>
            </w:r>
          </w:p>
        </w:tc>
      </w:tr>
      <w:tr w:rsidR="00A27E36" w:rsidRPr="00A27E36" w:rsidTr="00A752A9">
        <w:trPr>
          <w:jc w:val="center"/>
        </w:trPr>
        <w:tc>
          <w:tcPr>
            <w:tcW w:w="9752" w:type="dxa"/>
            <w:vMerge/>
            <w:vAlign w:val="center"/>
          </w:tcPr>
          <w:p w:rsidR="00AE4942" w:rsidRPr="00A27E36" w:rsidRDefault="00AE4942" w:rsidP="00A752A9">
            <w:pPr>
              <w:rPr>
                <w:color w:val="000000" w:themeColor="text1"/>
              </w:rPr>
            </w:pPr>
          </w:p>
        </w:tc>
        <w:tc>
          <w:tcPr>
            <w:tcW w:w="1950" w:type="dxa"/>
            <w:vAlign w:val="center"/>
          </w:tcPr>
          <w:p w:rsidR="00AE4942" w:rsidRPr="00A27E36" w:rsidRDefault="00AE4942" w:rsidP="00A752A9">
            <w:pPr>
              <w:rPr>
                <w:color w:val="000000" w:themeColor="text1"/>
              </w:rPr>
            </w:pPr>
          </w:p>
        </w:tc>
        <w:tc>
          <w:tcPr>
            <w:tcW w:w="1951" w:type="dxa"/>
          </w:tcPr>
          <w:p w:rsidR="00AE4942" w:rsidRPr="00A27E36" w:rsidRDefault="00AE4942" w:rsidP="00A752A9">
            <w:pPr>
              <w:pStyle w:val="Normal6a"/>
              <w:rPr>
                <w:b/>
                <w:i/>
                <w:color w:val="000000" w:themeColor="text1"/>
              </w:rPr>
            </w:pPr>
            <w:r w:rsidRPr="00A27E36">
              <w:rPr>
                <w:b/>
                <w:i/>
                <w:color w:val="000000" w:themeColor="text1"/>
              </w:rPr>
              <w:t>Platserna för gripande</w:t>
            </w:r>
            <w:r w:rsidRPr="00A27E36">
              <w:rPr>
                <w:b/>
                <w:i/>
                <w:color w:val="000000" w:themeColor="text1"/>
                <w:vertAlign w:val="superscript"/>
              </w:rPr>
              <w:t>5</w:t>
            </w:r>
          </w:p>
        </w:tc>
        <w:tc>
          <w:tcPr>
            <w:tcW w:w="1950" w:type="dxa"/>
          </w:tcPr>
          <w:p w:rsidR="00AE4942" w:rsidRPr="00A27E36" w:rsidRDefault="00AE4942" w:rsidP="00A752A9">
            <w:pPr>
              <w:pStyle w:val="Normal6a"/>
              <w:rPr>
                <w:b/>
                <w:i/>
                <w:color w:val="000000" w:themeColor="text1"/>
              </w:rPr>
            </w:pPr>
            <w:r w:rsidRPr="00A27E36">
              <w:rPr>
                <w:b/>
                <w:i/>
                <w:color w:val="000000" w:themeColor="text1"/>
              </w:rPr>
              <w:t>A</w:t>
            </w:r>
          </w:p>
        </w:tc>
        <w:tc>
          <w:tcPr>
            <w:tcW w:w="1951" w:type="dxa"/>
          </w:tcPr>
          <w:p w:rsidR="00AE4942" w:rsidRPr="00A27E36" w:rsidRDefault="00AE4942" w:rsidP="00A752A9">
            <w:pPr>
              <w:pStyle w:val="Normal6a"/>
              <w:rPr>
                <w:b/>
                <w:i/>
                <w:color w:val="000000" w:themeColor="text1"/>
              </w:rPr>
            </w:pPr>
            <w:r w:rsidRPr="00A27E36">
              <w:rPr>
                <w:b/>
                <w:i/>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Förvärv och förlust av medborgarskap i EU:s medlemsstater och unionen</w:t>
            </w: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förvärvat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förlorat/avstått från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rPr>
              <w:t>_______________________________________</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vertAlign w:val="superscript"/>
              </w:rPr>
              <w:t>1</w:t>
            </w:r>
            <w:r w:rsidRPr="00A27E36">
              <w:rPr>
                <w:color w:val="000000" w:themeColor="text1"/>
              </w:rPr>
              <w:t xml:space="preserve"> Tillhandahålls på frivillig basis.</w:t>
            </w:r>
          </w:p>
        </w:tc>
      </w:tr>
      <w:tr w:rsidR="00A27E36" w:rsidRPr="00A27E36" w:rsidTr="00A752A9">
        <w:trPr>
          <w:jc w:val="center"/>
        </w:trPr>
        <w:tc>
          <w:tcPr>
            <w:tcW w:w="9752" w:type="dxa"/>
            <w:gridSpan w:val="5"/>
          </w:tcPr>
          <w:p w:rsidR="00AE4942" w:rsidRPr="00A27E36" w:rsidRDefault="00AE4942" w:rsidP="00A752A9">
            <w:pPr>
              <w:pStyle w:val="Normal6a"/>
              <w:rPr>
                <w:b/>
                <w:i/>
                <w:color w:val="000000" w:themeColor="text1"/>
              </w:rPr>
            </w:pPr>
            <w:r w:rsidRPr="00A27E36">
              <w:rPr>
                <w:b/>
                <w:i/>
                <w:color w:val="000000" w:themeColor="text1"/>
                <w:vertAlign w:val="superscript"/>
              </w:rPr>
              <w:t>2</w:t>
            </w:r>
            <w:r w:rsidRPr="00A27E36">
              <w:rPr>
                <w:b/>
                <w:i/>
                <w:color w:val="000000" w:themeColor="text1"/>
              </w:rPr>
              <w:t xml:space="preserve"> Uppdelat efter ursprungsland</w:t>
            </w:r>
          </w:p>
        </w:tc>
      </w:tr>
      <w:tr w:rsidR="00A27E36" w:rsidRPr="00A27E36" w:rsidTr="00A752A9">
        <w:trPr>
          <w:jc w:val="center"/>
        </w:trPr>
        <w:tc>
          <w:tcPr>
            <w:tcW w:w="9752" w:type="dxa"/>
            <w:gridSpan w:val="5"/>
          </w:tcPr>
          <w:p w:rsidR="00AE4942" w:rsidRPr="00A27E36" w:rsidRDefault="00AE4942" w:rsidP="00A752A9">
            <w:pPr>
              <w:pStyle w:val="Normal6a"/>
              <w:rPr>
                <w:b/>
                <w:i/>
                <w:color w:val="000000" w:themeColor="text1"/>
              </w:rPr>
            </w:pPr>
            <w:r w:rsidRPr="00A27E36">
              <w:rPr>
                <w:b/>
                <w:i/>
                <w:color w:val="000000" w:themeColor="text1"/>
                <w:vertAlign w:val="superscript"/>
              </w:rPr>
              <w:t>3</w:t>
            </w:r>
            <w:r w:rsidRPr="00A27E36">
              <w:rPr>
                <w:b/>
                <w:i/>
                <w:color w:val="000000" w:themeColor="text1"/>
              </w:rPr>
              <w:t xml:space="preserve"> Som ovan.</w:t>
            </w:r>
          </w:p>
        </w:tc>
      </w:tr>
      <w:tr w:rsidR="00A27E36" w:rsidRPr="00A27E36" w:rsidTr="00A752A9">
        <w:trPr>
          <w:jc w:val="center"/>
        </w:trPr>
        <w:tc>
          <w:tcPr>
            <w:tcW w:w="9752" w:type="dxa"/>
            <w:gridSpan w:val="5"/>
          </w:tcPr>
          <w:p w:rsidR="00AE4942" w:rsidRPr="00A27E36" w:rsidRDefault="00AE4942" w:rsidP="00A752A9">
            <w:pPr>
              <w:pStyle w:val="Normal6a"/>
              <w:rPr>
                <w:b/>
                <w:i/>
                <w:color w:val="000000" w:themeColor="text1"/>
              </w:rPr>
            </w:pPr>
            <w:r w:rsidRPr="00A27E36">
              <w:rPr>
                <w:b/>
                <w:i/>
                <w:color w:val="000000" w:themeColor="text1"/>
                <w:vertAlign w:val="superscript"/>
              </w:rPr>
              <w:t>4</w:t>
            </w:r>
            <w:r w:rsidRPr="00A27E36">
              <w:rPr>
                <w:b/>
                <w:i/>
                <w:color w:val="000000" w:themeColor="text1"/>
              </w:rPr>
              <w:t xml:space="preserve"> Som ovan.</w:t>
            </w:r>
          </w:p>
        </w:tc>
      </w:tr>
      <w:tr w:rsidR="00A27E36" w:rsidRPr="00A27E36" w:rsidTr="00A752A9">
        <w:trPr>
          <w:jc w:val="center"/>
        </w:trPr>
        <w:tc>
          <w:tcPr>
            <w:tcW w:w="9752" w:type="dxa"/>
            <w:gridSpan w:val="5"/>
          </w:tcPr>
          <w:p w:rsidR="00AE4942" w:rsidRPr="00A27E36" w:rsidRDefault="00AE4942" w:rsidP="00A752A9">
            <w:pPr>
              <w:pStyle w:val="Normal6a"/>
              <w:rPr>
                <w:b/>
                <w:i/>
                <w:color w:val="000000" w:themeColor="text1"/>
              </w:rPr>
            </w:pPr>
            <w:r w:rsidRPr="00A27E36">
              <w:rPr>
                <w:b/>
                <w:i/>
                <w:color w:val="000000" w:themeColor="text1"/>
                <w:vertAlign w:val="superscript"/>
              </w:rPr>
              <w:t>5</w:t>
            </w:r>
            <w:r w:rsidRPr="00A27E36">
              <w:rPr>
                <w:b/>
                <w:i/>
                <w:color w:val="000000" w:themeColor="text1"/>
              </w:rPr>
              <w:t xml:space="preserve"> Som ovan.</w:t>
            </w:r>
          </w:p>
        </w:tc>
      </w:tr>
    </w:tbl>
    <w:p w:rsidR="00AE4942" w:rsidRPr="00A27E36" w:rsidRDefault="00AE4942" w:rsidP="00AE4942">
      <w:pPr>
        <w:pStyle w:val="AmOrLang"/>
        <w:rPr>
          <w:color w:val="000000" w:themeColor="text1"/>
        </w:rPr>
      </w:pPr>
      <w:r w:rsidRPr="00A27E36">
        <w:rPr>
          <w:color w:val="000000" w:themeColor="text1"/>
        </w:rPr>
        <w:t xml:space="preserve">Or. </w:t>
      </w:r>
      <w:r w:rsidRPr="00A27E36">
        <w:rPr>
          <w:rStyle w:val="HideTWBExt"/>
        </w:rPr>
        <w:t>&lt;Original&gt;</w:t>
      </w:r>
      <w:r w:rsidRPr="00A27E36">
        <w:rPr>
          <w:rStyle w:val="HideTWBInt"/>
          <w:rFonts w:eastAsiaTheme="majorEastAsia"/>
        </w:rPr>
        <w:t>{EN}</w:t>
      </w:r>
      <w:r w:rsidRPr="00A27E36">
        <w:rPr>
          <w:color w:val="000000" w:themeColor="text1"/>
        </w:rPr>
        <w:t>en</w:t>
      </w:r>
      <w:r w:rsidRPr="00A27E36">
        <w:rPr>
          <w:rStyle w:val="HideTWBExt"/>
        </w:rPr>
        <w:t>&lt;/Original&gt;</w:t>
      </w:r>
    </w:p>
    <w:p w:rsidR="00AE4942" w:rsidRPr="00A27E36" w:rsidRDefault="00AE4942" w:rsidP="00AE4942">
      <w:pPr>
        <w:pStyle w:val="AMNumberTabs0"/>
        <w:keepNext/>
        <w:rPr>
          <w:color w:val="000000" w:themeColor="text1"/>
          <w:szCs w:val="24"/>
        </w:rPr>
      </w:pPr>
      <w:r w:rsidRPr="00A27E36">
        <w:rPr>
          <w:rStyle w:val="HideTWBExt"/>
          <w:b w:val="0"/>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130</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Irena Joveva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Bilaga I – tabell 1</w:t>
      </w:r>
      <w:r w:rsidRPr="00A27E3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A27E36" w:rsidRPr="00A27E36" w:rsidTr="00A752A9">
        <w:trPr>
          <w:jc w:val="center"/>
        </w:trPr>
        <w:tc>
          <w:tcPr>
            <w:tcW w:w="9752" w:type="dxa"/>
            <w:gridSpan w:val="5"/>
          </w:tcPr>
          <w:p w:rsidR="00AE4942" w:rsidRPr="00A27E36" w:rsidRDefault="00AE4942" w:rsidP="00A752A9">
            <w:pPr>
              <w:keepNext/>
              <w:rPr>
                <w:color w:val="000000" w:themeColor="text1"/>
              </w:rPr>
            </w:pPr>
          </w:p>
        </w:tc>
      </w:tr>
      <w:tr w:rsidR="00A27E36" w:rsidRPr="00A27E36" w:rsidTr="00A752A9">
        <w:trPr>
          <w:jc w:val="center"/>
        </w:trPr>
        <w:tc>
          <w:tcPr>
            <w:tcW w:w="9752" w:type="dxa"/>
            <w:gridSpan w:val="5"/>
            <w:hideMark/>
          </w:tcPr>
          <w:p w:rsidR="00AE4942" w:rsidRPr="00A27E36" w:rsidRDefault="00AE4942" w:rsidP="00A752A9">
            <w:pPr>
              <w:pStyle w:val="AmColumnHeading"/>
              <w:keepNext/>
              <w:rPr>
                <w:color w:val="000000" w:themeColor="text1"/>
              </w:rPr>
            </w:pPr>
            <w:r w:rsidRPr="00A27E36">
              <w:rPr>
                <w:color w:val="000000" w:themeColor="text1"/>
              </w:rPr>
              <w:t>Kommissionens förslag</w:t>
            </w:r>
          </w:p>
        </w:tc>
      </w:tr>
      <w:tr w:rsidR="00A27E36" w:rsidRPr="00A27E36" w:rsidTr="00A752A9">
        <w:trPr>
          <w:jc w:val="center"/>
        </w:trPr>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Demografi</w:t>
            </w: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Befolkningsantal</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grundläggande karakteristikum</w:t>
            </w:r>
          </w:p>
        </w:tc>
        <w:tc>
          <w:tcPr>
            <w:tcW w:w="1950" w:type="dxa"/>
            <w:hideMark/>
          </w:tcPr>
          <w:p w:rsidR="00AE4942" w:rsidRPr="00A27E36" w:rsidRDefault="00AE4942" w:rsidP="00A752A9">
            <w:pPr>
              <w:pStyle w:val="Normal6a"/>
              <w:rPr>
                <w:color w:val="000000" w:themeColor="text1"/>
                <w:szCs w:val="24"/>
              </w:rPr>
            </w:pPr>
            <w:r w:rsidRPr="00A27E36">
              <w:rPr>
                <w:color w:val="000000" w:themeColor="text1"/>
              </w:rPr>
              <w:t>6M</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30.6.ÅÅ och 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socioekonomiska karakteristikum</w:t>
            </w:r>
          </w:p>
        </w:tc>
        <w:tc>
          <w:tcPr>
            <w:tcW w:w="1950" w:type="dxa"/>
            <w:hideMark/>
          </w:tcPr>
          <w:p w:rsidR="00AE4942" w:rsidRPr="00A27E36" w:rsidRDefault="00AE4942" w:rsidP="00A752A9">
            <w:pPr>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Fertilitet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Födslar</w:t>
            </w:r>
          </w:p>
        </w:tc>
        <w:tc>
          <w:tcPr>
            <w:tcW w:w="1950" w:type="dxa"/>
            <w:hideMark/>
          </w:tcPr>
          <w:p w:rsidR="00AE4942" w:rsidRPr="00A27E36" w:rsidRDefault="00AE4942" w:rsidP="00A752A9">
            <w:pPr>
              <w:pStyle w:val="Normal6a"/>
              <w:rPr>
                <w:color w:val="000000" w:themeColor="text1"/>
              </w:rPr>
            </w:pPr>
            <w:r w:rsidRPr="00A27E36">
              <w:rPr>
                <w:color w:val="000000" w:themeColor="text1"/>
              </w:rPr>
              <w:t>Q</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Månad</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Lagligt genomförda aborter</w:t>
            </w:r>
            <w:r w:rsidRPr="00A27E36">
              <w:rPr>
                <w:color w:val="000000" w:themeColor="text1"/>
                <w:vertAlign w:val="superscript"/>
              </w:rPr>
              <w:t>1</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Mortalitet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Dödsfall</w:t>
            </w:r>
          </w:p>
        </w:tc>
        <w:tc>
          <w:tcPr>
            <w:tcW w:w="1950" w:type="dxa"/>
            <w:hideMark/>
          </w:tcPr>
          <w:p w:rsidR="00AE4942" w:rsidRPr="00A27E36" w:rsidRDefault="00AE4942" w:rsidP="00A752A9">
            <w:pPr>
              <w:pStyle w:val="Normal6a"/>
              <w:rPr>
                <w:color w:val="000000" w:themeColor="text1"/>
              </w:rPr>
            </w:pPr>
            <w:r w:rsidRPr="00A27E36">
              <w:rPr>
                <w:color w:val="000000" w:themeColor="text1"/>
              </w:rPr>
              <w:t>Q</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Månad, Vecka</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Dödsfall bland spädbarn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Sena dödsfall hos foster</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Partnerskap</w:t>
            </w:r>
          </w:p>
        </w:tc>
        <w:tc>
          <w:tcPr>
            <w:tcW w:w="1951" w:type="dxa"/>
            <w:hideMark/>
          </w:tcPr>
          <w:p w:rsidR="00AE4942" w:rsidRPr="00A27E36" w:rsidRDefault="00AE4942" w:rsidP="00A752A9">
            <w:pPr>
              <w:pStyle w:val="Normal6a"/>
              <w:rPr>
                <w:color w:val="000000" w:themeColor="text1"/>
              </w:rPr>
            </w:pPr>
            <w:r w:rsidRPr="00A27E36">
              <w:rPr>
                <w:color w:val="000000" w:themeColor="text1"/>
              </w:rPr>
              <w:t>Äktenskap och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Karakteristikum för personer som ingår äktenskap eller registrerat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Skilsmässor och avslutade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Migration</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Invandrare</w:t>
            </w:r>
          </w:p>
        </w:tc>
        <w:tc>
          <w:tcPr>
            <w:tcW w:w="1950" w:type="dxa"/>
            <w:hideMark/>
          </w:tcPr>
          <w:p w:rsidR="00AE4942" w:rsidRPr="00A27E36" w:rsidRDefault="00AE4942" w:rsidP="00A752A9">
            <w:pPr>
              <w:pStyle w:val="Normal6a"/>
              <w:rPr>
                <w:color w:val="000000" w:themeColor="text1"/>
              </w:rPr>
            </w:pPr>
            <w:r w:rsidRPr="00A27E36">
              <w:rPr>
                <w:color w:val="000000" w:themeColor="text1"/>
              </w:rPr>
              <w:t>Q</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Månad</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Utvandrare</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Intern migration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Förvärv och förlust av medborgarskap i EU:s medlemsstater och unionen</w:t>
            </w: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förvärvat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förlorat/avstått från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rPr>
              <w:t>_______________________________________</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vertAlign w:val="superscript"/>
              </w:rPr>
              <w:t>1</w:t>
            </w:r>
            <w:r w:rsidRPr="00A27E36">
              <w:rPr>
                <w:color w:val="000000" w:themeColor="text1"/>
              </w:rPr>
              <w:t xml:space="preserve"> Tillhandahålls på frivillig basis.</w:t>
            </w:r>
          </w:p>
        </w:tc>
      </w:tr>
      <w:tr w:rsidR="00A27E36" w:rsidRPr="00A27E36" w:rsidTr="00A752A9">
        <w:trPr>
          <w:jc w:val="center"/>
        </w:trPr>
        <w:tc>
          <w:tcPr>
            <w:tcW w:w="1950" w:type="dxa"/>
          </w:tcPr>
          <w:p w:rsidR="00AE4942" w:rsidRPr="00A27E36" w:rsidRDefault="00AE4942" w:rsidP="00A752A9">
            <w:pPr>
              <w:pStyle w:val="Normal6a"/>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tcPr>
          <w:p w:rsidR="00AE4942" w:rsidRPr="00A27E36" w:rsidRDefault="00AE4942" w:rsidP="00A752A9">
            <w:pPr>
              <w:pStyle w:val="Normal6a"/>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tcPr>
          <w:p w:rsidR="00AE4942" w:rsidRPr="00A27E36" w:rsidRDefault="00AE4942" w:rsidP="00A752A9">
            <w:pPr>
              <w:pStyle w:val="Normal6a"/>
              <w:rPr>
                <w:color w:val="000000" w:themeColor="text1"/>
                <w:szCs w:val="24"/>
              </w:rPr>
            </w:pPr>
          </w:p>
        </w:tc>
      </w:tr>
      <w:tr w:rsidR="00A27E36" w:rsidRPr="00A27E36" w:rsidTr="00A752A9">
        <w:trPr>
          <w:jc w:val="center"/>
        </w:trPr>
        <w:tc>
          <w:tcPr>
            <w:tcW w:w="9752" w:type="dxa"/>
            <w:gridSpan w:val="5"/>
            <w:hideMark/>
          </w:tcPr>
          <w:p w:rsidR="00AE4942" w:rsidRPr="00A27E36" w:rsidRDefault="00AE4942" w:rsidP="00A752A9">
            <w:pPr>
              <w:pStyle w:val="Normal6a"/>
              <w:jc w:val="center"/>
              <w:rPr>
                <w:i/>
                <w:color w:val="000000" w:themeColor="text1"/>
                <w:szCs w:val="24"/>
              </w:rPr>
            </w:pPr>
            <w:r w:rsidRPr="00A27E36">
              <w:rPr>
                <w:i/>
                <w:color w:val="000000" w:themeColor="text1"/>
              </w:rPr>
              <w:t>Ändringsförslag</w:t>
            </w:r>
          </w:p>
        </w:tc>
      </w:tr>
      <w:tr w:rsidR="00A27E36" w:rsidRPr="00A27E36" w:rsidTr="00A752A9">
        <w:trPr>
          <w:jc w:val="center"/>
        </w:trPr>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Demografi</w:t>
            </w: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Befolkningsantal</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grundläggande karakteristikum</w:t>
            </w:r>
            <w:r w:rsidRPr="00A27E36">
              <w:rPr>
                <w:b/>
                <w:i/>
                <w:color w:val="000000" w:themeColor="text1"/>
              </w:rPr>
              <w:t>, inklusive information om ålder, kön, typ av funktionsnedsättning och migrationsbakgrund</w:t>
            </w:r>
          </w:p>
        </w:tc>
        <w:tc>
          <w:tcPr>
            <w:tcW w:w="1950" w:type="dxa"/>
            <w:hideMark/>
          </w:tcPr>
          <w:p w:rsidR="00AE4942" w:rsidRPr="00A27E36" w:rsidRDefault="00AE4942" w:rsidP="00A752A9">
            <w:pPr>
              <w:pStyle w:val="Normal6a"/>
              <w:rPr>
                <w:color w:val="000000" w:themeColor="text1"/>
                <w:szCs w:val="24"/>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Personens socioekonomiska karakteristikum</w:t>
            </w:r>
          </w:p>
        </w:tc>
        <w:tc>
          <w:tcPr>
            <w:tcW w:w="1950" w:type="dxa"/>
            <w:hideMark/>
          </w:tcPr>
          <w:p w:rsidR="00AE4942" w:rsidRPr="00A27E36" w:rsidRDefault="00AE4942" w:rsidP="00A752A9">
            <w:pPr>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MA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D</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31.12.ÅÅ</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Fertilitet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Födslar</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Lagligt genomförda aborter</w:t>
            </w:r>
            <w:r w:rsidRPr="00A27E36">
              <w:rPr>
                <w:color w:val="000000" w:themeColor="text1"/>
                <w:vertAlign w:val="superscript"/>
              </w:rPr>
              <w:t>1</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Mortalitet</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Dödsfall</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Dödsfall bland spädbarn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Sena dödsfall hos foster</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Partnerskap</w:t>
            </w:r>
          </w:p>
        </w:tc>
        <w:tc>
          <w:tcPr>
            <w:tcW w:w="1951" w:type="dxa"/>
            <w:hideMark/>
          </w:tcPr>
          <w:p w:rsidR="00AE4942" w:rsidRPr="00A27E36" w:rsidRDefault="00AE4942" w:rsidP="00A752A9">
            <w:pPr>
              <w:pStyle w:val="Normal6a"/>
              <w:rPr>
                <w:color w:val="000000" w:themeColor="text1"/>
              </w:rPr>
            </w:pPr>
            <w:r w:rsidRPr="00A27E36">
              <w:rPr>
                <w:color w:val="000000" w:themeColor="text1"/>
              </w:rPr>
              <w:t>Äktenskap och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Karakteristikum för personer som ingår äktenskap eller registrerat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tcPr>
          <w:p w:rsidR="00AE4942" w:rsidRPr="00A27E36" w:rsidRDefault="00AE4942" w:rsidP="00A752A9">
            <w:pPr>
              <w:pStyle w:val="Normal6a"/>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Skilsmässor och avslutade registrerade partnerskap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Migration</w:t>
            </w:r>
          </w:p>
        </w:tc>
        <w:tc>
          <w:tcPr>
            <w:tcW w:w="1951" w:type="dxa"/>
            <w:vMerge w:val="restart"/>
            <w:hideMark/>
          </w:tcPr>
          <w:p w:rsidR="00AE4942" w:rsidRPr="00A27E36" w:rsidRDefault="00AE4942" w:rsidP="00A752A9">
            <w:pPr>
              <w:pStyle w:val="Normal6a"/>
              <w:rPr>
                <w:color w:val="000000" w:themeColor="text1"/>
              </w:rPr>
            </w:pPr>
            <w:r w:rsidRPr="00A27E36">
              <w:rPr>
                <w:color w:val="000000" w:themeColor="text1"/>
              </w:rPr>
              <w:t>Invandrare</w:t>
            </w:r>
          </w:p>
        </w:tc>
        <w:tc>
          <w:tcPr>
            <w:tcW w:w="1950" w:type="dxa"/>
            <w:hideMark/>
          </w:tcPr>
          <w:p w:rsidR="00AE4942" w:rsidRPr="00A27E36" w:rsidRDefault="00AE4942" w:rsidP="00A752A9">
            <w:pPr>
              <w:pStyle w:val="Normal6a"/>
              <w:rPr>
                <w:color w:val="000000" w:themeColor="text1"/>
              </w:rPr>
            </w:pPr>
            <w:r w:rsidRPr="00A27E36">
              <w:rPr>
                <w:color w:val="000000" w:themeColor="text1"/>
              </w:rPr>
              <w:t>Q</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Månad</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vMerge/>
            <w:vAlign w:val="center"/>
            <w:hideMark/>
          </w:tcPr>
          <w:p w:rsidR="00AE4942" w:rsidRPr="00A27E36" w:rsidRDefault="00AE4942" w:rsidP="00A752A9">
            <w:pPr>
              <w:rPr>
                <w:color w:val="000000" w:themeColor="text1"/>
              </w:rPr>
            </w:pP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Utvandrare</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Intern migration</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restart"/>
            <w:hideMark/>
          </w:tcPr>
          <w:p w:rsidR="00AE4942" w:rsidRPr="00A27E36" w:rsidRDefault="00AE4942" w:rsidP="00A752A9">
            <w:pPr>
              <w:pStyle w:val="Normal6a"/>
              <w:rPr>
                <w:color w:val="000000" w:themeColor="text1"/>
              </w:rPr>
            </w:pPr>
            <w:r w:rsidRPr="00A27E36">
              <w:rPr>
                <w:color w:val="000000" w:themeColor="text1"/>
              </w:rPr>
              <w:t>Förvärv och förlust av medborgarskap i EU:s medlemsstater och unionen</w:t>
            </w: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förvärvat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vMerge/>
            <w:vAlign w:val="center"/>
            <w:hideMark/>
          </w:tcPr>
          <w:p w:rsidR="00AE4942" w:rsidRPr="00A27E36" w:rsidRDefault="00AE4942" w:rsidP="00A752A9">
            <w:pPr>
              <w:rPr>
                <w:color w:val="000000" w:themeColor="text1"/>
              </w:rPr>
            </w:pPr>
          </w:p>
        </w:tc>
        <w:tc>
          <w:tcPr>
            <w:tcW w:w="1950" w:type="dxa"/>
            <w:vMerge/>
            <w:vAlign w:val="center"/>
            <w:hideMark/>
          </w:tcPr>
          <w:p w:rsidR="00AE4942" w:rsidRPr="00A27E36" w:rsidRDefault="00AE4942" w:rsidP="00A752A9">
            <w:pPr>
              <w:rPr>
                <w:color w:val="000000" w:themeColor="text1"/>
              </w:rPr>
            </w:pPr>
          </w:p>
        </w:tc>
        <w:tc>
          <w:tcPr>
            <w:tcW w:w="1951" w:type="dxa"/>
            <w:hideMark/>
          </w:tcPr>
          <w:p w:rsidR="00AE4942" w:rsidRPr="00A27E36" w:rsidRDefault="00AE4942" w:rsidP="00A752A9">
            <w:pPr>
              <w:pStyle w:val="Normal6a"/>
              <w:rPr>
                <w:color w:val="000000" w:themeColor="text1"/>
              </w:rPr>
            </w:pPr>
            <w:r w:rsidRPr="00A27E36">
              <w:rPr>
                <w:color w:val="000000" w:themeColor="text1"/>
              </w:rPr>
              <w:t>Personer som förlorat/avstått från medborgarskap</w:t>
            </w:r>
          </w:p>
        </w:tc>
        <w:tc>
          <w:tcPr>
            <w:tcW w:w="1950" w:type="dxa"/>
            <w:hideMark/>
          </w:tcPr>
          <w:p w:rsidR="00AE4942" w:rsidRPr="00A27E36" w:rsidRDefault="00AE4942" w:rsidP="00A752A9">
            <w:pPr>
              <w:pStyle w:val="Normal6a"/>
              <w:rPr>
                <w:color w:val="000000" w:themeColor="text1"/>
              </w:rPr>
            </w:pPr>
            <w:r w:rsidRPr="00A27E36">
              <w:rPr>
                <w:color w:val="000000" w:themeColor="text1"/>
              </w:rPr>
              <w:t>A</w:t>
            </w:r>
          </w:p>
        </w:tc>
        <w:tc>
          <w:tcPr>
            <w:tcW w:w="1951" w:type="dxa"/>
            <w:hideMark/>
          </w:tcPr>
          <w:p w:rsidR="00AE4942" w:rsidRPr="00A27E36" w:rsidRDefault="00AE4942" w:rsidP="00A752A9">
            <w:pPr>
              <w:pStyle w:val="Normal6a"/>
              <w:rPr>
                <w:color w:val="000000" w:themeColor="text1"/>
                <w:szCs w:val="24"/>
              </w:rPr>
            </w:pPr>
            <w:r w:rsidRPr="00A27E36">
              <w:rPr>
                <w:color w:val="000000" w:themeColor="text1"/>
              </w:rPr>
              <w:t>År</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rPr>
              <w:t>_______________________________________</w:t>
            </w:r>
          </w:p>
        </w:tc>
      </w:tr>
      <w:tr w:rsidR="00A27E36" w:rsidRPr="00A27E36" w:rsidTr="00A752A9">
        <w:trPr>
          <w:jc w:val="center"/>
        </w:trPr>
        <w:tc>
          <w:tcPr>
            <w:tcW w:w="9752" w:type="dxa"/>
            <w:gridSpan w:val="5"/>
            <w:hideMark/>
          </w:tcPr>
          <w:p w:rsidR="00AE4942" w:rsidRPr="00A27E36" w:rsidRDefault="00AE4942" w:rsidP="00A752A9">
            <w:pPr>
              <w:pStyle w:val="Normal6a"/>
              <w:rPr>
                <w:color w:val="000000" w:themeColor="text1"/>
                <w:szCs w:val="24"/>
              </w:rPr>
            </w:pPr>
            <w:r w:rsidRPr="00A27E36">
              <w:rPr>
                <w:color w:val="000000" w:themeColor="text1"/>
                <w:vertAlign w:val="superscript"/>
              </w:rPr>
              <w:t>1</w:t>
            </w:r>
            <w:r w:rsidRPr="00A27E36">
              <w:rPr>
                <w:color w:val="000000" w:themeColor="text1"/>
              </w:rPr>
              <w:t xml:space="preserve"> Tillhandahålls på frivillig basis.</w:t>
            </w:r>
          </w:p>
        </w:tc>
      </w:tr>
    </w:tbl>
    <w:p w:rsidR="00AE4942" w:rsidRPr="00A27E36" w:rsidRDefault="00AE4942" w:rsidP="00AE4942">
      <w:pPr>
        <w:pStyle w:val="AmOrLang"/>
        <w:rPr>
          <w:color w:val="000000" w:themeColor="text1"/>
        </w:rPr>
      </w:pPr>
      <w:r w:rsidRPr="00A27E36">
        <w:rPr>
          <w:color w:val="000000" w:themeColor="text1"/>
        </w:rPr>
        <w:t xml:space="preserve">Or. </w:t>
      </w:r>
      <w:r w:rsidRPr="00A27E36">
        <w:rPr>
          <w:rStyle w:val="HideTWBExt"/>
        </w:rPr>
        <w:t>&lt;Original&gt;</w:t>
      </w:r>
      <w:r w:rsidRPr="00A27E36">
        <w:rPr>
          <w:rStyle w:val="HideTWBInt"/>
          <w:rFonts w:eastAsiaTheme="majorEastAsia"/>
        </w:rPr>
        <w:t>{EN}</w:t>
      </w:r>
      <w:r w:rsidRPr="00A27E36">
        <w:rPr>
          <w:color w:val="000000" w:themeColor="text1"/>
        </w:rPr>
        <w:t>en</w:t>
      </w:r>
      <w:r w:rsidRPr="00A27E36">
        <w:rPr>
          <w:rStyle w:val="HideTWBExt"/>
        </w:rPr>
        <w:t>&lt;/Original&gt;</w:t>
      </w:r>
    </w:p>
    <w:p w:rsidR="00AE4942" w:rsidRPr="00A27E36" w:rsidRDefault="00AE4942" w:rsidP="00AE4942">
      <w:pPr>
        <w:rPr>
          <w:color w:val="000000" w:themeColor="text1"/>
        </w:rPr>
      </w:pPr>
      <w:r w:rsidRPr="00A27E36">
        <w:rPr>
          <w:rStyle w:val="HideTWBExt"/>
        </w:rPr>
        <w:t>&lt;/Amend&gt;</w:t>
      </w:r>
    </w:p>
    <w:p w:rsidR="00AE4942" w:rsidRPr="00A27E36" w:rsidRDefault="00AE4942" w:rsidP="00AE4942">
      <w:pPr>
        <w:pStyle w:val="AMNumberTabs0"/>
        <w:keepNext/>
        <w:rPr>
          <w:color w:val="000000" w:themeColor="text1"/>
        </w:rPr>
      </w:pPr>
      <w:r w:rsidRPr="00A27E36">
        <w:rPr>
          <w:rStyle w:val="HideTWBExt"/>
          <w:b w:val="0"/>
        </w:rPr>
        <w:t>&lt;Amend&gt;</w:t>
      </w:r>
      <w:r w:rsidRPr="00A27E36">
        <w:rPr>
          <w:color w:val="000000" w:themeColor="text1"/>
        </w:rPr>
        <w:t>Ändringsförslag</w:t>
      </w:r>
      <w:r w:rsidRPr="00A27E36">
        <w:rPr>
          <w:color w:val="000000" w:themeColor="text1"/>
        </w:rPr>
        <w:tab/>
      </w:r>
      <w:r w:rsidRPr="00A27E36">
        <w:rPr>
          <w:color w:val="000000" w:themeColor="text1"/>
        </w:rPr>
        <w:tab/>
      </w:r>
      <w:r w:rsidRPr="00A27E36">
        <w:rPr>
          <w:rStyle w:val="HideTWBExt"/>
          <w:b w:val="0"/>
        </w:rPr>
        <w:t>&lt;NumAm&gt;</w:t>
      </w:r>
      <w:r w:rsidRPr="00A27E36">
        <w:rPr>
          <w:color w:val="000000" w:themeColor="text1"/>
        </w:rPr>
        <w:t>131</w:t>
      </w:r>
      <w:r w:rsidRPr="00A27E36">
        <w:rPr>
          <w:rStyle w:val="HideTWBExt"/>
          <w:b w:val="0"/>
        </w:rPr>
        <w:t>&lt;/NumAm&gt;</w:t>
      </w:r>
    </w:p>
    <w:p w:rsidR="00AE4942" w:rsidRPr="00A27E36" w:rsidRDefault="00AE4942" w:rsidP="00AE4942">
      <w:pPr>
        <w:pStyle w:val="NormalBold"/>
        <w:rPr>
          <w:color w:val="000000" w:themeColor="text1"/>
        </w:rPr>
      </w:pPr>
      <w:r w:rsidRPr="00A27E36">
        <w:rPr>
          <w:rStyle w:val="HideTWBExt"/>
          <w:b w:val="0"/>
        </w:rPr>
        <w:t>&lt;RepeatBlock-By&gt;&lt;Members&gt;</w:t>
      </w:r>
      <w:r w:rsidRPr="00A27E36">
        <w:rPr>
          <w:color w:val="000000" w:themeColor="text1"/>
        </w:rPr>
        <w:t>Lívia Járóka</w:t>
      </w:r>
      <w:r w:rsidRPr="00A27E36">
        <w:rPr>
          <w:rStyle w:val="HideTWBExt"/>
          <w:b w:val="0"/>
        </w:rPr>
        <w:t>&lt;/Members&gt;</w:t>
      </w:r>
    </w:p>
    <w:p w:rsidR="00AE4942" w:rsidRPr="00A27E36" w:rsidRDefault="00AE4942" w:rsidP="00AE4942">
      <w:pPr>
        <w:rPr>
          <w:color w:val="000000" w:themeColor="text1"/>
        </w:rPr>
      </w:pPr>
      <w:r w:rsidRPr="00A27E36">
        <w:rPr>
          <w:rStyle w:val="HideTWBExt"/>
        </w:rPr>
        <w:t>&lt;/RepeatBlock-By&gt;</w:t>
      </w:r>
    </w:p>
    <w:p w:rsidR="00AE4942" w:rsidRPr="00A27E36" w:rsidRDefault="00AE4942" w:rsidP="00AE4942">
      <w:pPr>
        <w:pStyle w:val="NormalBold"/>
        <w:keepNext/>
        <w:rPr>
          <w:color w:val="000000" w:themeColor="text1"/>
        </w:rPr>
      </w:pPr>
      <w:r w:rsidRPr="00A27E36">
        <w:rPr>
          <w:rStyle w:val="HideTWBExt"/>
          <w:b w:val="0"/>
        </w:rPr>
        <w:t>&lt;DocAmend&gt;</w:t>
      </w:r>
      <w:r w:rsidRPr="00A27E36">
        <w:rPr>
          <w:color w:val="000000" w:themeColor="text1"/>
        </w:rPr>
        <w:t>Förslag till förordning</w:t>
      </w:r>
      <w:r w:rsidRPr="00A27E36">
        <w:rPr>
          <w:rStyle w:val="HideTWBExt"/>
          <w:b w:val="0"/>
        </w:rPr>
        <w:t>&lt;/DocAmend&gt;</w:t>
      </w:r>
    </w:p>
    <w:p w:rsidR="00AE4942" w:rsidRPr="00A27E36" w:rsidRDefault="00AE4942" w:rsidP="00AE4942">
      <w:pPr>
        <w:pStyle w:val="NormalBold"/>
        <w:rPr>
          <w:color w:val="000000" w:themeColor="text1"/>
        </w:rPr>
      </w:pPr>
      <w:r w:rsidRPr="00A27E36">
        <w:rPr>
          <w:rStyle w:val="HideTWBExt"/>
          <w:b w:val="0"/>
        </w:rPr>
        <w:t>&lt;Article&gt;</w:t>
      </w:r>
      <w:r w:rsidRPr="00A27E36">
        <w:rPr>
          <w:color w:val="000000" w:themeColor="text1"/>
        </w:rPr>
        <w:t>Bilaga I – tabell 1 (ny)</w:t>
      </w:r>
      <w:r w:rsidRPr="00A27E3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A27E36" w:rsidRPr="00A27E36" w:rsidTr="00A752A9">
        <w:trPr>
          <w:jc w:val="center"/>
        </w:trPr>
        <w:tc>
          <w:tcPr>
            <w:tcW w:w="9752" w:type="dxa"/>
            <w:gridSpan w:val="3"/>
          </w:tcPr>
          <w:p w:rsidR="00AE4942" w:rsidRPr="00A27E36" w:rsidRDefault="00AE4942" w:rsidP="00A752A9">
            <w:pPr>
              <w:keepNext/>
              <w:rPr>
                <w:color w:val="000000" w:themeColor="text1"/>
              </w:rPr>
            </w:pPr>
          </w:p>
        </w:tc>
      </w:tr>
      <w:tr w:rsidR="00A27E36" w:rsidRPr="00A27E36" w:rsidTr="00A752A9">
        <w:trPr>
          <w:jc w:val="center"/>
        </w:trPr>
        <w:tc>
          <w:tcPr>
            <w:tcW w:w="9752" w:type="dxa"/>
            <w:gridSpan w:val="3"/>
            <w:hideMark/>
          </w:tcPr>
          <w:p w:rsidR="00AE4942" w:rsidRPr="00A27E36" w:rsidRDefault="00AE4942" w:rsidP="00A752A9">
            <w:pPr>
              <w:pStyle w:val="AmColumnHeading"/>
              <w:keepNext/>
              <w:rPr>
                <w:color w:val="000000" w:themeColor="text1"/>
              </w:rPr>
            </w:pPr>
            <w:r w:rsidRPr="00A27E36">
              <w:rPr>
                <w:color w:val="000000" w:themeColor="text1"/>
              </w:rPr>
              <w:t>Kommissionens förslag</w:t>
            </w:r>
          </w:p>
        </w:tc>
      </w:tr>
      <w:tr w:rsidR="00A27E36" w:rsidRPr="00A27E36" w:rsidTr="00A752A9">
        <w:trPr>
          <w:trHeight w:val="1584"/>
          <w:jc w:val="center"/>
        </w:trPr>
        <w:tc>
          <w:tcPr>
            <w:tcW w:w="3250" w:type="dxa"/>
          </w:tcPr>
          <w:p w:rsidR="00AE4942" w:rsidRPr="00A27E36" w:rsidRDefault="00AE4942" w:rsidP="00A752A9">
            <w:pPr>
              <w:pStyle w:val="Normal6a"/>
              <w:rPr>
                <w:color w:val="000000" w:themeColor="text1"/>
              </w:rPr>
            </w:pPr>
          </w:p>
        </w:tc>
        <w:tc>
          <w:tcPr>
            <w:tcW w:w="3251" w:type="dxa"/>
          </w:tcPr>
          <w:p w:rsidR="00AE4942" w:rsidRPr="00A27E36" w:rsidRDefault="00AE4942" w:rsidP="00A752A9">
            <w:pPr>
              <w:pStyle w:val="Normal6a"/>
              <w:rPr>
                <w:color w:val="000000" w:themeColor="text1"/>
                <w:szCs w:val="24"/>
              </w:rPr>
            </w:pPr>
          </w:p>
        </w:tc>
        <w:tc>
          <w:tcPr>
            <w:tcW w:w="3251" w:type="dxa"/>
          </w:tcPr>
          <w:p w:rsidR="00AE4942" w:rsidRPr="00A27E36" w:rsidRDefault="00AE4942" w:rsidP="00A752A9">
            <w:pPr>
              <w:pStyle w:val="Normal6a"/>
              <w:rPr>
                <w:color w:val="000000" w:themeColor="text1"/>
                <w:szCs w:val="24"/>
              </w:rPr>
            </w:pPr>
          </w:p>
        </w:tc>
      </w:tr>
      <w:tr w:rsidR="00A27E36" w:rsidRPr="00A27E36" w:rsidTr="00A752A9">
        <w:trPr>
          <w:jc w:val="center"/>
        </w:trPr>
        <w:tc>
          <w:tcPr>
            <w:tcW w:w="3250" w:type="dxa"/>
          </w:tcPr>
          <w:p w:rsidR="00AE4942" w:rsidRPr="00A27E36" w:rsidRDefault="00AE4942" w:rsidP="00A752A9">
            <w:pPr>
              <w:pStyle w:val="Normal6a"/>
              <w:rPr>
                <w:color w:val="000000" w:themeColor="text1"/>
              </w:rPr>
            </w:pPr>
          </w:p>
        </w:tc>
        <w:tc>
          <w:tcPr>
            <w:tcW w:w="3251" w:type="dxa"/>
          </w:tcPr>
          <w:p w:rsidR="00AE4942" w:rsidRPr="00A27E36" w:rsidRDefault="00AE4942" w:rsidP="00A752A9">
            <w:pPr>
              <w:pStyle w:val="Normal6a"/>
              <w:rPr>
                <w:color w:val="000000" w:themeColor="text1"/>
              </w:rPr>
            </w:pPr>
          </w:p>
        </w:tc>
        <w:tc>
          <w:tcPr>
            <w:tcW w:w="3251" w:type="dxa"/>
          </w:tcPr>
          <w:p w:rsidR="00AE4942" w:rsidRPr="00A27E36" w:rsidRDefault="00AE4942" w:rsidP="00A752A9">
            <w:pPr>
              <w:pStyle w:val="Normal6a"/>
              <w:rPr>
                <w:color w:val="000000" w:themeColor="text1"/>
                <w:szCs w:val="24"/>
              </w:rPr>
            </w:pPr>
          </w:p>
        </w:tc>
      </w:tr>
      <w:tr w:rsidR="00A27E36" w:rsidRPr="00A27E36" w:rsidTr="00A752A9">
        <w:trPr>
          <w:jc w:val="center"/>
        </w:trPr>
        <w:tc>
          <w:tcPr>
            <w:tcW w:w="9752" w:type="dxa"/>
            <w:gridSpan w:val="3"/>
            <w:hideMark/>
          </w:tcPr>
          <w:p w:rsidR="00AE4942" w:rsidRPr="00A27E36" w:rsidRDefault="00AE4942" w:rsidP="00A752A9">
            <w:pPr>
              <w:pStyle w:val="Normal6a"/>
              <w:jc w:val="center"/>
              <w:rPr>
                <w:i/>
                <w:color w:val="000000" w:themeColor="text1"/>
                <w:szCs w:val="24"/>
              </w:rPr>
            </w:pPr>
            <w:r w:rsidRPr="00A27E36">
              <w:rPr>
                <w:i/>
                <w:color w:val="000000" w:themeColor="text1"/>
              </w:rPr>
              <w:t>Ändringsförslag</w:t>
            </w:r>
          </w:p>
        </w:tc>
      </w:tr>
      <w:tr w:rsidR="00A27E36" w:rsidRPr="00A27E36" w:rsidTr="00A752A9">
        <w:trPr>
          <w:trHeight w:val="529"/>
          <w:jc w:val="center"/>
        </w:trPr>
        <w:tc>
          <w:tcPr>
            <w:tcW w:w="3250" w:type="dxa"/>
          </w:tcPr>
          <w:p w:rsidR="00AE4942" w:rsidRPr="00A27E36" w:rsidRDefault="00AE4942" w:rsidP="00A752A9">
            <w:pPr>
              <w:pStyle w:val="Normal6a"/>
              <w:rPr>
                <w:b/>
                <w:i/>
                <w:color w:val="000000" w:themeColor="text1"/>
              </w:rPr>
            </w:pPr>
            <w:r w:rsidRPr="00A27E36">
              <w:rPr>
                <w:b/>
                <w:i/>
                <w:color w:val="000000" w:themeColor="text1"/>
              </w:rPr>
              <w:t>Område</w:t>
            </w:r>
          </w:p>
        </w:tc>
        <w:tc>
          <w:tcPr>
            <w:tcW w:w="3251" w:type="dxa"/>
          </w:tcPr>
          <w:p w:rsidR="00AE4942" w:rsidRPr="00A27E36" w:rsidRDefault="00AE4942" w:rsidP="00A752A9">
            <w:pPr>
              <w:pStyle w:val="Normal6a"/>
              <w:rPr>
                <w:b/>
                <w:i/>
                <w:color w:val="000000" w:themeColor="text1"/>
                <w:szCs w:val="24"/>
              </w:rPr>
            </w:pPr>
            <w:r w:rsidRPr="00A27E36">
              <w:rPr>
                <w:b/>
                <w:i/>
                <w:color w:val="000000" w:themeColor="text1"/>
              </w:rPr>
              <w:t>ämnen och specifika ämnen</w:t>
            </w:r>
          </w:p>
        </w:tc>
        <w:tc>
          <w:tcPr>
            <w:tcW w:w="3251" w:type="dxa"/>
          </w:tcPr>
          <w:p w:rsidR="00AE4942" w:rsidRPr="00A27E36" w:rsidRDefault="00AE4942" w:rsidP="00A752A9">
            <w:pPr>
              <w:pStyle w:val="Normal6a"/>
              <w:rPr>
                <w:b/>
                <w:i/>
                <w:color w:val="000000" w:themeColor="text1"/>
                <w:szCs w:val="24"/>
              </w:rPr>
            </w:pPr>
          </w:p>
        </w:tc>
      </w:tr>
      <w:tr w:rsidR="00A27E36" w:rsidRPr="00A27E36" w:rsidTr="00A752A9">
        <w:trPr>
          <w:trHeight w:val="529"/>
          <w:jc w:val="center"/>
        </w:trPr>
        <w:tc>
          <w:tcPr>
            <w:tcW w:w="3250" w:type="dxa"/>
          </w:tcPr>
          <w:p w:rsidR="00AE4942" w:rsidRPr="00A27E36" w:rsidRDefault="00AE4942" w:rsidP="00A752A9">
            <w:pPr>
              <w:rPr>
                <w:b/>
                <w:i/>
                <w:color w:val="000000" w:themeColor="text1"/>
              </w:rPr>
            </w:pPr>
            <w:r w:rsidRPr="00A27E36">
              <w:rPr>
                <w:b/>
                <w:i/>
                <w:color w:val="000000" w:themeColor="text1"/>
              </w:rPr>
              <w:t>Demografi</w:t>
            </w:r>
          </w:p>
        </w:tc>
        <w:tc>
          <w:tcPr>
            <w:tcW w:w="3251" w:type="dxa"/>
          </w:tcPr>
          <w:p w:rsidR="00AE4942" w:rsidRPr="00A27E36" w:rsidRDefault="00AE4942" w:rsidP="00A752A9">
            <w:pPr>
              <w:rPr>
                <w:b/>
                <w:i/>
                <w:color w:val="000000" w:themeColor="text1"/>
              </w:rPr>
            </w:pPr>
            <w:r w:rsidRPr="00A27E36">
              <w:rPr>
                <w:b/>
                <w:i/>
                <w:color w:val="000000" w:themeColor="text1"/>
              </w:rPr>
              <w:t>kön</w:t>
            </w:r>
          </w:p>
        </w:tc>
        <w:tc>
          <w:tcPr>
            <w:tcW w:w="3251" w:type="dxa"/>
          </w:tcPr>
          <w:p w:rsidR="00AE4942" w:rsidRPr="00A27E36" w:rsidRDefault="00AE4942" w:rsidP="00A752A9">
            <w:pPr>
              <w:pStyle w:val="Normal6a"/>
              <w:rPr>
                <w:b/>
                <w:i/>
                <w:color w:val="000000" w:themeColor="text1"/>
                <w:szCs w:val="24"/>
              </w:rPr>
            </w:pPr>
          </w:p>
        </w:tc>
      </w:tr>
      <w:tr w:rsidR="00A27E36" w:rsidRPr="00A27E36" w:rsidTr="00A752A9">
        <w:trPr>
          <w:trHeight w:val="529"/>
          <w:jc w:val="center"/>
        </w:trPr>
        <w:tc>
          <w:tcPr>
            <w:tcW w:w="3250" w:type="dxa"/>
          </w:tcPr>
          <w:p w:rsidR="00AE4942" w:rsidRPr="00A27E36" w:rsidRDefault="00AE4942" w:rsidP="00A752A9">
            <w:pPr>
              <w:pStyle w:val="Normal6a"/>
              <w:rPr>
                <w:b/>
                <w:i/>
                <w:color w:val="000000" w:themeColor="text1"/>
              </w:rPr>
            </w:pPr>
          </w:p>
        </w:tc>
        <w:tc>
          <w:tcPr>
            <w:tcW w:w="3251" w:type="dxa"/>
          </w:tcPr>
          <w:p w:rsidR="00AE4942" w:rsidRPr="00A27E36" w:rsidRDefault="00AE4942" w:rsidP="00A752A9">
            <w:pPr>
              <w:pStyle w:val="Normal6a"/>
              <w:rPr>
                <w:b/>
                <w:i/>
                <w:color w:val="000000" w:themeColor="text1"/>
                <w:szCs w:val="24"/>
              </w:rPr>
            </w:pPr>
            <w:r w:rsidRPr="00A27E36">
              <w:rPr>
                <w:b/>
                <w:i/>
                <w:color w:val="000000" w:themeColor="text1"/>
              </w:rPr>
              <w:t>ålder</w:t>
            </w:r>
          </w:p>
        </w:tc>
        <w:tc>
          <w:tcPr>
            <w:tcW w:w="3251" w:type="dxa"/>
          </w:tcPr>
          <w:p w:rsidR="00AE4942" w:rsidRPr="00A27E36" w:rsidRDefault="00AE4942" w:rsidP="00A752A9">
            <w:pPr>
              <w:pStyle w:val="Normal6a"/>
              <w:rPr>
                <w:b/>
                <w:i/>
                <w:color w:val="000000" w:themeColor="text1"/>
                <w:szCs w:val="24"/>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Sysselsättningsstatus</w:t>
            </w:r>
          </w:p>
        </w:tc>
        <w:tc>
          <w:tcPr>
            <w:tcW w:w="3251" w:type="dxa"/>
          </w:tcPr>
          <w:p w:rsidR="00AE4942" w:rsidRPr="00A27E36" w:rsidRDefault="00AE4942" w:rsidP="00A752A9">
            <w:pPr>
              <w:rPr>
                <w:b/>
                <w:i/>
                <w:color w:val="000000" w:themeColor="text1"/>
              </w:rPr>
            </w:pPr>
            <w:r w:rsidRPr="00A27E36">
              <w:rPr>
                <w:b/>
                <w:i/>
                <w:color w:val="000000" w:themeColor="text1"/>
              </w:rPr>
              <w:t xml:space="preserve">studerande </w:t>
            </w:r>
          </w:p>
        </w:tc>
        <w:tc>
          <w:tcPr>
            <w:tcW w:w="3251" w:type="dxa"/>
          </w:tcPr>
          <w:p w:rsidR="00AE4942" w:rsidRPr="00A27E36" w:rsidRDefault="00AE4942" w:rsidP="00A752A9">
            <w:pPr>
              <w:rPr>
                <w:b/>
                <w:i/>
                <w:color w:val="000000" w:themeColor="text1"/>
              </w:rPr>
            </w:pPr>
            <w:r w:rsidRPr="00A27E36">
              <w:rPr>
                <w:b/>
                <w:i/>
                <w:color w:val="000000" w:themeColor="text1"/>
              </w:rPr>
              <w:t>klassificering</w:t>
            </w: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anställd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arbetslös</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pensionär</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leverantör</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Geografiskt läge/bebyggelsens karakteristika</w:t>
            </w:r>
          </w:p>
        </w:tc>
        <w:tc>
          <w:tcPr>
            <w:tcW w:w="3251" w:type="dxa"/>
          </w:tcPr>
          <w:p w:rsidR="00AE4942" w:rsidRPr="00A27E36" w:rsidRDefault="00AE4942" w:rsidP="00A752A9">
            <w:pPr>
              <w:rPr>
                <w:b/>
                <w:i/>
                <w:color w:val="000000" w:themeColor="text1"/>
              </w:rPr>
            </w:pPr>
            <w:r w:rsidRPr="00A27E36">
              <w:rPr>
                <w:b/>
                <w:i/>
                <w:color w:val="000000" w:themeColor="text1"/>
              </w:rPr>
              <w:t>residensstad för län eller kanton</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huvudstad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 xml:space="preserve">stad </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liten stad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 xml:space="preserve">by </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liten by</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 xml:space="preserve">Bebyggelsens karakteristika </w:t>
            </w:r>
          </w:p>
        </w:tc>
        <w:tc>
          <w:tcPr>
            <w:tcW w:w="3251" w:type="dxa"/>
          </w:tcPr>
          <w:p w:rsidR="00AE4942" w:rsidRPr="00A27E36" w:rsidRDefault="00AE4942" w:rsidP="00A752A9">
            <w:pPr>
              <w:rPr>
                <w:b/>
                <w:i/>
                <w:color w:val="000000" w:themeColor="text1"/>
              </w:rPr>
            </w:pPr>
            <w:r w:rsidRPr="00A27E36">
              <w:rPr>
                <w:b/>
                <w:i/>
                <w:color w:val="000000" w:themeColor="text1"/>
              </w:rPr>
              <w:t>uppsamlingsplats</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tätort</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trädgårdsstad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utkanten av bostadsområde</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segregerat bostadsområde</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bostadsområde</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Regionala karakteristika</w:t>
            </w:r>
          </w:p>
        </w:tc>
        <w:tc>
          <w:tcPr>
            <w:tcW w:w="3251" w:type="dxa"/>
          </w:tcPr>
          <w:p w:rsidR="00AE4942" w:rsidRPr="00A27E36" w:rsidRDefault="00AE4942" w:rsidP="00A752A9">
            <w:pPr>
              <w:rPr>
                <w:b/>
                <w:i/>
                <w:color w:val="000000" w:themeColor="text1"/>
              </w:rPr>
            </w:pPr>
            <w:r w:rsidRPr="00A27E36">
              <w:rPr>
                <w:b/>
                <w:i/>
                <w:color w:val="000000" w:themeColor="text1"/>
              </w:rPr>
              <w:t>alluvial plats</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isolerad by</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torvjord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 xml:space="preserve">sandjord/lössjord </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lerjord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Omfattning av allmännyttiga tjänster</w:t>
            </w:r>
          </w:p>
        </w:tc>
        <w:tc>
          <w:tcPr>
            <w:tcW w:w="3251" w:type="dxa"/>
          </w:tcPr>
          <w:p w:rsidR="00AE4942" w:rsidRPr="00A27E36" w:rsidRDefault="00AE4942" w:rsidP="00A752A9">
            <w:pPr>
              <w:rPr>
                <w:b/>
                <w:i/>
                <w:color w:val="000000" w:themeColor="text1"/>
              </w:rPr>
            </w:pPr>
            <w:r w:rsidRPr="00A27E36">
              <w:rPr>
                <w:b/>
                <w:i/>
                <w:color w:val="000000" w:themeColor="text1"/>
              </w:rPr>
              <w:t>gatubelysning</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avvattningssystem</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asfalterat vägnät</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sophämtning</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täckning för internetmobilnät</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Omfattning av hälso- och sjukvård för ett visst bostadsområde</w:t>
            </w:r>
          </w:p>
        </w:tc>
        <w:tc>
          <w:tcPr>
            <w:tcW w:w="3251" w:type="dxa"/>
          </w:tcPr>
          <w:p w:rsidR="00AE4942" w:rsidRPr="00A27E36" w:rsidRDefault="00AE4942" w:rsidP="00A752A9">
            <w:pPr>
              <w:rPr>
                <w:b/>
                <w:i/>
                <w:color w:val="000000" w:themeColor="text1"/>
              </w:rPr>
            </w:pPr>
            <w:r w:rsidRPr="00A27E36">
              <w:rPr>
                <w:b/>
                <w:i/>
                <w:color w:val="000000" w:themeColor="text1"/>
              </w:rPr>
              <w:t>vårdcentral för vuxna</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barnläkare</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 xml:space="preserve">distriktssköterska </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stödtjänster till familjer</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äldrevård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seniorbostäder</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 xml:space="preserve">social omsorg – socialassistenter </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tandvård för vuxna</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barntandläkare</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öppenvårdsklinik</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sjukhus</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Möjligheter till/omfattning av utbildning</w:t>
            </w:r>
          </w:p>
        </w:tc>
        <w:tc>
          <w:tcPr>
            <w:tcW w:w="3251" w:type="dxa"/>
          </w:tcPr>
          <w:p w:rsidR="00AE4942" w:rsidRPr="00A27E36" w:rsidRDefault="00AE4942" w:rsidP="00A752A9">
            <w:pPr>
              <w:rPr>
                <w:b/>
                <w:i/>
                <w:color w:val="000000" w:themeColor="text1"/>
              </w:rPr>
            </w:pPr>
            <w:r w:rsidRPr="00A27E36">
              <w:rPr>
                <w:b/>
                <w:i/>
                <w:color w:val="000000" w:themeColor="text1"/>
              </w:rPr>
              <w:t>daghem</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förskola</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grundskola</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gymnasieskola</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institut för eftergymnasial utbildning</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språkskola</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lokalt bibliotek</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musikskola</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Kulturinstitutioner</w:t>
            </w:r>
          </w:p>
        </w:tc>
        <w:tc>
          <w:tcPr>
            <w:tcW w:w="3251" w:type="dxa"/>
          </w:tcPr>
          <w:p w:rsidR="00AE4942" w:rsidRPr="00A27E36" w:rsidRDefault="00AE4942" w:rsidP="00A752A9">
            <w:pPr>
              <w:rPr>
                <w:b/>
                <w:i/>
                <w:color w:val="000000" w:themeColor="text1"/>
              </w:rPr>
            </w:pPr>
            <w:r w:rsidRPr="00A27E36">
              <w:rPr>
                <w:b/>
                <w:i/>
                <w:color w:val="000000" w:themeColor="text1"/>
              </w:rPr>
              <w:t>lokalt museum</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teater</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barn- och ungdomsgård</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kulturinstitut</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b/>
                <w:i/>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bio</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val="restart"/>
          </w:tcPr>
          <w:p w:rsidR="00AE4942" w:rsidRPr="00A27E36" w:rsidRDefault="00AE4942" w:rsidP="00A752A9">
            <w:pPr>
              <w:rPr>
                <w:b/>
                <w:i/>
                <w:color w:val="000000" w:themeColor="text1"/>
              </w:rPr>
            </w:pPr>
            <w:r w:rsidRPr="00A27E36">
              <w:rPr>
                <w:b/>
                <w:i/>
                <w:color w:val="000000" w:themeColor="text1"/>
              </w:rPr>
              <w:t>Lokala medier</w:t>
            </w:r>
          </w:p>
        </w:tc>
        <w:tc>
          <w:tcPr>
            <w:tcW w:w="3251" w:type="dxa"/>
          </w:tcPr>
          <w:p w:rsidR="00AE4942" w:rsidRPr="00A27E36" w:rsidRDefault="00AE4942" w:rsidP="00A752A9">
            <w:pPr>
              <w:rPr>
                <w:b/>
                <w:i/>
                <w:color w:val="000000" w:themeColor="text1"/>
              </w:rPr>
            </w:pPr>
            <w:r w:rsidRPr="00A27E36">
              <w:rPr>
                <w:b/>
                <w:i/>
                <w:color w:val="000000" w:themeColor="text1"/>
              </w:rPr>
              <w:t>tidning</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radio</w:t>
            </w:r>
          </w:p>
        </w:tc>
        <w:tc>
          <w:tcPr>
            <w:tcW w:w="3251" w:type="dxa"/>
          </w:tcPr>
          <w:p w:rsidR="00AE4942" w:rsidRPr="00A27E36" w:rsidRDefault="00AE4942" w:rsidP="00A752A9">
            <w:pPr>
              <w:rPr>
                <w:b/>
                <w:i/>
                <w:color w:val="000000" w:themeColor="text1"/>
              </w:rPr>
            </w:pPr>
          </w:p>
        </w:tc>
      </w:tr>
      <w:tr w:rsidR="00A27E36" w:rsidRPr="00A27E36" w:rsidTr="00A752A9">
        <w:trPr>
          <w:trHeight w:val="529"/>
          <w:jc w:val="center"/>
        </w:trPr>
        <w:tc>
          <w:tcPr>
            <w:tcW w:w="3250" w:type="dxa"/>
            <w:vMerge/>
          </w:tcPr>
          <w:p w:rsidR="00AE4942" w:rsidRPr="00A27E36" w:rsidRDefault="00AE4942" w:rsidP="00A752A9">
            <w:pPr>
              <w:rPr>
                <w:color w:val="000000" w:themeColor="text1"/>
              </w:rPr>
            </w:pPr>
          </w:p>
        </w:tc>
        <w:tc>
          <w:tcPr>
            <w:tcW w:w="3251" w:type="dxa"/>
          </w:tcPr>
          <w:p w:rsidR="00AE4942" w:rsidRPr="00A27E36" w:rsidRDefault="00AE4942" w:rsidP="00A752A9">
            <w:pPr>
              <w:rPr>
                <w:b/>
                <w:i/>
                <w:color w:val="000000" w:themeColor="text1"/>
              </w:rPr>
            </w:pPr>
            <w:r w:rsidRPr="00A27E36">
              <w:rPr>
                <w:b/>
                <w:i/>
                <w:color w:val="000000" w:themeColor="text1"/>
              </w:rPr>
              <w:t>TV</w:t>
            </w:r>
          </w:p>
        </w:tc>
        <w:tc>
          <w:tcPr>
            <w:tcW w:w="3251" w:type="dxa"/>
          </w:tcPr>
          <w:p w:rsidR="00AE4942" w:rsidRPr="00A27E36" w:rsidRDefault="00AE4942" w:rsidP="00A752A9">
            <w:pPr>
              <w:rPr>
                <w:b/>
                <w:i/>
                <w:color w:val="000000" w:themeColor="text1"/>
              </w:rPr>
            </w:pPr>
          </w:p>
        </w:tc>
      </w:tr>
    </w:tbl>
    <w:p w:rsidR="00AE4942" w:rsidRPr="00A27E36" w:rsidRDefault="00AE4942" w:rsidP="00AE4942">
      <w:pPr>
        <w:pStyle w:val="Olang"/>
        <w:rPr>
          <w:color w:val="000000" w:themeColor="text1"/>
        </w:rPr>
      </w:pPr>
      <w:r w:rsidRPr="00A27E36">
        <w:rPr>
          <w:noProof w:val="0"/>
          <w:color w:val="000000" w:themeColor="text1"/>
        </w:rPr>
        <w:t xml:space="preserve">Or. </w:t>
      </w:r>
      <w:r w:rsidRPr="00A27E36">
        <w:rPr>
          <w:rStyle w:val="HideTWBExt"/>
        </w:rPr>
        <w:t>&lt;Original&gt;</w:t>
      </w:r>
      <w:r w:rsidRPr="00A27E36">
        <w:rPr>
          <w:rStyle w:val="HideTWBInt"/>
          <w:rFonts w:eastAsiaTheme="majorEastAsia"/>
        </w:rPr>
        <w:t>{HU}</w:t>
      </w:r>
      <w:r w:rsidRPr="00A27E36">
        <w:rPr>
          <w:noProof w:val="0"/>
          <w:color w:val="000000" w:themeColor="text1"/>
        </w:rPr>
        <w:t>hu</w:t>
      </w:r>
      <w:r w:rsidRPr="00A27E36">
        <w:rPr>
          <w:rStyle w:val="HideTWBExt"/>
        </w:rPr>
        <w:t>&lt;/Original&gt;</w:t>
      </w:r>
    </w:p>
    <w:p w:rsidR="00AE4942" w:rsidRPr="00A27E36" w:rsidRDefault="00AE4942" w:rsidP="00AE4942">
      <w:pPr>
        <w:rPr>
          <w:color w:val="000000" w:themeColor="text1"/>
        </w:rPr>
      </w:pPr>
      <w:r w:rsidRPr="00A27E36">
        <w:rPr>
          <w:rStyle w:val="HideTWBExt"/>
        </w:rPr>
        <w:t>&lt;/Amend&gt;&lt;/RepeatBlock-Amend&gt;</w:t>
      </w:r>
    </w:p>
    <w:p w:rsidR="008363E4" w:rsidRPr="00A27E36" w:rsidRDefault="008363E4" w:rsidP="00AE4942">
      <w:pPr>
        <w:rPr>
          <w:color w:val="000000" w:themeColor="text1"/>
        </w:rPr>
      </w:pPr>
    </w:p>
    <w:sectPr w:rsidR="008363E4" w:rsidRPr="00A27E36" w:rsidSect="00E436B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1DF" w:rsidRPr="0079514D" w:rsidRDefault="007E363B">
      <w:r w:rsidRPr="0079514D">
        <w:separator/>
      </w:r>
    </w:p>
  </w:endnote>
  <w:endnote w:type="continuationSeparator" w:id="0">
    <w:p w:rsidR="008331DF" w:rsidRPr="0079514D" w:rsidRDefault="007E363B">
      <w:r w:rsidRPr="007951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6BE" w:rsidRPr="0079514D" w:rsidRDefault="00E436BE" w:rsidP="00E436BE">
    <w:pPr>
      <w:pStyle w:val="EPFooter"/>
    </w:pPr>
    <w:r w:rsidRPr="0079514D">
      <w:t>PE</w:t>
    </w:r>
    <w:r w:rsidRPr="00A27E36">
      <w:rPr>
        <w:rStyle w:val="HideTWBExt"/>
      </w:rPr>
      <w:t>&lt;NoPE&gt;</w:t>
    </w:r>
    <w:r w:rsidRPr="0079514D">
      <w:t>749.193</w:t>
    </w:r>
    <w:r w:rsidRPr="00A27E36">
      <w:rPr>
        <w:rStyle w:val="HideTWBExt"/>
      </w:rPr>
      <w:t>&lt;/NoPE&gt;&lt;Version&gt;</w:t>
    </w:r>
    <w:r w:rsidRPr="0079514D">
      <w:t>v01-00</w:t>
    </w:r>
    <w:r w:rsidRPr="00A27E36">
      <w:rPr>
        <w:rStyle w:val="HideTWBExt"/>
      </w:rPr>
      <w:t>&lt;/Version&gt;</w:t>
    </w:r>
    <w:r w:rsidRPr="0079514D">
      <w:tab/>
    </w:r>
    <w:r w:rsidRPr="0079514D">
      <w:fldChar w:fldCharType="begin"/>
    </w:r>
    <w:r w:rsidRPr="0079514D">
      <w:instrText xml:space="preserve"> PAGE  \* MERGEFORMAT </w:instrText>
    </w:r>
    <w:r w:rsidRPr="0079514D">
      <w:fldChar w:fldCharType="separate"/>
    </w:r>
    <w:r w:rsidR="008D1606">
      <w:rPr>
        <w:noProof/>
      </w:rPr>
      <w:t>2</w:t>
    </w:r>
    <w:r w:rsidRPr="0079514D">
      <w:fldChar w:fldCharType="end"/>
    </w:r>
    <w:r w:rsidRPr="0079514D">
      <w:t>/</w:t>
    </w:r>
    <w:r w:rsidR="008D1606">
      <w:fldChar w:fldCharType="begin"/>
    </w:r>
    <w:r w:rsidR="008D1606">
      <w:instrText xml:space="preserve"> NUMPAGES  \* MERGEFORMAT </w:instrText>
    </w:r>
    <w:r w:rsidR="008D1606">
      <w:fldChar w:fldCharType="separate"/>
    </w:r>
    <w:r w:rsidR="008D1606">
      <w:rPr>
        <w:noProof/>
      </w:rPr>
      <w:t>68</w:t>
    </w:r>
    <w:r w:rsidR="008D1606">
      <w:rPr>
        <w:noProof/>
      </w:rPr>
      <w:fldChar w:fldCharType="end"/>
    </w:r>
    <w:r w:rsidRPr="0079514D">
      <w:tab/>
    </w:r>
    <w:r w:rsidRPr="00A27E36">
      <w:rPr>
        <w:rStyle w:val="HideTWBExt"/>
      </w:rPr>
      <w:t>&lt;PathFdR&gt;</w:t>
    </w:r>
    <w:r w:rsidRPr="0079514D">
      <w:t>AM\1279682SV.docx</w:t>
    </w:r>
    <w:r w:rsidRPr="00A27E36">
      <w:rPr>
        <w:rStyle w:val="HideTWBExt"/>
      </w:rPr>
      <w:t>&lt;/PathFdR&gt;</w:t>
    </w:r>
  </w:p>
  <w:p w:rsidR="0087285F" w:rsidRPr="0079514D" w:rsidRDefault="00E436BE" w:rsidP="00E436BE">
    <w:pPr>
      <w:pStyle w:val="EPFooter2"/>
    </w:pPr>
    <w:r w:rsidRPr="0079514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6BE" w:rsidRPr="0079514D" w:rsidRDefault="00E436BE" w:rsidP="00E436BE">
    <w:pPr>
      <w:pStyle w:val="EPFooter"/>
    </w:pPr>
    <w:r w:rsidRPr="00A27E36">
      <w:rPr>
        <w:rStyle w:val="HideTWBExt"/>
      </w:rPr>
      <w:t>&lt;PathFdR&gt;</w:t>
    </w:r>
    <w:r w:rsidRPr="0079514D">
      <w:t>AM\1279682SV.docx</w:t>
    </w:r>
    <w:r w:rsidRPr="00A27E36">
      <w:rPr>
        <w:rStyle w:val="HideTWBExt"/>
      </w:rPr>
      <w:t>&lt;/PathFdR&gt;</w:t>
    </w:r>
    <w:r w:rsidRPr="0079514D">
      <w:tab/>
    </w:r>
    <w:r w:rsidRPr="0079514D">
      <w:fldChar w:fldCharType="begin"/>
    </w:r>
    <w:r w:rsidRPr="0079514D">
      <w:instrText xml:space="preserve"> PAGE  \* MERGEFORMAT </w:instrText>
    </w:r>
    <w:r w:rsidRPr="0079514D">
      <w:fldChar w:fldCharType="separate"/>
    </w:r>
    <w:r w:rsidR="008D1606">
      <w:rPr>
        <w:noProof/>
      </w:rPr>
      <w:t>3</w:t>
    </w:r>
    <w:r w:rsidRPr="0079514D">
      <w:fldChar w:fldCharType="end"/>
    </w:r>
    <w:r w:rsidRPr="0079514D">
      <w:t>/</w:t>
    </w:r>
    <w:r w:rsidR="008D1606">
      <w:fldChar w:fldCharType="begin"/>
    </w:r>
    <w:r w:rsidR="008D1606">
      <w:instrText xml:space="preserve"> NUMPAGES  \* MERGEFORMAT </w:instrText>
    </w:r>
    <w:r w:rsidR="008D1606">
      <w:fldChar w:fldCharType="separate"/>
    </w:r>
    <w:r w:rsidR="008D1606">
      <w:rPr>
        <w:noProof/>
      </w:rPr>
      <w:t>68</w:t>
    </w:r>
    <w:r w:rsidR="008D1606">
      <w:rPr>
        <w:noProof/>
      </w:rPr>
      <w:fldChar w:fldCharType="end"/>
    </w:r>
    <w:r w:rsidRPr="0079514D">
      <w:tab/>
      <w:t>PE</w:t>
    </w:r>
    <w:r w:rsidRPr="00A27E36">
      <w:rPr>
        <w:rStyle w:val="HideTWBExt"/>
      </w:rPr>
      <w:t>&lt;NoPE&gt;</w:t>
    </w:r>
    <w:r w:rsidRPr="0079514D">
      <w:t>749.193</w:t>
    </w:r>
    <w:r w:rsidRPr="00A27E36">
      <w:rPr>
        <w:rStyle w:val="HideTWBExt"/>
      </w:rPr>
      <w:t>&lt;/NoPE&gt;&lt;Version&gt;</w:t>
    </w:r>
    <w:r w:rsidRPr="0079514D">
      <w:t>v01-00</w:t>
    </w:r>
    <w:r w:rsidRPr="00A27E36">
      <w:rPr>
        <w:rStyle w:val="HideTWBExt"/>
      </w:rPr>
      <w:t>&lt;/Version&gt;</w:t>
    </w:r>
  </w:p>
  <w:p w:rsidR="0087285F" w:rsidRPr="0079514D" w:rsidRDefault="00E436BE" w:rsidP="00E436BE">
    <w:pPr>
      <w:pStyle w:val="EPFooter2"/>
    </w:pPr>
    <w:r w:rsidRPr="0079514D">
      <w:tab/>
    </w:r>
    <w:r w:rsidRPr="0079514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6BE" w:rsidRPr="0079514D" w:rsidRDefault="00E436BE" w:rsidP="00E436BE">
    <w:pPr>
      <w:pStyle w:val="EPFooter"/>
    </w:pPr>
    <w:r w:rsidRPr="00A27E36">
      <w:rPr>
        <w:rStyle w:val="HideTWBExt"/>
      </w:rPr>
      <w:t>&lt;PathFdR&gt;</w:t>
    </w:r>
    <w:r w:rsidRPr="0079514D">
      <w:t>AM\1279682SV.docx</w:t>
    </w:r>
    <w:r w:rsidRPr="00A27E36">
      <w:rPr>
        <w:rStyle w:val="HideTWBExt"/>
      </w:rPr>
      <w:t>&lt;/PathFdR&gt;</w:t>
    </w:r>
    <w:r w:rsidRPr="0079514D">
      <w:tab/>
    </w:r>
    <w:r w:rsidRPr="0079514D">
      <w:tab/>
      <w:t>PE</w:t>
    </w:r>
    <w:r w:rsidRPr="00A27E36">
      <w:rPr>
        <w:rStyle w:val="HideTWBExt"/>
      </w:rPr>
      <w:t>&lt;NoPE&gt;</w:t>
    </w:r>
    <w:r w:rsidRPr="0079514D">
      <w:t>749.193</w:t>
    </w:r>
    <w:r w:rsidRPr="00A27E36">
      <w:rPr>
        <w:rStyle w:val="HideTWBExt"/>
      </w:rPr>
      <w:t>&lt;/NoPE&gt;&lt;Version&gt;</w:t>
    </w:r>
    <w:r w:rsidRPr="0079514D">
      <w:t>v01-00</w:t>
    </w:r>
    <w:r w:rsidRPr="00A27E36">
      <w:rPr>
        <w:rStyle w:val="HideTWBExt"/>
      </w:rPr>
      <w:t>&lt;/Version&gt;</w:t>
    </w:r>
  </w:p>
  <w:p w:rsidR="0087285F" w:rsidRPr="0079514D" w:rsidRDefault="00E436BE" w:rsidP="00E436BE">
    <w:pPr>
      <w:pStyle w:val="EPFooter2"/>
    </w:pPr>
    <w:r w:rsidRPr="0079514D">
      <w:t>SV</w:t>
    </w:r>
    <w:r w:rsidRPr="0079514D">
      <w:tab/>
    </w:r>
    <w:r w:rsidRPr="0079514D">
      <w:rPr>
        <w:b w:val="0"/>
        <w:i/>
        <w:color w:val="C0C0C0"/>
        <w:sz w:val="22"/>
      </w:rPr>
      <w:t>Förenade i mångfalden</w:t>
    </w:r>
    <w:r w:rsidRPr="0079514D">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1DF" w:rsidRPr="0079514D" w:rsidRDefault="007E363B">
      <w:r w:rsidRPr="0079514D">
        <w:separator/>
      </w:r>
    </w:p>
  </w:footnote>
  <w:footnote w:type="continuationSeparator" w:id="0">
    <w:p w:rsidR="008331DF" w:rsidRPr="0079514D" w:rsidRDefault="007E363B">
      <w:r w:rsidRPr="007951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606" w:rsidRDefault="008D1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606" w:rsidRDefault="008D1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606" w:rsidRDefault="008D1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VTACTPART" w:val="xxx"/>
    <w:docVar w:name="TVTAMACTPART" w:val="xxx"/>
    <w:docVar w:name="TVTMEMBERS1" w:val="xxx"/>
    <w:docVar w:name="TXTAUTHOR" w:val="Sandra Pereira"/>
    <w:docVar w:name="TXTLANGUE" w:val="SV"/>
    <w:docVar w:name="TXTLANGUEMIN" w:val="sv"/>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SV.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4460B"/>
    <w:rsid w:val="002574CB"/>
    <w:rsid w:val="00280EA6"/>
    <w:rsid w:val="002A1C82"/>
    <w:rsid w:val="002B6A7B"/>
    <w:rsid w:val="002C5761"/>
    <w:rsid w:val="002E3B4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3BA1"/>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659AC"/>
    <w:rsid w:val="0079060C"/>
    <w:rsid w:val="0079514D"/>
    <w:rsid w:val="007A42AB"/>
    <w:rsid w:val="007C71DE"/>
    <w:rsid w:val="007E363B"/>
    <w:rsid w:val="007F393F"/>
    <w:rsid w:val="00822C94"/>
    <w:rsid w:val="008331DF"/>
    <w:rsid w:val="008363E4"/>
    <w:rsid w:val="00851460"/>
    <w:rsid w:val="00852CD8"/>
    <w:rsid w:val="0087052C"/>
    <w:rsid w:val="00870CF2"/>
    <w:rsid w:val="0087285F"/>
    <w:rsid w:val="00874862"/>
    <w:rsid w:val="00875A9C"/>
    <w:rsid w:val="00877EC6"/>
    <w:rsid w:val="00887FDC"/>
    <w:rsid w:val="008B251A"/>
    <w:rsid w:val="008D1606"/>
    <w:rsid w:val="008D6D06"/>
    <w:rsid w:val="008F0DDD"/>
    <w:rsid w:val="00900CAE"/>
    <w:rsid w:val="00904AD5"/>
    <w:rsid w:val="00907CCA"/>
    <w:rsid w:val="009154FF"/>
    <w:rsid w:val="00917A85"/>
    <w:rsid w:val="00966038"/>
    <w:rsid w:val="009735F5"/>
    <w:rsid w:val="009A65D8"/>
    <w:rsid w:val="009B0305"/>
    <w:rsid w:val="009F230F"/>
    <w:rsid w:val="00A048AA"/>
    <w:rsid w:val="00A15973"/>
    <w:rsid w:val="00A233E9"/>
    <w:rsid w:val="00A27E36"/>
    <w:rsid w:val="00A46736"/>
    <w:rsid w:val="00A507FC"/>
    <w:rsid w:val="00A5426B"/>
    <w:rsid w:val="00A845EF"/>
    <w:rsid w:val="00A84E16"/>
    <w:rsid w:val="00A93389"/>
    <w:rsid w:val="00A93F8C"/>
    <w:rsid w:val="00AA0426"/>
    <w:rsid w:val="00AB74D6"/>
    <w:rsid w:val="00AC7149"/>
    <w:rsid w:val="00AD730A"/>
    <w:rsid w:val="00AE4459"/>
    <w:rsid w:val="00AE4942"/>
    <w:rsid w:val="00AE624E"/>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E672F"/>
    <w:rsid w:val="00E15A86"/>
    <w:rsid w:val="00E25DC5"/>
    <w:rsid w:val="00E436BE"/>
    <w:rsid w:val="00E44BB0"/>
    <w:rsid w:val="00E471BE"/>
    <w:rsid w:val="00E57F50"/>
    <w:rsid w:val="00E660E2"/>
    <w:rsid w:val="00EA25AE"/>
    <w:rsid w:val="00EB3A71"/>
    <w:rsid w:val="00ED2B6C"/>
    <w:rsid w:val="00EE011D"/>
    <w:rsid w:val="00EE3E0D"/>
    <w:rsid w:val="00EF03A3"/>
    <w:rsid w:val="00EF11AD"/>
    <w:rsid w:val="00F27170"/>
    <w:rsid w:val="00F459F7"/>
    <w:rsid w:val="00F460E2"/>
    <w:rsid w:val="00F92B49"/>
    <w:rsid w:val="00FA192C"/>
    <w:rsid w:val="00FC1B08"/>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D48F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sv-SE"/>
    </w:rPr>
  </w:style>
  <w:style w:type="paragraph" w:customStyle="1" w:styleId="Normal6">
    <w:name w:val="Normal6"/>
    <w:basedOn w:val="Normal"/>
    <w:link w:val="Normal6Char"/>
    <w:rsid w:val="002E3B41"/>
    <w:pPr>
      <w:spacing w:after="120"/>
    </w:pPr>
  </w:style>
  <w:style w:type="paragraph" w:customStyle="1" w:styleId="Normal12Italic">
    <w:name w:val="Normal12Italic"/>
    <w:basedOn w:val="Normal12"/>
    <w:rsid w:val="002E3B41"/>
    <w:rPr>
      <w:i/>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3B41"/>
    <w:pPr>
      <w:spacing w:after="240"/>
      <w:jc w:val="center"/>
    </w:pPr>
    <w:rPr>
      <w:i/>
    </w:rPr>
  </w:style>
  <w:style w:type="paragraph" w:customStyle="1" w:styleId="Olang">
    <w:name w:val="Olang"/>
    <w:basedOn w:val="Normal"/>
    <w:rsid w:val="002E3B41"/>
    <w:pPr>
      <w:spacing w:before="240" w:after="240"/>
      <w:jc w:val="right"/>
    </w:pPr>
    <w:rPr>
      <w:noProof/>
      <w:szCs w:val="24"/>
    </w:rPr>
  </w:style>
  <w:style w:type="paragraph" w:customStyle="1" w:styleId="JustificationTitle">
    <w:name w:val="JustificationTitle"/>
    <w:basedOn w:val="Normal"/>
    <w:next w:val="Normal12"/>
    <w:rsid w:val="002E3B41"/>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E72A9DC5A4344B936928212BCBF2A9" ma:contentTypeVersion="0" ma:contentTypeDescription="Create a new document." ma:contentTypeScope="" ma:versionID="0fa9db7af6a48d2901bf236d8de9dca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C5F66-B529-43B2-AF42-CCF8B18F9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B1151AA-EB17-4666-8ECE-F349B4D01DC5}">
  <ds:schemaRefs>
    <ds:schemaRef ds:uri="http://schemas.microsoft.com/sharepoint/v3/contenttype/forms"/>
  </ds:schemaRefs>
</ds:datastoreItem>
</file>

<file path=customXml/itemProps3.xml><?xml version="1.0" encoding="utf-8"?>
<ds:datastoreItem xmlns:ds="http://schemas.openxmlformats.org/officeDocument/2006/customXml" ds:itemID="{249AF78F-6C38-4AB5-8596-23AD5B3BCC5C}">
  <ds:schemaRefs>
    <ds:schemaRef ds:uri="http://schemas.microsoft.com/office/2006/metadata/properties"/>
  </ds:schemaRefs>
</ds:datastoreItem>
</file>

<file path=customXml/itemProps4.xml><?xml version="1.0" encoding="utf-8"?>
<ds:datastoreItem xmlns:ds="http://schemas.openxmlformats.org/officeDocument/2006/customXml" ds:itemID="{6202512F-D0FB-437D-A481-1F915851C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14287</Words>
  <Characters>93725</Characters>
  <Application>Microsoft Office Word</Application>
  <DocSecurity>0</DocSecurity>
  <Lines>4243</Lines>
  <Paragraphs>1301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2023-06-26T12:44:00Z</dcterms:created>
  <dcterms:modified xsi:type="dcterms:W3CDTF">2023-06-26T12:44:00Z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0x010100E7E72A9DC5A4344B936928212BCBF2A9</vt:lpwstr>
  </property>
  <property fmtid="{D5CDD505-2E9C-101B-9397-08002B2CF9AE}" pid="3" name="&lt;Model&gt;">
    <vt:lpwstr>AM_Com_LegReport</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749.193</vt:lpwstr>
  </property>
  <property fmtid="{D5CDD505-2E9C-101B-9397-08002B2CF9AE}" pid="7" name="LastEdited with">
    <vt:lpwstr>9.15.0 Build [20230501]</vt:lpwstr>
  </property>
  <property fmtid="{D5CDD505-2E9C-101B-9397-08002B2CF9AE}" pid="8" name="&lt;FdR&gt;">
    <vt:lpwstr>1279682</vt:lpwstr>
  </property>
  <property fmtid="{D5CDD505-2E9C-101B-9397-08002B2CF9AE}" pid="9" name="FooterPath">
    <vt:lpwstr>AM\1279682SV.docx</vt:lpwstr>
  </property>
  <property fmtid="{D5CDD505-2E9C-101B-9397-08002B2CF9AE}" pid="10" name="Bookout">
    <vt:lpwstr>OK - 2023/06/26 14:44</vt:lpwstr>
  </property>
</Properties>
</file>