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3.6.0 -->
  <w:body>
    <w:tbl>
      <w:tblPr>
        <w:tblW w:w="0" w:type="auto"/>
        <w:jc w:val="center"/>
        <w:tblLayout w:type="fixed"/>
        <w:tblCellMar>
          <w:top w:w="0" w:type="dxa"/>
          <w:left w:w="108" w:type="dxa"/>
          <w:bottom w:w="0" w:type="dxa"/>
          <w:right w:w="108" w:type="dxa"/>
        </w:tblCellMar>
      </w:tblPr>
      <w:tblGrid>
        <w:gridCol w:w="6804"/>
        <w:gridCol w:w="2268"/>
      </w:tblGrid>
      <w:tr>
        <w:tblPrEx>
          <w:tblW w:w="0" w:type="auto"/>
          <w:jc w:val="center"/>
          <w:tblLayout w:type="fixed"/>
          <w:tblCellMar>
            <w:top w:w="0" w:type="dxa"/>
            <w:left w:w="108" w:type="dxa"/>
            <w:bottom w:w="0" w:type="dxa"/>
            <w:right w:w="108" w:type="dxa"/>
          </w:tblCellMar>
        </w:tblPrEx>
        <w:trPr>
          <w:trHeight w:hRule="exact" w:val="1417"/>
          <w:jc w:val="center"/>
        </w:trPr>
        <w:tc>
          <w:tcPr>
            <w:tcW w:w="6804" w:type="dxa"/>
            <w:vAlign w:val="center"/>
          </w:tcPr>
          <w:p>
            <w:pPr>
              <w:pStyle w:val="EPName"/>
            </w:pPr>
            <w:r>
              <w:t>Европейски парламент</w:t>
            </w:r>
          </w:p>
          <w:p>
            <w:pPr>
              <w:pStyle w:val="EPTerm"/>
              <w:jc w:val="left"/>
            </w:pPr>
            <w:r>
              <w:t>2019-2024</w:t>
            </w:r>
          </w:p>
        </w:tc>
        <w:tc>
          <w:tcPr>
            <w:tcW w:w="2268" w:type="dxa"/>
            <w:vAlign w:val="top"/>
          </w:tcPr>
          <w:p>
            <w:pPr>
              <w:pStyle w:val="EPLogo"/>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6pt;height:50.11pt">
                  <v:imagedata r:id="rId4" o:title=""/>
                </v:shape>
              </w:pict>
            </w:r>
          </w:p>
        </w:tc>
      </w:tr>
    </w:tbl>
    <w:p>
      <w:pPr>
        <w:pStyle w:val="LineTop"/>
      </w:pPr>
      <w:r>
        <w:t xml:space="preserve"> </w:t>
      </w:r>
    </w:p>
    <w:p>
      <w:pPr>
        <w:pStyle w:val="EPBody"/>
      </w:pPr>
      <w:r>
        <w:rPr>
          <w:rStyle w:val="HideTWBExt"/>
        </w:rPr>
        <w:t>&lt;Commission&gt;</w:t>
      </w:r>
      <w:r>
        <w:rPr>
          <w:rStyle w:val="HideTWBInt"/>
        </w:rPr>
        <w:t>{EMPL}</w:t>
      </w:r>
      <w:r>
        <w:t>Комисия по заетост и социални въпроси</w:t>
      </w:r>
      <w:r>
        <w:rPr>
          <w:rStyle w:val="HideTWBExt"/>
        </w:rPr>
        <w:t>&lt;/Commission&gt;</w:t>
      </w:r>
    </w:p>
    <w:p>
      <w:pPr>
        <w:pStyle w:val="LineBottom"/>
      </w:pPr>
      <w:r>
        <w:t xml:space="preserve"> </w:t>
      </w:r>
    </w:p>
    <w:p>
      <w:pPr>
        <w:pStyle w:val="CoverReference"/>
      </w:pPr>
      <w:r>
        <w:rPr>
          <w:rStyle w:val="HideTWBExt"/>
        </w:rPr>
        <w:t>&lt;RefProc&gt;</w:t>
      </w:r>
      <w:r>
        <w:t>2023/0311</w:t>
      </w:r>
      <w:r>
        <w:rPr>
          <w:rStyle w:val="HideTWBExt"/>
        </w:rPr>
        <w:t>&lt;/RefProc&gt;</w:t>
      </w:r>
      <w:r>
        <w:rPr>
          <w:rStyle w:val="HideTWBExt"/>
        </w:rPr>
        <w:t>&lt;RefTypeProc&gt;</w:t>
      </w:r>
      <w:r>
        <w:t>(COD)</w:t>
      </w:r>
      <w:r>
        <w:rPr>
          <w:rStyle w:val="HideTWBExt"/>
        </w:rPr>
        <w:t>&lt;/RefTypeProc&gt;</w:t>
      </w:r>
    </w:p>
    <w:p>
      <w:pPr>
        <w:pStyle w:val="CoverDate"/>
      </w:pPr>
      <w:r>
        <w:rPr>
          <w:rStyle w:val="HideTWBExt"/>
        </w:rPr>
        <w:t>&lt;Date&gt;</w:t>
      </w:r>
      <w:r>
        <w:rPr>
          <w:rStyle w:val="HideTWBInt"/>
        </w:rPr>
        <w:t>{10/11/2023}</w:t>
      </w:r>
      <w:r>
        <w:t>10.11.2023</w:t>
      </w:r>
      <w:r>
        <w:rPr>
          <w:rStyle w:val="HideTWBExt"/>
        </w:rPr>
        <w:t>&lt;/Date&gt;</w:t>
      </w:r>
    </w:p>
    <w:p>
      <w:pPr>
        <w:pStyle w:val="CoverDocType"/>
      </w:pPr>
      <w:r>
        <w:rPr>
          <w:rStyle w:val="HideTWBExt"/>
        </w:rPr>
        <w:t>&lt;TypeAM&gt;</w:t>
      </w:r>
      <w:r>
        <w:t>ИЗМЕНЕНИЯ</w:t>
      </w:r>
      <w:r>
        <w:rPr>
          <w:rStyle w:val="HideTWBExt"/>
        </w:rPr>
        <w:t>&lt;/TypeAM&gt;</w:t>
      </w:r>
    </w:p>
    <w:p>
      <w:pPr>
        <w:pStyle w:val="CoverDocType24a"/>
      </w:pPr>
      <w:r>
        <w:rPr>
          <w:rStyle w:val="HideTWBExt"/>
        </w:rPr>
        <w:t>&lt;RangeAM&gt;</w:t>
      </w:r>
      <w:r>
        <w:t>370</w:t>
      </w:r>
      <w:r>
        <w:t xml:space="preserve"> - </w:t>
      </w:r>
      <w:r>
        <w:t>480</w:t>
      </w:r>
      <w:r>
        <w:rPr>
          <w:rStyle w:val="HideTWBExt"/>
        </w:rPr>
        <w:t>&lt;/RangeAM&gt;</w:t>
      </w:r>
    </w:p>
    <w:p>
      <w:pPr>
        <w:pStyle w:val="CoverBold"/>
      </w:pPr>
      <w:r>
        <w:rPr>
          <w:rStyle w:val="HideTWBExt"/>
        </w:rPr>
        <w:t>&lt;TitreType&gt;</w:t>
      </w:r>
      <w:r>
        <w:t>Проект на доклад</w:t>
      </w:r>
      <w:r>
        <w:rPr>
          <w:rStyle w:val="HideTWBExt"/>
        </w:rPr>
        <w:t>&lt;/TitreType&gt;</w:t>
      </w:r>
    </w:p>
    <w:p>
      <w:pPr>
        <w:pStyle w:val="CoverBold"/>
      </w:pPr>
      <w:r>
        <w:rPr>
          <w:rStyle w:val="HideTWBExt"/>
        </w:rPr>
        <w:t>&lt;Rapporteur&gt;</w:t>
      </w:r>
      <w:r>
        <w:t>Луция Дюриш Николсонова</w:t>
      </w:r>
      <w:r>
        <w:rPr>
          <w:rStyle w:val="HideTWBExt"/>
        </w:rPr>
        <w:t>&lt;/Rapporteur&gt;</w:t>
      </w:r>
    </w:p>
    <w:p>
      <w:pPr>
        <w:pStyle w:val="CoverNormal24a"/>
      </w:pPr>
      <w:r>
        <w:rPr>
          <w:rStyle w:val="HideTWBExt"/>
        </w:rPr>
        <w:t>&lt;DocRefPE&gt;</w:t>
      </w:r>
      <w:r>
        <w:t>(PE754.831v01-00)</w:t>
      </w:r>
      <w:r>
        <w:rPr>
          <w:rStyle w:val="HideTWBExt"/>
        </w:rPr>
        <w:t>&lt;/DocRefPE&gt;</w:t>
      </w:r>
    </w:p>
    <w:p>
      <w:pPr>
        <w:pStyle w:val="CoverNormal24a"/>
      </w:pPr>
      <w:r>
        <w:rPr>
          <w:rStyle w:val="HideTWBExt"/>
        </w:rPr>
        <w:t>&lt;Titre&gt;</w:t>
      </w:r>
      <w:r>
        <w:t>Установяване на европейската карта за хора с увреждания и на европейската карта за паркиране за хора с увреждания</w:t>
      </w:r>
      <w:r>
        <w:rPr>
          <w:rStyle w:val="HideTWBExt"/>
        </w:rPr>
        <w:t>&lt;/Titre&gt;</w:t>
      </w:r>
    </w:p>
    <w:p>
      <w:pPr>
        <w:pStyle w:val="CoverNormal"/>
      </w:pPr>
      <w:r>
        <w:rPr>
          <w:rStyle w:val="HideTWBExt"/>
        </w:rPr>
        <w:t>&lt;DocAmend&gt;</w:t>
      </w:r>
      <w:r>
        <w:t>Предложение за директива</w:t>
      </w:r>
      <w:r>
        <w:rPr>
          <w:rStyle w:val="HideTWBExt"/>
        </w:rPr>
        <w:t>&lt;/DocAmend&gt;</w:t>
      </w:r>
    </w:p>
    <w:p>
      <w:pPr>
        <w:pStyle w:val="CoverNormal24a"/>
      </w:pPr>
      <w:r>
        <w:rPr>
          <w:rStyle w:val="HideTWBExt"/>
        </w:rPr>
        <w:t>&lt;DocRef&gt;</w:t>
      </w:r>
      <w:r>
        <w:t>(COM(2023)0512 – C9-0328/2023 – 2023/0311(COD))</w:t>
      </w:r>
      <w:r>
        <w:rPr>
          <w:rStyle w:val="HideTWBExt"/>
        </w:rPr>
        <w:t>&lt;/DocRef&gt;</w:t>
      </w:r>
    </w:p>
    <w:p>
      <w:r>
        <w:br w:type="page"/>
      </w:r>
      <w:r>
        <w:t>AM_Com_LegReport</w:t>
      </w:r>
    </w:p>
    <w:p>
      <w:pPr>
        <w:pStyle w:val="AmNumberTabs"/>
      </w:pPr>
      <w:r>
        <w:br w:type="page"/>
      </w:r>
      <w:r>
        <w:rPr>
          <w:rStyle w:val="HideTWBExt"/>
        </w:rPr>
        <w:t>&lt;RepeatBlock-Amend&gt;</w:t>
      </w:r>
      <w:r>
        <w:rPr>
          <w:rStyle w:val="HideTWBExt"/>
        </w:rPr>
        <w:t>&lt;Amend&gt;</w:t>
      </w:r>
      <w:r>
        <w:t>Изменение</w:t>
      </w:r>
      <w:r>
        <w:tab/>
      </w:r>
      <w:r>
        <w:tab/>
      </w:r>
      <w:r>
        <w:rPr>
          <w:rStyle w:val="HideTWBExt"/>
        </w:rPr>
        <w:t>&lt;NumAm&gt;</w:t>
      </w:r>
      <w:r>
        <w:t>370</w:t>
      </w:r>
      <w:r>
        <w:rPr>
          <w:rStyle w:val="HideTWBExt"/>
        </w:rPr>
        <w:t>&lt;/NumAm&gt;</w:t>
      </w:r>
    </w:p>
    <w:p>
      <w:pPr>
        <w:pStyle w:val="NormalBold"/>
      </w:pPr>
      <w:r>
        <w:rPr>
          <w:rStyle w:val="HideTWBExt"/>
        </w:rPr>
        <w:t>&lt;RepeatBlock-By&gt;</w:t>
      </w:r>
      <w:r>
        <w:rPr>
          <w:rStyle w:val="HideTWBExt"/>
        </w:rPr>
        <w:t>&lt;Members&gt;</w:t>
      </w:r>
      <w:r>
        <w:t>Синди Франсен, Дейвид Каза, Тоан Мандерс</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Член 9 – параграф 2 а (нов)</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2a.</w:t>
            </w:r>
            <w:r>
              <w:tab/>
            </w:r>
            <w:r>
              <w:rPr>
                <w:b/>
                <w:i/>
              </w:rPr>
              <w:t>Комисията гарантира, че на държавите членки се предоставя подходящо финансиране за покриване на разходите, свързани със задълженията за предоставяне на информация и повишаване на осведомеността съгласно настоящия член и член 15 от директивата.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371</w:t>
      </w:r>
      <w:r>
        <w:rPr>
          <w:rStyle w:val="HideTWBExt"/>
        </w:rPr>
        <w:t>&lt;/NumAm&gt;</w:t>
      </w:r>
    </w:p>
    <w:p>
      <w:pPr>
        <w:pStyle w:val="NormalBold"/>
      </w:pPr>
      <w:r>
        <w:rPr>
          <w:rStyle w:val="HideTWBExt"/>
        </w:rPr>
        <w:t>&lt;RepeatBlock-By&gt;</w:t>
      </w:r>
      <w:r>
        <w:rPr>
          <w:rStyle w:val="HideTWBExt"/>
        </w:rPr>
        <w:t>&lt;Members&gt;</w:t>
      </w:r>
      <w:r>
        <w:t>Дейвид Каза</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Член 9 – параграф 3</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3.</w:t>
            </w:r>
            <w:r>
              <w:tab/>
            </w:r>
            <w:r>
              <w:t>Държавите членки предприемат всички необходими стъпки за избягване на риска от подправяне или измами и активно се борят с неправомерното използване и подправянето на европейската карта за хора с увреждания и на европейската карта за паркиране за хора с увреждания.</w:t>
            </w:r>
          </w:p>
        </w:tc>
        <w:tc>
          <w:tcPr>
            <w:tcW w:w="4876" w:type="dxa"/>
          </w:tcPr>
          <w:p>
            <w:pPr>
              <w:pStyle w:val="Normal6a"/>
            </w:pPr>
            <w:r>
              <w:t>3.</w:t>
            </w:r>
            <w:r>
              <w:tab/>
            </w:r>
            <w:r>
              <w:t>Държавите членки предприемат всички необходими стъпки за избягване на риска от подправяне или измами и активно се борят с неправомерното използване и подправянето на европейската карта за хора с увреждания и на европейската карта за паркиране за хора с увреждания</w:t>
            </w:r>
            <w:r>
              <w:rPr>
                <w:b/>
                <w:i/>
              </w:rPr>
              <w:t>, без да застрашават достъпа на хората с увреждания до картата</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372</w:t>
      </w:r>
      <w:r>
        <w:rPr>
          <w:rStyle w:val="HideTWBExt"/>
        </w:rPr>
        <w:t>&lt;/NumAm&gt;</w:t>
      </w:r>
    </w:p>
    <w:p>
      <w:pPr>
        <w:pStyle w:val="NormalBold"/>
      </w:pPr>
      <w:r>
        <w:rPr>
          <w:rStyle w:val="HideTWBExt"/>
        </w:rPr>
        <w:t>&lt;RepeatBlock-By&gt;</w:t>
      </w:r>
      <w:r>
        <w:rPr>
          <w:rStyle w:val="HideTWBExt"/>
        </w:rPr>
        <w:t>&lt;Members&gt;</w:t>
      </w:r>
      <w:r>
        <w:t>Тоан Мандерс</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Член 9 – параграф 3</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3.</w:t>
            </w:r>
            <w:r>
              <w:tab/>
            </w:r>
            <w:r>
              <w:t>Държавите членки предприемат всички необходими стъпки за избягване на риска от подправяне или измами и активно се борят с неправомерното използване и подправянето на европейската карта за хора с увреждания и на европейската карта за паркиране за хора с увреждания.</w:t>
            </w:r>
          </w:p>
        </w:tc>
        <w:tc>
          <w:tcPr>
            <w:tcW w:w="4876" w:type="dxa"/>
          </w:tcPr>
          <w:p>
            <w:pPr>
              <w:pStyle w:val="Normal6a"/>
            </w:pPr>
            <w:r>
              <w:t>3.</w:t>
            </w:r>
            <w:r>
              <w:tab/>
            </w:r>
            <w:r>
              <w:t xml:space="preserve">Държавите членки предприемат всички необходими стъпки за избягване на риска от подправяне или измами и активно се борят с неправомерното използване и подправянето на европейската карта за хора с увреждания и </w:t>
            </w:r>
            <w:r>
              <w:rPr>
                <w:b/>
                <w:i/>
              </w:rPr>
              <w:t>хора в напреднала възраст и</w:t>
            </w:r>
            <w:r>
              <w:t xml:space="preserve"> на европейската карта за паркиране за хора с увреждания </w:t>
            </w:r>
            <w:r>
              <w:rPr>
                <w:b/>
                <w:i/>
              </w:rPr>
              <w:t>и възрастни хора</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373</w:t>
      </w:r>
      <w:r>
        <w:rPr>
          <w:rStyle w:val="HideTWBExt"/>
        </w:rPr>
        <w:t>&lt;/NumAm&gt;</w:t>
      </w:r>
    </w:p>
    <w:p>
      <w:pPr>
        <w:pStyle w:val="NormalBold"/>
      </w:pPr>
      <w:r>
        <w:rPr>
          <w:rStyle w:val="HideTWBExt"/>
        </w:rPr>
        <w:t>&lt;RepeatBlock-By&gt;</w:t>
      </w:r>
      <w:r>
        <w:rPr>
          <w:rStyle w:val="HideTWBExt"/>
        </w:rPr>
        <w:t>&lt;Members&gt;</w:t>
      </w:r>
      <w:r>
        <w:t>Роса Естарас Ферагут</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Член 9 – параграф 3 а (нов)</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3а.</w:t>
            </w:r>
            <w:r>
              <w:tab/>
            </w:r>
            <w:r>
              <w:rPr>
                <w:b/>
                <w:i/>
              </w:rPr>
              <w:t>Освен това европейските институции следва непрекъснато да разпространяват информация и обучения относно европейската карта за хора с увреждания чрез последователни обучения и кампании за повишаване на осведомеността относно нейното използване, във формати, осигуряващи всеобща достъпност, и с участието на хората с увреждания и техните представителни организации.</w:t>
            </w:r>
            <w:r>
              <w:t xml:space="preserve"> </w:t>
            </w:r>
            <w:r>
              <w:rPr>
                <w:b/>
                <w:i/>
              </w:rPr>
              <w:t>В тази информация следва ясно да бъде посочен доброволният характер на картата.</w:t>
            </w:r>
            <w:r>
              <w:t xml:space="preserve"> </w:t>
            </w:r>
            <w:r>
              <w:rPr>
                <w:b/>
                <w:i/>
              </w:rPr>
              <w:t>За целта в Съюза следва да бъдат осигурени специални линии за финансиране.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374</w:t>
      </w:r>
      <w:r>
        <w:rPr>
          <w:rStyle w:val="HideTWBExt"/>
        </w:rPr>
        <w:t>&lt;/NumAm&gt;</w:t>
      </w:r>
    </w:p>
    <w:p>
      <w:pPr>
        <w:pStyle w:val="NormalBold"/>
      </w:pPr>
      <w:r>
        <w:rPr>
          <w:rStyle w:val="HideTWBExt"/>
        </w:rPr>
        <w:t>&lt;RepeatBlock-By&gt;</w:t>
      </w:r>
      <w:r>
        <w:rPr>
          <w:rStyle w:val="HideTWBExt"/>
        </w:rPr>
        <w:t>&lt;Members&gt;</w:t>
      </w:r>
      <w:r>
        <w:t>Дейвид Каза</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Член 9 – параграф 3 а (нов)</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3а.</w:t>
            </w:r>
            <w:r>
              <w:tab/>
            </w:r>
            <w:r>
              <w:rPr>
                <w:b/>
                <w:i/>
              </w:rPr>
              <w:t>Държавите членки гарантират, че публичните измами, особено в областта на социалните плащания, се разследват своевременно и задълбочено и ако е необходимо, се преследват по съдебен ред, за да се гарантира доброто функциониране на настоящата директива.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375</w:t>
      </w:r>
      <w:r>
        <w:rPr>
          <w:rStyle w:val="HideTWBExt"/>
        </w:rPr>
        <w:t>&lt;/NumAm&gt;</w:t>
      </w:r>
    </w:p>
    <w:p>
      <w:pPr>
        <w:pStyle w:val="NormalBold"/>
      </w:pPr>
      <w:r>
        <w:rPr>
          <w:rStyle w:val="HideTWBExt"/>
        </w:rPr>
        <w:t>&lt;RepeatBlock-By&gt;</w:t>
      </w:r>
      <w:r>
        <w:rPr>
          <w:rStyle w:val="HideTWBExt"/>
        </w:rPr>
        <w:t>&lt;Members&gt;</w:t>
      </w:r>
      <w:r>
        <w:t>Тоан Мандерс</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Член 9 – параграф 4</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4.</w:t>
            </w:r>
            <w:r>
              <w:tab/>
            </w:r>
            <w:r>
              <w:t>Държавите членки предприемат необходимите мерки, за да гарантират, че притежателите на европейска карта за хора с увреждания или на европейска карта за паркиране за хора с увреждания връщат картите си на компетентния орган, когато условията, съгласно които са били издадени, вече не се изпълняват.</w:t>
            </w:r>
          </w:p>
        </w:tc>
        <w:tc>
          <w:tcPr>
            <w:tcW w:w="4876" w:type="dxa"/>
          </w:tcPr>
          <w:p>
            <w:pPr>
              <w:pStyle w:val="Normal6a"/>
            </w:pPr>
            <w:r>
              <w:t>4.</w:t>
            </w:r>
            <w:r>
              <w:tab/>
            </w:r>
            <w:r>
              <w:t xml:space="preserve">Държавите членки предприемат необходимите мерки, за да гарантират, че притежателите на европейска карта за хора с увреждания </w:t>
            </w:r>
            <w:r>
              <w:rPr>
                <w:b/>
                <w:i/>
              </w:rPr>
              <w:t>и хора в напреднала възраст</w:t>
            </w:r>
            <w:r>
              <w:t xml:space="preserve"> или на европейска карта за паркиране за хора с увреждания </w:t>
            </w:r>
            <w:r>
              <w:rPr>
                <w:b/>
                <w:i/>
              </w:rPr>
              <w:t>и възрастни хора</w:t>
            </w:r>
            <w:r>
              <w:t xml:space="preserve"> връщат картите си на компетентния орган, когато условията, съгласно които са били издадени, вече не се изпълняват.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376</w:t>
      </w:r>
      <w:r>
        <w:rPr>
          <w:rStyle w:val="HideTWBExt"/>
        </w:rPr>
        <w:t>&lt;/NumAm&gt;</w:t>
      </w:r>
    </w:p>
    <w:p>
      <w:pPr>
        <w:pStyle w:val="NormalBold"/>
      </w:pPr>
      <w:r>
        <w:rPr>
          <w:rStyle w:val="HideTWBExt"/>
        </w:rPr>
        <w:t>&lt;RepeatBlock-By&gt;</w:t>
      </w:r>
      <w:r>
        <w:rPr>
          <w:rStyle w:val="HideTWBExt"/>
        </w:rPr>
        <w:t>&lt;Members&gt;</w:t>
      </w:r>
      <w:r>
        <w:t>Мириам Лексман</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Член 9 – параграф 5</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5.</w:t>
            </w:r>
            <w:r>
              <w:tab/>
            </w:r>
            <w:r>
              <w:t>Държавите членки предприемат необходимите мерки, за да гарантират, че в случай на злоупотреба или неправилна употреба на европейската карта за хора с увреждания или на европейската карта за паркиране за хора с увреждания, издадени от друга държава членка на тяхната територия, се информират компетентните органи в държавата членка, издала съответната карта. Държавата членка на издаване гарантира предприемането на подходящи последващи действия в съответствие с националното право или практика.</w:t>
            </w:r>
          </w:p>
        </w:tc>
        <w:tc>
          <w:tcPr>
            <w:tcW w:w="4876" w:type="dxa"/>
          </w:tcPr>
          <w:p>
            <w:pPr>
              <w:pStyle w:val="Normal6a"/>
            </w:pPr>
            <w:r>
              <w:t>5.</w:t>
            </w:r>
            <w:r>
              <w:tab/>
            </w:r>
            <w:r>
              <w:t xml:space="preserve">Държавите членки предприемат необходимите мерки, за да гарантират, че в случай на злоупотреба или неправилна употреба на европейската карта за хора с увреждания или на европейската карта за паркиране за хора с увреждания, издадени от друга държава членка на тяхната територия, се информират компетентните органи в държавата членка, издала съответната карта. Държавата членка на издаване гарантира предприемането на подходящи последващи действия в съответствие с националното право или практика. </w:t>
            </w:r>
            <w:r>
              <w:rPr>
                <w:b/>
                <w:i/>
              </w:rPr>
              <w:t>Държавите членки обменят информация относно случаите на злоупотреба или неправилна употреба на картите.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377</w:t>
      </w:r>
      <w:r>
        <w:rPr>
          <w:rStyle w:val="HideTWBExt"/>
        </w:rPr>
        <w:t>&lt;/NumAm&gt;</w:t>
      </w:r>
    </w:p>
    <w:p>
      <w:pPr>
        <w:pStyle w:val="NormalBold"/>
      </w:pPr>
      <w:r>
        <w:rPr>
          <w:rStyle w:val="HideTWBExt"/>
        </w:rPr>
        <w:t>&lt;RepeatBlock-By&gt;</w:t>
      </w:r>
      <w:r>
        <w:rPr>
          <w:rStyle w:val="HideTWBExt"/>
        </w:rPr>
        <w:t>&lt;Members&gt;</w:t>
      </w:r>
      <w:r>
        <w:t>Тоан Мандерс</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Член 9 – параграф 5</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5.</w:t>
            </w:r>
            <w:r>
              <w:tab/>
            </w:r>
            <w:r>
              <w:t>Държавите членки предприемат необходимите мерки, за да гарантират, че в случай на злоупотреба или неправилна употреба на европейската карта за хора с увреждания или на европейската карта за паркиране за хора с увреждания, издадени от друга държава членка на тяхната територия, се информират компетентните органи в държавата членка, издала съответната карта. Държавата членка на издаване гарантира предприемането на подходящи последващи действия в съответствие с националното право или практика.</w:t>
            </w:r>
          </w:p>
        </w:tc>
        <w:tc>
          <w:tcPr>
            <w:tcW w:w="4876" w:type="dxa"/>
          </w:tcPr>
          <w:p>
            <w:pPr>
              <w:pStyle w:val="Normal6a"/>
            </w:pPr>
            <w:r>
              <w:t>5.</w:t>
            </w:r>
            <w:r>
              <w:tab/>
            </w:r>
            <w:r>
              <w:t xml:space="preserve">Държавите членки предприемат необходимите мерки, за да гарантират, че в случай на злоупотреба или неправилна употреба на европейската карта за хора с увреждания </w:t>
            </w:r>
            <w:r>
              <w:rPr>
                <w:b/>
                <w:i/>
              </w:rPr>
              <w:t>и хора в напреднала възраст</w:t>
            </w:r>
            <w:r>
              <w:t xml:space="preserve"> или на европейската карта за паркиране за хора с увреждания </w:t>
            </w:r>
            <w:r>
              <w:rPr>
                <w:b/>
                <w:i/>
              </w:rPr>
              <w:t>и възрастни хора</w:t>
            </w:r>
            <w:r>
              <w:t>, издадени от друга държава членка на тяхната територия, се информират компетентните органи в държавата членка, издала съответната карта. Държавата членка на издаване гарантира предприемането на подходящи последващи действия в съответствие с националното право или практика.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378</w:t>
      </w:r>
      <w:r>
        <w:rPr>
          <w:rStyle w:val="HideTWBExt"/>
        </w:rPr>
        <w:t>&lt;/NumAm&gt;</w:t>
      </w:r>
    </w:p>
    <w:p>
      <w:pPr>
        <w:pStyle w:val="NormalBold"/>
      </w:pPr>
      <w:r>
        <w:rPr>
          <w:rStyle w:val="HideTWBExt"/>
        </w:rPr>
        <w:t>&lt;RepeatBlock-By&gt;</w:t>
      </w:r>
      <w:r>
        <w:rPr>
          <w:rStyle w:val="HideTWBExt"/>
        </w:rPr>
        <w:t>&lt;Members&gt;</w:t>
      </w:r>
      <w:r>
        <w:t>Тоан Мандерс</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Член 9 – параграф 6</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6.</w:t>
            </w:r>
            <w:r>
              <w:tab/>
            </w:r>
            <w:r>
              <w:t>Държавите членки извършват проверки за спазването на задълженията, произтичащи от европейската карта за хора с увреждания или европейската карта за паркиране за хора с увреждания, както и на съответните права на хората с увреждания, притежаващи такива карти, и на придружаващото(ите) или подпомагащото(ите) ги лице(а), включително личния(ите) им асистент(и).</w:t>
            </w:r>
          </w:p>
        </w:tc>
        <w:tc>
          <w:tcPr>
            <w:tcW w:w="4876" w:type="dxa"/>
          </w:tcPr>
          <w:p>
            <w:pPr>
              <w:pStyle w:val="Normal6a"/>
            </w:pPr>
            <w:r>
              <w:t>6.</w:t>
            </w:r>
            <w:r>
              <w:tab/>
            </w:r>
            <w:r>
              <w:t xml:space="preserve">Държавите членки извършват проверки за спазването на задълженията, произтичащи от европейската карта за хора с увреждания </w:t>
            </w:r>
            <w:r>
              <w:rPr>
                <w:b/>
                <w:i/>
              </w:rPr>
              <w:t>и хора в напреднала възраст</w:t>
            </w:r>
            <w:r>
              <w:t xml:space="preserve"> или европейската карта за паркиране за хора с увреждания </w:t>
            </w:r>
            <w:r>
              <w:rPr>
                <w:b/>
                <w:i/>
              </w:rPr>
              <w:t>и възрастни хора</w:t>
            </w:r>
            <w:r>
              <w:t xml:space="preserve">, както и на съответните права на хората с увреждания </w:t>
            </w:r>
            <w:r>
              <w:rPr>
                <w:b/>
                <w:i/>
              </w:rPr>
              <w:t>и възрастните хора</w:t>
            </w:r>
            <w:r>
              <w:t>, притежаващи такива карти, и на придружаващото(ите) или подпомагащото(ите) ги лице(а), включително личния(ите) им асистент(и).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379</w:t>
      </w:r>
      <w:r>
        <w:rPr>
          <w:rStyle w:val="HideTWBExt"/>
        </w:rPr>
        <w:t>&lt;/NumAm&gt;</w:t>
      </w:r>
    </w:p>
    <w:p>
      <w:pPr>
        <w:pStyle w:val="NormalBold"/>
      </w:pPr>
      <w:r>
        <w:rPr>
          <w:rStyle w:val="HideTWBExt"/>
        </w:rPr>
        <w:t>&lt;RepeatBlock-By&gt;</w:t>
      </w:r>
      <w:r>
        <w:rPr>
          <w:rStyle w:val="HideTWBExt"/>
        </w:rPr>
        <w:t>&lt;Members&gt;</w:t>
      </w:r>
      <w:r>
        <w:t>Мириам Лексман</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Член 9 – параграф 7</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7.</w:t>
            </w:r>
            <w:r>
              <w:tab/>
            </w:r>
            <w:r>
              <w:t>Информацията, посочена в параграфи 1 и 2 от настоящия член, се предоставя безплатно по ясен, изчерпателен, лесен за ползване и лесно достъпен начин, включително чрез официалния уебсайт на частните оператори или публичните органи, когато има такъв, или чрез други подходящи средства съгласно съответните изисквания за достъпност на услугите, определени в приложение I към Директива (ЕС) 2019/882.</w:t>
            </w:r>
          </w:p>
        </w:tc>
        <w:tc>
          <w:tcPr>
            <w:tcW w:w="4876" w:type="dxa"/>
          </w:tcPr>
          <w:p>
            <w:pPr>
              <w:pStyle w:val="Normal6a"/>
            </w:pPr>
            <w:r>
              <w:t>7.</w:t>
            </w:r>
            <w:r>
              <w:tab/>
            </w:r>
            <w:r>
              <w:t xml:space="preserve">Информацията, посочена в параграфи 1 и 2 от настоящия член, се предоставя безплатно по ясен, изчерпателен, лесен за ползване и лесно достъпен начин, включително чрез официалния уебсайт на частните оператори или публичните органи, когато има такъв, </w:t>
            </w:r>
            <w:r>
              <w:rPr>
                <w:b/>
                <w:i/>
              </w:rPr>
              <w:t>чрез уебсайт на равнището на ЕС на всички езици на ЕС</w:t>
            </w:r>
            <w:r>
              <w:t xml:space="preserve"> или чрез други подходящи средства съгласно съответните изисквания за достъпност на услугите, определени в приложение I към Директива (ЕС) 2019/882. </w:t>
            </w:r>
            <w:r>
              <w:rPr>
                <w:b/>
                <w:i/>
              </w:rPr>
              <w:t>Тази информация не трябва да бъде с ниво на сложност, по-високо от B1 (средно ниво) съгласно Общата европейска референтна рамка за езиците на Съвета на Европа.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380</w:t>
      </w:r>
      <w:r>
        <w:rPr>
          <w:rStyle w:val="HideTWBExt"/>
        </w:rPr>
        <w:t>&lt;/NumAm&gt;</w:t>
      </w:r>
    </w:p>
    <w:p>
      <w:pPr>
        <w:pStyle w:val="NormalBold"/>
      </w:pPr>
      <w:r>
        <w:rPr>
          <w:rStyle w:val="HideTWBExt"/>
        </w:rPr>
        <w:t>&lt;RepeatBlock-By&gt;</w:t>
      </w:r>
      <w:r>
        <w:rPr>
          <w:rStyle w:val="HideTWBExt"/>
        </w:rPr>
        <w:t>&lt;Members&gt;</w:t>
      </w:r>
      <w:r>
        <w:t>Елена Лици, Антонио Мария Риналди, Паола Гидони</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Член 9 – параграф 7</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7.</w:t>
            </w:r>
            <w:r>
              <w:tab/>
            </w:r>
            <w:r>
              <w:t>Информацията, посочена в параграфи 1 и 2 от настоящия член, се предоставя безплатно по ясен, изчерпателен, лесен за ползване и лесно достъпен начин, включително чрез официалния уебсайт на частните оператори или публичните органи, когато има такъв, или чрез други подходящи средства съгласно съответните изисквания за достъпност на услугите, определени в приложение I към Директива (ЕС) 2019/882.</w:t>
            </w:r>
          </w:p>
        </w:tc>
        <w:tc>
          <w:tcPr>
            <w:tcW w:w="4876" w:type="dxa"/>
          </w:tcPr>
          <w:p>
            <w:pPr>
              <w:pStyle w:val="Normal6a"/>
            </w:pPr>
            <w:r>
              <w:t>7.</w:t>
            </w:r>
            <w:r>
              <w:tab/>
            </w:r>
            <w:r>
              <w:t xml:space="preserve">Информацията, посочена в параграфи 1 и 2 от настоящия член, се предоставя безплатно по ясен, изчерпателен, лесен за ползване и лесно достъпен начин, включително чрез официалния уебсайт на частните оператори или публичните органи, когато има такъв, или чрез други подходящи средства съгласно съответните изисквания за достъпност на услугите, определени в приложение I към Директива (ЕС) 2019/882. </w:t>
            </w:r>
            <w:r>
              <w:rPr>
                <w:b/>
                <w:i/>
              </w:rPr>
              <w:t>Държавите членки предприемат мерките, произтичащи от параграфи 1 и 2 от настоящия член, като се консултират с представителните организации на хората с увреждания.</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381</w:t>
      </w:r>
      <w:r>
        <w:rPr>
          <w:rStyle w:val="HideTWBExt"/>
        </w:rPr>
        <w:t>&lt;/NumAm&gt;</w:t>
      </w:r>
    </w:p>
    <w:p>
      <w:pPr>
        <w:pStyle w:val="NormalBold"/>
      </w:pPr>
      <w:r>
        <w:rPr>
          <w:rStyle w:val="HideTWBExt"/>
        </w:rPr>
        <w:t>&lt;RepeatBlock-By&gt;</w:t>
      </w:r>
      <w:r>
        <w:rPr>
          <w:rStyle w:val="HideTWBExt"/>
        </w:rPr>
        <w:t>&lt;Members&gt;</w:t>
      </w:r>
      <w:r>
        <w:t>Киара Джема</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Член 9 – параграф 7</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7.</w:t>
            </w:r>
            <w:r>
              <w:tab/>
            </w:r>
            <w:r>
              <w:t>Информацията, посочена в параграфи 1 и 2 от настоящия член, се предоставя безплатно по ясен, изчерпателен, лесен за ползване и лесно достъпен начин, включително чрез официалния уебсайт на частните оператори или публичните органи, когато има такъв, или чрез други подходящи средства съгласно съответните изисквания за достъпност на услугите, определени в приложение I към Директива (ЕС) 2019/882.</w:t>
            </w:r>
          </w:p>
        </w:tc>
        <w:tc>
          <w:tcPr>
            <w:tcW w:w="4876" w:type="dxa"/>
          </w:tcPr>
          <w:p>
            <w:pPr>
              <w:pStyle w:val="Normal6a"/>
            </w:pPr>
            <w:r>
              <w:t>7.</w:t>
            </w:r>
            <w:r>
              <w:tab/>
            </w:r>
            <w:r>
              <w:t xml:space="preserve">Информацията, посочена в параграфи 1 и 2 от настоящия член, се предоставя безплатно по ясен, изчерпателен, лесен за ползване и лесно достъпен начин, включително чрез </w:t>
            </w:r>
            <w:r>
              <w:rPr>
                <w:b/>
                <w:i/>
              </w:rPr>
              <w:t>уебсайт на равнището на ЕС на всички езици на ЕС, чрез</w:t>
            </w:r>
            <w:r>
              <w:t xml:space="preserve"> официалния уебсайт на частните оператори или публичните органи, когато има такъв, или чрез други подходящи средства съгласно съответните изисквания за достъпност на услугите, определени в приложение I към Директива (ЕС) 2019/882.</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382</w:t>
      </w:r>
      <w:r>
        <w:rPr>
          <w:rStyle w:val="HideTWBExt"/>
        </w:rPr>
        <w:t>&lt;/NumAm&gt;</w:t>
      </w:r>
    </w:p>
    <w:p>
      <w:pPr>
        <w:pStyle w:val="NormalBold"/>
      </w:pPr>
      <w:r>
        <w:rPr>
          <w:rStyle w:val="HideTWBExt"/>
        </w:rPr>
        <w:t>&lt;RepeatBlock-By&gt;</w:t>
      </w:r>
      <w:r>
        <w:rPr>
          <w:rStyle w:val="HideTWBExt"/>
        </w:rPr>
        <w:t>&lt;Members&gt;</w:t>
      </w:r>
      <w:r>
        <w:t>Жузе Гушман</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Член 9 – параграф 7</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7.</w:t>
            </w:r>
            <w:r>
              <w:tab/>
            </w:r>
            <w:r>
              <w:t>Информацията, посочена в параграфи 1 и 2 от настоящия член, се предоставя безплатно по ясен, изчерпателен, лесен за ползване и лесно достъпен начин, включително чрез официалния уебсайт на частните оператори или публичните органи, когато има такъв, или чрез други подходящи средства съгласно съответните изисквания за достъпност на услугите, определени в приложение I към Директива (ЕС) 2019/882.</w:t>
            </w:r>
          </w:p>
        </w:tc>
        <w:tc>
          <w:tcPr>
            <w:tcW w:w="4876" w:type="dxa"/>
          </w:tcPr>
          <w:p>
            <w:pPr>
              <w:pStyle w:val="Normal6a"/>
            </w:pPr>
            <w:r>
              <w:t>7.</w:t>
            </w:r>
            <w:r>
              <w:tab/>
            </w:r>
            <w:r>
              <w:t xml:space="preserve">Информацията, посочена в параграфи 1 и 2 от настоящия член, се предоставя безплатно по ясен, изчерпателен, лесен за ползване и лесно достъпен начин, включително чрез </w:t>
            </w:r>
            <w:r>
              <w:rPr>
                <w:b/>
                <w:i/>
              </w:rPr>
              <w:t>уебсайт на равнището на ЕС на всички официални езици на ЕС, чрез</w:t>
            </w:r>
            <w:r>
              <w:t xml:space="preserve"> официалния уебсайт на частните оператори или публичните органи, когато има такъв, или чрез други подходящи средства съгласно съответните изисквания за достъпност на услугите, определени в приложение I към Директива (ЕС) 2019/882.</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383</w:t>
      </w:r>
      <w:r>
        <w:rPr>
          <w:rStyle w:val="HideTWBExt"/>
        </w:rPr>
        <w:t>&lt;/NumAm&gt;</w:t>
      </w:r>
    </w:p>
    <w:p>
      <w:pPr>
        <w:pStyle w:val="NormalBold"/>
      </w:pPr>
      <w:r>
        <w:rPr>
          <w:rStyle w:val="HideTWBExt"/>
        </w:rPr>
        <w:t>&lt;RepeatBlock-By&gt;</w:t>
      </w:r>
      <w:r>
        <w:rPr>
          <w:rStyle w:val="HideTWBExt"/>
        </w:rPr>
        <w:t>&lt;Members&gt;</w:t>
      </w:r>
      <w:r>
        <w:t>Роса Естарас Ферагут</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Член 9 – параграф 7 – точка 1 (нова)</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(1)</w:t>
            </w:r>
            <w:r>
              <w:tab/>
            </w:r>
            <w:r>
              <w:rPr>
                <w:b/>
                <w:i/>
              </w:rPr>
              <w:t>Следва да се създаде уебсайт, съдържащ цялата информация за европейската карта за хора с увреждания или за европейската карта за паркиране за хора с увреждания и ако е приложимо, за начините да се кандидатства за тях, в общодостъпен формат на всички езици на Европейския съюз, включително на жестомимичен език, лесен за четене и съдържащ алтернативни и аугментативни средства за комуникация.</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384</w:t>
      </w:r>
      <w:r>
        <w:rPr>
          <w:rStyle w:val="HideTWBExt"/>
        </w:rPr>
        <w:t>&lt;/NumAm&gt;</w:t>
      </w:r>
    </w:p>
    <w:p>
      <w:pPr>
        <w:pStyle w:val="NormalBold"/>
      </w:pPr>
      <w:r>
        <w:rPr>
          <w:rStyle w:val="HideTWBExt"/>
        </w:rPr>
        <w:t>&lt;RepeatBlock-By&gt;</w:t>
      </w:r>
      <w:r>
        <w:rPr>
          <w:rStyle w:val="HideTWBExt"/>
        </w:rPr>
        <w:t>&lt;Members&gt;</w:t>
      </w:r>
      <w:r>
        <w:t>Роса Естарас Ферагут</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Член 9 – параграф 7 – точка 2 (нова)</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(2)</w:t>
            </w:r>
            <w:r>
              <w:tab/>
            </w:r>
            <w:r>
              <w:rPr>
                <w:b/>
                <w:i/>
              </w:rPr>
              <w:t>Представителните организации на хората с увреждания следва да участват в целия процес на разработване, планиране, изпълнение, наблюдение и оценка.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385</w:t>
      </w:r>
      <w:r>
        <w:rPr>
          <w:rStyle w:val="HideTWBExt"/>
        </w:rPr>
        <w:t>&lt;/NumAm&gt;</w:t>
      </w:r>
    </w:p>
    <w:p>
      <w:pPr>
        <w:pStyle w:val="NormalBold"/>
      </w:pPr>
      <w:r>
        <w:rPr>
          <w:rStyle w:val="HideTWBExt"/>
        </w:rPr>
        <w:t>&lt;RepeatBlock-By&gt;</w:t>
      </w:r>
      <w:r>
        <w:rPr>
          <w:rStyle w:val="HideTWBExt"/>
        </w:rPr>
        <w:t>&lt;Members&gt;</w:t>
      </w:r>
      <w:r>
        <w:t>Мириам Лексман</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Член 9 – параграф 7 а (нов)</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7а.</w:t>
            </w:r>
            <w:r>
              <w:tab/>
            </w:r>
            <w:r>
              <w:rPr>
                <w:b/>
                <w:i/>
              </w:rPr>
              <w:t>Комисията гарантира, че на държавите членки се предоставя подходящо финансиране за покриване на разходите за административните процедури, физическото издаване на картите, предоставянето на информация и кампаниите за повишаване на осведомеността, както и за другите необходими разходи, свързани с тях.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386</w:t>
      </w:r>
      <w:r>
        <w:rPr>
          <w:rStyle w:val="HideTWBExt"/>
        </w:rPr>
        <w:t>&lt;/NumAm&gt;</w:t>
      </w:r>
    </w:p>
    <w:p>
      <w:pPr>
        <w:pStyle w:val="NormalBold"/>
      </w:pPr>
      <w:r>
        <w:rPr>
          <w:rStyle w:val="HideTWBExt"/>
        </w:rPr>
        <w:t>&lt;RepeatBlock-By&gt;</w:t>
      </w:r>
      <w:r>
        <w:rPr>
          <w:rStyle w:val="HideTWBExt"/>
        </w:rPr>
        <w:t>&lt;Members&gt;</w:t>
      </w:r>
      <w:r>
        <w:t>Жузе Гушман</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Член 9 – параграф 7 а (нов)</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7а.</w:t>
            </w:r>
            <w:r>
              <w:tab/>
            </w:r>
            <w:r>
              <w:rPr>
                <w:b/>
                <w:i/>
              </w:rPr>
              <w:t>Информацията, посочена в параграфи 1 и 2 от настоящия член, трябва да бъде разбираема, с ниво на сложност, не по-високо от ниво В1 (средно ниво) съгласно Общата европейска референтна рамка за езиците на Съвета на Европа.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387</w:t>
      </w:r>
      <w:r>
        <w:rPr>
          <w:rStyle w:val="HideTWBExt"/>
        </w:rPr>
        <w:t>&lt;/NumAm&gt;</w:t>
      </w:r>
    </w:p>
    <w:p>
      <w:pPr>
        <w:pStyle w:val="NormalBold"/>
      </w:pPr>
      <w:r>
        <w:rPr>
          <w:rStyle w:val="HideTWBExt"/>
        </w:rPr>
        <w:t>&lt;RepeatBlock-By&gt;</w:t>
      </w:r>
      <w:r>
        <w:rPr>
          <w:rStyle w:val="HideTWBExt"/>
        </w:rPr>
        <w:t>&lt;Members&gt;</w:t>
      </w:r>
      <w:r>
        <w:t>Киара Джема</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Член 9 – параграф 7 а (нов)</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7а.</w:t>
            </w:r>
            <w:r>
              <w:tab/>
            </w:r>
            <w:r>
              <w:rPr>
                <w:b/>
                <w:i/>
              </w:rPr>
              <w:t>Информацията, посочена в параграфи 1 и 2 от настоящия член, трябва да бъде разбираема, с ниво на сложност, не по-високо от ниво В1 (средно ниво) съгласно Общата европейска референтна рамка за езиците на Съвета на Европа.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388</w:t>
      </w:r>
      <w:r>
        <w:rPr>
          <w:rStyle w:val="HideTWBExt"/>
        </w:rPr>
        <w:t>&lt;/NumAm&gt;</w:t>
      </w:r>
    </w:p>
    <w:p>
      <w:pPr>
        <w:pStyle w:val="NormalBold"/>
      </w:pPr>
      <w:r>
        <w:rPr>
          <w:rStyle w:val="HideTWBExt"/>
        </w:rPr>
        <w:t>&lt;RepeatBlock-By&gt;</w:t>
      </w:r>
      <w:r>
        <w:rPr>
          <w:rStyle w:val="HideTWBExt"/>
        </w:rPr>
        <w:t>&lt;Members&gt;</w:t>
      </w:r>
      <w:r>
        <w:t>Джорди Каняс, Моника Семедо, Луция Дюриш Николсонова</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Член 9 – параграф 7 а (нов)</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7а.</w:t>
            </w:r>
            <w:r>
              <w:tab/>
            </w:r>
            <w:r>
              <w:rPr>
                <w:b/>
                <w:i/>
              </w:rPr>
              <w:t>Представителните организации на хората с увреждания участват в целия процес на разработване, планиране, изпълнение, наблюдение и оценка.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389</w:t>
      </w:r>
      <w:r>
        <w:rPr>
          <w:rStyle w:val="HideTWBExt"/>
        </w:rPr>
        <w:t>&lt;/NumAm&gt;</w:t>
      </w:r>
    </w:p>
    <w:p>
      <w:pPr>
        <w:pStyle w:val="NormalBold"/>
      </w:pPr>
      <w:r>
        <w:rPr>
          <w:rStyle w:val="HideTWBExt"/>
        </w:rPr>
        <w:t>&lt;RepeatBlock-By&gt;</w:t>
      </w:r>
      <w:r>
        <w:rPr>
          <w:rStyle w:val="HideTWBExt"/>
        </w:rPr>
        <w:t>&lt;Members&gt;</w:t>
      </w:r>
      <w:r>
        <w:t>Франческа Пепучи, Стелиос Кимбуропулос</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Член 9 – параграф 7 а (нов)</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7а.</w:t>
            </w:r>
            <w:r>
              <w:tab/>
            </w:r>
            <w:r>
              <w:rPr>
                <w:b/>
                <w:i/>
              </w:rPr>
              <w:t>Комисията гарантира, че държавите членки разполагат с достатъчно финансиране за покриване на разходите по прилагането на горепосочените разпоредби.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390</w:t>
      </w:r>
      <w:r>
        <w:rPr>
          <w:rStyle w:val="HideTWBExt"/>
        </w:rPr>
        <w:t>&lt;/NumAm&gt;</w:t>
      </w:r>
    </w:p>
    <w:p>
      <w:pPr>
        <w:pStyle w:val="NormalBold"/>
      </w:pPr>
      <w:r>
        <w:rPr>
          <w:rStyle w:val="HideTWBExt"/>
        </w:rPr>
        <w:t>&lt;RepeatBlock-By&gt;</w:t>
      </w:r>
      <w:r>
        <w:rPr>
          <w:rStyle w:val="HideTWBExt"/>
        </w:rPr>
        <w:t>&lt;Members&gt;</w:t>
      </w:r>
      <w:r>
        <w:t>Мириам Лексман</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Член 9 – параграф 7 б (нов)</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7б.</w:t>
            </w:r>
            <w:r>
              <w:tab/>
            </w:r>
            <w:r>
              <w:rPr>
                <w:b/>
                <w:i/>
              </w:rPr>
              <w:t>Комисията създава специален уебсайт на равнището на ЕС, съдържащ подходяща и редовно актуализирана информация относно специалните условия или преференциалното третиране, предлагани от държавите членки на притежателите на европейската карта за хора с увреждания.</w:t>
            </w:r>
            <w:r>
              <w:t xml:space="preserve"> </w:t>
            </w:r>
            <w:r>
              <w:rPr>
                <w:b/>
                <w:i/>
              </w:rPr>
              <w:t>Уебсайтът се предоставя на всички езици на ЕС и в достъпни формати.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391</w:t>
      </w:r>
      <w:r>
        <w:rPr>
          <w:rStyle w:val="HideTWBExt"/>
        </w:rPr>
        <w:t>&lt;/NumAm&gt;</w:t>
      </w:r>
    </w:p>
    <w:p>
      <w:pPr>
        <w:pStyle w:val="NormalBold"/>
      </w:pPr>
      <w:r>
        <w:rPr>
          <w:rStyle w:val="HideTWBExt"/>
        </w:rPr>
        <w:t>&lt;RepeatBlock-By&gt;</w:t>
      </w:r>
      <w:r>
        <w:rPr>
          <w:rStyle w:val="HideTWBExt"/>
        </w:rPr>
        <w:t>&lt;Members&gt;</w:t>
      </w:r>
      <w:r>
        <w:t>Жузе Гушман</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Член 9 – параграф 7 б (нов)</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7б.</w:t>
            </w:r>
            <w:r>
              <w:tab/>
            </w:r>
            <w:r>
              <w:rPr>
                <w:b/>
                <w:i/>
              </w:rPr>
              <w:t>Комисията гарантира, че на държавите членки се предоставя достатъчно финансиране за покриване на разходите за административните процедури, физическото издаване на картата, предоставянето на информация и кампанията за повишаване на осведомеността и другите свързани разходи.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392</w:t>
      </w:r>
      <w:r>
        <w:rPr>
          <w:rStyle w:val="HideTWBExt"/>
        </w:rPr>
        <w:t>&lt;/NumAm&gt;</w:t>
      </w:r>
    </w:p>
    <w:p>
      <w:pPr>
        <w:pStyle w:val="NormalBold"/>
      </w:pPr>
      <w:r>
        <w:rPr>
          <w:rStyle w:val="HideTWBExt"/>
        </w:rPr>
        <w:t>&lt;RepeatBlock-By&gt;</w:t>
      </w:r>
      <w:r>
        <w:rPr>
          <w:rStyle w:val="HideTWBExt"/>
        </w:rPr>
        <w:t>&lt;Members&gt;</w:t>
      </w:r>
      <w:r>
        <w:t>Киара Джема</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Член 9 – параграф 7 б (нов)</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7б.</w:t>
            </w:r>
            <w:r>
              <w:tab/>
            </w:r>
            <w:r>
              <w:rPr>
                <w:b/>
                <w:i/>
              </w:rPr>
              <w:t>Комисията гарантира, че на държавите членки се предоставя подходящо финансиране за покриване на разходите за административните процедури, физическото издаване на картата, предоставянето на информация и кампанията за повишаване на осведомеността и другите свързани разходи.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393</w:t>
      </w:r>
      <w:r>
        <w:rPr>
          <w:rStyle w:val="HideTWBExt"/>
        </w:rPr>
        <w:t>&lt;/NumAm&gt;</w:t>
      </w:r>
    </w:p>
    <w:p>
      <w:pPr>
        <w:pStyle w:val="NormalBold"/>
      </w:pPr>
      <w:r>
        <w:rPr>
          <w:rStyle w:val="HideTWBExt"/>
        </w:rPr>
        <w:t>&lt;RepeatBlock-By&gt;</w:t>
      </w:r>
      <w:r>
        <w:rPr>
          <w:rStyle w:val="HideTWBExt"/>
        </w:rPr>
        <w:t>&lt;Members&gt;</w:t>
      </w:r>
      <w:r>
        <w:t>Тоан Мандерс</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Член 10 – параграф 1</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До дд/мм/гг [в срок от шест месеца след влизането в сила на настоящата директива] държавите членки уведомяват Комисията за компетентните органи, определени да издават, подновяват и отнемат европейската карта за хора с увреждания и европейската карта за паркиране за хора с увреждания.</w:t>
            </w:r>
          </w:p>
        </w:tc>
        <w:tc>
          <w:tcPr>
            <w:tcW w:w="4876" w:type="dxa"/>
          </w:tcPr>
          <w:p>
            <w:pPr>
              <w:pStyle w:val="Normal6a"/>
            </w:pPr>
            <w:r>
              <w:t xml:space="preserve">До дд/мм/гг [в срок от шест месеца след влизането в сила на настоящата директива] държавите членки уведомяват Комисията за компетентните органи, определени да издават, подновяват и отнемат европейската карта за хора с увреждания и </w:t>
            </w:r>
            <w:r>
              <w:rPr>
                <w:b/>
                <w:i/>
              </w:rPr>
              <w:t>хора в напреднала възраст и</w:t>
            </w:r>
            <w:r>
              <w:t xml:space="preserve"> европейската карта за паркиране за хора с увреждания </w:t>
            </w:r>
            <w:r>
              <w:rPr>
                <w:b/>
                <w:i/>
              </w:rPr>
              <w:t>и възрастни хора</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394</w:t>
      </w:r>
      <w:r>
        <w:rPr>
          <w:rStyle w:val="HideTWBExt"/>
        </w:rPr>
        <w:t>&lt;/NumAm&gt;</w:t>
      </w:r>
    </w:p>
    <w:p>
      <w:pPr>
        <w:pStyle w:val="NormalBold"/>
      </w:pPr>
      <w:r>
        <w:rPr>
          <w:rStyle w:val="HideTWBExt"/>
        </w:rPr>
        <w:t>&lt;RepeatBlock-By&gt;</w:t>
      </w:r>
      <w:r>
        <w:rPr>
          <w:rStyle w:val="HideTWBExt"/>
        </w:rPr>
        <w:t>&lt;Members&gt;</w:t>
      </w:r>
      <w:r>
        <w:t>Елена Лици, Антонио Мария Риналди, Паола Гидони</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Член 11 – параграф 2</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2.</w:t>
            </w:r>
            <w:r>
              <w:tab/>
            </w:r>
            <w:r>
              <w:t>Правомощието да приема делегирани актове, посочено в член 6, параграф 7 и член 7, параграф 7, се предоставя на Комисията за неопределен срок, считано от [дата на влизане в сила на настоящата директива].</w:t>
            </w:r>
          </w:p>
        </w:tc>
        <w:tc>
          <w:tcPr>
            <w:tcW w:w="4876" w:type="dxa"/>
          </w:tcPr>
          <w:p>
            <w:pPr>
              <w:pStyle w:val="Normal6a"/>
            </w:pPr>
            <w:r>
              <w:t>2.</w:t>
            </w:r>
            <w:r>
              <w:tab/>
            </w:r>
            <w:r>
              <w:t xml:space="preserve">Правомощието да приема делегирани актове, посочено в член 6, параграф 7 и член 7, параграф 7 </w:t>
            </w:r>
            <w:r>
              <w:rPr>
                <w:b/>
                <w:i/>
              </w:rPr>
              <w:t>и член 15, параграф 4</w:t>
            </w:r>
            <w:r>
              <w:t>, се предоставя на Комисията за неопределен срок, считано от [дата на влизане в сила на настоящата директива].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395</w:t>
      </w:r>
      <w:r>
        <w:rPr>
          <w:rStyle w:val="HideTWBExt"/>
        </w:rPr>
        <w:t>&lt;/NumAm&gt;</w:t>
      </w:r>
    </w:p>
    <w:p>
      <w:pPr>
        <w:pStyle w:val="NormalBold"/>
      </w:pPr>
      <w:r>
        <w:rPr>
          <w:rStyle w:val="HideTWBExt"/>
        </w:rPr>
        <w:t>&lt;RepeatBlock-By&gt;</w:t>
      </w:r>
      <w:r>
        <w:rPr>
          <w:rStyle w:val="HideTWBExt"/>
        </w:rPr>
        <w:t>&lt;Members&gt;</w:t>
      </w:r>
      <w:r>
        <w:t>Жузе Гушман</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Член 11 – параграф 4</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4.</w:t>
            </w:r>
            <w:r>
              <w:tab/>
            </w:r>
            <w:r>
              <w:t xml:space="preserve">Преди приемането на делегиран акт Комисията се консултира </w:t>
            </w:r>
            <w:r>
              <w:rPr>
                <w:b/>
                <w:i/>
              </w:rPr>
              <w:t>с</w:t>
            </w:r>
            <w:r>
              <w:t xml:space="preserve"> експерти, определени от всяка държава членка в съответствие с принципите, залегнали в Междуинституционалното споразумение от 13 април 2016 г. за по-добро законотворчество.</w:t>
            </w:r>
          </w:p>
        </w:tc>
        <w:tc>
          <w:tcPr>
            <w:tcW w:w="4876" w:type="dxa"/>
          </w:tcPr>
          <w:p>
            <w:pPr>
              <w:pStyle w:val="Normal6a"/>
            </w:pPr>
            <w:r>
              <w:t>4.</w:t>
            </w:r>
            <w:r>
              <w:tab/>
            </w:r>
            <w:r>
              <w:t>Преди приемането на делегиран акт Комисията се консултира</w:t>
            </w:r>
            <w:r>
              <w:rPr>
                <w:b/>
                <w:i/>
              </w:rPr>
              <w:t>, основно и прилагайки подход на съвместна работа, с хората с увреждания и техните представителни организации, както и с други подходящи</w:t>
            </w:r>
            <w:r>
              <w:t xml:space="preserve"> експерти, определени от всяка държава членка в съответствие с принципите, залегнали в Междуинституционалното споразумение от 13 април 2016 г. за по-добро законотворчество. </w:t>
            </w:r>
            <w:r>
              <w:rPr>
                <w:b/>
                <w:i/>
              </w:rPr>
              <w:t>Ако участващите хора с увреждания не извършват тази дейност в професионалното си качество в рамките на организация на хора с увреждания, се предоставя парично обезщетение.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396</w:t>
      </w:r>
      <w:r>
        <w:rPr>
          <w:rStyle w:val="HideTWBExt"/>
        </w:rPr>
        <w:t>&lt;/NumAm&gt;</w:t>
      </w:r>
    </w:p>
    <w:p>
      <w:pPr>
        <w:pStyle w:val="NormalBold"/>
      </w:pPr>
      <w:r>
        <w:rPr>
          <w:rStyle w:val="HideTWBExt"/>
        </w:rPr>
        <w:t>&lt;RepeatBlock-By&gt;</w:t>
      </w:r>
      <w:r>
        <w:rPr>
          <w:rStyle w:val="HideTWBExt"/>
        </w:rPr>
        <w:t>&lt;Members&gt;</w:t>
      </w:r>
      <w:r>
        <w:t>Лукас Фурлас, Стелиос Кимбуропулос</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Член 11 – параграф 4</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4.</w:t>
            </w:r>
            <w:r>
              <w:tab/>
            </w:r>
            <w:r>
              <w:t>Преди приемането на делегиран акт Комисията се консултира с експерти, определени от всяка държава членка в съответствие с принципите, залегнали в Междуинституционалното споразумение от 13 април 2016 г. за по-добро законотворчество.</w:t>
            </w:r>
          </w:p>
        </w:tc>
        <w:tc>
          <w:tcPr>
            <w:tcW w:w="4876" w:type="dxa"/>
          </w:tcPr>
          <w:p>
            <w:pPr>
              <w:pStyle w:val="Normal6a"/>
            </w:pPr>
            <w:r>
              <w:t>4.</w:t>
            </w:r>
            <w:r>
              <w:tab/>
            </w:r>
            <w:r>
              <w:t>Преди приемането на делегиран акт Комисията се консултира с експерти, определени от всяка държава членка в съответствие с принципите, залегнали в Междуинституционалното споразумение от 13 април 2016 г. за по-добро законотворчество</w:t>
            </w:r>
            <w:r>
              <w:rPr>
                <w:b/>
                <w:i/>
              </w:rPr>
              <w:t>, както и с хора с увреждания и техни представителни организации</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397</w:t>
      </w:r>
      <w:r>
        <w:rPr>
          <w:rStyle w:val="HideTWBExt"/>
        </w:rPr>
        <w:t>&lt;/NumAm&gt;</w:t>
      </w:r>
    </w:p>
    <w:p>
      <w:pPr>
        <w:pStyle w:val="NormalBold"/>
      </w:pPr>
      <w:r>
        <w:rPr>
          <w:rStyle w:val="HideTWBExt"/>
        </w:rPr>
        <w:t>&lt;RepeatBlock-By&gt;</w:t>
      </w:r>
      <w:r>
        <w:rPr>
          <w:rStyle w:val="HideTWBExt"/>
        </w:rPr>
        <w:t>&lt;Members&gt;</w:t>
      </w:r>
      <w:r>
        <w:t>Франческа Пепучи, Роса Естарас Ферагут, Стелиос Кимбуропулос</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Член 11 – параграф 4</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4.</w:t>
            </w:r>
            <w:r>
              <w:tab/>
            </w:r>
            <w:r>
              <w:t>Преди приемането на делегиран акт Комисията се консултира с експерти, определени от всяка държава членка в съответствие с принципите, залегнали в Междуинституционалното споразумение от 13 април 2016 г. за по-добро законотворчество.</w:t>
            </w:r>
          </w:p>
        </w:tc>
        <w:tc>
          <w:tcPr>
            <w:tcW w:w="4876" w:type="dxa"/>
          </w:tcPr>
          <w:p>
            <w:pPr>
              <w:pStyle w:val="Normal6a"/>
            </w:pPr>
            <w:r>
              <w:t>4.</w:t>
            </w:r>
            <w:r>
              <w:tab/>
            </w:r>
            <w:r>
              <w:t>Преди приемането на делегиран акт Комисията се консултира с експерти, определени от всяка държава членка в съответствие с принципите, залегнали в Междуинституционалното споразумение от 13 април 2016 г. за по-добро законотворчество</w:t>
            </w:r>
            <w:r>
              <w:rPr>
                <w:b/>
                <w:i/>
              </w:rPr>
              <w:t>, както и с хора с увреждания и техни представителни организации</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398</w:t>
      </w:r>
      <w:r>
        <w:rPr>
          <w:rStyle w:val="HideTWBExt"/>
        </w:rPr>
        <w:t>&lt;/NumAm&gt;</w:t>
      </w:r>
    </w:p>
    <w:p>
      <w:pPr>
        <w:pStyle w:val="NormalBold"/>
      </w:pPr>
      <w:r>
        <w:rPr>
          <w:rStyle w:val="HideTWBExt"/>
        </w:rPr>
        <w:t>&lt;RepeatBlock-By&gt;</w:t>
      </w:r>
      <w:r>
        <w:rPr>
          <w:rStyle w:val="HideTWBExt"/>
        </w:rPr>
        <w:t>&lt;Members&gt;</w:t>
      </w:r>
      <w:r>
        <w:t>Киара Джема</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Член 11 – параграф 4</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4.</w:t>
            </w:r>
            <w:r>
              <w:tab/>
            </w:r>
            <w:r>
              <w:t>Преди приемането на делегиран акт Комисията се консултира с експерти, определени от всяка държава членка в съответствие с принципите, залегнали в Междуинституционалното споразумение от 13 април 2016 г. за по-добро законотворчество.</w:t>
            </w:r>
          </w:p>
        </w:tc>
        <w:tc>
          <w:tcPr>
            <w:tcW w:w="4876" w:type="dxa"/>
          </w:tcPr>
          <w:p>
            <w:pPr>
              <w:pStyle w:val="Normal6a"/>
            </w:pPr>
            <w:r>
              <w:t>4.</w:t>
            </w:r>
            <w:r>
              <w:tab/>
            </w:r>
            <w:r>
              <w:t>Преди приемането на делегиран акт Комисията се консултира с експерти, определени от всяка държава членка в съответствие с принципите, залегнали в Междуинституционалното споразумение от 13 април 2016 г. за по-добро законотворчество</w:t>
            </w:r>
            <w:r>
              <w:rPr>
                <w:b/>
                <w:i/>
              </w:rPr>
              <w:t>, както и с хора с увреждания и техни представителни организации</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399</w:t>
      </w:r>
      <w:r>
        <w:rPr>
          <w:rStyle w:val="HideTWBExt"/>
        </w:rPr>
        <w:t>&lt;/NumAm&gt;</w:t>
      </w:r>
    </w:p>
    <w:p>
      <w:pPr>
        <w:pStyle w:val="NormalBold"/>
      </w:pPr>
      <w:r>
        <w:rPr>
          <w:rStyle w:val="HideTWBExt"/>
        </w:rPr>
        <w:t>&lt;RepeatBlock-By&gt;</w:t>
      </w:r>
      <w:r>
        <w:rPr>
          <w:rStyle w:val="HideTWBExt"/>
        </w:rPr>
        <w:t>&lt;Members&gt;</w:t>
      </w:r>
      <w:r>
        <w:t>Адам Коша</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Член 11 – параграф 4</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4.</w:t>
            </w:r>
            <w:r>
              <w:tab/>
            </w:r>
            <w:r>
              <w:t>Преди приемането на делегиран акт Комисията се консултира с експерти, определени от всяка държава членка в съответствие с принципите, залегнали в Междуинституционалното споразумение от 13 април 2016 г. за по-добро законотворчество.</w:t>
            </w:r>
          </w:p>
        </w:tc>
        <w:tc>
          <w:tcPr>
            <w:tcW w:w="4876" w:type="dxa"/>
          </w:tcPr>
          <w:p>
            <w:pPr>
              <w:pStyle w:val="Normal6a"/>
            </w:pPr>
            <w:r>
              <w:t>4.</w:t>
            </w:r>
            <w:r>
              <w:tab/>
            </w:r>
            <w:r>
              <w:t>Преди приемането на делегиран акт Комисията се консултира с експерти, определени от всяка държава членка в съответствие с принципите, залегнали в Междуинституционалното споразумение от 13 април 2016 г. за по-добро законотворчество</w:t>
            </w:r>
            <w:r>
              <w:rPr>
                <w:b/>
                <w:i/>
              </w:rPr>
              <w:t>, както и с хора с увреждания и техни представителни организации</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400</w:t>
      </w:r>
      <w:r>
        <w:rPr>
          <w:rStyle w:val="HideTWBExt"/>
        </w:rPr>
        <w:t>&lt;/NumAm&gt;</w:t>
      </w:r>
    </w:p>
    <w:p>
      <w:pPr>
        <w:pStyle w:val="NormalBold"/>
      </w:pPr>
      <w:r>
        <w:rPr>
          <w:rStyle w:val="HideTWBExt"/>
        </w:rPr>
        <w:t>&lt;RepeatBlock-By&gt;</w:t>
      </w:r>
      <w:r>
        <w:rPr>
          <w:rStyle w:val="HideTWBExt"/>
        </w:rPr>
        <w:t>&lt;Members&gt;</w:t>
      </w:r>
      <w:r>
        <w:t>Жуан Албукерке, Даниела Рондинели, Марк Ангел, Милан Бръглез, Агнес Йонгериус, Орор Лалюк, Елизабета Гуалмини, Клара Добрев, Мариане Винд, Вилия Блинкевичуте, Алекс Аджус Салиба, Брандо Бенифеи, Илан Де Басо, Алисия Омс Хинел, Карина Олсон, Естреля Дура Ферандис</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Член 11 – параграф 4</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4.</w:t>
            </w:r>
            <w:r>
              <w:tab/>
            </w:r>
            <w:r>
              <w:t>Преди приемането на делегиран акт Комисията се консултира с експерти, определени от всяка държава членка в съответствие с принципите, залегнали в Междуинституционалното споразумение от 13 април 2016 г. за по-добро законотворчество.</w:t>
            </w:r>
          </w:p>
        </w:tc>
        <w:tc>
          <w:tcPr>
            <w:tcW w:w="4876" w:type="dxa"/>
          </w:tcPr>
          <w:p>
            <w:pPr>
              <w:pStyle w:val="Normal6a"/>
            </w:pPr>
            <w:r>
              <w:t>4.</w:t>
            </w:r>
            <w:r>
              <w:tab/>
            </w:r>
            <w:r>
              <w:t>Преди приемането на делегиран акт Комисията се консултира с експерти, определени от всяка държава членка в съответствие с принципите, залегнали в Междуинституционалното споразумение от 13 април 2016 г. за по-добро законотворчество</w:t>
            </w:r>
            <w:r>
              <w:rPr>
                <w:b/>
                <w:i/>
              </w:rPr>
              <w:t>, както и с хора с увреждания и техни представителни организации</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401</w:t>
      </w:r>
      <w:r>
        <w:rPr>
          <w:rStyle w:val="HideTWBExt"/>
        </w:rPr>
        <w:t>&lt;/NumAm&gt;</w:t>
      </w:r>
    </w:p>
    <w:p>
      <w:pPr>
        <w:pStyle w:val="NormalBold"/>
      </w:pPr>
      <w:r>
        <w:rPr>
          <w:rStyle w:val="HideTWBExt"/>
        </w:rPr>
        <w:t>&lt;RepeatBlock-By&gt;</w:t>
      </w:r>
      <w:r>
        <w:rPr>
          <w:rStyle w:val="HideTWBExt"/>
        </w:rPr>
        <w:t>&lt;Members&gt;</w:t>
      </w:r>
      <w:r>
        <w:t>Мириам Лексман</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Член 11 – параграф 4</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4.</w:t>
            </w:r>
            <w:r>
              <w:tab/>
            </w:r>
            <w:r>
              <w:t>Преди приемането на делегиран акт Комисията се консултира с експерти, определени от всяка държава членка в съответствие с принципите, залегнали в Междуинституционалното споразумение от 13 април 2016 г. за по-добро законотворчество.</w:t>
            </w:r>
          </w:p>
        </w:tc>
        <w:tc>
          <w:tcPr>
            <w:tcW w:w="4876" w:type="dxa"/>
          </w:tcPr>
          <w:p>
            <w:pPr>
              <w:pStyle w:val="Normal6a"/>
            </w:pPr>
            <w:r>
              <w:t>4.</w:t>
            </w:r>
            <w:r>
              <w:tab/>
            </w:r>
            <w:r>
              <w:t>Преди приемането на делегиран акт Комисията се консултира с експерти, определени от всяка държава членка в съответствие с принципите, залегнали в Междуинституционалното споразумение от 13 април 2016 г. за по-добро законотворчество</w:t>
            </w:r>
            <w:r>
              <w:rPr>
                <w:b/>
                <w:i/>
              </w:rPr>
              <w:t>, както и с хора с увреждания и техни представителни организации</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402</w:t>
      </w:r>
      <w:r>
        <w:rPr>
          <w:rStyle w:val="HideTWBExt"/>
        </w:rPr>
        <w:t>&lt;/NumAm&gt;</w:t>
      </w:r>
    </w:p>
    <w:p>
      <w:pPr>
        <w:pStyle w:val="NormalBold"/>
      </w:pPr>
      <w:r>
        <w:rPr>
          <w:rStyle w:val="HideTWBExt"/>
        </w:rPr>
        <w:t>&lt;RepeatBlock-By&gt;</w:t>
      </w:r>
      <w:r>
        <w:rPr>
          <w:rStyle w:val="HideTWBExt"/>
        </w:rPr>
        <w:t>&lt;Members&gt;</w:t>
      </w:r>
      <w:r>
        <w:t>Ярослав Дуда</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Член 11 – параграф 4</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4.</w:t>
            </w:r>
            <w:r>
              <w:tab/>
            </w:r>
            <w:r>
              <w:t>Преди приемането на делегиран акт Комисията се консултира с експерти, определени от всяка държава членка в съответствие с принципите, залегнали в Междуинституционалното споразумение от 13 април 2016 г. за по-добро законотворчество.</w:t>
            </w:r>
          </w:p>
        </w:tc>
        <w:tc>
          <w:tcPr>
            <w:tcW w:w="4876" w:type="dxa"/>
          </w:tcPr>
          <w:p>
            <w:pPr>
              <w:pStyle w:val="Normal6a"/>
            </w:pPr>
            <w:r>
              <w:t>4.</w:t>
            </w:r>
            <w:r>
              <w:tab/>
            </w:r>
            <w:r>
              <w:t>Преди приемането на делегиран акт Комисията се консултира с експерти, определени от всяка държава членка в съответствие с принципите, залегнали в Междуинституционалното споразумение от 13 април 2016 г. за по-добро законотворчество</w:t>
            </w:r>
            <w:r>
              <w:rPr>
                <w:b/>
                <w:i/>
              </w:rPr>
              <w:t>, както и с хора с увреждания и техни представителни организации</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403</w:t>
      </w:r>
      <w:r>
        <w:rPr>
          <w:rStyle w:val="HideTWBExt"/>
        </w:rPr>
        <w:t>&lt;/NumAm&gt;</w:t>
      </w:r>
    </w:p>
    <w:p>
      <w:pPr>
        <w:pStyle w:val="NormalBold"/>
      </w:pPr>
      <w:r>
        <w:rPr>
          <w:rStyle w:val="HideTWBExt"/>
        </w:rPr>
        <w:t>&lt;RepeatBlock-By&gt;</w:t>
      </w:r>
      <w:r>
        <w:rPr>
          <w:rStyle w:val="HideTWBExt"/>
        </w:rPr>
        <w:t>&lt;Members&gt;</w:t>
      </w:r>
      <w:r>
        <w:t>Жузе Гушман</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Член 12 – параграф 1</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1.</w:t>
            </w:r>
            <w:r>
              <w:tab/>
            </w:r>
            <w:r>
              <w:t>Комисията се подпомага от комитет. Този комитет е комитет по смисъла на Регламент (ЕС) № 182/2011.</w:t>
            </w:r>
          </w:p>
        </w:tc>
        <w:tc>
          <w:tcPr>
            <w:tcW w:w="4876" w:type="dxa"/>
          </w:tcPr>
          <w:p>
            <w:pPr>
              <w:pStyle w:val="Normal6a"/>
            </w:pPr>
            <w:r>
              <w:t>1.</w:t>
            </w:r>
            <w:r>
              <w:tab/>
            </w:r>
            <w:r>
              <w:t xml:space="preserve">Комисията се подпомага от комитет </w:t>
            </w:r>
            <w:r>
              <w:rPr>
                <w:b/>
                <w:i/>
              </w:rPr>
              <w:t>и чрез подход на съвместна работа и участие ангажира официалното участие на официални и неофициални представителни организации на хората с увреждания</w:t>
            </w:r>
            <w:r>
              <w:t>. Този комитет е комитет по смисъла на Регламент (ЕС) № 182/2011.</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404</w:t>
      </w:r>
      <w:r>
        <w:rPr>
          <w:rStyle w:val="HideTWBExt"/>
        </w:rPr>
        <w:t>&lt;/NumAm&gt;</w:t>
      </w:r>
    </w:p>
    <w:p>
      <w:pPr>
        <w:pStyle w:val="NormalBold"/>
      </w:pPr>
      <w:r>
        <w:rPr>
          <w:rStyle w:val="HideTWBExt"/>
        </w:rPr>
        <w:t>&lt;RepeatBlock-By&gt;</w:t>
      </w:r>
      <w:r>
        <w:rPr>
          <w:rStyle w:val="HideTWBExt"/>
        </w:rPr>
        <w:t>&lt;Members&gt;</w:t>
      </w:r>
      <w:r>
        <w:t>Стелиос Кимбуропулос, Лукас Фурлас</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Член 12 – параграф 1</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1.</w:t>
            </w:r>
            <w:r>
              <w:tab/>
            </w:r>
            <w:r>
              <w:t>Комисията се подпомага от комитет. Този комитет е комитет по смисъла на Регламент (ЕС) № 182/2011.</w:t>
            </w:r>
          </w:p>
        </w:tc>
        <w:tc>
          <w:tcPr>
            <w:tcW w:w="4876" w:type="dxa"/>
          </w:tcPr>
          <w:p>
            <w:pPr>
              <w:pStyle w:val="Normal6a"/>
            </w:pPr>
            <w:r>
              <w:t>1.</w:t>
            </w:r>
            <w:r>
              <w:tab/>
            </w:r>
            <w:r>
              <w:t xml:space="preserve">Комисията се подпомага от комитет </w:t>
            </w:r>
            <w:r>
              <w:rPr>
                <w:b/>
                <w:i/>
              </w:rPr>
              <w:t>и ангажира пълноценното участие на различни представителни организации на хората с увреждания</w:t>
            </w:r>
            <w:r>
              <w:t>. Този комитет е комитет по смисъла на Регламент (ЕС) № 182/2011.</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405</w:t>
      </w:r>
      <w:r>
        <w:rPr>
          <w:rStyle w:val="HideTWBExt"/>
        </w:rPr>
        <w:t>&lt;/NumAm&gt;</w:t>
      </w:r>
    </w:p>
    <w:p>
      <w:pPr>
        <w:pStyle w:val="NormalBold"/>
      </w:pPr>
      <w:r>
        <w:rPr>
          <w:rStyle w:val="HideTWBExt"/>
        </w:rPr>
        <w:t>&lt;RepeatBlock-By&gt;</w:t>
      </w:r>
      <w:r>
        <w:rPr>
          <w:rStyle w:val="HideTWBExt"/>
        </w:rPr>
        <w:t>&lt;Members&gt;</w:t>
      </w:r>
      <w:r>
        <w:t>Киара Джема</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Член 12 – параграф 1</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1.</w:t>
            </w:r>
            <w:r>
              <w:tab/>
            </w:r>
            <w:r>
              <w:t>Комисията се подпомага от комитет. Този комитет е комитет по смисъла на Регламент (ЕС) № 182/2011.</w:t>
            </w:r>
          </w:p>
        </w:tc>
        <w:tc>
          <w:tcPr>
            <w:tcW w:w="4876" w:type="dxa"/>
          </w:tcPr>
          <w:p>
            <w:pPr>
              <w:pStyle w:val="Normal6a"/>
            </w:pPr>
            <w:r>
              <w:t>1.</w:t>
            </w:r>
            <w:r>
              <w:tab/>
            </w:r>
            <w:r>
              <w:t xml:space="preserve">Комисията се подпомага от комитет </w:t>
            </w:r>
            <w:r>
              <w:rPr>
                <w:b/>
                <w:i/>
              </w:rPr>
              <w:t>и ангажира пълноценното участие на представителни организации на хората с увреждания</w:t>
            </w:r>
            <w:r>
              <w:t>. Този комитет е комитет по смисъла на Регламент (ЕС) № 182/2011.</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406</w:t>
      </w:r>
      <w:r>
        <w:rPr>
          <w:rStyle w:val="HideTWBExt"/>
        </w:rPr>
        <w:t>&lt;/NumAm&gt;</w:t>
      </w:r>
    </w:p>
    <w:p>
      <w:pPr>
        <w:pStyle w:val="NormalBold"/>
      </w:pPr>
      <w:r>
        <w:rPr>
          <w:rStyle w:val="HideTWBExt"/>
        </w:rPr>
        <w:t>&lt;RepeatBlock-By&gt;</w:t>
      </w:r>
      <w:r>
        <w:rPr>
          <w:rStyle w:val="HideTWBExt"/>
        </w:rPr>
        <w:t>&lt;Members&gt;</w:t>
      </w:r>
      <w:r>
        <w:t>Жуан Албукерке, Даниела Рондинели, Марк Ангел, Милан Бръглез, Агнес Йонгериус, Орор Лалюк, Елизабета Гуалмини, Клара Добрев, Мариане Винд, Вилия Блинкевичуте, Алекс Аджус Салиба, Брандо Бенифеи, Илан Де Басо, Алисия Омс Хинел, Карина Олсон, Естреля Дура Ферандис</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Член 12 – параграф 1</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1.</w:t>
            </w:r>
            <w:r>
              <w:tab/>
            </w:r>
            <w:r>
              <w:t>Комисията се подпомага от комитет. Този комитет е комитет по смисъла на Регламент (ЕС) № 182/2011.</w:t>
            </w:r>
          </w:p>
        </w:tc>
        <w:tc>
          <w:tcPr>
            <w:tcW w:w="4876" w:type="dxa"/>
          </w:tcPr>
          <w:p>
            <w:pPr>
              <w:pStyle w:val="Normal6a"/>
            </w:pPr>
            <w:r>
              <w:t>1.</w:t>
            </w:r>
            <w:r>
              <w:tab/>
            </w:r>
            <w:r>
              <w:t xml:space="preserve">Комисията се подпомага от комитет </w:t>
            </w:r>
            <w:r>
              <w:rPr>
                <w:b/>
                <w:i/>
              </w:rPr>
              <w:t>и ангажира пълноценно представителни организации на хората с увреждания</w:t>
            </w:r>
            <w:r>
              <w:t>. Този комитет е комитет по смисъла на Регламент (ЕС) № 182/2011.</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407</w:t>
      </w:r>
      <w:r>
        <w:rPr>
          <w:rStyle w:val="HideTWBExt"/>
        </w:rPr>
        <w:t>&lt;/NumAm&gt;</w:t>
      </w:r>
    </w:p>
    <w:p>
      <w:pPr>
        <w:pStyle w:val="NormalBold"/>
      </w:pPr>
      <w:r>
        <w:rPr>
          <w:rStyle w:val="HideTWBExt"/>
        </w:rPr>
        <w:t>&lt;RepeatBlock-By&gt;</w:t>
      </w:r>
      <w:r>
        <w:rPr>
          <w:rStyle w:val="HideTWBExt"/>
        </w:rPr>
        <w:t>&lt;Members&gt;</w:t>
      </w:r>
      <w:r>
        <w:t>Мириам Лексман</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Член 12 – параграф 1</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1.</w:t>
            </w:r>
            <w:r>
              <w:tab/>
            </w:r>
            <w:r>
              <w:t>Комисията се подпомага от комитет. Този комитет е комитет по смисъла на Регламент (ЕС) № 182/2011.</w:t>
            </w:r>
          </w:p>
        </w:tc>
        <w:tc>
          <w:tcPr>
            <w:tcW w:w="4876" w:type="dxa"/>
          </w:tcPr>
          <w:p>
            <w:pPr>
              <w:pStyle w:val="Normal6a"/>
            </w:pPr>
            <w:r>
              <w:t>1.</w:t>
            </w:r>
            <w:r>
              <w:tab/>
            </w:r>
            <w:r>
              <w:t xml:space="preserve">Комисията се подпомага от комитет </w:t>
            </w:r>
            <w:r>
              <w:rPr>
                <w:b/>
                <w:i/>
              </w:rPr>
              <w:t>и ангажира пълноценно представителни организации на хората с увреждания</w:t>
            </w:r>
            <w:r>
              <w:t>. Този комитет е комитет по смисъла на Регламент (ЕС) № 182/2011.</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408</w:t>
      </w:r>
      <w:r>
        <w:rPr>
          <w:rStyle w:val="HideTWBExt"/>
        </w:rPr>
        <w:t>&lt;/NumAm&gt;</w:t>
      </w:r>
    </w:p>
    <w:p>
      <w:pPr>
        <w:pStyle w:val="NormalBold"/>
      </w:pPr>
      <w:r>
        <w:rPr>
          <w:rStyle w:val="HideTWBExt"/>
        </w:rPr>
        <w:t>&lt;RepeatBlock-By&gt;</w:t>
      </w:r>
      <w:r>
        <w:rPr>
          <w:rStyle w:val="HideTWBExt"/>
        </w:rPr>
        <w:t>&lt;Members&gt;</w:t>
      </w:r>
      <w:r>
        <w:t>Ярослав Дуда</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Член 12 – параграф 1</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1.</w:t>
            </w:r>
            <w:r>
              <w:tab/>
            </w:r>
            <w:r>
              <w:t>Комисията се подпомага от комитет. Този комитет е комитет по смисъла на Регламент (ЕС) № 182/2011</w:t>
            </w:r>
            <w:r>
              <w:rPr>
                <w:b/>
                <w:i/>
              </w:rPr>
              <w:t>.</w:t>
            </w:r>
          </w:p>
        </w:tc>
        <w:tc>
          <w:tcPr>
            <w:tcW w:w="4876" w:type="dxa"/>
          </w:tcPr>
          <w:p>
            <w:pPr>
              <w:pStyle w:val="Normal6a"/>
            </w:pPr>
            <w:r>
              <w:t>1.</w:t>
            </w:r>
            <w:r>
              <w:tab/>
            </w:r>
            <w:r>
              <w:t xml:space="preserve">Комисията се подпомага от комитет </w:t>
            </w:r>
            <w:r>
              <w:rPr>
                <w:b/>
                <w:i/>
              </w:rPr>
              <w:t>и ангажира пълноценно представителни организации на хората с увреждания</w:t>
            </w:r>
            <w:r>
              <w:t>. Този комитет е комитет по смисъла на Регламент (ЕС) № 182/2011</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409</w:t>
      </w:r>
      <w:r>
        <w:rPr>
          <w:rStyle w:val="HideTWBExt"/>
        </w:rPr>
        <w:t>&lt;/NumAm&gt;</w:t>
      </w:r>
    </w:p>
    <w:p>
      <w:pPr>
        <w:pStyle w:val="NormalBold"/>
      </w:pPr>
      <w:r>
        <w:rPr>
          <w:rStyle w:val="HideTWBExt"/>
        </w:rPr>
        <w:t>&lt;RepeatBlock-By&gt;</w:t>
      </w:r>
      <w:r>
        <w:rPr>
          <w:rStyle w:val="HideTWBExt"/>
        </w:rPr>
        <w:t>&lt;Members&gt;</w:t>
      </w:r>
      <w:r>
        <w:t>Франческа Пепучи, Роса Естарас Ферагут</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Член 12 – параграф 1</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1.</w:t>
            </w:r>
            <w:r>
              <w:tab/>
            </w:r>
            <w:r>
              <w:t>Комисията се подпомага от комитет. Този комитет е комитет по смисъла на Регламент (ЕС) № 182/2011.</w:t>
            </w:r>
          </w:p>
        </w:tc>
        <w:tc>
          <w:tcPr>
            <w:tcW w:w="4876" w:type="dxa"/>
          </w:tcPr>
          <w:p>
            <w:pPr>
              <w:pStyle w:val="Normal6a"/>
            </w:pPr>
            <w:r>
              <w:t>1.</w:t>
            </w:r>
            <w:r>
              <w:tab/>
            </w:r>
            <w:r>
              <w:t xml:space="preserve">Комисията се подпомага от комитет </w:t>
            </w:r>
            <w:r>
              <w:rPr>
                <w:b/>
                <w:i/>
              </w:rPr>
              <w:t>и ангажира участието на хора с увреждания и техни представителни организации</w:t>
            </w:r>
            <w:r>
              <w:t>. Този комитет е комитет по смисъла на Регламент (ЕС) № 182/2011.</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410</w:t>
      </w:r>
      <w:r>
        <w:rPr>
          <w:rStyle w:val="HideTWBExt"/>
        </w:rPr>
        <w:t>&lt;/NumAm&gt;</w:t>
      </w:r>
    </w:p>
    <w:p>
      <w:pPr>
        <w:pStyle w:val="NormalBold"/>
      </w:pPr>
      <w:r>
        <w:rPr>
          <w:rStyle w:val="HideTWBExt"/>
        </w:rPr>
        <w:t>&lt;RepeatBlock-By&gt;</w:t>
      </w:r>
      <w:r>
        <w:rPr>
          <w:rStyle w:val="HideTWBExt"/>
        </w:rPr>
        <w:t>&lt;Members&gt;</w:t>
      </w:r>
      <w:r>
        <w:t>Лукас Фурлас, Стелиос Кимбуропулос</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Член 12 – параграф 1</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1.</w:t>
            </w:r>
            <w:r>
              <w:tab/>
            </w:r>
            <w:r>
              <w:t>Комисията се подпомага от комитет. Този комитет е комитет по смисъла на Регламент (ЕС) № 182/2011.</w:t>
            </w:r>
          </w:p>
        </w:tc>
        <w:tc>
          <w:tcPr>
            <w:tcW w:w="4876" w:type="dxa"/>
          </w:tcPr>
          <w:p>
            <w:pPr>
              <w:pStyle w:val="Normal6a"/>
            </w:pPr>
            <w:r>
              <w:t>1.</w:t>
            </w:r>
            <w:r>
              <w:tab/>
            </w:r>
            <w:r>
              <w:t xml:space="preserve">Комисията се подпомага от комитет. Този комитет е комитет по смисъла на Регламент (ЕС) № 182/2011 </w:t>
            </w:r>
            <w:r>
              <w:rPr>
                <w:b/>
                <w:i/>
              </w:rPr>
              <w:t>и включва представителни организации на хората с увреждания</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411</w:t>
      </w:r>
      <w:r>
        <w:rPr>
          <w:rStyle w:val="HideTWBExt"/>
        </w:rPr>
        <w:t>&lt;/NumAm&gt;</w:t>
      </w:r>
    </w:p>
    <w:p>
      <w:pPr>
        <w:pStyle w:val="NormalBold"/>
      </w:pPr>
      <w:r>
        <w:rPr>
          <w:rStyle w:val="HideTWBExt"/>
        </w:rPr>
        <w:t>&lt;RepeatBlock-By&gt;</w:t>
      </w:r>
      <w:r>
        <w:rPr>
          <w:rStyle w:val="HideTWBExt"/>
        </w:rPr>
        <w:t>&lt;Members&gt;</w:t>
      </w:r>
      <w:r>
        <w:t>Жуан Албукерке, Даниела Рондинели, Марк Ангел, Милан Бръглез, Агнес Йонгериус, Орор Лалюк, Елизабета Гуалмини, Клара Добрев, Мариане Винд, Вилия Блинкевичуте, Алекс Аджус Салиба, Брандо Бенифеи, Илан Де Басо, Алисия Омс Хинел, Карина Олсон, Естреля Дура Ферандис</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Член 13 – параграф 1</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1.</w:t>
            </w:r>
            <w:r>
              <w:tab/>
            </w:r>
            <w:r>
              <w:t>Държавите членки гарантират, че са налице подходящи и ефективни средства, с които се осигурява спазването на настоящата директива.</w:t>
            </w:r>
          </w:p>
        </w:tc>
        <w:tc>
          <w:tcPr>
            <w:tcW w:w="4876" w:type="dxa"/>
          </w:tcPr>
          <w:p>
            <w:pPr>
              <w:pStyle w:val="Normal6a"/>
            </w:pPr>
            <w:r>
              <w:t>1.</w:t>
            </w:r>
            <w:r>
              <w:tab/>
            </w:r>
            <w:r>
              <w:t xml:space="preserve">Държавите членки гарантират, че са налице подходящи и ефективни средства, с които се осигурява спазването на настоящата директива. </w:t>
            </w:r>
            <w:r>
              <w:rPr>
                <w:b/>
                <w:i/>
              </w:rPr>
              <w:t>Насърчават се участието и постоянният диалог с организациите на гражданското общество и сдруженията, представляващи хората с увреждания.</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412</w:t>
      </w:r>
      <w:r>
        <w:rPr>
          <w:rStyle w:val="HideTWBExt"/>
        </w:rPr>
        <w:t>&lt;/NumAm&gt;</w:t>
      </w:r>
    </w:p>
    <w:p>
      <w:pPr>
        <w:pStyle w:val="NormalBold"/>
      </w:pPr>
      <w:r>
        <w:rPr>
          <w:rStyle w:val="HideTWBExt"/>
        </w:rPr>
        <w:t>&lt;RepeatBlock-By&gt;</w:t>
      </w:r>
      <w:r>
        <w:rPr>
          <w:rStyle w:val="HideTWBExt"/>
        </w:rPr>
        <w:t>&lt;Members&gt;</w:t>
      </w:r>
      <w:r>
        <w:t>Роса Естарас Ферагут</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Член 13 – параграф 2 – буква а</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а</w:t>
            </w:r>
            <w:r>
              <w:t>)</w:t>
            </w:r>
            <w:r>
              <w:tab/>
            </w:r>
            <w:r>
              <w:t>разпоредби, съгласно които хората с увреждания могат да сезират съгласно националното право съдилищата или компетентните административни органи в случай на нарушаване на правата им съгласно настоящата директива и съгласно националните разпоредби за прилагане на настоящата директива;</w:t>
            </w:r>
          </w:p>
        </w:tc>
        <w:tc>
          <w:tcPr>
            <w:tcW w:w="4876" w:type="dxa"/>
          </w:tcPr>
          <w:p>
            <w:pPr>
              <w:pStyle w:val="Normal6a"/>
            </w:pPr>
            <w:r>
              <w:rPr>
                <w:b/>
                <w:i/>
              </w:rPr>
              <w:t>a</w:t>
            </w:r>
            <w:r>
              <w:t>)</w:t>
            </w:r>
            <w:r>
              <w:tab/>
            </w:r>
            <w:r>
              <w:t xml:space="preserve">разпоредби, съгласно които хората с увреждания </w:t>
            </w:r>
            <w:r>
              <w:rPr>
                <w:b/>
                <w:i/>
              </w:rPr>
              <w:t>и техните представителни организации</w:t>
            </w:r>
            <w:r>
              <w:t xml:space="preserve"> могат да сезират съгласно националното право съдилищата или компетентните административни органи в случай на нарушаване на правата им съгласно настоящата директива и съгласно националните разпоредби за прилагане на настоящата директива;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413</w:t>
      </w:r>
      <w:r>
        <w:rPr>
          <w:rStyle w:val="HideTWBExt"/>
        </w:rPr>
        <w:t>&lt;/NumAm&gt;</w:t>
      </w:r>
    </w:p>
    <w:p>
      <w:pPr>
        <w:pStyle w:val="NormalBold"/>
      </w:pPr>
      <w:r>
        <w:rPr>
          <w:rStyle w:val="HideTWBExt"/>
        </w:rPr>
        <w:t>&lt;RepeatBlock-By&gt;</w:t>
      </w:r>
      <w:r>
        <w:rPr>
          <w:rStyle w:val="HideTWBExt"/>
        </w:rPr>
        <w:t>&lt;Members&gt;</w:t>
      </w:r>
      <w:r>
        <w:t>Жуан Албукерке, Даниела Рондинели, Марк Ангел, Милан Бръглез, Агнес Йонгериус, Орор Лалюк, Елизабета Гуалмини, Клара Добрев, Мариане Винд, Вилия Блинкевичуте, Алекс Аджус Салиба, Брандо Бенифеи, Илан Де Басо, Алисия Омс Хинел, Карина Олсон, Естреля Дура Ферандис</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Член 13 – параграф 2 – буква б</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б)</w:t>
            </w:r>
            <w:r>
              <w:tab/>
            </w:r>
            <w:r>
              <w:t>разпоредби, по силата на които публичните органи или частните сдружения, организации или други правни субекти, които имат законен интерес да гарантират спазването на разпоредбите на настоящата директива, могат да сезират съгласно националното право и процедури съдилищата или компетентните административни органи от името или в подкрепа на лице с увреждания, с негово съгласие, във всякакви съдебни или административни производства, предвидени с оглед на изпълнението на задълженията съгласно настоящата директива.</w:t>
            </w:r>
          </w:p>
        </w:tc>
        <w:tc>
          <w:tcPr>
            <w:tcW w:w="4876" w:type="dxa"/>
          </w:tcPr>
          <w:p>
            <w:pPr>
              <w:pStyle w:val="Normal6a"/>
            </w:pPr>
            <w:r>
              <w:t>б)</w:t>
            </w:r>
            <w:r>
              <w:tab/>
            </w:r>
            <w:r>
              <w:t>разпоредби, по силата на които публичните органи</w:t>
            </w:r>
            <w:r>
              <w:rPr>
                <w:b/>
                <w:i/>
              </w:rPr>
              <w:t>, като например органите за равно третиране,</w:t>
            </w:r>
            <w:r>
              <w:t xml:space="preserve"> или частните сдружения, организации</w:t>
            </w:r>
            <w:r>
              <w:rPr>
                <w:b/>
                <w:i/>
              </w:rPr>
              <w:t>, по-специално представителните организации на хората с увреждания,</w:t>
            </w:r>
            <w:r>
              <w:t xml:space="preserve"> или други правни субекти, които имат законен интерес да гарантират спазването на разпоредбите на настоящата директива, могат да сезират съгласно националното право и процедури съдилищата или компетентните административни органи от името или в подкрепа на лице с увреждания, с негово съгласие, във всякакви съдебни или административни производства, предвидени с оглед на изпълнението на задълженията съгласно настоящата директива.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414</w:t>
      </w:r>
      <w:r>
        <w:rPr>
          <w:rStyle w:val="HideTWBExt"/>
        </w:rPr>
        <w:t>&lt;/NumAm&gt;</w:t>
      </w:r>
    </w:p>
    <w:p>
      <w:pPr>
        <w:pStyle w:val="NormalBold"/>
      </w:pPr>
      <w:r>
        <w:rPr>
          <w:rStyle w:val="HideTWBExt"/>
        </w:rPr>
        <w:t>&lt;RepeatBlock-By&gt;</w:t>
      </w:r>
      <w:r>
        <w:rPr>
          <w:rStyle w:val="HideTWBExt"/>
        </w:rPr>
        <w:t>&lt;Members&gt;</w:t>
      </w:r>
      <w:r>
        <w:t>Тоан Мандерс</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Член 13 – параграф 2 – буква б</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б)</w:t>
            </w:r>
            <w:r>
              <w:tab/>
            </w:r>
            <w:r>
              <w:t>разпоредби, по силата на които публичните органи или частните сдружения, организации или други правни субекти, които имат законен интерес да гарантират спазването на разпоредбите на настоящата директива, могат да сезират съгласно националното право и процедури съдилищата или компетентните административни органи от името или в подкрепа на лице с увреждания</w:t>
            </w:r>
            <w:r>
              <w:rPr>
                <w:b/>
                <w:i/>
              </w:rPr>
              <w:t>, с негово</w:t>
            </w:r>
            <w:r>
              <w:t xml:space="preserve"> съгласие, във всякакви съдебни или административни производства, предвидени с оглед на изпълнението на задълженията съгласно настоящата директива.</w:t>
            </w:r>
          </w:p>
        </w:tc>
        <w:tc>
          <w:tcPr>
            <w:tcW w:w="4876" w:type="dxa"/>
          </w:tcPr>
          <w:p>
            <w:pPr>
              <w:pStyle w:val="Normal6a"/>
            </w:pPr>
            <w:r>
              <w:t>б)</w:t>
            </w:r>
            <w:r>
              <w:tab/>
            </w:r>
            <w:r>
              <w:t xml:space="preserve">разпоредби, по силата на които публичните органи или частните сдружения, организации или други правни субекти, които имат законен интерес да гарантират спазването на разпоредбите на настоящата директива, могат да сезират съгласно националното право и процедури съдилищата или компетентните административни органи от името или в подкрепа на лице с увреждания </w:t>
            </w:r>
            <w:r>
              <w:rPr>
                <w:b/>
                <w:i/>
              </w:rPr>
              <w:t>и възрастни хора, с тяхно</w:t>
            </w:r>
            <w:r>
              <w:t xml:space="preserve"> съгласие, във всякакви съдебни или административни производства, предвидени с оглед на изпълнението на задълженията съгласно настоящата директива.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415</w:t>
      </w:r>
      <w:r>
        <w:rPr>
          <w:rStyle w:val="HideTWBExt"/>
        </w:rPr>
        <w:t>&lt;/NumAm&gt;</w:t>
      </w:r>
    </w:p>
    <w:p>
      <w:pPr>
        <w:pStyle w:val="NormalBold"/>
      </w:pPr>
      <w:r>
        <w:rPr>
          <w:rStyle w:val="HideTWBExt"/>
        </w:rPr>
        <w:t>&lt;RepeatBlock-By&gt;</w:t>
      </w:r>
      <w:r>
        <w:rPr>
          <w:rStyle w:val="HideTWBExt"/>
        </w:rPr>
        <w:t>&lt;Members&gt;</w:t>
      </w:r>
      <w:r>
        <w:t>Роса Естарас Ферагут</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Член 13 – параграф 2 а (нов)</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2a.</w:t>
            </w:r>
            <w:r>
              <w:tab/>
            </w:r>
            <w:r>
              <w:rPr>
                <w:b/>
                <w:i/>
              </w:rPr>
              <w:t>Следва да бъде създаден орган, който да установи институционален механизъм за наблюдение и контрол на спазването на разпоредбите, свързани с прилагането, наблюдението и оценката на европейската карта за хора с увреждания.</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416</w:t>
      </w:r>
      <w:r>
        <w:rPr>
          <w:rStyle w:val="HideTWBExt"/>
        </w:rPr>
        <w:t>&lt;/NumAm&gt;</w:t>
      </w:r>
    </w:p>
    <w:p>
      <w:pPr>
        <w:pStyle w:val="NormalBold"/>
      </w:pPr>
      <w:r>
        <w:rPr>
          <w:rStyle w:val="HideTWBExt"/>
        </w:rPr>
        <w:t>&lt;RepeatBlock-By&gt;</w:t>
      </w:r>
      <w:r>
        <w:rPr>
          <w:rStyle w:val="HideTWBExt"/>
        </w:rPr>
        <w:t>&lt;Members&gt;</w:t>
      </w:r>
      <w:r>
        <w:t>Жуан Албукерке, Даниела Рондинели, Марк Ангел, Милан Бръглез, Агнес Йонгериус, Орор Лалюк, Елизабета Гуалмини, Клара Добрев, Мариане Винд, Вилия Блинкевичуте, Алекс Аджус Салиба, Брандо Бенифеи, Илан Де Басо, Алисия Омс Хинел, Карина Олсон, Естреля Дура Ферандис</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Член 15 – параграф 1</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1.</w:t>
            </w:r>
            <w:r>
              <w:tab/>
            </w:r>
            <w:r>
              <w:t>Държавите членки гарантират, че частните оператори или публичните органи осигуряват публичен достъп до информация за всички специални условия или преференциално третиране съгласно член 5 в достъпни формати.</w:t>
            </w:r>
          </w:p>
        </w:tc>
        <w:tc>
          <w:tcPr>
            <w:tcW w:w="4876" w:type="dxa"/>
          </w:tcPr>
          <w:p>
            <w:pPr>
              <w:pStyle w:val="Normal6a"/>
            </w:pPr>
            <w:r>
              <w:t>1.</w:t>
            </w:r>
            <w:r>
              <w:tab/>
            </w:r>
            <w:r>
              <w:t xml:space="preserve">Държавите членки гарантират, че частните оператори или публичните органи осигуряват публичен достъп до информация за всички специални условия или преференциално третиране съгласно член 5 </w:t>
            </w:r>
            <w:r>
              <w:rPr>
                <w:b/>
                <w:i/>
              </w:rPr>
              <w:t>по ясен, изчерпателен, лесен за ползване и лесно достъпен начин и</w:t>
            </w:r>
            <w:r>
              <w:t xml:space="preserve"> в достъпни формати. </w:t>
            </w:r>
            <w:r>
              <w:rPr>
                <w:b/>
                <w:i/>
              </w:rPr>
              <w:t>Комисията създава единен специализиран уебсайт, достъпен на всички езици на ЕС, включително на всички национални жестомимични езици на ЕС за аудио- и видеосъдържание, и в достъпни формати, на който са събрани специалните условия или преференциалното третиране, предлагани от техните публични органи.</w:t>
            </w:r>
            <w:r>
              <w:t xml:space="preserve"> </w:t>
            </w:r>
            <w:r>
              <w:rPr>
                <w:b/>
                <w:i/>
              </w:rPr>
              <w:t>Държавите членки улесняват предоставянето на информация относно специалните условия или преференциалното третиране, предлагани от публичните и частните оператори на уебсайта, когато има такъв, и редовно актуализират тази информация в съответствие с промените в националното законодателство.</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417</w:t>
      </w:r>
      <w:r>
        <w:rPr>
          <w:rStyle w:val="HideTWBExt"/>
        </w:rPr>
        <w:t>&lt;/NumAm&gt;</w:t>
      </w:r>
    </w:p>
    <w:p>
      <w:pPr>
        <w:pStyle w:val="NormalBold"/>
      </w:pPr>
      <w:r>
        <w:rPr>
          <w:rStyle w:val="HideTWBExt"/>
        </w:rPr>
        <w:t>&lt;RepeatBlock-By&gt;</w:t>
      </w:r>
      <w:r>
        <w:rPr>
          <w:rStyle w:val="HideTWBExt"/>
        </w:rPr>
        <w:t>&lt;Members&gt;</w:t>
      </w:r>
      <w:r>
        <w:t>Луция Дюриш Николсонова, Абир Ал‑Сахлани, Джорди Каняс, Моника Семедо, Атидже Алиева-Вели, Драгош Пъслару, Ирена Йовева, Макс Орвил, Силви Брюне, Мари-Пиер Ведрен</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Член 15 – параграф 1</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1.</w:t>
            </w:r>
            <w:r>
              <w:tab/>
            </w:r>
            <w:r>
              <w:t>Държавите членки гарантират, че частните оператори или публичните органи осигуряват публичен достъп до информация за всички специални условия или преференциално третиране съгласно член 5 в достъпни формати.</w:t>
            </w:r>
          </w:p>
        </w:tc>
        <w:tc>
          <w:tcPr>
            <w:tcW w:w="4876" w:type="dxa"/>
          </w:tcPr>
          <w:p>
            <w:pPr>
              <w:pStyle w:val="Normal6a"/>
            </w:pPr>
            <w:r>
              <w:t>1.</w:t>
            </w:r>
            <w:r>
              <w:tab/>
            </w:r>
            <w:r>
              <w:t xml:space="preserve">Държавите членки гарантират, че частните оператори или публичните органи осигуряват публичен достъп до информация за всички специални условия или преференциално третиране съгласно член 5 </w:t>
            </w:r>
            <w:r>
              <w:rPr>
                <w:b/>
                <w:i/>
              </w:rPr>
              <w:t>по ясен, изчерпателен, лесен за ползване и лесно достъпен начин и</w:t>
            </w:r>
            <w:r>
              <w:t xml:space="preserve"> в достъпни формати. </w:t>
            </w:r>
            <w:r>
              <w:rPr>
                <w:b/>
                <w:i/>
              </w:rPr>
              <w:t>Държавите членки създават единен специализиран уебсайт, в който се събират специалните условия или преференциалното третиране, предлагани от техните публични органи.</w:t>
            </w:r>
            <w:r>
              <w:t xml:space="preserve"> </w:t>
            </w:r>
            <w:r>
              <w:rPr>
                <w:b/>
                <w:i/>
              </w:rPr>
              <w:t>Държавите членки могат също така да улеснят предоставянето на информация относно специалните условия или преференциалното третиране, предлагани от частните оператори, на уебсайта, когато има такъв.</w:t>
            </w:r>
            <w:r>
              <w:t xml:space="preserve"> </w:t>
            </w:r>
            <w:r>
              <w:rPr>
                <w:b/>
                <w:i/>
              </w:rPr>
              <w:t>Уебсайтът е на официалния(те) език (езици) на държавите членки, на националния жестомимичен език и на английски език, както и на всеки друг език (езици), определен(и) от държавата членка.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418</w:t>
      </w:r>
      <w:r>
        <w:rPr>
          <w:rStyle w:val="HideTWBExt"/>
        </w:rPr>
        <w:t>&lt;/NumAm&gt;</w:t>
      </w:r>
    </w:p>
    <w:p>
      <w:pPr>
        <w:pStyle w:val="NormalBold"/>
      </w:pPr>
      <w:r>
        <w:rPr>
          <w:rStyle w:val="HideTWBExt"/>
        </w:rPr>
        <w:t>&lt;RepeatBlock-By&gt;</w:t>
      </w:r>
      <w:r>
        <w:rPr>
          <w:rStyle w:val="HideTWBExt"/>
        </w:rPr>
        <w:t>&lt;Members&gt;</w:t>
      </w:r>
      <w:r>
        <w:t>Адам Коша, Стелиос Кимбуропулос, Луция Дюриш Николсонова</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Член 15 – параграф 1</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1.</w:t>
            </w:r>
            <w:r>
              <w:tab/>
            </w:r>
            <w:r>
              <w:t xml:space="preserve">Държавите членки гарантират, че частните оператори или публичните органи </w:t>
            </w:r>
            <w:r>
              <w:rPr>
                <w:b/>
                <w:i/>
              </w:rPr>
              <w:t>осигуряват</w:t>
            </w:r>
            <w:r>
              <w:t xml:space="preserve"> публичен достъп до информация </w:t>
            </w:r>
            <w:r>
              <w:rPr>
                <w:b/>
                <w:i/>
              </w:rPr>
              <w:t>за</w:t>
            </w:r>
            <w:r>
              <w:t xml:space="preserve"> всички специални условия или преференциално третиране съгласно член 5 в достъпни формати.</w:t>
            </w:r>
          </w:p>
        </w:tc>
        <w:tc>
          <w:tcPr>
            <w:tcW w:w="4876" w:type="dxa"/>
          </w:tcPr>
          <w:p>
            <w:pPr>
              <w:pStyle w:val="Normal6a"/>
            </w:pPr>
            <w:r>
              <w:t>1.</w:t>
            </w:r>
            <w:r>
              <w:tab/>
            </w:r>
            <w:r>
              <w:t xml:space="preserve">Държавите членки гарантират, че частните оператори или публичните органи </w:t>
            </w:r>
            <w:r>
              <w:rPr>
                <w:b/>
                <w:i/>
              </w:rPr>
              <w:t>предоставят</w:t>
            </w:r>
            <w:r>
              <w:t xml:space="preserve"> публичен достъп до информация </w:t>
            </w:r>
            <w:r>
              <w:rPr>
                <w:b/>
                <w:i/>
              </w:rPr>
              <w:t>относно</w:t>
            </w:r>
            <w:r>
              <w:t xml:space="preserve"> всички специални условия или преференциално третиране съгласно член 5 в достъпни формати </w:t>
            </w:r>
            <w:r>
              <w:rPr>
                <w:b/>
                <w:i/>
              </w:rPr>
              <w:t>(включително лесни за четене формати и субтитрирани видеоклипове на националните жестомимични езици и на международния жестомимичен език) на достъпна онлайн информационна платформа</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419</w:t>
      </w:r>
      <w:r>
        <w:rPr>
          <w:rStyle w:val="HideTWBExt"/>
        </w:rPr>
        <w:t>&lt;/NumAm&gt;</w:t>
      </w:r>
    </w:p>
    <w:p>
      <w:pPr>
        <w:pStyle w:val="NormalBold"/>
      </w:pPr>
      <w:r>
        <w:rPr>
          <w:rStyle w:val="HideTWBExt"/>
        </w:rPr>
        <w:t>&lt;RepeatBlock-By&gt;</w:t>
      </w:r>
      <w:r>
        <w:rPr>
          <w:rStyle w:val="HideTWBExt"/>
        </w:rPr>
        <w:t>&lt;Members&gt;</w:t>
      </w:r>
      <w:r>
        <w:t>Жузе Гушман</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Член 15 – параграф 1</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1.</w:t>
            </w:r>
            <w:r>
              <w:tab/>
            </w:r>
            <w:r>
              <w:t>Държавите членки гарантират, че частните оператори или публичните органи осигуряват публичен достъп до информация за всички специални условия или преференциално третиране съгласно член 5 в достъпни формати.</w:t>
            </w:r>
          </w:p>
        </w:tc>
        <w:tc>
          <w:tcPr>
            <w:tcW w:w="4876" w:type="dxa"/>
          </w:tcPr>
          <w:p>
            <w:pPr>
              <w:pStyle w:val="Normal6a"/>
            </w:pPr>
            <w:r>
              <w:t>1.</w:t>
            </w:r>
            <w:r>
              <w:tab/>
            </w:r>
            <w:r>
              <w:t xml:space="preserve">Държавите членки гарантират, че частните оператори или публичните органи осигуряват публичен достъп до информация за всички специални условия или преференциално третиране съгласно член 5 в достъпни формати. </w:t>
            </w:r>
            <w:r>
              <w:rPr>
                <w:b/>
                <w:i/>
              </w:rPr>
              <w:t>За тази цел се предоставя достатъчно финансиране от ЕС, както е посочено в член 9.</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420</w:t>
      </w:r>
      <w:r>
        <w:rPr>
          <w:rStyle w:val="HideTWBExt"/>
        </w:rPr>
        <w:t>&lt;/NumAm&gt;</w:t>
      </w:r>
    </w:p>
    <w:p>
      <w:pPr>
        <w:pStyle w:val="NormalBold"/>
      </w:pPr>
      <w:r>
        <w:rPr>
          <w:rStyle w:val="HideTWBExt"/>
        </w:rPr>
        <w:t>&lt;RepeatBlock-By&gt;</w:t>
      </w:r>
      <w:r>
        <w:rPr>
          <w:rStyle w:val="HideTWBExt"/>
        </w:rPr>
        <w:t>&lt;Members&gt;</w:t>
      </w:r>
      <w:r>
        <w:t>Киара Джема</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Член 15 – параграф 1</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1.</w:t>
            </w:r>
            <w:r>
              <w:tab/>
            </w:r>
            <w:r>
              <w:t>Държавите членки гарантират, че частните оператори или публичните органи осигуряват публичен достъп до информация за всички специални условия или преференциално третиране съгласно член 5 в достъпни формати.</w:t>
            </w:r>
          </w:p>
        </w:tc>
        <w:tc>
          <w:tcPr>
            <w:tcW w:w="4876" w:type="dxa"/>
          </w:tcPr>
          <w:p>
            <w:pPr>
              <w:pStyle w:val="Normal6a"/>
            </w:pPr>
            <w:r>
              <w:t>1.</w:t>
            </w:r>
            <w:r>
              <w:tab/>
            </w:r>
            <w:r>
              <w:t xml:space="preserve">Държавите членки гарантират, че частните оператори или публичните органи осигуряват публичен достъп до информация за всички специални условия или преференциално третиране съгласно член 5 в достъпни формати. </w:t>
            </w:r>
            <w:r>
              <w:rPr>
                <w:b/>
                <w:i/>
              </w:rPr>
              <w:t>За тази цел се предоставя достатъчно финансиране от ЕС, както е посочено в член 9.</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421</w:t>
      </w:r>
      <w:r>
        <w:rPr>
          <w:rStyle w:val="HideTWBExt"/>
        </w:rPr>
        <w:t>&lt;/NumAm&gt;</w:t>
      </w:r>
    </w:p>
    <w:p>
      <w:pPr>
        <w:pStyle w:val="NormalBold"/>
      </w:pPr>
      <w:r>
        <w:rPr>
          <w:rStyle w:val="HideTWBExt"/>
        </w:rPr>
        <w:t>&lt;RepeatBlock-By&gt;</w:t>
      </w:r>
      <w:r>
        <w:rPr>
          <w:rStyle w:val="HideTWBExt"/>
        </w:rPr>
        <w:t>&lt;Members&gt;</w:t>
      </w:r>
      <w:r>
        <w:t>Луция Дюриш Николсонова, Абир Ал‑Сахлани, Джорди Каняс, Моника Семедо, Атидже Алиева-Вели, Драгош Пъслару, Ирена Йовева, Макс Орвил, Силви Брюне, Мари-Пиер Ведрен</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Член 15 – параграф 2</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2.</w:t>
            </w:r>
            <w:r>
              <w:tab/>
            </w:r>
            <w:r>
              <w:t>Държавите членки насърчават частните оператори или публичните органи доброволно да осигурят специални условия или преференциално третиране за хората с увреждания.</w:t>
            </w:r>
          </w:p>
        </w:tc>
        <w:tc>
          <w:tcPr>
            <w:tcW w:w="4876" w:type="dxa"/>
          </w:tcPr>
          <w:p>
            <w:pPr>
              <w:pStyle w:val="Normal6a"/>
            </w:pPr>
            <w:r>
              <w:t>2.</w:t>
            </w:r>
            <w:r>
              <w:tab/>
            </w:r>
            <w:r>
              <w:t xml:space="preserve">Държавите членки </w:t>
            </w:r>
            <w:r>
              <w:rPr>
                <w:b/>
                <w:i/>
              </w:rPr>
              <w:t>подкрепят и</w:t>
            </w:r>
            <w:r>
              <w:t xml:space="preserve"> насърчават частните оператори или публичните органи доброволно да осигурят специални условия или преференциално третиране за хората с увреждания </w:t>
            </w:r>
            <w:r>
              <w:rPr>
                <w:b/>
                <w:i/>
              </w:rPr>
              <w:t>във възможно най-широк спектър от услуги, други дейности и обекти</w:t>
            </w:r>
            <w:r>
              <w:t>.</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По-специално държавите членки подкрепят и насърчават частните оператори и публичните органи чрез предоставянето, наред с другото, на информация и обмен на най-добри практики относно възможните специални условия или преференциално третиране, които се предлагат, както и чрез предоставянето на обучение за интегриране на проблемите на хората с увреждания и повишаване на осведомеността, за да се гарантират уместността, ефективността и приобщаващият характер на всички предлагани специални условия или преференциално третиране.</w:t>
            </w:r>
            <w:r>
              <w:t xml:space="preserve"> </w:t>
            </w:r>
            <w:r>
              <w:rPr>
                <w:b/>
                <w:i/>
              </w:rPr>
              <w:t>Държавите членки гарантират, че всички тези мерки се прилагат в партньорство с хората с увреждания и техните представителни организации.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422</w:t>
      </w:r>
      <w:r>
        <w:rPr>
          <w:rStyle w:val="HideTWBExt"/>
        </w:rPr>
        <w:t>&lt;/NumAm&gt;</w:t>
      </w:r>
    </w:p>
    <w:p>
      <w:pPr>
        <w:pStyle w:val="NormalBold"/>
      </w:pPr>
      <w:r>
        <w:rPr>
          <w:rStyle w:val="HideTWBExt"/>
        </w:rPr>
        <w:t>&lt;RepeatBlock-By&gt;</w:t>
      </w:r>
      <w:r>
        <w:rPr>
          <w:rStyle w:val="HideTWBExt"/>
        </w:rPr>
        <w:t>&lt;Members&gt;</w:t>
      </w:r>
      <w:r>
        <w:t>Адам Коша</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Член 15 – параграф 2</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2.</w:t>
            </w:r>
            <w:r>
              <w:tab/>
            </w:r>
            <w:r>
              <w:t>Държавите членки насърчават частните оператори или публичните органи доброволно да осигурят специални условия или преференциално третиране за хората с увреждания.</w:t>
            </w:r>
          </w:p>
        </w:tc>
        <w:tc>
          <w:tcPr>
            <w:tcW w:w="4876" w:type="dxa"/>
          </w:tcPr>
          <w:p>
            <w:pPr>
              <w:pStyle w:val="Normal6a"/>
            </w:pPr>
            <w:r>
              <w:t>2.</w:t>
            </w:r>
            <w:r>
              <w:tab/>
            </w:r>
            <w:r>
              <w:t xml:space="preserve">Държавите членки насърчават частните оператори или публичните органи доброволно да осигурят специални условия или преференциално третиране за хората с увреждания </w:t>
            </w:r>
            <w:r>
              <w:rPr>
                <w:b/>
                <w:i/>
              </w:rPr>
              <w:t>и разработват общи европейски насоки за публичните органи и частните оператори съгласно член 5, за да се гарантира по подходящ начин спазването на изискванията за достъпност на услугите, установени в приложение I към Директива (ЕС) 2019/882</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423</w:t>
      </w:r>
      <w:r>
        <w:rPr>
          <w:rStyle w:val="HideTWBExt"/>
        </w:rPr>
        <w:t>&lt;/NumAm&gt;</w:t>
      </w:r>
    </w:p>
    <w:p>
      <w:pPr>
        <w:pStyle w:val="NormalBold"/>
      </w:pPr>
      <w:r>
        <w:rPr>
          <w:rStyle w:val="HideTWBExt"/>
        </w:rPr>
        <w:t>&lt;RepeatBlock-By&gt;</w:t>
      </w:r>
      <w:r>
        <w:rPr>
          <w:rStyle w:val="HideTWBExt"/>
        </w:rPr>
        <w:t>&lt;Members&gt;</w:t>
      </w:r>
      <w:r>
        <w:t>Тоан Мандерс</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Член 15 – параграф 2</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2.</w:t>
            </w:r>
            <w:r>
              <w:tab/>
            </w:r>
            <w:r>
              <w:t>Държавите членки насърчават частните оператори или публичните органи доброволно да осигурят специални условия или преференциално третиране за хората с увреждания.</w:t>
            </w:r>
          </w:p>
        </w:tc>
        <w:tc>
          <w:tcPr>
            <w:tcW w:w="4876" w:type="dxa"/>
          </w:tcPr>
          <w:p>
            <w:pPr>
              <w:pStyle w:val="Normal6a"/>
            </w:pPr>
            <w:r>
              <w:t>2.</w:t>
            </w:r>
            <w:r>
              <w:tab/>
            </w:r>
            <w:r>
              <w:t xml:space="preserve">Държавите членки насърчават частните оператори или публичните органи доброволно да осигурят специални условия или преференциално третиране за хората с увреждания </w:t>
            </w:r>
            <w:r>
              <w:rPr>
                <w:b/>
                <w:i/>
              </w:rPr>
              <w:t>и възрастните хора</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424</w:t>
      </w:r>
      <w:r>
        <w:rPr>
          <w:rStyle w:val="HideTWBExt"/>
        </w:rPr>
        <w:t>&lt;/NumAm&gt;</w:t>
      </w:r>
    </w:p>
    <w:p>
      <w:pPr>
        <w:pStyle w:val="NormalBold"/>
      </w:pPr>
      <w:r>
        <w:rPr>
          <w:rStyle w:val="HideTWBExt"/>
        </w:rPr>
        <w:t>&lt;RepeatBlock-By&gt;</w:t>
      </w:r>
      <w:r>
        <w:rPr>
          <w:rStyle w:val="HideTWBExt"/>
        </w:rPr>
        <w:t>&lt;Members&gt;</w:t>
      </w:r>
      <w:r>
        <w:t>Катрин Лангензипен</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Член 15 – параграф 3</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3.</w:t>
            </w:r>
            <w:r>
              <w:tab/>
            </w:r>
            <w:r>
              <w:t>Информацията, посочена в параграф 1 от настоящия член, се предоставя безплатно по ясен, изчерпателен, лесен за ползване и лесно достъпен начин, включително чрез официалния уебсайт на частните оператори или публичните органи, когато има такъв, или чрез други подходящи средства съгласно съответните изисквания за достъпност на услугите, определени в приложение I към Директива (ЕС) 2019/882.</w:t>
            </w:r>
          </w:p>
        </w:tc>
        <w:tc>
          <w:tcPr>
            <w:tcW w:w="4876" w:type="dxa"/>
          </w:tcPr>
          <w:p>
            <w:pPr>
              <w:pStyle w:val="Normal6a"/>
            </w:pPr>
            <w:r>
              <w:t>3.</w:t>
            </w:r>
            <w:r>
              <w:tab/>
            </w:r>
            <w:r>
              <w:t xml:space="preserve">Информацията, посочена в параграф 1 от настоящия член, се предоставя безплатно по ясен, изчерпателен, лесен за ползване и лесно достъпен начин, включително чрез официалния уебсайт на частните оператори или публичните органи, когато има такъв, или чрез други подходящи средства съгласно съответните изисквания за достъпност на услугите, определени в приложение I към Директива (ЕС) 2019/882. </w:t>
            </w:r>
            <w:r>
              <w:rPr>
                <w:b/>
                <w:i/>
              </w:rPr>
              <w:t>Комисията създава цифров портал, съдържащ цялата информация относно ползите от притежаването на европейска карта за хора с увреждания и европейска карта за паркиране във всички държави членки, включително информация за различните процедури във всяка държава членка.</w:t>
            </w:r>
            <w:r>
              <w:t xml:space="preserve"> </w:t>
            </w:r>
            <w:r>
              <w:rPr>
                <w:b/>
                <w:i/>
              </w:rPr>
              <w:t>Тази информация се изпраща от държавите членки на Комисията и се актуализира в съответствие с изискванията за докладване по член 16 от настоящата директива.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425</w:t>
      </w:r>
      <w:r>
        <w:rPr>
          <w:rStyle w:val="HideTWBExt"/>
        </w:rPr>
        <w:t>&lt;/NumAm&gt;</w:t>
      </w:r>
    </w:p>
    <w:p>
      <w:pPr>
        <w:pStyle w:val="NormalBold"/>
      </w:pPr>
      <w:r>
        <w:rPr>
          <w:rStyle w:val="HideTWBExt"/>
        </w:rPr>
        <w:t>&lt;RepeatBlock-By&gt;</w:t>
      </w:r>
      <w:r>
        <w:rPr>
          <w:rStyle w:val="HideTWBExt"/>
        </w:rPr>
        <w:t>&lt;Members&gt;</w:t>
      </w:r>
      <w:r>
        <w:t>Луция Дюриш Николсонова, Абир Ал‑Сахлани, Джорди Каняс, Моника Семедо, Атидже Алиева-Вели, Драгош Пъслару, Ирена Йовева, Макс Орвил, Силви Брюне, Мари-Пиер Ведрен</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Член 15 – параграф 3</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3.</w:t>
            </w:r>
            <w:r>
              <w:tab/>
            </w:r>
            <w:r>
              <w:t>Информацията, посочена в параграф 1 от настоящия член, се предоставя безплатно по ясен, изчерпателен, лесен за ползване и лесно достъпен начин, включително чрез официалния уебсайт на частните оператори или публичните органи, когато има такъв, или чрез други подходящи средства съгласно съответните изисквания за достъпност на услугите, определени в приложение I към Директива (ЕС) 2019/882.</w:t>
            </w:r>
          </w:p>
        </w:tc>
        <w:tc>
          <w:tcPr>
            <w:tcW w:w="4876" w:type="dxa"/>
          </w:tcPr>
          <w:p>
            <w:pPr>
              <w:pStyle w:val="Normal6a"/>
            </w:pPr>
            <w:r>
              <w:t>3.</w:t>
            </w:r>
            <w:r>
              <w:tab/>
            </w:r>
            <w:r>
              <w:t>Информацията, посочена в параграф 1 от настоящия член, се предоставя безплатно по ясен, изчерпателен, лесен за ползване и лесно достъпен начин, включително чрез официалния уебсайт на частните оператори или публичните органи, когато има такъв, или чрез други подходящи средства съгласно съответните изисквания за достъпност на услугите, определени в приложение I към Директива (ЕС) 2019/882</w:t>
            </w:r>
            <w:r>
              <w:rPr>
                <w:b/>
                <w:i/>
              </w:rPr>
              <w:t>, с ниво на сложност, не по-високо от В1 (средно ниво) съгласно Общата европейска референтна рамка за езиците на Съвета на Европа, включително на националния(ите) жестомимичен(ни) език (езици)</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426</w:t>
      </w:r>
      <w:r>
        <w:rPr>
          <w:rStyle w:val="HideTWBExt"/>
        </w:rPr>
        <w:t>&lt;/NumAm&gt;</w:t>
      </w:r>
    </w:p>
    <w:p>
      <w:pPr>
        <w:pStyle w:val="NormalBold"/>
      </w:pPr>
      <w:r>
        <w:rPr>
          <w:rStyle w:val="HideTWBExt"/>
        </w:rPr>
        <w:t>&lt;RepeatBlock-By&gt;</w:t>
      </w:r>
      <w:r>
        <w:rPr>
          <w:rStyle w:val="HideTWBExt"/>
        </w:rPr>
        <w:t>&lt;Members&gt;</w:t>
      </w:r>
      <w:r>
        <w:t>Жузе Гушман</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Член 15 – параграф 3</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3.</w:t>
            </w:r>
            <w:r>
              <w:tab/>
            </w:r>
            <w:r>
              <w:t>Информацията, посочена в параграф 1 от настоящия член, се предоставя безплатно по ясен, изчерпателен, лесен за ползване и лесно достъпен начин, включително чрез официалния уебсайт на частните оператори или публичните органи, когато има такъв, или чрез други подходящи средства съгласно съответните изисквания за достъпност на услугите, определени в приложение I към Директива (ЕС) 2019/882.</w:t>
            </w:r>
          </w:p>
        </w:tc>
        <w:tc>
          <w:tcPr>
            <w:tcW w:w="4876" w:type="dxa"/>
          </w:tcPr>
          <w:p>
            <w:pPr>
              <w:pStyle w:val="Normal6a"/>
            </w:pPr>
            <w:r>
              <w:t>3.</w:t>
            </w:r>
            <w:r>
              <w:tab/>
            </w:r>
            <w:r>
              <w:t>Информацията, посочена в параграф 1 от настоящия член, се предоставя безплатно по ясен, изчерпателен, лесен за ползване и лесно достъпен начин, включително чрез официалния уебсайт на частните оператори или публичните органи, когато има такъв, или чрез други подходящи средства съгласно съответните изисквания за достъпност на услугите, определени в приложение I към Директива (ЕС) 2019/882</w:t>
            </w:r>
            <w:r>
              <w:rPr>
                <w:b/>
                <w:i/>
              </w:rPr>
              <w:t>, с ниво на сложност, не по-високо от В1 (средно ниво) съгласно Общата европейска референтна рамка за езиците на Съвета на Европа</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427</w:t>
      </w:r>
      <w:r>
        <w:rPr>
          <w:rStyle w:val="HideTWBExt"/>
        </w:rPr>
        <w:t>&lt;/NumAm&gt;</w:t>
      </w:r>
    </w:p>
    <w:p>
      <w:pPr>
        <w:pStyle w:val="NormalBold"/>
      </w:pPr>
      <w:r>
        <w:rPr>
          <w:rStyle w:val="HideTWBExt"/>
        </w:rPr>
        <w:t>&lt;RepeatBlock-By&gt;</w:t>
      </w:r>
      <w:r>
        <w:rPr>
          <w:rStyle w:val="HideTWBExt"/>
        </w:rPr>
        <w:t>&lt;Members&gt;</w:t>
      </w:r>
      <w:r>
        <w:t>Киара Джема</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Член 15 – параграф 3</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3.</w:t>
            </w:r>
            <w:r>
              <w:tab/>
            </w:r>
            <w:r>
              <w:t>Информацията, посочена в параграф 1 от настоящия член, се предоставя безплатно по ясен, изчерпателен, лесен за ползване и лесно достъпен начин, включително чрез официалния уебсайт на частните оператори или публичните органи, когато има такъв, или чрез други подходящи средства съгласно съответните изисквания за достъпност на услугите, определени в приложение I към Директива (ЕС) 2019/882</w:t>
            </w:r>
            <w:r>
              <w:rPr>
                <w:b/>
                <w:i/>
              </w:rPr>
              <w:t>.</w:t>
            </w:r>
          </w:p>
        </w:tc>
        <w:tc>
          <w:tcPr>
            <w:tcW w:w="4876" w:type="dxa"/>
          </w:tcPr>
          <w:p>
            <w:pPr>
              <w:pStyle w:val="Normal6a"/>
            </w:pPr>
            <w:r>
              <w:t>3.</w:t>
            </w:r>
            <w:r>
              <w:tab/>
            </w:r>
            <w:r>
              <w:t>Информацията, посочена в параграф 1 от настоящия член, се предоставя безплатно по ясен, изчерпателен, лесен за ползване и лесно достъпен начин, включително чрез официалния уебсайт на частните оператори или публичните органи, когато има такъв, или чрез други подходящи средства съгласно съответните изисквания за достъпност на услугите, определени в приложение I към Директива (ЕС) 2019/882</w:t>
            </w:r>
            <w:r>
              <w:rPr>
                <w:b/>
                <w:i/>
              </w:rPr>
              <w:t>, с ниво на сложност, не по-високо от В1 (средно ниво) съгласно Общата европейска референтна рамка за езиците на Съвета на Европа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428</w:t>
      </w:r>
      <w:r>
        <w:rPr>
          <w:rStyle w:val="HideTWBExt"/>
        </w:rPr>
        <w:t>&lt;/NumAm&gt;</w:t>
      </w:r>
    </w:p>
    <w:p>
      <w:pPr>
        <w:pStyle w:val="NormalBold"/>
      </w:pPr>
      <w:r>
        <w:rPr>
          <w:rStyle w:val="HideTWBExt"/>
        </w:rPr>
        <w:t>&lt;RepeatBlock-By&gt;</w:t>
      </w:r>
      <w:r>
        <w:rPr>
          <w:rStyle w:val="HideTWBExt"/>
        </w:rPr>
        <w:t>&lt;Members&gt;</w:t>
      </w:r>
      <w:r>
        <w:t>Адам Коша, Стелиос Кимбуропулос, Луция Дюриш Николсонова</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Член 15 – параграф 3</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3.</w:t>
            </w:r>
            <w:r>
              <w:tab/>
            </w:r>
            <w:r>
              <w:t>Информацията, посочена в параграф 1 от настоящия член, се предоставя безплатно по ясен, изчерпателен, лесен за ползване и лесно достъпен начин, включително чрез официалния уебсайт на частните оператори или публичните органи, когато има такъв, или чрез други подходящи средства съгласно съответните изисквания за достъпност на услугите, определени в приложение I към Директива (ЕС) 2019/882.</w:t>
            </w:r>
          </w:p>
        </w:tc>
        <w:tc>
          <w:tcPr>
            <w:tcW w:w="4876" w:type="dxa"/>
          </w:tcPr>
          <w:p>
            <w:pPr>
              <w:pStyle w:val="Normal6a"/>
            </w:pPr>
            <w:r>
              <w:t>3.</w:t>
            </w:r>
            <w:r>
              <w:tab/>
            </w:r>
            <w:r>
              <w:t xml:space="preserve">Информацията, посочена в параграф 1 от настоящия член, се предоставя </w:t>
            </w:r>
            <w:r>
              <w:rPr>
                <w:b/>
                <w:i/>
              </w:rPr>
              <w:t>на всички езици на ЕС</w:t>
            </w:r>
            <w:r>
              <w:t xml:space="preserve"> безплатно по ясен, изчерпателен, лесен за ползване и лесно достъпен начин</w:t>
            </w:r>
            <w:r>
              <w:rPr>
                <w:b/>
                <w:i/>
              </w:rPr>
              <w:t>, в достъпни формати (включително лесни за четене формати и субтитрирани видеоклипове на националните жестомимични езици и на международния жестомимичен език)</w:t>
            </w:r>
            <w:r>
              <w:t>, включително чрез официалния уебсайт на частните оператори или публичните органи, когато има такъв, или чрез други подходящи средства съгласно съответните изисквания за достъпност на услугите, определени в приложение I към Директива (ЕС) 2019/882.</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429</w:t>
      </w:r>
      <w:r>
        <w:rPr>
          <w:rStyle w:val="HideTWBExt"/>
        </w:rPr>
        <w:t>&lt;/NumAm&gt;</w:t>
      </w:r>
    </w:p>
    <w:p>
      <w:pPr>
        <w:pStyle w:val="NormalBold"/>
      </w:pPr>
      <w:r>
        <w:rPr>
          <w:rStyle w:val="HideTWBExt"/>
        </w:rPr>
        <w:t>&lt;RepeatBlock-By&gt;</w:t>
      </w:r>
      <w:r>
        <w:rPr>
          <w:rStyle w:val="HideTWBExt"/>
        </w:rPr>
        <w:t>&lt;Members&gt;</w:t>
      </w:r>
      <w:r>
        <w:t>Мириам Лексман</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Член 15 – параграф 3</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3.</w:t>
            </w:r>
            <w:r>
              <w:tab/>
            </w:r>
            <w:r>
              <w:t>Информацията, посочена в параграф 1 от настоящия член, се предоставя безплатно по ясен, изчерпателен, лесен за ползване и лесно достъпен начин, включително чрез официалния уебсайт на частните оператори или публичните органи, когато има такъв, или чрез други подходящи средства съгласно съответните изисквания за достъпност на услугите, определени в приложение I към Директива (ЕС) 2019/882.</w:t>
            </w:r>
          </w:p>
        </w:tc>
        <w:tc>
          <w:tcPr>
            <w:tcW w:w="4876" w:type="dxa"/>
          </w:tcPr>
          <w:p>
            <w:pPr>
              <w:pStyle w:val="Normal6a"/>
            </w:pPr>
            <w:r>
              <w:t>3.</w:t>
            </w:r>
            <w:r>
              <w:tab/>
            </w:r>
            <w:r>
              <w:t>Информацията, посочена в параграф 1 от настоящия член, се предоставя безплатно по ясен, изчерпателен, лесен за ползване и лесно достъпен начин, включително чрез официалния уебсайт на частните оператори или публичните органи, когато има такъв, или чрез други подходящи средства съгласно съответните изисквания за достъпност на услугите, определени в приложение I към Директива (ЕС) 2019/882</w:t>
            </w:r>
            <w:r>
              <w:rPr>
                <w:b/>
                <w:i/>
              </w:rPr>
              <w:t>, с ниво на сложност, не по-високо от В1 (средно ниво) съгласно Общата европейска референтна рамка за езиците на Съвета на Европа</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430</w:t>
      </w:r>
      <w:r>
        <w:rPr>
          <w:rStyle w:val="HideTWBExt"/>
        </w:rPr>
        <w:t>&lt;/NumAm&gt;</w:t>
      </w:r>
    </w:p>
    <w:p>
      <w:pPr>
        <w:pStyle w:val="NormalBold"/>
      </w:pPr>
      <w:r>
        <w:rPr>
          <w:rStyle w:val="HideTWBExt"/>
        </w:rPr>
        <w:t>&lt;RepeatBlock-By&gt;</w:t>
      </w:r>
      <w:r>
        <w:rPr>
          <w:rStyle w:val="HideTWBExt"/>
        </w:rPr>
        <w:t>&lt;Members&gt;</w:t>
      </w:r>
      <w:r>
        <w:t>Елена Лици, Антонио Мария Риналди, Паола Гидони</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Член 15 – параграф 3 а (нов)</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3а.</w:t>
            </w:r>
            <w:r>
              <w:tab/>
            </w:r>
            <w:r>
              <w:rPr>
                <w:b/>
                <w:i/>
              </w:rPr>
              <w:t>На Комисията се предоставя правомощието да приема делегирани актове в съответствие с член 11 за допълване на директивата с цел да се създаде официален уебсайт на ЕС, достъпен на всички езици на ЕС, за събиране на информацията, посочена в параграф 1 от настоящия член, за да бъдат улеснени притежателите на карти при използването им, в съответствие с приложимите изисквания за достъпност на услугите, определени в приложение I към Директива (ЕС) 2019/882.</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Обосновка</w:t>
      </w:r>
      <w:r>
        <w:rPr>
          <w:rStyle w:val="HideTWBExt"/>
        </w:rPr>
        <w:t>&lt;/TitreJust&gt;</w:t>
      </w:r>
    </w:p>
    <w:p>
      <w:pPr>
        <w:pStyle w:val="AmJustText"/>
      </w:pPr>
      <w:r>
        <w:t>Би било полезно да се създаде уебсайт на равнището на ЕС, достъпен на всички езици на ЕС, който да може да бъде преглеждан от държавите членки, за да бъдат улеснени притежателите на картите при използването им.</w:t>
      </w:r>
      <w:r>
        <w:t xml:space="preserve"> </w:t>
      </w:r>
      <w:r>
        <w:t>Потребителите много по-лесно биха се ориентирали в навигацията на един уебсайт, вместо на 27 различни уебсайта с различно оформление, структура и езици. Освен това така ще се спестят разходи.</w:t>
      </w:r>
    </w:p>
    <w:p>
      <w:r>
        <w:rPr>
          <w:rStyle w:val="HideTWBExt"/>
        </w:rPr>
        <w:t>&lt;/Amend&gt;</w:t>
      </w:r>
    </w:p>
    <w:p>
      <w:pPr>
        <w:pStyle w:val="AmNumberTabs"/>
      </w:pPr>
      <w:r>
        <w:rPr>
          <w:rStyle w:val="HideTWBExt"/>
        </w:rPr>
        <w:t>&lt;Amend&gt;</w:t>
      </w:r>
      <w:r>
        <w:t>Изменение</w:t>
      </w:r>
      <w:r>
        <w:tab/>
      </w:r>
      <w:r>
        <w:tab/>
      </w:r>
      <w:r>
        <w:rPr>
          <w:rStyle w:val="HideTWBExt"/>
        </w:rPr>
        <w:t>&lt;NumAm&gt;</w:t>
      </w:r>
      <w:r>
        <w:t>431</w:t>
      </w:r>
      <w:r>
        <w:rPr>
          <w:rStyle w:val="HideTWBExt"/>
        </w:rPr>
        <w:t>&lt;/NumAm&gt;</w:t>
      </w:r>
    </w:p>
    <w:p>
      <w:pPr>
        <w:pStyle w:val="NormalBold"/>
      </w:pPr>
      <w:r>
        <w:rPr>
          <w:rStyle w:val="HideTWBExt"/>
        </w:rPr>
        <w:t>&lt;RepeatBlock-By&gt;</w:t>
      </w:r>
      <w:r>
        <w:rPr>
          <w:rStyle w:val="HideTWBExt"/>
        </w:rPr>
        <w:t>&lt;Members&gt;</w:t>
      </w:r>
      <w:r>
        <w:t>Жуан Албукерке, Даниела Рондинели, Марк Ангел, Милан Бръглез, Агнес Йонгериус, Орор Лалюк, Елизабета Гуалмини, Клара Добрев, Мариане Винд, Вилия Блинкевичуте, Алекс Аджус Салиба, Брандо Бенифеи, Илан Де Басо, Алисия Омс Хинел, Карина Олсон, Естреля Дура Ферандис</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Член 16 – параграф 1</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1.</w:t>
            </w:r>
            <w:r>
              <w:tab/>
            </w:r>
            <w:r>
              <w:t>Не по-късно от дд/мм/гг [</w:t>
            </w:r>
            <w:r>
              <w:rPr>
                <w:b/>
                <w:i/>
              </w:rPr>
              <w:t>три</w:t>
            </w:r>
            <w:r>
              <w:t xml:space="preserve"> години след влизането в сила на настоящата директива] и на всеки </w:t>
            </w:r>
            <w:r>
              <w:rPr>
                <w:b/>
                <w:i/>
              </w:rPr>
              <w:t>пет</w:t>
            </w:r>
            <w:r>
              <w:t xml:space="preserve"> години след това Комисията представя на Европейския парламент, Съвета, Икономическия и социален комитет и Комитета на регионите доклад за прилагането на настоящата директива.</w:t>
            </w:r>
          </w:p>
        </w:tc>
        <w:tc>
          <w:tcPr>
            <w:tcW w:w="4876" w:type="dxa"/>
          </w:tcPr>
          <w:p>
            <w:pPr>
              <w:pStyle w:val="Normal6a"/>
            </w:pPr>
            <w:r>
              <w:t>1.</w:t>
            </w:r>
            <w:r>
              <w:tab/>
            </w:r>
            <w:r>
              <w:t>Не по-късно от дд/мм/гг [</w:t>
            </w:r>
            <w:r>
              <w:rPr>
                <w:b/>
                <w:i/>
              </w:rPr>
              <w:t>две</w:t>
            </w:r>
            <w:r>
              <w:t xml:space="preserve"> години след влизането в сила на настоящата директива] и на всеки </w:t>
            </w:r>
            <w:r>
              <w:rPr>
                <w:b/>
                <w:i/>
              </w:rPr>
              <w:t>три</w:t>
            </w:r>
            <w:r>
              <w:t xml:space="preserve"> години след това Комисията представя на Европейския парламент, Съвета, Икономическия и социален комитет и Комитета на регионите доклад за прилагането на настоящата директива.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432</w:t>
      </w:r>
      <w:r>
        <w:rPr>
          <w:rStyle w:val="HideTWBExt"/>
        </w:rPr>
        <w:t>&lt;/NumAm&gt;</w:t>
      </w:r>
    </w:p>
    <w:p>
      <w:pPr>
        <w:pStyle w:val="NormalBold"/>
      </w:pPr>
      <w:r>
        <w:rPr>
          <w:rStyle w:val="HideTWBExt"/>
        </w:rPr>
        <w:t>&lt;RepeatBlock-By&gt;</w:t>
      </w:r>
      <w:r>
        <w:rPr>
          <w:rStyle w:val="HideTWBExt"/>
        </w:rPr>
        <w:t>&lt;Members&gt;</w:t>
      </w:r>
      <w:r>
        <w:t>Абир Ал‑Сахлани, Луция Дюриш Николсонова, Моника Семедо, Джорди Каняс, Драгош Пъслару, Ирена Йовева, Силви Брюне, Мари-Пиер Ведрен</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Член 16 – параграф 2</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2.</w:t>
            </w:r>
            <w:r>
              <w:tab/>
            </w:r>
            <w:r>
              <w:t xml:space="preserve">В доклада, наред с другото, в контекста на социалните </w:t>
            </w:r>
            <w:r>
              <w:rPr>
                <w:b/>
                <w:i/>
              </w:rPr>
              <w:t>и икономическите</w:t>
            </w:r>
            <w:r>
              <w:t xml:space="preserve"> промени се разглежда използването на европейската карта за хора с увреждания и на европейската карта за паркиране за хора с увреждания с цел да се оцени необходимостта от преглед на настоящата директива.</w:t>
            </w:r>
          </w:p>
        </w:tc>
        <w:tc>
          <w:tcPr>
            <w:tcW w:w="4876" w:type="dxa"/>
          </w:tcPr>
          <w:p>
            <w:pPr>
              <w:pStyle w:val="Normal6a"/>
            </w:pPr>
            <w:r>
              <w:t>2.</w:t>
            </w:r>
            <w:r>
              <w:tab/>
            </w:r>
            <w:r>
              <w:t>В доклада, наред с другото, в контекста на социалните</w:t>
            </w:r>
            <w:r>
              <w:rPr>
                <w:b/>
                <w:i/>
              </w:rPr>
              <w:t>, икономическите и други съответни</w:t>
            </w:r>
            <w:r>
              <w:t xml:space="preserve"> промени се разглежда използването на европейската карта за хора с увреждания и на европейската карта за паркиране за хора с увреждания с цел да се оцени необходимостта от преглед на настоящата директива. </w:t>
            </w:r>
            <w:r>
              <w:rPr>
                <w:b/>
                <w:i/>
              </w:rPr>
              <w:t>Докладът включва анализ на равенството между половете за това как разпоредбите на настоящата директива са повлияли на свободното движение на жените и момичетата с увреждания.</w:t>
            </w:r>
            <w:r>
              <w:t xml:space="preserve"> </w:t>
            </w:r>
            <w:r>
              <w:rPr>
                <w:b/>
                <w:i/>
              </w:rPr>
              <w:t>В него се оценява също ефективността на насърчителните мерки, предоставяни от държавите членки на доставчиците на услуги.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433</w:t>
      </w:r>
      <w:r>
        <w:rPr>
          <w:rStyle w:val="HideTWBExt"/>
        </w:rPr>
        <w:t>&lt;/NumAm&gt;</w:t>
      </w:r>
    </w:p>
    <w:p>
      <w:pPr>
        <w:pStyle w:val="NormalBold"/>
      </w:pPr>
      <w:r>
        <w:rPr>
          <w:rStyle w:val="HideTWBExt"/>
        </w:rPr>
        <w:t>&lt;RepeatBlock-By&gt;</w:t>
      </w:r>
      <w:r>
        <w:rPr>
          <w:rStyle w:val="HideTWBExt"/>
        </w:rPr>
        <w:t>&lt;Members&gt;</w:t>
      </w:r>
      <w:r>
        <w:t>Жуан Албукерке, Даниела Рондинели, Марк Ангел, Милан Бръглез, Агнес Йонгериус, Орор Лалюк, Елизабета Гуалмини, Клара Добрев, Мариане Винд, Вилия Блинкевичуте, Алекс Аджус Салиба, Брандо Бенифеи, Илан Де Басо, Алисия Омс Хинел, Карина Олсон, Естреля Дура Ферандис</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Член 16 – параграф 2</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2.</w:t>
            </w:r>
            <w:r>
              <w:tab/>
            </w:r>
            <w:r>
              <w:t xml:space="preserve">В доклада, наред с другото, в контекста на социалните </w:t>
            </w:r>
            <w:r>
              <w:rPr>
                <w:b/>
                <w:i/>
              </w:rPr>
              <w:t>и икономическите</w:t>
            </w:r>
            <w:r>
              <w:t xml:space="preserve"> промени се разглежда използването на европейската карта за хора с увреждания и на европейската карта за паркиране за хора с увреждания с цел да се оцени необходимостта от преглед на настоящата директива.</w:t>
            </w:r>
          </w:p>
        </w:tc>
        <w:tc>
          <w:tcPr>
            <w:tcW w:w="4876" w:type="dxa"/>
          </w:tcPr>
          <w:p>
            <w:pPr>
              <w:pStyle w:val="Normal6a"/>
            </w:pPr>
            <w:r>
              <w:t>2.</w:t>
            </w:r>
            <w:r>
              <w:tab/>
            </w:r>
            <w:r>
              <w:t>В доклада, наред с другото, в контекста на социалните</w:t>
            </w:r>
            <w:r>
              <w:rPr>
                <w:b/>
                <w:i/>
              </w:rPr>
              <w:t>, икономическите и други съответни промени, включително технологичните</w:t>
            </w:r>
            <w:r>
              <w:t xml:space="preserve"> промени</w:t>
            </w:r>
            <w:r>
              <w:rPr>
                <w:b/>
                <w:i/>
              </w:rPr>
              <w:t>,</w:t>
            </w:r>
            <w:r>
              <w:t xml:space="preserve"> се разглежда използването на европейската карта за хора с увреждания и на европейската карта за паркиране за хора с увреждания с цел да се оцени необходимостта от преглед на настоящата директива.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434</w:t>
      </w:r>
      <w:r>
        <w:rPr>
          <w:rStyle w:val="HideTWBExt"/>
        </w:rPr>
        <w:t>&lt;/NumAm&gt;</w:t>
      </w:r>
    </w:p>
    <w:p>
      <w:pPr>
        <w:pStyle w:val="NormalBold"/>
      </w:pPr>
      <w:r>
        <w:rPr>
          <w:rStyle w:val="HideTWBExt"/>
        </w:rPr>
        <w:t>&lt;RepeatBlock-By&gt;</w:t>
      </w:r>
      <w:r>
        <w:rPr>
          <w:rStyle w:val="HideTWBExt"/>
        </w:rPr>
        <w:t>&lt;Members&gt;</w:t>
      </w:r>
      <w:r>
        <w:t>Тоан Мандерс</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Член 16 – параграф 2</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2.</w:t>
            </w:r>
            <w:r>
              <w:tab/>
            </w:r>
            <w:r>
              <w:t>В доклада, наред с другото, в контекста на социалните и икономическите промени се разглежда използването на европейската карта за хора с увреждания и на европейската карта за паркиране за хора с увреждания с цел да се оцени необходимостта от преглед на настоящата директива.</w:t>
            </w:r>
          </w:p>
        </w:tc>
        <w:tc>
          <w:tcPr>
            <w:tcW w:w="4876" w:type="dxa"/>
          </w:tcPr>
          <w:p>
            <w:pPr>
              <w:pStyle w:val="Normal6a"/>
            </w:pPr>
            <w:r>
              <w:t>2.</w:t>
            </w:r>
            <w:r>
              <w:tab/>
            </w:r>
            <w:r>
              <w:t xml:space="preserve">В доклада, наред с другото, в контекста на социалните и икономическите промени се разглежда използването на европейската карта за хора с увреждания и </w:t>
            </w:r>
            <w:r>
              <w:rPr>
                <w:b/>
                <w:i/>
              </w:rPr>
              <w:t>хора в напреднала възраст и</w:t>
            </w:r>
            <w:r>
              <w:t xml:space="preserve"> на европейската карта за паркиране за хора с увреждания </w:t>
            </w:r>
            <w:r>
              <w:rPr>
                <w:b/>
                <w:i/>
              </w:rPr>
              <w:t>и възрастни хора</w:t>
            </w:r>
            <w:r>
              <w:t xml:space="preserve"> с цел да се оцени необходимостта от преглед на настоящата директива.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435</w:t>
      </w:r>
      <w:r>
        <w:rPr>
          <w:rStyle w:val="HideTWBExt"/>
        </w:rPr>
        <w:t>&lt;/NumAm&gt;</w:t>
      </w:r>
    </w:p>
    <w:p>
      <w:pPr>
        <w:pStyle w:val="NormalBold"/>
      </w:pPr>
      <w:r>
        <w:rPr>
          <w:rStyle w:val="HideTWBExt"/>
        </w:rPr>
        <w:t>&lt;RepeatBlock-By&gt;</w:t>
      </w:r>
      <w:r>
        <w:rPr>
          <w:rStyle w:val="HideTWBExt"/>
        </w:rPr>
        <w:t>&lt;Members&gt;</w:t>
      </w:r>
      <w:r>
        <w:t>Тоан Мандерс</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Член 16 – параграф 4</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4.</w:t>
            </w:r>
            <w:r>
              <w:tab/>
            </w:r>
            <w:r>
              <w:t>В доклада на Комисията се отчитат гледните точки на хората с увреждания, на заинтересованите икономически субекти и на съответните неправителствени организации, включително организациите, представляващи хората с увреждания.</w:t>
            </w:r>
          </w:p>
        </w:tc>
        <w:tc>
          <w:tcPr>
            <w:tcW w:w="4876" w:type="dxa"/>
          </w:tcPr>
          <w:p>
            <w:pPr>
              <w:pStyle w:val="Normal6a"/>
            </w:pPr>
            <w:r>
              <w:t>4.</w:t>
            </w:r>
            <w:r>
              <w:tab/>
            </w:r>
            <w:r>
              <w:t xml:space="preserve">В доклада на Комисията се отчитат гледните точки на хората с увреждания </w:t>
            </w:r>
            <w:r>
              <w:rPr>
                <w:b/>
                <w:i/>
              </w:rPr>
              <w:t>и възрастните хора</w:t>
            </w:r>
            <w:r>
              <w:t xml:space="preserve">, на заинтересованите икономически субекти и на съответните неправителствени организации, включително организациите, представляващи хората с увреждания </w:t>
            </w:r>
            <w:r>
              <w:rPr>
                <w:b/>
                <w:i/>
              </w:rPr>
              <w:t>и възрастните хора</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436</w:t>
      </w:r>
      <w:r>
        <w:rPr>
          <w:rStyle w:val="HideTWBExt"/>
        </w:rPr>
        <w:t>&lt;/NumAm&gt;</w:t>
      </w:r>
    </w:p>
    <w:p>
      <w:pPr>
        <w:pStyle w:val="NormalBold"/>
      </w:pPr>
      <w:r>
        <w:rPr>
          <w:rStyle w:val="HideTWBExt"/>
        </w:rPr>
        <w:t>&lt;RepeatBlock-By&gt;</w:t>
      </w:r>
      <w:r>
        <w:rPr>
          <w:rStyle w:val="HideTWBExt"/>
        </w:rPr>
        <w:t>&lt;Members&gt;</w:t>
      </w:r>
      <w:r>
        <w:t>Катрин Лангензипен</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Член 16 – параграф 4 а (нов)</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4а.</w:t>
            </w:r>
            <w:r>
              <w:tab/>
            </w:r>
            <w:r>
              <w:rPr>
                <w:b/>
                <w:i/>
              </w:rPr>
              <w:t>Докладът включва оценка на въздействието от използването на картата като инструмент за подобряване на преносимостта на обезщетенията в областта на социалната сигурност съгласно регламенти (ЕО) № 883/2004 и (ЕО) № 987/2009 и социалното подпомагане, обхванато от член 24, параграф 2 от Директива 2004/38/ЕО.</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437</w:t>
      </w:r>
      <w:r>
        <w:rPr>
          <w:rStyle w:val="HideTWBExt"/>
        </w:rPr>
        <w:t>&lt;/NumAm&gt;</w:t>
      </w:r>
    </w:p>
    <w:p>
      <w:pPr>
        <w:pStyle w:val="NormalBold"/>
      </w:pPr>
      <w:r>
        <w:rPr>
          <w:rStyle w:val="HideTWBExt"/>
        </w:rPr>
        <w:t>&lt;RepeatBlock-By&gt;</w:t>
      </w:r>
      <w:r>
        <w:rPr>
          <w:rStyle w:val="HideTWBExt"/>
        </w:rPr>
        <w:t>&lt;Members&gt;</w:t>
      </w:r>
      <w:r>
        <w:t>Елжбета Рафалска, Беата Шидло, Маргарита де ла Писа Карион, Анна Залевска</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Член 18 – параграф 1</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1.</w:t>
            </w:r>
            <w:r>
              <w:tab/>
            </w:r>
            <w:r>
              <w:t xml:space="preserve">Държавите членки приемат и публикуват не по-късно от дд/мм/гг [в срок от </w:t>
            </w:r>
            <w:r>
              <w:rPr>
                <w:b/>
                <w:i/>
              </w:rPr>
              <w:t>18</w:t>
            </w:r>
            <w:r>
              <w:t xml:space="preserve"> месеца след датата на влизане в сила на настоящата директива] законовите, подзаконовите и административните разпоредби, необходими за спазване на настоящата директива. Те незабавно съобщават на Комисията текста на тези разпоредби.</w:t>
            </w:r>
          </w:p>
        </w:tc>
        <w:tc>
          <w:tcPr>
            <w:tcW w:w="4876" w:type="dxa"/>
          </w:tcPr>
          <w:p>
            <w:pPr>
              <w:pStyle w:val="Normal6a"/>
            </w:pPr>
            <w:r>
              <w:t>1.</w:t>
            </w:r>
            <w:r>
              <w:tab/>
            </w:r>
            <w:r>
              <w:t xml:space="preserve">Държавите членки приемат и публикуват не по-късно от дд/мм/гг [в срок от </w:t>
            </w:r>
            <w:r>
              <w:rPr>
                <w:b/>
                <w:i/>
              </w:rPr>
              <w:t>24</w:t>
            </w:r>
            <w:r>
              <w:t> месеца след датата на влизане в сила на настоящата директива] законовите, подзаконовите и административните разпоредби, необходими за спазване на настоящата директива. Те незабавно съобщават на Комисията текста на тези разпоредби.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438</w:t>
      </w:r>
      <w:r>
        <w:rPr>
          <w:rStyle w:val="HideTWBExt"/>
        </w:rPr>
        <w:t>&lt;/NumAm&gt;</w:t>
      </w:r>
    </w:p>
    <w:p>
      <w:pPr>
        <w:pStyle w:val="NormalBold"/>
      </w:pPr>
      <w:r>
        <w:rPr>
          <w:rStyle w:val="HideTWBExt"/>
        </w:rPr>
        <w:t>&lt;RepeatBlock-By&gt;</w:t>
      </w:r>
      <w:r>
        <w:rPr>
          <w:rStyle w:val="HideTWBExt"/>
        </w:rPr>
        <w:t>&lt;Members&gt;</w:t>
      </w:r>
      <w:r>
        <w:t>Тоан Мандерс</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Член 18 – параграф 1</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1.</w:t>
            </w:r>
            <w:r>
              <w:tab/>
            </w:r>
            <w:r>
              <w:t xml:space="preserve">Държавите членки приемат и публикуват не по-късно от дд/мм/гг [в срок от </w:t>
            </w:r>
            <w:r>
              <w:rPr>
                <w:b/>
                <w:i/>
              </w:rPr>
              <w:t>18</w:t>
            </w:r>
            <w:r>
              <w:t xml:space="preserve"> месеца след датата на влизане в сила на настоящата директива] законовите, подзаконовите и административните разпоредби, необходими за спазване на настоящата директива. Те незабавно съобщават на Комисията текста на тези разпоредби.</w:t>
            </w:r>
          </w:p>
        </w:tc>
        <w:tc>
          <w:tcPr>
            <w:tcW w:w="4876" w:type="dxa"/>
          </w:tcPr>
          <w:p>
            <w:pPr>
              <w:pStyle w:val="Normal6a"/>
            </w:pPr>
            <w:r>
              <w:t>1.</w:t>
            </w:r>
            <w:r>
              <w:tab/>
            </w:r>
            <w:r>
              <w:t xml:space="preserve">Държавите членки приемат и публикуват не по-късно от дд/мм/гг [в срок от </w:t>
            </w:r>
            <w:r>
              <w:rPr>
                <w:b/>
                <w:i/>
              </w:rPr>
              <w:t>36</w:t>
            </w:r>
            <w:r>
              <w:t xml:space="preserve"> месеца след датата на влизане в сила на настоящата директива] законовите, подзаконовите и административните разпоредби, необходими за спазване на настоящата директива. Те незабавно съобщават на Комисията текста на тези разпоредби.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439</w:t>
      </w:r>
      <w:r>
        <w:rPr>
          <w:rStyle w:val="HideTWBExt"/>
        </w:rPr>
        <w:t>&lt;/NumAm&gt;</w:t>
      </w:r>
    </w:p>
    <w:p>
      <w:pPr>
        <w:pStyle w:val="NormalBold"/>
      </w:pPr>
      <w:r>
        <w:rPr>
          <w:rStyle w:val="HideTWBExt"/>
        </w:rPr>
        <w:t>&lt;RepeatBlock-By&gt;</w:t>
      </w:r>
      <w:r>
        <w:rPr>
          <w:rStyle w:val="HideTWBExt"/>
        </w:rPr>
        <w:t>&lt;Members&gt;</w:t>
      </w:r>
      <w:r>
        <w:t>Жузе Гушман</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Член 18 – параграф 1</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1.</w:t>
            </w:r>
            <w:r>
              <w:tab/>
            </w:r>
            <w:r>
              <w:t xml:space="preserve">Държавите членки приемат и публикуват не по-късно от дд/мм/гг [в срок от </w:t>
            </w:r>
            <w:r>
              <w:rPr>
                <w:b/>
                <w:i/>
              </w:rPr>
              <w:t>18</w:t>
            </w:r>
            <w:r>
              <w:t xml:space="preserve"> месеца след датата на влизане в сила на настоящата директива] законовите, подзаконовите и административните разпоредби, необходими за спазване на настоящата директива. Те незабавно съобщават на Комисията текста на тези разпоредби.</w:t>
            </w:r>
          </w:p>
        </w:tc>
        <w:tc>
          <w:tcPr>
            <w:tcW w:w="4876" w:type="dxa"/>
          </w:tcPr>
          <w:p>
            <w:pPr>
              <w:pStyle w:val="Normal6a"/>
            </w:pPr>
            <w:r>
              <w:t>1.</w:t>
            </w:r>
            <w:r>
              <w:tab/>
            </w:r>
            <w:r>
              <w:t xml:space="preserve">Държавите членки приемат и публикуват не по-късно от дд/мм/гг [в срок от </w:t>
            </w:r>
            <w:r>
              <w:rPr>
                <w:b/>
                <w:i/>
              </w:rPr>
              <w:t>12</w:t>
            </w:r>
            <w:r>
              <w:t> месеца след датата на влизане в сила на настоящата директива] законовите, подзаконовите и административните разпоредби, необходими за спазване на настоящата директива. Те незабавно съобщават на Комисията текста на тези разпоредби.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440</w:t>
      </w:r>
      <w:r>
        <w:rPr>
          <w:rStyle w:val="HideTWBExt"/>
        </w:rPr>
        <w:t>&lt;/NumAm&gt;</w:t>
      </w:r>
    </w:p>
    <w:p>
      <w:pPr>
        <w:pStyle w:val="NormalBold"/>
      </w:pPr>
      <w:r>
        <w:rPr>
          <w:rStyle w:val="HideTWBExt"/>
        </w:rPr>
        <w:t>&lt;RepeatBlock-By&gt;</w:t>
      </w:r>
      <w:r>
        <w:rPr>
          <w:rStyle w:val="HideTWBExt"/>
        </w:rPr>
        <w:t>&lt;Members&gt;</w:t>
      </w:r>
      <w:r>
        <w:t>Катрин Лангензипен</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Член 18 – параграф 1</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1.</w:t>
            </w:r>
            <w:r>
              <w:tab/>
            </w:r>
            <w:r>
              <w:t xml:space="preserve">Държавите членки приемат и публикуват не по-късно от дд/мм/гг [в срок от </w:t>
            </w:r>
            <w:r>
              <w:rPr>
                <w:b/>
                <w:i/>
              </w:rPr>
              <w:t>18</w:t>
            </w:r>
            <w:r>
              <w:t xml:space="preserve"> месеца след датата на влизане в сила на настоящата директива] законовите, подзаконовите и административните разпоредби, необходими за спазване на настоящата директива. Те незабавно съобщават на Комисията текста на тези разпоредби.</w:t>
            </w:r>
          </w:p>
        </w:tc>
        <w:tc>
          <w:tcPr>
            <w:tcW w:w="4876" w:type="dxa"/>
          </w:tcPr>
          <w:p>
            <w:pPr>
              <w:pStyle w:val="Normal6a"/>
            </w:pPr>
            <w:r>
              <w:t>1.</w:t>
            </w:r>
            <w:r>
              <w:tab/>
            </w:r>
            <w:r>
              <w:t xml:space="preserve">Държавите членки приемат и публикуват не по-късно от дд/мм/гг [в срок от </w:t>
            </w:r>
            <w:r>
              <w:rPr>
                <w:b/>
                <w:i/>
              </w:rPr>
              <w:t>12</w:t>
            </w:r>
            <w:r>
              <w:t> месеца след датата на влизане в сила на настоящата директива] законовите, подзаконовите и административните разпоредби, необходими за спазване на настоящата директива. Те незабавно съобщават на Комисията текста на тези разпоредби.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441</w:t>
      </w:r>
      <w:r>
        <w:rPr>
          <w:rStyle w:val="HideTWBExt"/>
        </w:rPr>
        <w:t>&lt;/NumAm&gt;</w:t>
      </w:r>
    </w:p>
    <w:p>
      <w:pPr>
        <w:pStyle w:val="NormalBold"/>
      </w:pPr>
      <w:r>
        <w:rPr>
          <w:rStyle w:val="HideTWBExt"/>
        </w:rPr>
        <w:t>&lt;RepeatBlock-By&gt;</w:t>
      </w:r>
      <w:r>
        <w:rPr>
          <w:rStyle w:val="HideTWBExt"/>
        </w:rPr>
        <w:t>&lt;Members&gt;</w:t>
      </w:r>
      <w:r>
        <w:t>Жуан Албукерке, Даниела Рондинели, Марк Ангел, Милан Бръглез, Агнес Йонгериус, Орор Лалюк, Елизабета Гуалмини, Клара Добрев, Мариане Винд, Вилия Блинкевичуте, Алекс Аджус Салиба, Брандо Бенифеи, Илан Де Басо, Алисия Омс Хинел, Карина Олсон, Естреля Дура Ферандис</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Член 18 – параграф 1</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1.</w:t>
            </w:r>
            <w:r>
              <w:tab/>
            </w:r>
            <w:r>
              <w:t xml:space="preserve">Държавите членки приемат и публикуват не по-късно от дд/мм/гг [в срок от </w:t>
            </w:r>
            <w:r>
              <w:rPr>
                <w:b/>
                <w:i/>
              </w:rPr>
              <w:t>18</w:t>
            </w:r>
            <w:r>
              <w:t xml:space="preserve"> месеца след датата на влизане в сила на настоящата директива] законовите, подзаконовите и административните разпоредби, необходими за спазване на настоящата директива. Те незабавно съобщават на Комисията текста на тези разпоредби.</w:t>
            </w:r>
          </w:p>
        </w:tc>
        <w:tc>
          <w:tcPr>
            <w:tcW w:w="4876" w:type="dxa"/>
          </w:tcPr>
          <w:p>
            <w:pPr>
              <w:pStyle w:val="Normal6a"/>
            </w:pPr>
            <w:r>
              <w:t>1.</w:t>
            </w:r>
            <w:r>
              <w:tab/>
            </w:r>
            <w:r>
              <w:t xml:space="preserve">Държавите членки приемат и публикуват не по-късно от дд/мм/гг [в срок от </w:t>
            </w:r>
            <w:r>
              <w:rPr>
                <w:b/>
                <w:i/>
              </w:rPr>
              <w:t>12</w:t>
            </w:r>
            <w:r>
              <w:t> месеца след датата на влизане в сила на настоящата директива] законовите, подзаконовите и административните разпоредби, необходими за спазване на настоящата директива. Те незабавно съобщават на Комисията текста на тези разпоредби.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442</w:t>
      </w:r>
      <w:r>
        <w:rPr>
          <w:rStyle w:val="HideTWBExt"/>
        </w:rPr>
        <w:t>&lt;/NumAm&gt;</w:t>
      </w:r>
    </w:p>
    <w:p>
      <w:pPr>
        <w:pStyle w:val="NormalBold"/>
      </w:pPr>
      <w:r>
        <w:rPr>
          <w:rStyle w:val="HideTWBExt"/>
        </w:rPr>
        <w:t>&lt;RepeatBlock-By&gt;</w:t>
      </w:r>
      <w:r>
        <w:rPr>
          <w:rStyle w:val="HideTWBExt"/>
        </w:rPr>
        <w:t>&lt;Members&gt;</w:t>
      </w:r>
      <w:r>
        <w:t>Катрин Лангензипен</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Член 18 – параграф 2</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2.</w:t>
            </w:r>
            <w:r>
              <w:tab/>
            </w:r>
            <w:r>
              <w:t>Те прилагат тези разпоредби от дд/мм/гг [</w:t>
            </w:r>
            <w:r>
              <w:rPr>
                <w:b/>
                <w:i/>
              </w:rPr>
              <w:t>30</w:t>
            </w:r>
            <w:r>
              <w:t xml:space="preserve"> месеца от влизането в сила на настоящата директива].</w:t>
            </w:r>
          </w:p>
        </w:tc>
        <w:tc>
          <w:tcPr>
            <w:tcW w:w="4876" w:type="dxa"/>
          </w:tcPr>
          <w:p>
            <w:pPr>
              <w:pStyle w:val="Normal6a"/>
            </w:pPr>
            <w:r>
              <w:t>2.</w:t>
            </w:r>
            <w:r>
              <w:tab/>
            </w:r>
            <w:r>
              <w:t>Те прилагат тези разпоредби от дд/мм/гг [</w:t>
            </w:r>
            <w:r>
              <w:rPr>
                <w:b/>
                <w:i/>
              </w:rPr>
              <w:t>24</w:t>
            </w:r>
            <w:r>
              <w:t xml:space="preserve"> месеца от влизането в сила на настоящата директива].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443</w:t>
      </w:r>
      <w:r>
        <w:rPr>
          <w:rStyle w:val="HideTWBExt"/>
        </w:rPr>
        <w:t>&lt;/NumAm&gt;</w:t>
      </w:r>
    </w:p>
    <w:p>
      <w:pPr>
        <w:pStyle w:val="NormalBold"/>
      </w:pPr>
      <w:r>
        <w:rPr>
          <w:rStyle w:val="HideTWBExt"/>
        </w:rPr>
        <w:t>&lt;RepeatBlock-By&gt;</w:t>
      </w:r>
      <w:r>
        <w:rPr>
          <w:rStyle w:val="HideTWBExt"/>
        </w:rPr>
        <w:t>&lt;Members&gt;</w:t>
      </w:r>
      <w:r>
        <w:t>Елжбета Рафалска, Беата Шидло, Маргарита де ла Писа Карион, Анна Залевска</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Член 18 – параграф 2</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2.</w:t>
            </w:r>
            <w:r>
              <w:tab/>
            </w:r>
            <w:r>
              <w:t>Те прилагат тези разпоредби от дд/мм/гг [</w:t>
            </w:r>
            <w:r>
              <w:rPr>
                <w:b/>
                <w:i/>
              </w:rPr>
              <w:t>30</w:t>
            </w:r>
            <w:r>
              <w:t xml:space="preserve"> месеца от влизането в сила на настоящата директива].</w:t>
            </w:r>
          </w:p>
        </w:tc>
        <w:tc>
          <w:tcPr>
            <w:tcW w:w="4876" w:type="dxa"/>
          </w:tcPr>
          <w:p>
            <w:pPr>
              <w:pStyle w:val="Normal6a"/>
            </w:pPr>
            <w:r>
              <w:t>2.</w:t>
            </w:r>
            <w:r>
              <w:tab/>
            </w:r>
            <w:r>
              <w:t>Те прилагат тези разпоредби от дд/мм/гг [</w:t>
            </w:r>
            <w:r>
              <w:rPr>
                <w:b/>
                <w:i/>
              </w:rPr>
              <w:t>36</w:t>
            </w:r>
            <w:r>
              <w:t xml:space="preserve"> месеца от влизането в сила на настоящата директива].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444</w:t>
      </w:r>
      <w:r>
        <w:rPr>
          <w:rStyle w:val="HideTWBExt"/>
        </w:rPr>
        <w:t>&lt;/NumAm&gt;</w:t>
      </w:r>
    </w:p>
    <w:p>
      <w:pPr>
        <w:pStyle w:val="NormalBold"/>
      </w:pPr>
      <w:r>
        <w:rPr>
          <w:rStyle w:val="HideTWBExt"/>
        </w:rPr>
        <w:t>&lt;RepeatBlock-By&gt;</w:t>
      </w:r>
      <w:r>
        <w:rPr>
          <w:rStyle w:val="HideTWBExt"/>
        </w:rPr>
        <w:t>&lt;Members&gt;</w:t>
      </w:r>
      <w:r>
        <w:t>Тоан Мандерс</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Член 18 – параграф 2</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2.</w:t>
            </w:r>
            <w:r>
              <w:tab/>
            </w:r>
            <w:r>
              <w:t>Те прилагат тези разпоредби от дд/мм/гг [</w:t>
            </w:r>
            <w:r>
              <w:rPr>
                <w:b/>
                <w:i/>
              </w:rPr>
              <w:t>30</w:t>
            </w:r>
            <w:r>
              <w:t xml:space="preserve"> месеца от влизането в сила на настоящата директива].</w:t>
            </w:r>
          </w:p>
        </w:tc>
        <w:tc>
          <w:tcPr>
            <w:tcW w:w="4876" w:type="dxa"/>
          </w:tcPr>
          <w:p>
            <w:pPr>
              <w:pStyle w:val="Normal6a"/>
            </w:pPr>
            <w:r>
              <w:t>2.</w:t>
            </w:r>
            <w:r>
              <w:tab/>
            </w:r>
            <w:r>
              <w:t>Те прилагат тези разпоредби от дд/мм/гг [</w:t>
            </w:r>
            <w:r>
              <w:rPr>
                <w:b/>
                <w:i/>
              </w:rPr>
              <w:t>48</w:t>
            </w:r>
            <w:r>
              <w:t xml:space="preserve"> месеца от влизането в сила на настоящата директива].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445</w:t>
      </w:r>
      <w:r>
        <w:rPr>
          <w:rStyle w:val="HideTWBExt"/>
        </w:rPr>
        <w:t>&lt;/NumAm&gt;</w:t>
      </w:r>
    </w:p>
    <w:p>
      <w:pPr>
        <w:pStyle w:val="NormalBold"/>
      </w:pPr>
      <w:r>
        <w:rPr>
          <w:rStyle w:val="HideTWBExt"/>
        </w:rPr>
        <w:t>&lt;RepeatBlock-By&gt;</w:t>
      </w:r>
      <w:r>
        <w:rPr>
          <w:rStyle w:val="HideTWBExt"/>
        </w:rPr>
        <w:t>&lt;Members&gt;</w:t>
      </w:r>
      <w:r>
        <w:t>Жуан Албукерке, Даниела Рондинели, Марк Ангел, Милан Бръглез, Агнес Йонгериус, Орор Лалюк, Елизабета Гуалмини, Клара Добрев, Мариане Винд, Вилия Блинкевичуте, Алекс Аджус Салиба, Брандо Бенифеи, Илан Де Басо, Алисия Омс Хинел, Карина Олсон, Естреля Дура Ферандис</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Член 18 – параграф 2</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2.</w:t>
            </w:r>
            <w:r>
              <w:tab/>
            </w:r>
            <w:r>
              <w:t>Те прилагат тези разпоредби от дд/мм/гг [</w:t>
            </w:r>
            <w:r>
              <w:rPr>
                <w:b/>
                <w:i/>
              </w:rPr>
              <w:t>30</w:t>
            </w:r>
            <w:r>
              <w:t xml:space="preserve"> месеца от влизането в сила на настоящата директива].</w:t>
            </w:r>
          </w:p>
        </w:tc>
        <w:tc>
          <w:tcPr>
            <w:tcW w:w="4876" w:type="dxa"/>
          </w:tcPr>
          <w:p>
            <w:pPr>
              <w:pStyle w:val="Normal6a"/>
            </w:pPr>
            <w:r>
              <w:t>2.</w:t>
            </w:r>
            <w:r>
              <w:tab/>
            </w:r>
            <w:r>
              <w:t>Те прилагат тези разпоредби от дд/мм/гг [</w:t>
            </w:r>
            <w:r>
              <w:rPr>
                <w:b/>
                <w:i/>
              </w:rPr>
              <w:t>24</w:t>
            </w:r>
            <w:r>
              <w:t xml:space="preserve"> месеца от влизането в сила на настоящата директива].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446</w:t>
      </w:r>
      <w:r>
        <w:rPr>
          <w:rStyle w:val="HideTWBExt"/>
        </w:rPr>
        <w:t>&lt;/NumAm&gt;</w:t>
      </w:r>
    </w:p>
    <w:p>
      <w:pPr>
        <w:pStyle w:val="NormalBold"/>
      </w:pPr>
      <w:r>
        <w:rPr>
          <w:rStyle w:val="HideTWBExt"/>
        </w:rPr>
        <w:t>&lt;RepeatBlock-By&gt;</w:t>
      </w:r>
      <w:r>
        <w:rPr>
          <w:rStyle w:val="HideTWBExt"/>
        </w:rPr>
        <w:t>&lt;Members&gt;</w:t>
      </w:r>
      <w:r>
        <w:t>Роса Естарас Ферагут</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Член 18 – параграф 2</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2.</w:t>
            </w:r>
            <w:r>
              <w:tab/>
            </w:r>
            <w:r>
              <w:t>Те прилагат тези разпоредби от дд/мм/гг [</w:t>
            </w:r>
            <w:r>
              <w:rPr>
                <w:b/>
                <w:i/>
              </w:rPr>
              <w:t>30</w:t>
            </w:r>
            <w:r>
              <w:t xml:space="preserve"> месеца от влизането в сила на настоящата директива].</w:t>
            </w:r>
          </w:p>
        </w:tc>
        <w:tc>
          <w:tcPr>
            <w:tcW w:w="4876" w:type="dxa"/>
          </w:tcPr>
          <w:p>
            <w:pPr>
              <w:pStyle w:val="Normal6a"/>
            </w:pPr>
            <w:r>
              <w:t>2.</w:t>
            </w:r>
            <w:r>
              <w:tab/>
            </w:r>
            <w:r>
              <w:t>Те прилагат тези разпоредби от дд/мм/гг [</w:t>
            </w:r>
            <w:r>
              <w:rPr>
                <w:b/>
                <w:i/>
              </w:rPr>
              <w:t>20</w:t>
            </w:r>
            <w:r>
              <w:t xml:space="preserve"> месеца от влизането в сила на настоящата директива].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447</w:t>
      </w:r>
      <w:r>
        <w:rPr>
          <w:rStyle w:val="HideTWBExt"/>
        </w:rPr>
        <w:t>&lt;/NumAm&gt;</w:t>
      </w:r>
    </w:p>
    <w:p>
      <w:pPr>
        <w:pStyle w:val="NormalBold"/>
      </w:pPr>
      <w:r>
        <w:rPr>
          <w:rStyle w:val="HideTWBExt"/>
        </w:rPr>
        <w:t>&lt;RepeatBlock-By&gt;</w:t>
      </w:r>
      <w:r>
        <w:rPr>
          <w:rStyle w:val="HideTWBExt"/>
        </w:rPr>
        <w:t>&lt;Members&gt;</w:t>
      </w:r>
      <w:r>
        <w:t>Тоан Мандерс</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Приложение I – подзаглавие 1</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ФОРМАТ НА ЕВРОПЕЙСКАТА КАРТА ЗА ХОРА С УВРЕЖДАНИЯ</w:t>
            </w:r>
          </w:p>
        </w:tc>
        <w:tc>
          <w:tcPr>
            <w:tcW w:w="4876" w:type="dxa"/>
          </w:tcPr>
          <w:p>
            <w:pPr>
              <w:pStyle w:val="Normal6a"/>
            </w:pPr>
            <w:r>
              <w:t xml:space="preserve">ФОРМАТ НА ЕВРОПЕЙСКАТА КАРТА ЗА ХОРА С УВРЕЖДАНИЯ </w:t>
            </w:r>
            <w:r>
              <w:rPr>
                <w:b/>
                <w:i/>
              </w:rPr>
              <w:t>И ХОРА В НАПРЕДНАЛА ВЪЗРАСТ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448</w:t>
      </w:r>
      <w:r>
        <w:rPr>
          <w:rStyle w:val="HideTWBExt"/>
        </w:rPr>
        <w:t>&lt;/NumAm&gt;</w:t>
      </w:r>
    </w:p>
    <w:p>
      <w:pPr>
        <w:pStyle w:val="NormalBold"/>
      </w:pPr>
      <w:r>
        <w:rPr>
          <w:rStyle w:val="HideTWBExt"/>
        </w:rPr>
        <w:t>&lt;RepeatBlock-By&gt;</w:t>
      </w:r>
      <w:r>
        <w:rPr>
          <w:rStyle w:val="HideTWBExt"/>
        </w:rPr>
        <w:t>&lt;Members&gt;</w:t>
      </w:r>
      <w:r>
        <w:t>Адам Коша</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Приложение I – параграф 1</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ЛИЦЕВА СТРАНА: European Disability Card (европейска карта за хора с увреждания) на английски език</w:t>
            </w:r>
          </w:p>
        </w:tc>
        <w:tc>
          <w:tcPr>
            <w:tcW w:w="4876" w:type="dxa"/>
          </w:tcPr>
          <w:p>
            <w:pPr>
              <w:pStyle w:val="Normal6a"/>
            </w:pPr>
            <w:r>
              <w:t>ЛИЦЕВА СТРАНА: European Disability Card (европейска карта за хора с увреждания) на английски език</w:t>
            </w:r>
            <w:r>
              <w:rPr>
                <w:b/>
                <w:i/>
              </w:rPr>
              <w:t>, на езика (езиците) на държавата членка, издаваща картата, и чрез брайлово писмо</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449</w:t>
      </w:r>
      <w:r>
        <w:rPr>
          <w:rStyle w:val="HideTWBExt"/>
        </w:rPr>
        <w:t>&lt;/NumAm&gt;</w:t>
      </w:r>
    </w:p>
    <w:p>
      <w:pPr>
        <w:pStyle w:val="NormalBold"/>
      </w:pPr>
      <w:r>
        <w:rPr>
          <w:rStyle w:val="HideTWBExt"/>
        </w:rPr>
        <w:t>&lt;RepeatBlock-By&gt;</w:t>
      </w:r>
      <w:r>
        <w:rPr>
          <w:rStyle w:val="HideTWBExt"/>
        </w:rPr>
        <w:t>&lt;Members&gt;</w:t>
      </w:r>
      <w:r>
        <w:t>Тоан Мандерс</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Приложение I – параграф 1</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ЛИЦЕВА СТРАНА: European Disability Card (европейска карта за хора с увреждания) на английски език</w:t>
            </w:r>
          </w:p>
        </w:tc>
        <w:tc>
          <w:tcPr>
            <w:tcW w:w="4876" w:type="dxa"/>
          </w:tcPr>
          <w:p>
            <w:pPr>
              <w:pStyle w:val="Normal6a"/>
            </w:pPr>
            <w:r>
              <w:t>ЛИЦЕВА СТРАНА: European Disability </w:t>
            </w:r>
            <w:r>
              <w:rPr>
                <w:b/>
                <w:i/>
              </w:rPr>
              <w:t>and Elderly </w:t>
            </w:r>
            <w:r>
              <w:t xml:space="preserve">Card (европейска карта за хора с увреждания </w:t>
            </w:r>
            <w:r>
              <w:rPr>
                <w:b/>
                <w:i/>
              </w:rPr>
              <w:t>и хора в напреднала възраст</w:t>
            </w:r>
            <w:r>
              <w:t>) на английски език</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450</w:t>
      </w:r>
      <w:r>
        <w:rPr>
          <w:rStyle w:val="HideTWBExt"/>
        </w:rPr>
        <w:t>&lt;/NumAm&gt;</w:t>
      </w:r>
    </w:p>
    <w:p>
      <w:pPr>
        <w:pStyle w:val="NormalBold"/>
      </w:pPr>
      <w:r>
        <w:rPr>
          <w:rStyle w:val="HideTWBExt"/>
        </w:rPr>
        <w:t>&lt;RepeatBlock-By&gt;</w:t>
      </w:r>
      <w:r>
        <w:rPr>
          <w:rStyle w:val="HideTWBExt"/>
        </w:rPr>
        <w:t>&lt;Members&gt;</w:t>
      </w:r>
      <w:r>
        <w:t>Синди Франсен, Дейвид Каза, Тоан Мандерс</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Приложение I – параграф 2</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ОБРАТНА СТРАНА: информация на националния език или езици, което ще се решава от издаващата държава членка.</w:t>
            </w:r>
          </w:p>
        </w:tc>
        <w:tc>
          <w:tcPr>
            <w:tcW w:w="4876" w:type="dxa"/>
          </w:tcPr>
          <w:p>
            <w:pPr>
              <w:pStyle w:val="Normal6a"/>
            </w:pPr>
            <w:r>
              <w:t>ОБРАТНА СТРАНА: информация на националния език или езици, което ще се решава от издаващата държава членка.</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Насърчава държавите членки да поставят на гърба на европейската карта за хора с увреждания графично, цифрово или писмено обозначение, като например пиктограма, илюстриращо естеството на помощта, от която се нуждае притежателят на картата, на доброволна основа по искане на бенефициера и без да се разкрива естеството на увреждането, за да се предотврати стигматизиране от какъвто и да е характер.</w:t>
            </w:r>
            <w:r>
              <w:t xml:space="preserve"> </w:t>
            </w:r>
            <w:r>
              <w:rPr>
                <w:b/>
                <w:i/>
              </w:rPr>
              <w:t>Комисията разработва насоки за общи пиктограми за различните видове помощ.</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451</w:t>
      </w:r>
      <w:r>
        <w:rPr>
          <w:rStyle w:val="HideTWBExt"/>
        </w:rPr>
        <w:t>&lt;/NumAm&gt;</w:t>
      </w:r>
    </w:p>
    <w:p>
      <w:pPr>
        <w:pStyle w:val="NormalBold"/>
      </w:pPr>
      <w:r>
        <w:rPr>
          <w:rStyle w:val="HideTWBExt"/>
        </w:rPr>
        <w:t>&lt;RepeatBlock-By&gt;</w:t>
      </w:r>
      <w:r>
        <w:rPr>
          <w:rStyle w:val="HideTWBExt"/>
        </w:rPr>
        <w:t>&lt;Members&gt;</w:t>
      </w:r>
      <w:r>
        <w:t>Луция Дюриш Николсонова, Абир Ал‑Сахлани, Джорди Каняс, Моника Семедо, Драгош Пъслару, Ирена Йовева, Макс Орвил, Силви Брюне, Мари-Пиер Ведрен</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Приложение I – параграф 2</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ОБРАТНА СТРАНА: информация на националния език или езици, което ще се решава от издаващата държава членка.</w:t>
            </w:r>
          </w:p>
        </w:tc>
        <w:tc>
          <w:tcPr>
            <w:tcW w:w="4876" w:type="dxa"/>
          </w:tcPr>
          <w:p>
            <w:pPr>
              <w:pStyle w:val="Normal6a"/>
            </w:pPr>
            <w:r>
              <w:t xml:space="preserve">ОБРАТНА СТРАНА: информация на националния език или езици, което ще се решава от издаващата държава членка. </w:t>
            </w:r>
            <w:r>
              <w:rPr>
                <w:b/>
                <w:i/>
              </w:rPr>
              <w:t>При подаване на заявление за издаване на карта пред съответните органи, държавите членки предоставят на лицата с увреждания възможността да поставят върху картата съответния(ите) символ(и), за да посочат необходимите им разумни улеснения.</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452</w:t>
      </w:r>
      <w:r>
        <w:rPr>
          <w:rStyle w:val="HideTWBExt"/>
        </w:rPr>
        <w:t>&lt;/NumAm&gt;</w:t>
      </w:r>
    </w:p>
    <w:p>
      <w:pPr>
        <w:pStyle w:val="NormalBold"/>
      </w:pPr>
      <w:r>
        <w:rPr>
          <w:rStyle w:val="HideTWBExt"/>
        </w:rPr>
        <w:t>&lt;RepeatBlock-By&gt;</w:t>
      </w:r>
      <w:r>
        <w:rPr>
          <w:rStyle w:val="HideTWBExt"/>
        </w:rPr>
        <w:t>&lt;Members&gt;</w:t>
      </w:r>
      <w:r>
        <w:t>Елжбета Рафалска, Беата Шидло, Маргарита де ла Писа Карион, Анна Залевска</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Приложение I – параграф 2</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ОБРАТНА СТРАНА: информация на националния език или езици, което ще се решава от издаващата държава членка.</w:t>
            </w:r>
          </w:p>
        </w:tc>
        <w:tc>
          <w:tcPr>
            <w:tcW w:w="4876" w:type="dxa"/>
          </w:tcPr>
          <w:p>
            <w:pPr>
              <w:pStyle w:val="Normal6a"/>
            </w:pPr>
            <w:r>
              <w:t>ОБРАТНА СТРАНА: информация на националния език или езици, което ще се решава от издаващата държава членка</w:t>
            </w:r>
            <w:r>
              <w:rPr>
                <w:b/>
                <w:i/>
              </w:rPr>
              <w:t>, в съответствие с националното законодателство и практика, напр. степента на увреждане</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453</w:t>
      </w:r>
      <w:r>
        <w:rPr>
          <w:rStyle w:val="HideTWBExt"/>
        </w:rPr>
        <w:t>&lt;/NumAm&gt;</w:t>
      </w:r>
    </w:p>
    <w:p>
      <w:pPr>
        <w:pStyle w:val="NormalBold"/>
      </w:pPr>
      <w:r>
        <w:rPr>
          <w:rStyle w:val="HideTWBExt"/>
        </w:rPr>
        <w:t>&lt;RepeatBlock-By&gt;</w:t>
      </w:r>
      <w:r>
        <w:rPr>
          <w:rStyle w:val="HideTWBExt"/>
        </w:rPr>
        <w:t>&lt;Members&gt;</w:t>
      </w:r>
      <w:r>
        <w:t>Тоан Мандерс</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Приложение I – точка 1</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1.</w:t>
            </w:r>
            <w:r>
              <w:tab/>
            </w:r>
            <w:r>
              <w:t>Размерът на европейската карта за хора с увреждания е в съответствие с ISO 7810.</w:t>
            </w:r>
          </w:p>
        </w:tc>
        <w:tc>
          <w:tcPr>
            <w:tcW w:w="4876" w:type="dxa"/>
          </w:tcPr>
          <w:p>
            <w:pPr>
              <w:pStyle w:val="Normal6a"/>
            </w:pPr>
            <w:r>
              <w:t>1.</w:t>
            </w:r>
            <w:r>
              <w:tab/>
            </w:r>
            <w:r>
              <w:t xml:space="preserve">Размерът на европейската карта за хора с увреждания </w:t>
            </w:r>
            <w:r>
              <w:rPr>
                <w:b/>
                <w:i/>
              </w:rPr>
              <w:t>и хора в напреднала възраст</w:t>
            </w:r>
            <w:r>
              <w:t xml:space="preserve"> е в съответствие с ISO 7810.</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454</w:t>
      </w:r>
      <w:r>
        <w:rPr>
          <w:rStyle w:val="HideTWBExt"/>
        </w:rPr>
        <w:t>&lt;/NumAm&gt;</w:t>
      </w:r>
    </w:p>
    <w:p>
      <w:pPr>
        <w:pStyle w:val="NormalBold"/>
      </w:pPr>
      <w:r>
        <w:rPr>
          <w:rStyle w:val="HideTWBExt"/>
        </w:rPr>
        <w:t>&lt;RepeatBlock-By&gt;</w:t>
      </w:r>
      <w:r>
        <w:rPr>
          <w:rStyle w:val="HideTWBExt"/>
        </w:rPr>
        <w:t>&lt;Members&gt;</w:t>
      </w:r>
      <w:r>
        <w:t>Елена Лици, Антонио Мария Риналди, Паола Гидони</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Приложение І – точка 2 а (нова)</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2a.</w:t>
            </w:r>
            <w:r>
              <w:tab/>
            </w:r>
            <w:r>
              <w:rPr>
                <w:b/>
                <w:i/>
              </w:rPr>
              <w:t>За да се гарантира, че данните са надлежно защитени от опити за фалшифициране или промяна с цел измама, настоятелно се препоръчва биографичните данни, включително снимката и основните данни на издаване, да бъдат интегрирани в основния материал на документа.</w:t>
            </w:r>
            <w:r>
              <w:rPr>
                <w:b/>
                <w:i/>
              </w:rPr>
              <w:t>Съществуват различни технологии за персонализиране на документа по този начин (напр. лазерно гравиране), което не изключва възможността за използване и разработване на нови технологии.</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Персонализирани полета:</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В оформлението на картата е предвидено едно бяло поле с размери 21 x 28 mm, в което се поставя снимката на притежателя на картата.</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Оформлението се състои от пет бели полета с размери 4 x 52 mm.</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Текстът, отпечатан в черно, е разположен на два реда – на националния език и на английски език (в курсив).</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Шрифтът е Arial 4pt, получер, подравнен вляво на полето.</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Данните за персонализиране са в Arial 12pt, подравнени вдясно на полето.</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Данни, отпечатани на лицевата страна на документа:</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 Снимка на притежателя на картата.</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 Поле 1:</w:t>
            </w:r>
            <w:r>
              <w:rPr>
                <w:b/>
                <w:i/>
              </w:rPr>
              <w:t>Собствено име на притежателя на картата.</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 Поле 2:</w:t>
            </w:r>
            <w:r>
              <w:rPr>
                <w:b/>
                <w:i/>
              </w:rPr>
              <w:t>Фамилно име на притежателя на картата.</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 Поле 3:</w:t>
            </w:r>
            <w:r>
              <w:rPr>
                <w:b/>
                <w:i/>
              </w:rPr>
              <w:t>Дата на раждане.</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 Поле 4:</w:t>
            </w:r>
            <w:r>
              <w:rPr>
                <w:b/>
                <w:i/>
              </w:rPr>
              <w:t>Сериен номер на документа.</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 Поле 5:</w:t>
            </w:r>
            <w:r>
              <w:rPr>
                <w:b/>
                <w:i/>
              </w:rPr>
              <w:t>Датата на изтичане на валидността на документа.</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Бележка:</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Максималният брой знаци, които могат да бъдат отпечатани за собственото и фамилното име, е 25.</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Датата е във формат ДДnММnГГГГ, където n е „.“ или празен знак.</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455</w:t>
      </w:r>
      <w:r>
        <w:rPr>
          <w:rStyle w:val="HideTWBExt"/>
        </w:rPr>
        <w:t>&lt;/NumAm&gt;</w:t>
      </w:r>
    </w:p>
    <w:p>
      <w:pPr>
        <w:pStyle w:val="NormalBold"/>
      </w:pPr>
      <w:r>
        <w:rPr>
          <w:rStyle w:val="HideTWBExt"/>
        </w:rPr>
        <w:t>&lt;RepeatBlock-By&gt;</w:t>
      </w:r>
      <w:r>
        <w:rPr>
          <w:rStyle w:val="HideTWBExt"/>
        </w:rPr>
        <w:t>&lt;Members&gt;</w:t>
      </w:r>
      <w:r>
        <w:t>Елена Лици, Антонио Мария Риналди, Паола Гидони</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Приложение I – точка 3</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3.</w:t>
            </w:r>
            <w:r>
              <w:tab/>
            </w:r>
            <w:r>
              <w:rPr>
                <w:b/>
                <w:i/>
              </w:rPr>
              <w:t>На картата има:</w:t>
            </w:r>
          </w:p>
        </w:tc>
        <w:tc>
          <w:tcPr>
            <w:tcW w:w="4876" w:type="dxa"/>
          </w:tcPr>
          <w:p>
            <w:pPr>
              <w:pStyle w:val="Normal6a"/>
            </w:pPr>
            <w:r>
              <w:rPr>
                <w:b/>
                <w:i/>
              </w:rPr>
              <w:t>заличава се</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 снимка на притежателя на картата;</w:t>
            </w:r>
          </w:p>
        </w:tc>
        <w:tc>
          <w:tcPr>
            <w:tcW w:w="4876" w:type="dxa"/>
          </w:tcPr>
          <w:p>
            <w:pPr>
              <w:pStyle w:val="Normal6a"/>
            </w:pPr>
          </w:p>
        </w:tc>
      </w:tr>
      <w:tr>
        <w:tblPrEx>
          <w:tblW w:w="0" w:type="auto"/>
          <w:jc w:val="center"/>
          <w:tblLayout w:type="fixed"/>
          <w:tblCellMar>
            <w:left w:w="340" w:type="dxa"/>
            <w:right w:w="340" w:type="dxa"/>
          </w:tblCellMar>
        </w:tblPrEx>
        <w:trPr>
          <w:jc w:val="center"/>
        </w:trPr>
        <w:tc>
          <w:tcPr>
            <w:tcW w:w="4876" w:type="dxa"/>
          </w:tcPr>
          <w:p>
            <w:pPr>
              <w:pStyle w:val="Normal6a"/>
            </w:pPr>
            <w:r>
              <w:rPr>
                <w:b/>
                <w:i/>
              </w:rPr>
              <w:t>— фамилно и собствено име на притежателя на картата;</w:t>
            </w:r>
          </w:p>
        </w:tc>
        <w:tc>
          <w:tcPr>
            <w:tcW w:w="4876" w:type="dxa"/>
          </w:tcPr>
          <w:p>
            <w:pPr>
              <w:pStyle w:val="Normal6a"/>
            </w:pPr>
          </w:p>
        </w:tc>
      </w:tr>
      <w:tr>
        <w:tblPrEx>
          <w:tblW w:w="0" w:type="auto"/>
          <w:jc w:val="center"/>
          <w:tblLayout w:type="fixed"/>
          <w:tblCellMar>
            <w:left w:w="340" w:type="dxa"/>
            <w:right w:w="340" w:type="dxa"/>
          </w:tblCellMar>
        </w:tblPrEx>
        <w:trPr>
          <w:jc w:val="center"/>
        </w:trPr>
        <w:tc>
          <w:tcPr>
            <w:tcW w:w="4876" w:type="dxa"/>
          </w:tcPr>
          <w:p>
            <w:pPr>
              <w:pStyle w:val="Normal6a"/>
            </w:pPr>
            <w:r>
              <w:rPr>
                <w:b/>
                <w:i/>
              </w:rPr>
              <w:t>— дата на раждане на притежателя на картата;</w:t>
            </w:r>
          </w:p>
        </w:tc>
        <w:tc>
          <w:tcPr>
            <w:tcW w:w="4876" w:type="dxa"/>
          </w:tcPr>
          <w:p>
            <w:pPr>
              <w:pStyle w:val="Normal6a"/>
            </w:pPr>
          </w:p>
        </w:tc>
      </w:tr>
      <w:tr>
        <w:tblPrEx>
          <w:tblW w:w="0" w:type="auto"/>
          <w:jc w:val="center"/>
          <w:tblLayout w:type="fixed"/>
          <w:tblCellMar>
            <w:left w:w="340" w:type="dxa"/>
            <w:right w:w="340" w:type="dxa"/>
          </w:tblCellMar>
        </w:tblPrEx>
        <w:trPr>
          <w:jc w:val="center"/>
        </w:trPr>
        <w:tc>
          <w:tcPr>
            <w:tcW w:w="4876" w:type="dxa"/>
          </w:tcPr>
          <w:p>
            <w:pPr>
              <w:pStyle w:val="Normal6a"/>
            </w:pPr>
            <w:r>
              <w:rPr>
                <w:b/>
                <w:i/>
              </w:rPr>
              <w:t>— сериен номер на картата.</w:t>
            </w:r>
          </w:p>
        </w:tc>
        <w:tc>
          <w:tcPr>
            <w:tcW w:w="4876" w:type="dxa"/>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456</w:t>
      </w:r>
      <w:r>
        <w:rPr>
          <w:rStyle w:val="HideTWBExt"/>
        </w:rPr>
        <w:t>&lt;/NumAm&gt;</w:t>
      </w:r>
    </w:p>
    <w:p>
      <w:pPr>
        <w:pStyle w:val="NormalBold"/>
      </w:pPr>
      <w:r>
        <w:rPr>
          <w:rStyle w:val="HideTWBExt"/>
        </w:rPr>
        <w:t>&lt;RepeatBlock-By&gt;</w:t>
      </w:r>
      <w:r>
        <w:rPr>
          <w:rStyle w:val="HideTWBExt"/>
        </w:rPr>
        <w:t>&lt;Members&gt;</w:t>
      </w:r>
      <w:r>
        <w:t>Елена Лици, Антонио Мария Риналди, Паола Гидони</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Приложение I – точка 4 – уводна част</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4.</w:t>
            </w:r>
            <w:r>
              <w:tab/>
            </w:r>
            <w:r>
              <w:rPr>
                <w:b/>
                <w:i/>
              </w:rPr>
              <w:t>Цветовете на картата са светлосин и тъмносин, както е показано на изображението, и са със следните характеристики:</w:t>
            </w:r>
          </w:p>
        </w:tc>
        <w:tc>
          <w:tcPr>
            <w:tcW w:w="4876" w:type="dxa"/>
          </w:tcPr>
          <w:p>
            <w:pPr>
              <w:pStyle w:val="Normal6a"/>
            </w:pPr>
            <w:r>
              <w:t>4.</w:t>
            </w:r>
            <w:r>
              <w:tab/>
            </w:r>
            <w:r>
              <w:rPr>
                <w:b/>
                <w:i/>
              </w:rPr>
              <w:t>Защитният фон включва решетъчен мотив, отпечатан в един цвят по скалата Pantone.</w:t>
            </w:r>
            <w:r>
              <w:t xml:space="preserve"> </w:t>
            </w:r>
            <w:r>
              <w:rPr>
                <w:b/>
                <w:i/>
              </w:rPr>
              <w:t>Получават се зони с различни цветове, които се състоят от линии с различна дебелина и стъпки.</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Фонът включва микропечати с надпис „DISABILITY CARD“. Фонът включва графичен елемент, отпечатан с невидимо UV мастило (жълто), представляващ кръг от 12 звезди с повторения на буквите „ЕС“ в центъра.</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Обосновка</w:t>
      </w:r>
      <w:r>
        <w:rPr>
          <w:rStyle w:val="HideTWBExt"/>
        </w:rPr>
        <w:t>&lt;/TitreJust&gt;</w:t>
      </w:r>
    </w:p>
    <w:p>
      <w:pPr>
        <w:pStyle w:val="AmJustText"/>
      </w:pPr>
      <w:r>
        <w:t>За защитния фон се използва само един цвят.</w:t>
      </w:r>
    </w:p>
    <w:p>
      <w:r>
        <w:rPr>
          <w:rStyle w:val="HideTWBExt"/>
        </w:rPr>
        <w:t>&lt;/Amend&gt;</w:t>
      </w:r>
    </w:p>
    <w:p>
      <w:pPr>
        <w:pStyle w:val="AmNumberTabs"/>
      </w:pPr>
      <w:r>
        <w:rPr>
          <w:rStyle w:val="HideTWBExt"/>
        </w:rPr>
        <w:t>&lt;Amend&gt;</w:t>
      </w:r>
      <w:r>
        <w:t>Изменение</w:t>
      </w:r>
      <w:r>
        <w:tab/>
      </w:r>
      <w:r>
        <w:tab/>
      </w:r>
      <w:r>
        <w:rPr>
          <w:rStyle w:val="HideTWBExt"/>
        </w:rPr>
        <w:t>&lt;NumAm&gt;</w:t>
      </w:r>
      <w:r>
        <w:t>457</w:t>
      </w:r>
      <w:r>
        <w:rPr>
          <w:rStyle w:val="HideTWBExt"/>
        </w:rPr>
        <w:t>&lt;/NumAm&gt;</w:t>
      </w:r>
    </w:p>
    <w:p>
      <w:pPr>
        <w:pStyle w:val="NormalBold"/>
      </w:pPr>
      <w:r>
        <w:rPr>
          <w:rStyle w:val="HideTWBExt"/>
        </w:rPr>
        <w:t>&lt;RepeatBlock-By&gt;</w:t>
      </w:r>
      <w:r>
        <w:rPr>
          <w:rStyle w:val="HideTWBExt"/>
        </w:rPr>
        <w:t>&lt;Members&gt;</w:t>
      </w:r>
      <w:r>
        <w:t>Елена Лици, Антонио Мария Риналди, Паола Гидони</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Приложение I – точка 4 – тире 1</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w:t>
            </w:r>
            <w:r>
              <w:tab/>
            </w:r>
            <w:r>
              <w:rPr>
                <w:b/>
                <w:i/>
              </w:rPr>
              <w:t>Тъмносин цвят:</w:t>
            </w:r>
            <w:r>
              <w:t xml:space="preserve"> </w:t>
            </w:r>
            <w:r>
              <w:rPr>
                <w:b/>
                <w:i/>
              </w:rPr>
              <w:t>CMYK 100, 90, 10, 0</w:t>
            </w:r>
          </w:p>
        </w:tc>
        <w:tc>
          <w:tcPr>
            <w:tcW w:w="4876" w:type="dxa"/>
          </w:tcPr>
          <w:p>
            <w:pPr>
              <w:pStyle w:val="Normal6a"/>
            </w:pPr>
            <w:r>
              <w:rPr>
                <w:b/>
                <w:i/>
              </w:rPr>
              <w:t>заличава се</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RGB 0, 68, 148</w:t>
            </w:r>
          </w:p>
        </w:tc>
        <w:tc>
          <w:tcPr>
            <w:tcW w:w="4876" w:type="dxa"/>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458</w:t>
      </w:r>
      <w:r>
        <w:rPr>
          <w:rStyle w:val="HideTWBExt"/>
        </w:rPr>
        <w:t>&lt;/NumAm&gt;</w:t>
      </w:r>
    </w:p>
    <w:p>
      <w:pPr>
        <w:pStyle w:val="NormalBold"/>
      </w:pPr>
      <w:r>
        <w:rPr>
          <w:rStyle w:val="HideTWBExt"/>
        </w:rPr>
        <w:t>&lt;RepeatBlock-By&gt;</w:t>
      </w:r>
      <w:r>
        <w:rPr>
          <w:rStyle w:val="HideTWBExt"/>
        </w:rPr>
        <w:t>&lt;Members&gt;</w:t>
      </w:r>
      <w:r>
        <w:t>Елена Лици, Антонио Мария Риналди, Паола Гидони</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Приложение I – точка 4 – тире 2</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w:t>
            </w:r>
            <w:r>
              <w:tab/>
            </w:r>
            <w:r>
              <w:rPr>
                <w:b/>
                <w:i/>
              </w:rPr>
              <w:t>Светлосин цвят:</w:t>
            </w:r>
            <w:r>
              <w:t xml:space="preserve"> </w:t>
            </w:r>
            <w:r>
              <w:rPr>
                <w:b/>
                <w:i/>
              </w:rPr>
              <w:t>CMYK 94, 63, 7, 1</w:t>
            </w:r>
          </w:p>
        </w:tc>
        <w:tc>
          <w:tcPr>
            <w:tcW w:w="4876" w:type="dxa"/>
          </w:tcPr>
          <w:p>
            <w:pPr>
              <w:pStyle w:val="Normal6a"/>
            </w:pPr>
            <w:r>
              <w:rPr>
                <w:b/>
                <w:i/>
              </w:rPr>
              <w:t>заличава се</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RGB 0, 110, 183</w:t>
            </w:r>
          </w:p>
        </w:tc>
        <w:tc>
          <w:tcPr>
            <w:tcW w:w="4876" w:type="dxa"/>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459</w:t>
      </w:r>
      <w:r>
        <w:rPr>
          <w:rStyle w:val="HideTWBExt"/>
        </w:rPr>
        <w:t>&lt;/NumAm&gt;</w:t>
      </w:r>
    </w:p>
    <w:p>
      <w:pPr>
        <w:pStyle w:val="NormalBold"/>
      </w:pPr>
      <w:r>
        <w:rPr>
          <w:rStyle w:val="HideTWBExt"/>
        </w:rPr>
        <w:t>&lt;RepeatBlock-By&gt;</w:t>
      </w:r>
      <w:r>
        <w:rPr>
          <w:rStyle w:val="HideTWBExt"/>
        </w:rPr>
        <w:t>&lt;Members&gt;</w:t>
      </w:r>
      <w:r>
        <w:t>Елена Лици, Антонио Мария Риналди, Паола Гидони</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Приложение I – точка 5</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5.</w:t>
            </w:r>
            <w:r>
              <w:tab/>
            </w:r>
            <w:r>
              <w:rPr>
                <w:b/>
                <w:i/>
              </w:rPr>
              <w:t>Валидността е отбелязана на картата</w:t>
            </w:r>
            <w:r>
              <w:t>.</w:t>
            </w:r>
          </w:p>
        </w:tc>
        <w:tc>
          <w:tcPr>
            <w:tcW w:w="4876" w:type="dxa"/>
          </w:tcPr>
          <w:p>
            <w:pPr>
              <w:pStyle w:val="Normal6a"/>
            </w:pPr>
            <w:r>
              <w:t>5.</w:t>
            </w:r>
            <w:r>
              <w:tab/>
            </w:r>
            <w:r>
              <w:rPr>
                <w:b/>
                <w:i/>
              </w:rPr>
              <w:t>Вж. проекта, предложен в точка 3</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460</w:t>
      </w:r>
      <w:r>
        <w:rPr>
          <w:rStyle w:val="HideTWBExt"/>
        </w:rPr>
        <w:t>&lt;/NumAm&gt;</w:t>
      </w:r>
    </w:p>
    <w:p>
      <w:pPr>
        <w:pStyle w:val="NormalBold"/>
      </w:pPr>
      <w:r>
        <w:rPr>
          <w:rStyle w:val="HideTWBExt"/>
        </w:rPr>
        <w:t>&lt;RepeatBlock-By&gt;</w:t>
      </w:r>
      <w:r>
        <w:rPr>
          <w:rStyle w:val="HideTWBExt"/>
        </w:rPr>
        <w:t>&lt;Members&gt;</w:t>
      </w:r>
      <w:r>
        <w:t>Елена Лици, Антонио Мария Риналди, Паола Гидони</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Приложение I – точка 6</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6.</w:t>
            </w:r>
            <w:r>
              <w:tab/>
            </w:r>
            <w:r>
              <w:rPr>
                <w:b/>
                <w:i/>
              </w:rPr>
              <w:t>Кодът</w:t>
            </w:r>
            <w:r>
              <w:t xml:space="preserve"> на държавата </w:t>
            </w:r>
            <w:r>
              <w:rPr>
                <w:b/>
                <w:i/>
              </w:rPr>
              <w:t>със син кръг около него е отбелязан на картата</w:t>
            </w:r>
            <w:r>
              <w:t>.</w:t>
            </w:r>
          </w:p>
        </w:tc>
        <w:tc>
          <w:tcPr>
            <w:tcW w:w="4876" w:type="dxa"/>
          </w:tcPr>
          <w:p>
            <w:pPr>
              <w:pStyle w:val="Normal6a"/>
            </w:pPr>
            <w:r>
              <w:t>6.</w:t>
            </w:r>
            <w:r>
              <w:tab/>
            </w:r>
            <w:r>
              <w:rPr>
                <w:b/>
                <w:i/>
              </w:rPr>
              <w:t>Кръгът с двубуквения код</w:t>
            </w:r>
            <w:r>
              <w:t xml:space="preserve"> на държавата </w:t>
            </w:r>
            <w:r>
              <w:rPr>
                <w:b/>
                <w:i/>
              </w:rPr>
              <w:t>по ISO на издаващата държава се отпечатва отвътре в Pantone Reflex Blue.</w:t>
            </w:r>
            <w:r>
              <w:t xml:space="preserve"> </w:t>
            </w:r>
            <w:r>
              <w:rPr>
                <w:b/>
                <w:i/>
              </w:rPr>
              <w:t>От външната страна на кръга има 12 звезди.</w:t>
            </w:r>
            <w:r>
              <w:t xml:space="preserve"> </w:t>
            </w:r>
            <w:r>
              <w:rPr>
                <w:b/>
                <w:i/>
              </w:rPr>
              <w:t>Двубуквеният код на държавата по ISO е в бяло</w:t>
            </w:r>
            <w:r>
              <w:t>.</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Обосновка</w:t>
      </w:r>
      <w:r>
        <w:rPr>
          <w:rStyle w:val="HideTWBExt"/>
        </w:rPr>
        <w:t>&lt;/TitreJust&gt;</w:t>
      </w:r>
    </w:p>
    <w:p>
      <w:pPr>
        <w:pStyle w:val="AmJustText"/>
      </w:pPr>
      <w:r>
        <w:t>Графичните указания за изобразяване на емблемата на ЕС са посочени тук:</w:t>
      </w:r>
    </w:p>
    <w:p>
      <w:pPr>
        <w:pStyle w:val="AmJustText"/>
      </w:pPr>
      <w:r>
        <w:t>http://publications.europa.eu/code/bg/bg-5000100.htm</w:t>
      </w:r>
    </w:p>
    <w:p>
      <w:r>
        <w:rPr>
          <w:rStyle w:val="HideTWBExt"/>
        </w:rPr>
        <w:t>&lt;/Amend&gt;</w:t>
      </w:r>
    </w:p>
    <w:p>
      <w:pPr>
        <w:pStyle w:val="AmNumberTabs"/>
      </w:pPr>
      <w:r>
        <w:rPr>
          <w:rStyle w:val="HideTWBExt"/>
        </w:rPr>
        <w:t>&lt;Amend&gt;</w:t>
      </w:r>
      <w:r>
        <w:t>Изменение</w:t>
      </w:r>
      <w:r>
        <w:tab/>
      </w:r>
      <w:r>
        <w:tab/>
      </w:r>
      <w:r>
        <w:rPr>
          <w:rStyle w:val="HideTWBExt"/>
        </w:rPr>
        <w:t>&lt;NumAm&gt;</w:t>
      </w:r>
      <w:r>
        <w:t>461</w:t>
      </w:r>
      <w:r>
        <w:rPr>
          <w:rStyle w:val="HideTWBExt"/>
        </w:rPr>
        <w:t>&lt;/NumAm&gt;</w:t>
      </w:r>
    </w:p>
    <w:p>
      <w:pPr>
        <w:pStyle w:val="NormalBold"/>
      </w:pPr>
      <w:r>
        <w:rPr>
          <w:rStyle w:val="HideTWBExt"/>
        </w:rPr>
        <w:t>&lt;RepeatBlock-By&gt;</w:t>
      </w:r>
      <w:r>
        <w:rPr>
          <w:rStyle w:val="HideTWBExt"/>
        </w:rPr>
        <w:t>&lt;Members&gt;</w:t>
      </w:r>
      <w:r>
        <w:t>Елена Лици, Антонио Мария Риналди, Паола Гидони</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Приложение I – точка 8</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8.</w:t>
            </w:r>
            <w:r>
              <w:tab/>
            </w:r>
            <w:r>
              <w:t xml:space="preserve">Думите European Disability Card се изписват с шрифт Arial </w:t>
            </w:r>
            <w:r>
              <w:rPr>
                <w:b/>
                <w:i/>
              </w:rPr>
              <w:t>font</w:t>
            </w:r>
            <w:r>
              <w:t xml:space="preserve"> и чрез брайлово писмо, като се използват размерите на код Marburg.</w:t>
            </w:r>
          </w:p>
        </w:tc>
        <w:tc>
          <w:tcPr>
            <w:tcW w:w="4876" w:type="dxa"/>
          </w:tcPr>
          <w:p>
            <w:pPr>
              <w:pStyle w:val="Normal6a"/>
            </w:pPr>
            <w:r>
              <w:t>8.</w:t>
            </w:r>
            <w:r>
              <w:tab/>
            </w:r>
            <w:r>
              <w:t>Думите European Disability Card се изписват с шрифт Arial и чрез брайлово писмо, като се използват размерите на код Marburg</w:t>
            </w:r>
            <w:r>
              <w:rPr>
                <w:b/>
                <w:i/>
              </w:rPr>
              <w:t>, в Reflex Blue</w:t>
            </w:r>
            <w:r>
              <w:t>.</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Marburg Medium:</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Разлика в точките по оста х (а):</w:t>
            </w:r>
            <w:r>
              <w:rPr>
                <w:b/>
                <w:i/>
              </w:rPr>
              <w:t>2,5 mm (от център до център на две точки).</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Разлика в точките по оста y (б):</w:t>
            </w:r>
            <w:r>
              <w:rPr>
                <w:b/>
                <w:i/>
              </w:rPr>
              <w:t>2,5 mm (от център до център на две точки).</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Ширина на знака (в):</w:t>
            </w:r>
            <w:r>
              <w:rPr>
                <w:b/>
                <w:i/>
              </w:rPr>
              <w:t>6,0 mm (от центъра на точка 1 от първия знак до центъра на точка 1 от следващия знак).</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Разстоянието (г) между центъра на точката от крайния знак и центъра на точката от началния знак на следващата дума е 2 x (в), 6,0 mm. x 2 = 12,0 mm.</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Разстояние между редовете (д):</w:t>
            </w:r>
            <w:r>
              <w:rPr>
                <w:b/>
                <w:i/>
              </w:rPr>
              <w:t>10,0 mm (от центъра на точка 1 до центъра на точка 1 на следващия ред).</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Диаметър на точката:</w:t>
            </w:r>
            <w:r>
              <w:rPr>
                <w:b/>
                <w:i/>
              </w:rPr>
              <w:t>прибл. 1,3 mm (диаметър на точката на релефната щампа) или 1,6 mm (диаметър на точката на женската матрица).</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Брайлов код за „EU DISABILITY CARD“, като се използват размерите на код Marburg Medium.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462</w:t>
      </w:r>
      <w:r>
        <w:rPr>
          <w:rStyle w:val="HideTWBExt"/>
        </w:rPr>
        <w:t>&lt;/NumAm&gt;</w:t>
      </w:r>
    </w:p>
    <w:p>
      <w:pPr>
        <w:pStyle w:val="NormalBold"/>
      </w:pPr>
      <w:r>
        <w:rPr>
          <w:rStyle w:val="HideTWBExt"/>
        </w:rPr>
        <w:t>&lt;RepeatBlock-By&gt;</w:t>
      </w:r>
      <w:r>
        <w:rPr>
          <w:rStyle w:val="HideTWBExt"/>
        </w:rPr>
        <w:t>&lt;Members&gt;</w:t>
      </w:r>
      <w:r>
        <w:t>Тоан Мандерс</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Приложение I – точка 8</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8.</w:t>
            </w:r>
            <w:r>
              <w:tab/>
            </w:r>
            <w:r>
              <w:t xml:space="preserve">Думите European Disability Card се изписват с шрифт Arial </w:t>
            </w:r>
            <w:r>
              <w:rPr>
                <w:b/>
                <w:i/>
              </w:rPr>
              <w:t>font</w:t>
            </w:r>
            <w:r>
              <w:t xml:space="preserve"> и чрез брайлово писмо, като се използват размерите на код Marburg.</w:t>
            </w:r>
          </w:p>
        </w:tc>
        <w:tc>
          <w:tcPr>
            <w:tcW w:w="4876" w:type="dxa"/>
          </w:tcPr>
          <w:p>
            <w:pPr>
              <w:pStyle w:val="Normal6a"/>
            </w:pPr>
            <w:r>
              <w:t>8.</w:t>
            </w:r>
            <w:r>
              <w:tab/>
            </w:r>
            <w:r>
              <w:t xml:space="preserve">Думите European Disability </w:t>
            </w:r>
            <w:r>
              <w:rPr>
                <w:b/>
                <w:i/>
              </w:rPr>
              <w:t>and Elderly </w:t>
            </w:r>
            <w:r>
              <w:t>Card се изписват с шрифт Arial и чрез брайлово писмо, като се използват размерите на код Marburg.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463</w:t>
      </w:r>
      <w:r>
        <w:rPr>
          <w:rStyle w:val="HideTWBExt"/>
        </w:rPr>
        <w:t>&lt;/NumAm&gt;</w:t>
      </w:r>
    </w:p>
    <w:p>
      <w:pPr>
        <w:pStyle w:val="NormalBold"/>
      </w:pPr>
      <w:r>
        <w:rPr>
          <w:rStyle w:val="HideTWBExt"/>
        </w:rPr>
        <w:t>&lt;RepeatBlock-By&gt;</w:t>
      </w:r>
      <w:r>
        <w:rPr>
          <w:rStyle w:val="HideTWBExt"/>
        </w:rPr>
        <w:t>&lt;Members&gt;</w:t>
      </w:r>
      <w:r>
        <w:t>Елена Лици, Антонио Мария Риналди, Паола Гидони</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Приложение І – точка 10 а (нова)</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10а.</w:t>
            </w:r>
            <w:r>
              <w:tab/>
            </w:r>
            <w:r>
              <w:rPr>
                <w:b/>
                <w:i/>
              </w:rPr>
              <w:t>На обратната страна се поставя холограма с метално покритие.</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Холограмата съдържа думите „Карта на ЕС за хора с увреждания“ и кръг, състоящ се от 12 бели звезди.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464</w:t>
      </w:r>
      <w:r>
        <w:rPr>
          <w:rStyle w:val="HideTWBExt"/>
        </w:rPr>
        <w:t>&lt;/NumAm&gt;</w:t>
      </w:r>
    </w:p>
    <w:p>
      <w:pPr>
        <w:pStyle w:val="NormalBold"/>
      </w:pPr>
      <w:r>
        <w:rPr>
          <w:rStyle w:val="HideTWBExt"/>
        </w:rPr>
        <w:t>&lt;RepeatBlock-By&gt;</w:t>
      </w:r>
      <w:r>
        <w:rPr>
          <w:rStyle w:val="HideTWBExt"/>
        </w:rPr>
        <w:t>&lt;Members&gt;</w:t>
      </w:r>
      <w:r>
        <w:t>Жуан Албукерке, Даниела Рондинели, Марк Ангел, Милан Бръглез, Агнес Йонгериус, Орор Лалюк, Елизабета Гуалмини, Клара Добрев, Мариане Винд, Вилия Блинкевичуте, Алекс Аджус Салиба, Брандо Бенифеи, Илан Де Басо, Алисия Омс Хинел, Карина Олсон, Естреля Дура Ферандис</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Приложение І a (ново)</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Картата има QR код, съдържащ всички данни, включени в картата, в достъпен формат, надлежно определен и обозначен с релефен печат, който е в пълно съответствие със законодателството за защита на данните.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465</w:t>
      </w:r>
      <w:r>
        <w:rPr>
          <w:rStyle w:val="HideTWBExt"/>
        </w:rPr>
        <w:t>&lt;/NumAm&gt;</w:t>
      </w:r>
    </w:p>
    <w:p>
      <w:pPr>
        <w:pStyle w:val="NormalBold"/>
      </w:pPr>
      <w:r>
        <w:rPr>
          <w:rStyle w:val="HideTWBExt"/>
        </w:rPr>
        <w:t>&lt;RepeatBlock-By&gt;</w:t>
      </w:r>
      <w:r>
        <w:rPr>
          <w:rStyle w:val="HideTWBExt"/>
        </w:rPr>
        <w:t>&lt;Members&gt;</w:t>
      </w:r>
      <w:r>
        <w:t>Тоан Мандерс</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Приложение II – подзаглавие 1</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ФОРМАТ НА ЕВРОПЕЙСКАТА КАРТА ЗА ПАРКИРАНЕ ЗА ХОРА С УВРЕЖДАНИЯ</w:t>
            </w:r>
          </w:p>
        </w:tc>
        <w:tc>
          <w:tcPr>
            <w:tcW w:w="4876" w:type="dxa"/>
          </w:tcPr>
          <w:p>
            <w:pPr>
              <w:pStyle w:val="Normal6a"/>
            </w:pPr>
            <w:r>
              <w:t xml:space="preserve">ФОРМАТ НА ЕВРОПЕЙСКАТА КАРТА ЗА ПАРКИРАНЕ ЗА ХОРА С УВРЕЖДАНИЯ </w:t>
            </w:r>
            <w:r>
              <w:rPr>
                <w:b/>
                <w:i/>
              </w:rPr>
              <w:t>И ВЪЗРАСТНИ ХОРА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466</w:t>
      </w:r>
      <w:r>
        <w:rPr>
          <w:rStyle w:val="HideTWBExt"/>
        </w:rPr>
        <w:t>&lt;/NumAm&gt;</w:t>
      </w:r>
    </w:p>
    <w:p>
      <w:pPr>
        <w:pStyle w:val="NormalBold"/>
      </w:pPr>
      <w:r>
        <w:rPr>
          <w:rStyle w:val="HideTWBExt"/>
        </w:rPr>
        <w:t>&lt;RepeatBlock-By&gt;</w:t>
      </w:r>
      <w:r>
        <w:rPr>
          <w:rStyle w:val="HideTWBExt"/>
        </w:rPr>
        <w:t>&lt;Members&gt;</w:t>
      </w:r>
      <w:r>
        <w:t>Киара Джема</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Приложение II – подзаглавие 1 а (ново)</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Думите „European Parking Card“ се изписват чрез брайлово писмо, като се използват размерите на код Marburg.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467</w:t>
      </w:r>
      <w:r>
        <w:rPr>
          <w:rStyle w:val="HideTWBExt"/>
        </w:rPr>
        <w:t>&lt;/NumAm&gt;</w:t>
      </w:r>
    </w:p>
    <w:p>
      <w:pPr>
        <w:pStyle w:val="NormalBold"/>
      </w:pPr>
      <w:r>
        <w:rPr>
          <w:rStyle w:val="HideTWBExt"/>
        </w:rPr>
        <w:t>&lt;RepeatBlock-By&gt;</w:t>
      </w:r>
      <w:r>
        <w:rPr>
          <w:rStyle w:val="HideTWBExt"/>
        </w:rPr>
        <w:t>&lt;Members&gt;</w:t>
      </w:r>
      <w:r>
        <w:t>Тоан Мандерс</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Приложение II – точка 1 – уводна част</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1.</w:t>
            </w:r>
            <w:r>
              <w:tab/>
            </w:r>
            <w:r>
              <w:t>Размерът на европейската карта за паркиране за хора с увреждания е, както следва:</w:t>
            </w:r>
          </w:p>
        </w:tc>
        <w:tc>
          <w:tcPr>
            <w:tcW w:w="4876" w:type="dxa"/>
          </w:tcPr>
          <w:p>
            <w:pPr>
              <w:pStyle w:val="Normal6a"/>
            </w:pPr>
            <w:r>
              <w:t>1.</w:t>
            </w:r>
            <w:r>
              <w:tab/>
            </w:r>
            <w:r>
              <w:t xml:space="preserve">Размерът на европейската карта за паркиране за хора с увреждания </w:t>
            </w:r>
            <w:r>
              <w:rPr>
                <w:b/>
                <w:i/>
              </w:rPr>
              <w:t>и възрастни хора</w:t>
            </w:r>
            <w:r>
              <w:t xml:space="preserve"> е, както следва: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468</w:t>
      </w:r>
      <w:r>
        <w:rPr>
          <w:rStyle w:val="HideTWBExt"/>
        </w:rPr>
        <w:t>&lt;/NumAm&gt;</w:t>
      </w:r>
    </w:p>
    <w:p>
      <w:pPr>
        <w:pStyle w:val="NormalBold"/>
      </w:pPr>
      <w:r>
        <w:rPr>
          <w:rStyle w:val="HideTWBExt"/>
        </w:rPr>
        <w:t>&lt;RepeatBlock-By&gt;</w:t>
      </w:r>
      <w:r>
        <w:rPr>
          <w:rStyle w:val="HideTWBExt"/>
        </w:rPr>
        <w:t>&lt;Members&gt;</w:t>
      </w:r>
      <w:r>
        <w:t>Елена Лици, Антонио Мария Риналди, Паола Гидони</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Приложение II – точка 2 – уводна част</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2.</w:t>
            </w:r>
            <w:r>
              <w:tab/>
            </w:r>
            <w:r>
              <w:rPr>
                <w:b/>
                <w:i/>
              </w:rPr>
              <w:t>Цветовете на картата са тъмносин и жълт, както е показано на изображението по-горе, и са със следните характеристики:</w:t>
            </w:r>
          </w:p>
        </w:tc>
        <w:tc>
          <w:tcPr>
            <w:tcW w:w="4876" w:type="dxa"/>
          </w:tcPr>
          <w:p>
            <w:pPr>
              <w:pStyle w:val="Normal6a"/>
            </w:pPr>
            <w:r>
              <w:t>2.</w:t>
            </w:r>
            <w:r>
              <w:tab/>
            </w:r>
            <w:r>
              <w:rPr>
                <w:b/>
                <w:i/>
              </w:rPr>
              <w:t>За дясната страна на документа могат да се използват Pantone Reflex Blue и Pantone Yellow, тъй като тези цветове са предложени от Комисията за изобразяване на знамето на ЕС.</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Защитният фон включва решетъчен мотив, отпечатан в цвета(овете) по скалата Pantone.</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Фонът включва микротекст с думите „EUROPEAN PARKING CARD“.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469</w:t>
      </w:r>
      <w:r>
        <w:rPr>
          <w:rStyle w:val="HideTWBExt"/>
        </w:rPr>
        <w:t>&lt;/NumAm&gt;</w:t>
      </w:r>
    </w:p>
    <w:p>
      <w:pPr>
        <w:pStyle w:val="NormalBold"/>
      </w:pPr>
      <w:r>
        <w:rPr>
          <w:rStyle w:val="HideTWBExt"/>
        </w:rPr>
        <w:t>&lt;RepeatBlock-By&gt;</w:t>
      </w:r>
      <w:r>
        <w:rPr>
          <w:rStyle w:val="HideTWBExt"/>
        </w:rPr>
        <w:t>&lt;Members&gt;</w:t>
      </w:r>
      <w:r>
        <w:t>Елена Лици, Антонио Мария Риналди, Паола Гидони</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Приложение II – точка 2 – тире 1</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w:t>
            </w:r>
            <w:r>
              <w:tab/>
            </w:r>
            <w:r>
              <w:rPr>
                <w:b/>
                <w:i/>
              </w:rPr>
              <w:t>Тъмносин цвят:</w:t>
            </w:r>
            <w:r>
              <w:t xml:space="preserve"> </w:t>
            </w:r>
            <w:r>
              <w:rPr>
                <w:b/>
                <w:i/>
              </w:rPr>
              <w:t>CMYK 100, 90, 10, 0</w:t>
            </w:r>
          </w:p>
        </w:tc>
        <w:tc>
          <w:tcPr>
            <w:tcW w:w="4876" w:type="dxa"/>
          </w:tcPr>
          <w:p>
            <w:pPr>
              <w:pStyle w:val="Normal6a"/>
            </w:pPr>
            <w:r>
              <w:rPr>
                <w:b/>
                <w:i/>
              </w:rPr>
              <w:t>заличава се</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RGB 0, 68, 148</w:t>
            </w:r>
          </w:p>
        </w:tc>
        <w:tc>
          <w:tcPr>
            <w:tcW w:w="4876" w:type="dxa"/>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470</w:t>
      </w:r>
      <w:r>
        <w:rPr>
          <w:rStyle w:val="HideTWBExt"/>
        </w:rPr>
        <w:t>&lt;/NumAm&gt;</w:t>
      </w:r>
    </w:p>
    <w:p>
      <w:pPr>
        <w:pStyle w:val="NormalBold"/>
      </w:pPr>
      <w:r>
        <w:rPr>
          <w:rStyle w:val="HideTWBExt"/>
        </w:rPr>
        <w:t>&lt;RepeatBlock-By&gt;</w:t>
      </w:r>
      <w:r>
        <w:rPr>
          <w:rStyle w:val="HideTWBExt"/>
        </w:rPr>
        <w:t>&lt;Members&gt;</w:t>
      </w:r>
      <w:r>
        <w:t>Елена Лици, Антонио Мария Риналди, Паола Гидони</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Приложение II – точка 2 – тире 2</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w:t>
            </w:r>
            <w:r>
              <w:tab/>
            </w:r>
            <w:r>
              <w:rPr>
                <w:b/>
                <w:i/>
              </w:rPr>
              <w:t>Жълт цвят:</w:t>
            </w:r>
            <w:r>
              <w:t xml:space="preserve"> </w:t>
            </w:r>
            <w:r>
              <w:rPr>
                <w:b/>
                <w:i/>
              </w:rPr>
              <w:t>CMYK 94, 63, 7, 1</w:t>
            </w:r>
          </w:p>
        </w:tc>
        <w:tc>
          <w:tcPr>
            <w:tcW w:w="4876" w:type="dxa"/>
          </w:tcPr>
          <w:p>
            <w:pPr>
              <w:pStyle w:val="Normal6a"/>
            </w:pPr>
            <w:r>
              <w:rPr>
                <w:b/>
                <w:i/>
              </w:rPr>
              <w:t>заличава се</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RGB 255, 237, 0</w:t>
            </w:r>
          </w:p>
        </w:tc>
        <w:tc>
          <w:tcPr>
            <w:tcW w:w="4876" w:type="dxa"/>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471</w:t>
      </w:r>
      <w:r>
        <w:rPr>
          <w:rStyle w:val="HideTWBExt"/>
        </w:rPr>
        <w:t>&lt;/NumAm&gt;</w:t>
      </w:r>
    </w:p>
    <w:p>
      <w:pPr>
        <w:pStyle w:val="NormalBold"/>
      </w:pPr>
      <w:r>
        <w:rPr>
          <w:rStyle w:val="HideTWBExt"/>
        </w:rPr>
        <w:t>&lt;RepeatBlock-By&gt;</w:t>
      </w:r>
      <w:r>
        <w:rPr>
          <w:rStyle w:val="HideTWBExt"/>
        </w:rPr>
        <w:t>&lt;Members&gt;</w:t>
      </w:r>
      <w:r>
        <w:t>Тоан Мандерс</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Приложение II – точка 3 – уводна част</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3.</w:t>
            </w:r>
            <w:r>
              <w:tab/>
            </w:r>
            <w:r>
              <w:t>Европейската карта за паркиране за хора с увреждания се разделя вертикално на две части както на лицевата, така и на обратната страна.</w:t>
            </w:r>
          </w:p>
        </w:tc>
        <w:tc>
          <w:tcPr>
            <w:tcW w:w="4876" w:type="dxa"/>
          </w:tcPr>
          <w:p>
            <w:pPr>
              <w:pStyle w:val="Normal6a"/>
            </w:pPr>
            <w:r>
              <w:t>3.</w:t>
            </w:r>
            <w:r>
              <w:tab/>
            </w:r>
            <w:r>
              <w:t xml:space="preserve">Европейската карта за паркиране за хора с увреждания </w:t>
            </w:r>
            <w:r>
              <w:rPr>
                <w:b/>
                <w:i/>
              </w:rPr>
              <w:t>и възрастни хора</w:t>
            </w:r>
            <w:r>
              <w:t xml:space="preserve"> се разделя вертикално на две части както на лицевата, така и на обратната страна.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472</w:t>
      </w:r>
      <w:r>
        <w:rPr>
          <w:rStyle w:val="HideTWBExt"/>
        </w:rPr>
        <w:t>&lt;/NumAm&gt;</w:t>
      </w:r>
    </w:p>
    <w:p>
      <w:pPr>
        <w:pStyle w:val="NormalBold"/>
      </w:pPr>
      <w:r>
        <w:rPr>
          <w:rStyle w:val="HideTWBExt"/>
        </w:rPr>
        <w:t>&lt;RepeatBlock-By&gt;</w:t>
      </w:r>
      <w:r>
        <w:rPr>
          <w:rStyle w:val="HideTWBExt"/>
        </w:rPr>
        <w:t>&lt;Members&gt;</w:t>
      </w:r>
      <w:r>
        <w:t>Ярослав Дуда</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Приложение II – точка 3 – точка а – тире 5 а (ново)</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w:t>
            </w:r>
            <w:r>
              <w:tab/>
            </w:r>
            <w:r>
              <w:rPr>
                <w:b/>
                <w:i/>
              </w:rPr>
              <w:t>думите „European Parking Card“ се изписват чрез брайлово писмо, като се използват размерите на код Marburg.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473</w:t>
      </w:r>
      <w:r>
        <w:rPr>
          <w:rStyle w:val="HideTWBExt"/>
        </w:rPr>
        <w:t>&lt;/NumAm&gt;</w:t>
      </w:r>
    </w:p>
    <w:p>
      <w:pPr>
        <w:pStyle w:val="NormalBold"/>
      </w:pPr>
      <w:r>
        <w:rPr>
          <w:rStyle w:val="HideTWBExt"/>
        </w:rPr>
        <w:t>&lt;RepeatBlock-By&gt;</w:t>
      </w:r>
      <w:r>
        <w:rPr>
          <w:rStyle w:val="HideTWBExt"/>
        </w:rPr>
        <w:t>&lt;Members&gt;</w:t>
      </w:r>
      <w:r>
        <w:t>Мириам Лексман</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Приложение II – точка 3 – буква б – тире 1</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w:t>
            </w:r>
            <w:r>
              <w:tab/>
            </w:r>
            <w:r>
              <w:t>с главни букви са написани думите „Европейска карта за паркиране за хора с увреждания“ на езика (езиците) на държавата членка, която я издава; на подходящо разстояние с малки букви същите думи са написани на другите езици на Европейския съюз;</w:t>
            </w:r>
          </w:p>
        </w:tc>
        <w:tc>
          <w:tcPr>
            <w:tcW w:w="4876" w:type="dxa"/>
          </w:tcPr>
          <w:p>
            <w:pPr>
              <w:pStyle w:val="Normal6a"/>
            </w:pPr>
            <w:r>
              <w:rPr>
                <w:b/>
                <w:i/>
              </w:rPr>
              <w:t>–</w:t>
            </w:r>
            <w:r>
              <w:tab/>
            </w:r>
            <w:r>
              <w:t xml:space="preserve">с главни букви са написани думите „Европейска карта за паркиране за хора с увреждания“ на езика (езиците) на държавата членка, която я издава; на подходящо разстояние с малки букви същите думи са написани на другите езици на Европейския съюз; </w:t>
            </w:r>
            <w:r>
              <w:rPr>
                <w:b/>
                <w:i/>
              </w:rPr>
              <w:t>Думите „European Parking Card“ се изписват чрез брайлово писмо, като се използват размерите на код Marburg.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474</w:t>
      </w:r>
      <w:r>
        <w:rPr>
          <w:rStyle w:val="HideTWBExt"/>
        </w:rPr>
        <w:t>&lt;/NumAm&gt;</w:t>
      </w:r>
    </w:p>
    <w:p>
      <w:pPr>
        <w:pStyle w:val="NormalBold"/>
      </w:pPr>
      <w:r>
        <w:rPr>
          <w:rStyle w:val="HideTWBExt"/>
        </w:rPr>
        <w:t>&lt;RepeatBlock-By&gt;</w:t>
      </w:r>
      <w:r>
        <w:rPr>
          <w:rStyle w:val="HideTWBExt"/>
        </w:rPr>
        <w:t>&lt;Members&gt;</w:t>
      </w:r>
      <w:r>
        <w:t>Жуан Албукерке, Даниела Рондинели, Марк Ангел, Милан Бръглез, Агнес Йонгериус, Орор Лалюк, Елизабета Гуалмини, Клара Добрев, Мариане Винд, Вилия Блинкевичуте, Алекс Аджус Салиба, Брандо Бенифеи, Илан Де Басо, Алисия Омс Хинел, Карина Олсон, Естреля Дура Ферандис</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Приложение II – точка 3 – буква б – тире 1</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w:t>
            </w:r>
            <w:r>
              <w:tab/>
            </w:r>
            <w:r>
              <w:t>с главни букви са написани думите „Европейска карта за паркиране за хора с увреждания“ на езика (езиците) на държавата членка, която я издава; на подходящо разстояние с малки букви същите думи са написани на другите езици на Европейския съюз;</w:t>
            </w:r>
          </w:p>
        </w:tc>
        <w:tc>
          <w:tcPr>
            <w:tcW w:w="4876" w:type="dxa"/>
          </w:tcPr>
          <w:p>
            <w:pPr>
              <w:pStyle w:val="Normal6a"/>
            </w:pPr>
            <w:r>
              <w:rPr>
                <w:b/>
                <w:i/>
              </w:rPr>
              <w:t>–</w:t>
            </w:r>
            <w:r>
              <w:tab/>
            </w:r>
            <w:r>
              <w:t>с главни букви са написани думите „Европейска карта за паркиране за хора с увреждания“ на езика (езиците) на държавата членка, която я издава</w:t>
            </w:r>
            <w:r>
              <w:rPr>
                <w:b/>
                <w:i/>
              </w:rPr>
              <w:t>, и чрез брайлово писмо, като се използват размерите на код Marburg</w:t>
            </w:r>
            <w:r>
              <w:t>; на подходящо разстояние с малки букви същите думи са написани на другите езици на Европейския съюз;</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475</w:t>
      </w:r>
      <w:r>
        <w:rPr>
          <w:rStyle w:val="HideTWBExt"/>
        </w:rPr>
        <w:t>&lt;/NumAm&gt;</w:t>
      </w:r>
    </w:p>
    <w:p>
      <w:pPr>
        <w:pStyle w:val="NormalBold"/>
      </w:pPr>
      <w:r>
        <w:rPr>
          <w:rStyle w:val="HideTWBExt"/>
        </w:rPr>
        <w:t>&lt;RepeatBlock-By&gt;</w:t>
      </w:r>
      <w:r>
        <w:rPr>
          <w:rStyle w:val="HideTWBExt"/>
        </w:rPr>
        <w:t>&lt;Members&gt;</w:t>
      </w:r>
      <w:r>
        <w:t>Тоан Мандерс</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Приложение II – точка 3 – буква б – тире 1</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w:t>
            </w:r>
            <w:r>
              <w:tab/>
            </w:r>
            <w:r>
              <w:t>с главни букви са написани думите „Европейска карта за паркиране за хора с увреждания“ на езика (езиците) на държавата членка, която я издава; на подходящо разстояние с малки букви същите думи са написани на другите езици на Европейския съюз;</w:t>
            </w:r>
          </w:p>
        </w:tc>
        <w:tc>
          <w:tcPr>
            <w:tcW w:w="4876" w:type="dxa"/>
          </w:tcPr>
          <w:p>
            <w:pPr>
              <w:pStyle w:val="Normal6a"/>
            </w:pPr>
            <w:r>
              <w:rPr>
                <w:b/>
                <w:i/>
              </w:rPr>
              <w:t>–</w:t>
            </w:r>
            <w:r>
              <w:tab/>
            </w:r>
            <w:r>
              <w:t xml:space="preserve">с главни букви са написани думите „Европейска карта за паркиране за хора с увреждания </w:t>
            </w:r>
            <w:r>
              <w:rPr>
                <w:b/>
                <w:i/>
              </w:rPr>
              <w:t>и възрастни хора</w:t>
            </w:r>
            <w:r>
              <w:t>“ на езика (езиците) на държавата членка, която я издава; на подходящо разстояние с малки букви същите думи са написани на другите езици на Европейския съюз;</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476</w:t>
      </w:r>
      <w:r>
        <w:rPr>
          <w:rStyle w:val="HideTWBExt"/>
        </w:rPr>
        <w:t>&lt;/NumAm&gt;</w:t>
      </w:r>
    </w:p>
    <w:p>
      <w:pPr>
        <w:pStyle w:val="NormalBold"/>
      </w:pPr>
      <w:r>
        <w:rPr>
          <w:rStyle w:val="HideTWBExt"/>
        </w:rPr>
        <w:t>&lt;RepeatBlock-By&gt;</w:t>
      </w:r>
      <w:r>
        <w:rPr>
          <w:rStyle w:val="HideTWBExt"/>
        </w:rPr>
        <w:t>&lt;Members&gt;</w:t>
      </w:r>
      <w:r>
        <w:t>Адам Коша</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Приложение II – точка 3 – буква б – тире 1</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w:t>
            </w:r>
            <w:r>
              <w:tab/>
            </w:r>
            <w:r>
              <w:t>с главни букви са написани думите „Европейска карта за паркиране за хора с увреждания“ на езика (езиците) на държавата членка, която я издава; на подходящо разстояние с малки букви същите думи са написани на другите езици на Европейския съюз;</w:t>
            </w:r>
          </w:p>
        </w:tc>
        <w:tc>
          <w:tcPr>
            <w:tcW w:w="4876" w:type="dxa"/>
          </w:tcPr>
          <w:p>
            <w:pPr>
              <w:pStyle w:val="Normal6a"/>
            </w:pPr>
            <w:r>
              <w:rPr>
                <w:b/>
                <w:i/>
              </w:rPr>
              <w:t>–</w:t>
            </w:r>
            <w:r>
              <w:tab/>
            </w:r>
            <w:r>
              <w:t>с главни букви са написани думите „Европейска карта за паркиране за хора с увреждания“ на езика (езиците) на държавата членка, която я издава</w:t>
            </w:r>
            <w:r>
              <w:rPr>
                <w:b/>
                <w:i/>
              </w:rPr>
              <w:t>, и чрез брайлово писмо</w:t>
            </w:r>
            <w:r>
              <w:t>; на подходящо разстояние с малки букви същите думи са написани на другите езици на Европейския съюз;</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477</w:t>
      </w:r>
      <w:r>
        <w:rPr>
          <w:rStyle w:val="HideTWBExt"/>
        </w:rPr>
        <w:t>&lt;/NumAm&gt;</w:t>
      </w:r>
    </w:p>
    <w:p>
      <w:pPr>
        <w:pStyle w:val="NormalBold"/>
      </w:pPr>
      <w:r>
        <w:rPr>
          <w:rStyle w:val="HideTWBExt"/>
        </w:rPr>
        <w:t>&lt;RepeatBlock-By&gt;</w:t>
      </w:r>
      <w:r>
        <w:rPr>
          <w:rStyle w:val="HideTWBExt"/>
        </w:rPr>
        <w:t>&lt;Members&gt;</w:t>
      </w:r>
      <w:r>
        <w:t>Елена Лици, Антонио Мария Риналди, Паола Гидони</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Приложение II – точка 3 – точка в – тире 7 а (ново)</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w:t>
            </w:r>
            <w:r>
              <w:tab/>
            </w:r>
            <w:r>
              <w:rPr>
                <w:b/>
                <w:i/>
              </w:rPr>
              <w:t>Втори идентификационен номер на картата</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Обосновка</w:t>
      </w:r>
      <w:r>
        <w:rPr>
          <w:rStyle w:val="HideTWBExt"/>
        </w:rPr>
        <w:t>&lt;/TitreJust&gt;</w:t>
      </w:r>
    </w:p>
    <w:p>
      <w:pPr>
        <w:pStyle w:val="AmJustText"/>
      </w:pPr>
      <w:r>
        <w:t>Предлагаме да се добави нова точка, указваща незадължително поле, което се използва, когато държавата членка използва допълнителен идентификационен номер на документа.</w:t>
      </w:r>
    </w:p>
    <w:p>
      <w:r>
        <w:rPr>
          <w:rStyle w:val="HideTWBExt"/>
        </w:rPr>
        <w:t>&lt;/Amend&gt;</w:t>
      </w:r>
    </w:p>
    <w:p>
      <w:pPr>
        <w:pStyle w:val="AmNumberTabs"/>
      </w:pPr>
      <w:r>
        <w:rPr>
          <w:rStyle w:val="HideTWBExt"/>
        </w:rPr>
        <w:t>&lt;Amend&gt;</w:t>
      </w:r>
      <w:r>
        <w:t>Изменение</w:t>
      </w:r>
      <w:r>
        <w:tab/>
      </w:r>
      <w:r>
        <w:tab/>
      </w:r>
      <w:r>
        <w:rPr>
          <w:rStyle w:val="HideTWBExt"/>
        </w:rPr>
        <w:t>&lt;NumAm&gt;</w:t>
      </w:r>
      <w:r>
        <w:t>478</w:t>
      </w:r>
      <w:r>
        <w:rPr>
          <w:rStyle w:val="HideTWBExt"/>
        </w:rPr>
        <w:t>&lt;/NumAm&gt;</w:t>
      </w:r>
    </w:p>
    <w:p>
      <w:pPr>
        <w:pStyle w:val="NormalBold"/>
      </w:pPr>
      <w:r>
        <w:rPr>
          <w:rStyle w:val="HideTWBExt"/>
        </w:rPr>
        <w:t>&lt;RepeatBlock-By&gt;</w:t>
      </w:r>
      <w:r>
        <w:rPr>
          <w:rStyle w:val="HideTWBExt"/>
        </w:rPr>
        <w:t>&lt;Members&gt;</w:t>
      </w:r>
      <w:r>
        <w:t>Тоан Мандерс</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Приложение II – точка 3 – буква г – тире 1</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w:t>
            </w:r>
            <w:r>
              <w:tab/>
            </w:r>
            <w:r>
              <w:t>изявлението: „Тази карта дава право на притежателя си да ползва условията и съоръженията за паркиране, запазени за лицата с увреждания в съответната държава членка“;</w:t>
            </w:r>
          </w:p>
        </w:tc>
        <w:tc>
          <w:tcPr>
            <w:tcW w:w="4876" w:type="dxa"/>
          </w:tcPr>
          <w:p>
            <w:pPr>
              <w:pStyle w:val="Normal6a"/>
            </w:pPr>
            <w:r>
              <w:rPr>
                <w:b/>
                <w:i/>
              </w:rPr>
              <w:t>–</w:t>
            </w:r>
            <w:r>
              <w:tab/>
            </w:r>
            <w:r>
              <w:t xml:space="preserve">изявлението: „Тази карта дава право на притежателя си да ползва условията и съоръженията за паркиране, запазени за лицата с увреждания </w:t>
            </w:r>
            <w:r>
              <w:rPr>
                <w:b/>
                <w:i/>
              </w:rPr>
              <w:t>и възрастните хора</w:t>
            </w:r>
            <w:r>
              <w:t xml:space="preserve"> в съответната държава членка“;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479</w:t>
      </w:r>
      <w:r>
        <w:rPr>
          <w:rStyle w:val="HideTWBExt"/>
        </w:rPr>
        <w:t>&lt;/NumAm&gt;</w:t>
      </w:r>
    </w:p>
    <w:p>
      <w:pPr>
        <w:pStyle w:val="NormalBold"/>
      </w:pPr>
      <w:r>
        <w:rPr>
          <w:rStyle w:val="HideTWBExt"/>
        </w:rPr>
        <w:t>&lt;RepeatBlock-By&gt;</w:t>
      </w:r>
      <w:r>
        <w:rPr>
          <w:rStyle w:val="HideTWBExt"/>
        </w:rPr>
        <w:t>&lt;Members&gt;</w:t>
      </w:r>
      <w:r>
        <w:t>Елена Лици, Антонио Мария Риналди, Паола Гидони</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Приложение IІ – точка 5 а (нова)</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5а.</w:t>
            </w:r>
            <w:r>
              <w:tab/>
            </w:r>
            <w:r>
              <w:rPr>
                <w:b/>
                <w:i/>
              </w:rPr>
              <w:t>Материали.</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За да се гарантира, че данните са надлежно защитени от опити за фалшифициране или промяна с цел измама, настоятелно се препоръчва да се използват материали, осигуряващи защита, с елементи срещу фалшифициране.</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Пример 1:</w:t>
            </w:r>
            <w:r>
              <w:rPr>
                <w:b/>
                <w:i/>
              </w:rPr>
              <w:t>Защитена хартия с воден знак и защитни влакна.</w:t>
            </w:r>
            <w:r>
              <w:rPr>
                <w:b/>
                <w:i/>
              </w:rPr>
              <w:t>Холографски елемент или еквивалентен защитен елемент.</w:t>
            </w:r>
            <w:r>
              <w:rPr>
                <w:b/>
                <w:i/>
              </w:rPr>
              <w:t>За да се защити документът, може да се добави ламиниране.</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Пример 2:</w:t>
            </w:r>
            <w:r>
              <w:t xml:space="preserve"> </w:t>
            </w:r>
            <w:r>
              <w:rPr>
                <w:b/>
                <w:i/>
              </w:rPr>
              <w:t>Поликарбонат или еквивалентен материал.</w:t>
            </w:r>
            <w:r>
              <w:t xml:space="preserve"> </w:t>
            </w:r>
            <w:r>
              <w:rPr>
                <w:b/>
                <w:i/>
              </w:rPr>
              <w:t>В този случай, за да се гарантира, че данните са надлежно защитени от опити за фалшифициране или промяна с цел измама, настоятелно се препоръчва биографичните данни, включително снимката и основните данни на издаване, да бъдат интегрирани в основния материал на документа.</w:t>
            </w:r>
            <w:r>
              <w:t xml:space="preserve"> </w:t>
            </w:r>
            <w:r>
              <w:rPr>
                <w:b/>
                <w:i/>
              </w:rPr>
              <w:t>Холографският елемент или еквивалентният защитен елемент могат да бъдат интегрирани в структурата на документа.</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Обосновка</w:t>
      </w:r>
      <w:r>
        <w:rPr>
          <w:rStyle w:val="HideTWBExt"/>
        </w:rPr>
        <w:t>&lt;/TitreJust&gt;</w:t>
      </w:r>
    </w:p>
    <w:p>
      <w:pPr>
        <w:pStyle w:val="AmJustText"/>
      </w:pPr>
      <w:r>
        <w:t>Предложението е материалите, осигуряващи защита, да бъдат изрично описани в този раздел.</w:t>
      </w:r>
    </w:p>
    <w:p>
      <w:r>
        <w:rPr>
          <w:rStyle w:val="HideTWBExt"/>
        </w:rPr>
        <w:t>&lt;/Amend&gt;</w:t>
      </w:r>
    </w:p>
    <w:p>
      <w:pPr>
        <w:pStyle w:val="AmNumberTabs"/>
      </w:pPr>
      <w:r>
        <w:rPr>
          <w:rStyle w:val="HideTWBExt"/>
        </w:rPr>
        <w:t>&lt;Amend&gt;</w:t>
      </w:r>
      <w:r>
        <w:t>Изменение</w:t>
      </w:r>
      <w:r>
        <w:tab/>
      </w:r>
      <w:r>
        <w:tab/>
      </w:r>
      <w:r>
        <w:rPr>
          <w:rStyle w:val="HideTWBExt"/>
        </w:rPr>
        <w:t>&lt;NumAm&gt;</w:t>
      </w:r>
      <w:r>
        <w:t>480</w:t>
      </w:r>
      <w:r>
        <w:rPr>
          <w:rStyle w:val="HideTWBExt"/>
        </w:rPr>
        <w:t>&lt;/NumAm&gt;</w:t>
      </w:r>
    </w:p>
    <w:p>
      <w:pPr>
        <w:pStyle w:val="NormalBold"/>
      </w:pPr>
      <w:r>
        <w:rPr>
          <w:rStyle w:val="HideTWBExt"/>
        </w:rPr>
        <w:t>&lt;RepeatBlock-By&gt;</w:t>
      </w:r>
      <w:r>
        <w:rPr>
          <w:rStyle w:val="HideTWBExt"/>
        </w:rPr>
        <w:t>&lt;Members&gt;</w:t>
      </w:r>
      <w:r>
        <w:t>Жуан Албукерке, Даниела Рондинели, Марк Ангел, Милан Бръглез, Агнес Йонгериус, Орор Лалюк, Елизабета Гуалмини, Клара Добрев, Мариане Винд, Вилия Блинкевичуте, Алекс Аджус Салиба, Брандо Бенифеи, Илан Де Басо, Алисия Омс Хинел, Карина Олсон, Естреля Дура Ферандис</w:t>
      </w:r>
      <w:r>
        <w:rPr>
          <w:rStyle w:val="HideTWBExt"/>
        </w:rPr>
        <w:t>&lt;/Members&gt;</w:t>
      </w:r>
    </w:p>
    <w:p>
      <w:pPr>
        <w:pStyle w:val="NormalBold"/>
      </w:pPr>
      <w:r>
        <w:rPr>
          <w:rStyle w:val="HideTWBExt"/>
        </w:rPr>
        <w:t>&lt;/RepeatBlock-By&gt;</w:t>
      </w:r>
    </w:p>
    <w:p>
      <w:pPr>
        <w:pStyle w:val="NormalBold"/>
      </w:pPr>
      <w:r>
        <w:rPr>
          <w:rStyle w:val="HideTWBExt"/>
        </w:rPr>
        <w:t>&lt;DocAmend&gt;</w:t>
      </w:r>
      <w:r>
        <w:t>Предложение за директива</w:t>
      </w:r>
      <w:r>
        <w:rPr>
          <w:rStyle w:val="HideTWBExt"/>
        </w:rPr>
        <w:t>&lt;/DocAmend&gt;</w:t>
      </w:r>
    </w:p>
    <w:p>
      <w:pPr>
        <w:pStyle w:val="NormalBold"/>
      </w:pPr>
      <w:r>
        <w:rPr>
          <w:rStyle w:val="HideTWBExt"/>
        </w:rPr>
        <w:t>&lt;Article&gt;</w:t>
      </w:r>
      <w:r>
        <w:t>Приложение ІI a (ново)</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Картата има QR код, съдържащ всички данни, включени в картата, в достъпен формат, надлежно определен и обозначен с релефен печат, който е в пълно съответствие със законодателството за защита на данните.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r>
        <w:rPr>
          <w:rStyle w:val="HideTWBExt"/>
        </w:rPr>
        <w:t>&lt;/RepeatBlock-Amend&gt;</w:t>
      </w:r>
    </w:p>
    <w:sectPr>
      <w:footerReference w:type="even" r:id="rId5"/>
      <w:footerReference w:type="default" r:id="rId6"/>
      <w:footerReference w:type="first" r:id="rId7"/>
      <w:pgSz w:w="11909" w:h="16834"/>
      <w:pgMar w:top="1134" w:right="1417" w:bottom="1417" w:left="1417" w:header="1134" w:footer="567"/>
      <w:cols w:space="720"/>
      <w:titlePg/>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&lt;NoPE&gt;</w:t>
    </w:r>
    <w:r>
      <w:t>756.072</w:t>
    </w:r>
    <w:r>
      <w:rPr>
        <w:rStyle w:val="HideTWBExt"/>
      </w:rPr>
      <w:t>&lt;/NoPE&gt;</w:t>
    </w:r>
    <w:r>
      <w:rPr>
        <w:rStyle w:val="HideTWBExt"/>
      </w:rPr>
      <w:t>&lt;Version&gt;</w:t>
    </w:r>
    <w:r>
      <w:t>v01-00</w:t>
    </w:r>
    <w:r>
      <w:rPr>
        <w:rStyle w:val="HideTWBExt"/>
      </w:rPr>
      <w:t>&lt;/Version&gt;</w:t>
    </w:r>
    <w:r>
      <w:tab/>
    </w:r>
    <w:r>
      <w:fldChar w:fldCharType="begin"/>
    </w:r>
    <w:r>
      <w:instrText xml:space="preserve"> PAGE </w:instrText>
    </w:r>
    <w:r>
      <w:fldChar w:fldCharType="separate"/>
    </w:r>
    <w:r>
      <w:t>56</w:t>
    </w:r>
    <w:r>
      <w:fldChar w:fldCharType="end"/>
    </w:r>
    <w:r>
      <w:t>/</w:t>
    </w:r>
    <w:r>
      <w:fldChar w:fldCharType="begin"/>
    </w:r>
    <w:r>
      <w:instrText xml:space="preserve"> NUMPAGES </w:instrText>
    </w:r>
    <w:r>
      <w:fldChar w:fldCharType="separate"/>
    </w:r>
    <w:r>
      <w:t>56</w:t>
    </w:r>
    <w:r>
      <w:fldChar w:fldCharType="end"/>
    </w:r>
    <w:r>
      <w:tab/>
    </w:r>
    <w:r>
      <w:rPr>
        <w:rStyle w:val="HideTWBExt"/>
      </w:rPr>
      <w:t>&lt;PathFdR&gt;</w:t>
    </w:r>
    <w:r>
      <w:t>AM\1289917BG.docx</w:t>
    </w:r>
    <w:r>
      <w:rPr>
        <w:rStyle w:val="HideTWBExt"/>
      </w:rPr>
      <w:t>&lt;/PathFdR&gt;</w:t>
    </w:r>
  </w:p>
  <w:p>
    <w:pPr>
      <w:pStyle w:val="EPFooter2"/>
    </w:pPr>
    <w:r>
      <w:t>BG</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AM\1289917BG.docx</w:t>
    </w:r>
    <w:r>
      <w:rPr>
        <w:rStyle w:val="HideTWBExt"/>
      </w:rPr>
      <w:t>&lt;/PathFdR&gt;</w:t>
    </w:r>
    <w:r>
      <w:tab/>
    </w:r>
    <w:r>
      <w:fldChar w:fldCharType="begin"/>
    </w:r>
    <w:r>
      <w:instrText xml:space="preserve"> PAGE </w:instrText>
    </w:r>
    <w:r>
      <w:fldChar w:fldCharType="separate"/>
    </w:r>
    <w:r>
      <w:t>55</w:t>
    </w:r>
    <w:r>
      <w:fldChar w:fldCharType="end"/>
    </w:r>
    <w:r>
      <w:t>/</w:t>
    </w:r>
    <w:r>
      <w:fldChar w:fldCharType="begin"/>
    </w:r>
    <w:r>
      <w:instrText xml:space="preserve"> NUMPAGES </w:instrText>
    </w:r>
    <w:r>
      <w:fldChar w:fldCharType="separate"/>
    </w:r>
    <w:r>
      <w:t>56</w:t>
    </w:r>
    <w:r>
      <w:fldChar w:fldCharType="end"/>
    </w:r>
    <w:r>
      <w:tab/>
    </w:r>
    <w:r>
      <w:t>PE</w:t>
    </w:r>
    <w:r>
      <w:rPr>
        <w:rStyle w:val="HideTWBExt"/>
      </w:rPr>
      <w:t>&lt;NoPE&gt;</w:t>
    </w:r>
    <w:r>
      <w:t>756.072</w:t>
    </w:r>
    <w:r>
      <w:rPr>
        <w:rStyle w:val="HideTWBExt"/>
      </w:rPr>
      <w:t>&lt;/NoPE&gt;</w:t>
    </w:r>
    <w:r>
      <w:rPr>
        <w:rStyle w:val="HideTWBExt"/>
      </w:rPr>
      <w:t>&lt;Version&gt;</w:t>
    </w:r>
    <w:r>
      <w:t>v01-00</w:t>
    </w:r>
    <w:r>
      <w:rPr>
        <w:rStyle w:val="HideTWBExt"/>
      </w:rPr>
      <w:t>&lt;/Version&gt;</w:t>
    </w:r>
  </w:p>
  <w:p>
    <w:pPr>
      <w:pStyle w:val="EPFooter2"/>
    </w:pPr>
    <w:r>
      <w:tab/>
    </w:r>
    <w:r>
      <w:tab/>
    </w:r>
    <w:r>
      <w:t>BG</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AM\1289917BG.docx</w:t>
    </w:r>
    <w:r>
      <w:rPr>
        <w:rStyle w:val="HideTWBExt"/>
      </w:rPr>
      <w:t>&lt;/PathFdR&gt;</w:t>
    </w:r>
    <w:r>
      <w:tab/>
    </w:r>
    <w:r>
      <w:tab/>
    </w:r>
    <w:r>
      <w:t>PE</w:t>
    </w:r>
    <w:r>
      <w:rPr>
        <w:rStyle w:val="HideTWBExt"/>
      </w:rPr>
      <w:t>&lt;NoPE&gt;</w:t>
    </w:r>
    <w:r>
      <w:t>756.072</w:t>
    </w:r>
    <w:r>
      <w:rPr>
        <w:rStyle w:val="HideTWBExt"/>
      </w:rPr>
      <w:t>&lt;/NoPE&gt;</w:t>
    </w:r>
    <w:r>
      <w:rPr>
        <w:rStyle w:val="HideTWBExt"/>
      </w:rPr>
      <w:t>&lt;Version&gt;</w:t>
    </w:r>
    <w:r>
      <w:t>v01-00</w:t>
    </w:r>
    <w:r>
      <w:rPr>
        <w:rStyle w:val="HideTWBExt"/>
      </w:rPr>
      <w:t>&lt;/Version&gt;</w:t>
    </w:r>
  </w:p>
  <w:p>
    <w:pPr>
      <w:pStyle w:val="EPFooter2"/>
    </w:pPr>
    <w:r>
      <w:t>BG</w:t>
    </w:r>
    <w:r>
      <w:tab/>
    </w:r>
    <w:r>
      <w:rPr>
        <w:rStyle w:val="EPFooter2Motto"/>
      </w:rPr>
      <w:t>Единство в многообразието</w:t>
    </w:r>
    <w:r>
      <w:tab/>
    </w:r>
    <w:r>
      <w:t>BG</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evenAndOddHeaders/>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EPName">
    <w:name w:val="EPName"/>
    <w:basedOn w:val="Normal"/>
    <w:pPr>
      <w:widowControl w:val="0"/>
      <w:spacing w:before="80" w:after="80"/>
    </w:pPr>
    <w:rPr>
      <w:rFonts w:ascii="Arial Narrow" w:eastAsia="Arial" w:hAnsi="Arial Narrow" w:cs="Arial"/>
      <w:b/>
      <w:sz w:val="32"/>
    </w:rPr>
  </w:style>
  <w:style w:type="paragraph" w:customStyle="1" w:styleId="CoverNormal24a">
    <w:name w:val="CoverNormal24a"/>
    <w:basedOn w:val="Normal"/>
    <w:pPr>
      <w:widowControl w:val="0"/>
      <w:spacing w:after="480"/>
      <w:ind w:left="1416"/>
    </w:pPr>
  </w:style>
  <w:style w:type="paragraph" w:customStyle="1" w:styleId="CoverNormal">
    <w:name w:val="CoverNormal"/>
    <w:basedOn w:val="Normal"/>
    <w:pPr>
      <w:widowControl w:val="0"/>
      <w:ind w:left="1418"/>
    </w:pPr>
  </w:style>
  <w:style w:type="paragraph" w:customStyle="1" w:styleId="CoverReference">
    <w:name w:val="CoverReference"/>
    <w:basedOn w:val="Normal"/>
    <w:pPr>
      <w:widowControl w:val="0"/>
      <w:spacing w:before="1080"/>
      <w:jc w:val="right"/>
    </w:pPr>
    <w:rPr>
      <w:rFonts w:ascii="Arial" w:eastAsia="Arial" w:hAnsi="Arial" w:cs="Arial"/>
      <w:b/>
    </w:rPr>
  </w:style>
  <w:style w:type="paragraph" w:customStyle="1" w:styleId="CoverDocType">
    <w:name w:val="CoverDocType"/>
    <w:basedOn w:val="Normal"/>
    <w:pPr>
      <w:widowControl w:val="0"/>
      <w:ind w:left="1418"/>
    </w:pPr>
    <w:rPr>
      <w:rFonts w:ascii="Arial" w:hAnsi="Arial"/>
      <w:b/>
      <w:sz w:val="48"/>
    </w:rPr>
  </w:style>
  <w:style w:type="paragraph" w:customStyle="1" w:styleId="CoverDate">
    <w:name w:val="CoverDate"/>
    <w:basedOn w:val="Normal"/>
    <w:pPr>
      <w:widowControl w:val="0"/>
      <w:spacing w:before="240" w:after="1200"/>
    </w:pPr>
  </w:style>
  <w:style w:type="paragraph" w:customStyle="1" w:styleId="CoverDocType24a">
    <w:name w:val="CoverDocType24a"/>
    <w:basedOn w:val="Normal"/>
    <w:pPr>
      <w:widowControl w:val="0"/>
      <w:spacing w:after="480"/>
      <w:ind w:left="1416"/>
    </w:pPr>
    <w:rPr>
      <w:rFonts w:ascii="Arial" w:eastAsia="Arial" w:hAnsi="Arial" w:cs="Arial"/>
      <w:b/>
      <w:sz w:val="48"/>
    </w:rPr>
  </w:style>
  <w:style w:type="paragraph" w:customStyle="1" w:styleId="EPBody">
    <w:name w:val="EPBody"/>
    <w:basedOn w:val="Normal"/>
    <w:pPr>
      <w:widowControl w:val="0"/>
      <w:jc w:val="center"/>
    </w:pPr>
    <w:rPr>
      <w:rFonts w:ascii="Arial" w:eastAsia="Arial" w:hAnsi="Arial" w:cs="Arial"/>
      <w:i/>
      <w:sz w:val="22"/>
    </w:rPr>
  </w:style>
  <w:style w:type="paragraph" w:customStyle="1" w:styleId="CoverBold">
    <w:name w:val="CoverBold"/>
    <w:basedOn w:val="Normal"/>
    <w:pPr>
      <w:widowControl w:val="0"/>
      <w:ind w:left="1416"/>
    </w:pPr>
    <w:rPr>
      <w:b/>
    </w:rPr>
  </w:style>
  <w:style w:type="paragraph" w:customStyle="1" w:styleId="LineTop">
    <w:name w:val="LineTop"/>
    <w:basedOn w:val="Normal"/>
    <w:next w:val="Normal"/>
    <w:pPr>
      <w:widowControl w:val="0"/>
      <w:pBdr>
        <w:top w:val="single" w:sz="4" w:space="1" w:color="000000"/>
      </w:pBdr>
      <w:jc w:val="center"/>
    </w:pPr>
    <w:rPr>
      <w:rFonts w:ascii="Arial" w:eastAsia="Arial" w:hAnsi="Arial" w:cs="Arial"/>
      <w:sz w:val="16"/>
    </w:rPr>
  </w:style>
  <w:style w:type="paragraph" w:customStyle="1" w:styleId="LineBottom">
    <w:name w:val="LineBottom"/>
    <w:basedOn w:val="Normal"/>
    <w:next w:val="Normal"/>
    <w:pPr>
      <w:widowControl w:val="0"/>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val="0"/>
      <w:spacing w:after="80"/>
    </w:pPr>
    <w:rPr>
      <w:rFonts w:ascii="Arial" w:eastAsia="Arial" w:hAnsi="Arial" w:cs="Arial"/>
      <w:sz w:val="20"/>
    </w:rPr>
  </w:style>
  <w:style w:type="paragraph" w:customStyle="1" w:styleId="EPLogo">
    <w:name w:val="EPLogo"/>
    <w:basedOn w:val="Normal"/>
    <w:pPr>
      <w:widowControl w:val="0"/>
      <w:jc w:val="right"/>
    </w:p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4"/>
        <w:tab w:val="right" w:pos="9920"/>
      </w:tabs>
      <w:ind w:left="-840" w:right="-84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val="0"/>
    </w:pPr>
    <w:rPr>
      <w:b/>
    </w:rPr>
  </w:style>
  <w:style w:type="paragraph" w:customStyle="1" w:styleId="AmOrLang">
    <w:name w:val="AmOrLang"/>
    <w:basedOn w:val="Normal"/>
    <w:pPr>
      <w:widowControl w:val="0"/>
      <w:spacing w:before="240" w:after="240"/>
      <w:jc w:val="right"/>
    </w:pPr>
  </w:style>
  <w:style w:type="paragraph" w:customStyle="1" w:styleId="Normal6a">
    <w:name w:val="Normal6a"/>
    <w:basedOn w:val="Normal"/>
    <w:pPr>
      <w:widowControl w:val="0"/>
      <w:spacing w:after="120"/>
    </w:pPr>
  </w:style>
  <w:style w:type="paragraph" w:customStyle="1" w:styleId="AmCrossRef">
    <w:name w:val="AmCrossRef"/>
    <w:basedOn w:val="Normal"/>
    <w:pPr>
      <w:widowControl w:val="0"/>
      <w:spacing w:before="240" w:after="240"/>
      <w:jc w:val="center"/>
    </w:pPr>
    <w:rPr>
      <w:i/>
    </w:rPr>
  </w:style>
  <w:style w:type="paragraph" w:customStyle="1" w:styleId="AmJustTitle">
    <w:name w:val="AmJustTitle"/>
    <w:basedOn w:val="Normal"/>
    <w:next w:val="AmJustText"/>
    <w:pPr>
      <w:keepNext/>
      <w:widowControl w:val="0"/>
      <w:spacing w:before="240" w:after="240"/>
      <w:jc w:val="center"/>
    </w:pPr>
    <w:rPr>
      <w:i/>
    </w:rPr>
  </w:style>
  <w:style w:type="paragraph" w:customStyle="1" w:styleId="AmColumnHeading">
    <w:name w:val="AmColumnHeading"/>
    <w:basedOn w:val="Normal"/>
    <w:pPr>
      <w:widowControl w:val="0"/>
      <w:spacing w:after="240"/>
      <w:jc w:val="center"/>
    </w:pPr>
    <w:rPr>
      <w:i/>
    </w:rPr>
  </w:style>
  <w:style w:type="paragraph" w:customStyle="1" w:styleId="AmJustText">
    <w:name w:val="AmJustText"/>
    <w:basedOn w:val="Normal"/>
    <w:pPr>
      <w:widowControl w:val="0"/>
      <w:spacing w:after="240"/>
    </w:pPr>
    <w:rPr>
      <w:i/>
    </w:rPr>
  </w:style>
  <w:style w:type="paragraph" w:customStyle="1" w:styleId="AmNumberTabs">
    <w:name w:val="AmNumberTabs"/>
    <w:basedOn w:val="Normal"/>
    <w:pPr>
      <w:widowControl w:val="0"/>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val="0"/>
      <w:tabs>
        <w:tab w:val="center" w:pos="4534"/>
        <w:tab w:val="right" w:pos="9070"/>
      </w:tabs>
      <w:spacing w:before="240" w:after="240"/>
    </w:pPr>
    <w:rPr>
      <w:sz w:val="22"/>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pPr>
      <w:widowControl w:val="0"/>
    </w:pPr>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clear" w:color="0000BF" w:fill="0000BF"/>
    </w:rPr>
  </w:style>
  <w:style w:type="paragraph" w:customStyle="1" w:styleId="PMissingStyle">
    <w:name w:val="P_MissingStyle"/>
    <w:basedOn w:val="Normal"/>
    <w:pPr>
      <w:widowControl w:val="0"/>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val="0"/>
      <w:spacing w:after="24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56</Pages>
  <Words>10838</Words>
  <Characters>63391</Characters>
  <Application>Microsoft Office Word</Application>
  <DocSecurity>0</DocSecurity>
  <Lines>1</Lines>
  <Paragraphs>1041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73460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BG</vt:lpwstr>
  </property>
  <property fmtid="{D5CDD505-2E9C-101B-9397-08002B2CF9AE}" pid="3" name="&lt;FdR&gt;">
    <vt:lpwstr>1289917</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35839</vt:lpwstr>
  </property>
  <property fmtid="{D5CDD505-2E9C-101B-9397-08002B2CF9AE}" pid="7" name="dmxml.render.traceId">
    <vt:lpwstr>6565c001ec1cc5eb641234a53b820aa0</vt:lpwstr>
  </property>
  <property fmtid="{D5CDD505-2E9C-101B-9397-08002B2CF9AE}" pid="8" name="FooterPath">
    <vt:lpwstr>AM\1289917BG.docx</vt:lpwstr>
  </property>
  <property fmtid="{D5CDD505-2E9C-101B-9397-08002B2CF9AE}" pid="9" name="PE Number">
    <vt:lpwstr>756.072</vt:lpwstr>
  </property>
  <property fmtid="{D5CDD505-2E9C-101B-9397-08002B2CF9AE}" pid="10" name="UID">
    <vt:lpwstr>eu.europa.europarl-DIN1-2023-0000149720_02.00-bg-01.00_text-xml</vt:lpwstr>
  </property>
</Properties>
</file>