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10. 11. 2023</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Zavedení evropského průkazu osob se zdravotním postižením a evropské parkovací karty pro osoby se zdravotním postižením</w:t>
      </w:r>
      <w:r>
        <w:rPr>
          <w:rStyle w:val="HideTWBExt"/>
        </w:rPr>
        <w:t>&lt;/Titre&gt;</w:t>
      </w:r>
    </w:p>
    <w:p>
      <w:pPr>
        <w:pStyle w:val="CoverNormal"/>
      </w:pPr>
      <w:r>
        <w:rPr>
          <w:rStyle w:val="HideTWBExt"/>
        </w:rPr>
        <w:t>&lt;DocAmend&gt;</w:t>
      </w:r>
      <w:r>
        <w:t>Návrh směrnice</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Komise zajistí, aby členské státy měly k dispozici odpovídající finanční prostředky na pokrytí nákladů souvisejících s povinností poskytovat informace a zvyšovat povědomí podle tohoto článku a článku 15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Členské státy přijmou veškerá nezbytná opatření, aby zabránily riziku padělání nebo podvodu, a aktivně bojují proti podvodnému používání a padělání evropského průkazu osob se zdravotním postižením a evropské parkovací karty pro osoby se zdravotním postižením.</w:t>
            </w:r>
          </w:p>
        </w:tc>
        <w:tc>
          <w:tcPr>
            <w:tcW w:w="4876" w:type="dxa"/>
          </w:tcPr>
          <w:p>
            <w:pPr>
              <w:pStyle w:val="Normal6a"/>
            </w:pPr>
            <w:r>
              <w:t>3.</w:t>
            </w:r>
            <w:r>
              <w:tab/>
            </w:r>
            <w:r>
              <w:t>Členské státy přijmou veškerá nezbytná opatření, aby zabránily riziku padělání nebo podvodu, a aktivně bojují proti podvodnému používání a padělání evropského průkazu osob se zdravotním postižením a evropské parkovací karty pro osoby se zdravotním postižením</w:t>
            </w:r>
            <w:r>
              <w:rPr>
                <w:b/>
                <w:i/>
              </w:rPr>
              <w:t>, aniž by tím pro osoby se zdravotním postižením ohrozily přístup k této kartě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Členské státy přijmou veškerá nezbytná opatření, aby zabránily riziku padělání nebo podvodu, a aktivně bojují proti podvodnému používání a padělání evropského průkazu osob se zdravotním postižením a evropské parkovací karty pro osoby se zdravotním postižením.</w:t>
            </w:r>
          </w:p>
        </w:tc>
        <w:tc>
          <w:tcPr>
            <w:tcW w:w="4876" w:type="dxa"/>
          </w:tcPr>
          <w:p>
            <w:pPr>
              <w:pStyle w:val="Normal6a"/>
            </w:pPr>
            <w:r>
              <w:t>3.</w:t>
            </w:r>
            <w:r>
              <w:tab/>
            </w:r>
            <w:r>
              <w:t xml:space="preserve">Členské státy přijmou veškerá nezbytná opatření, aby zabránily riziku padělání nebo podvodu, a aktivně bojují proti podvodnému používání a padělání evropského průkazu osob se zdravotním postižením a </w:t>
            </w:r>
            <w:r>
              <w:rPr>
                <w:b/>
                <w:i/>
              </w:rPr>
              <w:t>seniorů a</w:t>
            </w:r>
            <w:r>
              <w:t xml:space="preserve"> evropské parkovací karty pro osoby se zdravotním postižením </w:t>
            </w:r>
            <w:r>
              <w:rPr>
                <w:b/>
                <w:i/>
              </w:rPr>
              <w:t>a seniory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Kromě toho by evropské orgány měly průběžně šířit informace a zajistit odbornou přípravu týkající se evropského průkazu osob se zdravotním postižením, a to prostřednictvím následných vzdělávacích a osvětových kampaní o jeho používání, ve formátech zajišťujících všeobecnou přístupnost a za účasti osob se zdravotním postižením a organizací, které je zastupují.</w:t>
            </w:r>
            <w:r>
              <w:t xml:space="preserve"> </w:t>
            </w:r>
            <w:r>
              <w:rPr>
                <w:b/>
                <w:i/>
              </w:rPr>
              <w:t>Tyto informace by měly jasně zahrnovat dobrovolnou povahu průkazu.</w:t>
            </w:r>
            <w:r>
              <w:t xml:space="preserve"> </w:t>
            </w:r>
            <w:r>
              <w:rPr>
                <w:b/>
                <w:i/>
              </w:rPr>
              <w:t>Pro tento účel by měly být v rámci Unie poskytnuty zvláštní položky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Členské státy zajistí, aby podvody s veřejnými prostředky, zejména v oblasti sociálních dávek, byly neprodleně a důkladně vyšetřeny a případně stíhány, aby bylo zajištěno řádné fungování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Členské státy přijmou nezbytná opatření, aby zajistily, že držitelé evropského průkazu osob se zdravotním postižením nebo evropské parkovací karty pro osoby se zdravotním postižením vrátí své průkazy/karty příslušnému orgánu, jakmile přestanou platit podmínky, za kterých byly tyto doklady vydány.</w:t>
            </w:r>
          </w:p>
        </w:tc>
        <w:tc>
          <w:tcPr>
            <w:tcW w:w="4876" w:type="dxa"/>
          </w:tcPr>
          <w:p>
            <w:pPr>
              <w:pStyle w:val="Normal6a"/>
            </w:pPr>
            <w:r>
              <w:t>4.</w:t>
            </w:r>
            <w:r>
              <w:tab/>
            </w:r>
            <w:r>
              <w:t xml:space="preserve">Členské státy přijmou nezbytná opatření, aby zajistily, že držitelé evropského průkazu osob se zdravotním postižením </w:t>
            </w:r>
            <w:r>
              <w:rPr>
                <w:b/>
                <w:i/>
              </w:rPr>
              <w:t>a seniorů</w:t>
            </w:r>
            <w:r>
              <w:t xml:space="preserve"> nebo evropské parkovací karty pro osoby se zdravotním postižením </w:t>
            </w:r>
            <w:r>
              <w:rPr>
                <w:b/>
                <w:i/>
              </w:rPr>
              <w:t>a seniory</w:t>
            </w:r>
            <w:r>
              <w:t xml:space="preserve"> vrátí své průkazy/karty příslušnému orgánu, jakmile přestanou platit podmínky, za kterých byly tyto doklady vydány.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Členské státy přijmou nezbytná opatření k zajištění toho, aby v případě, že se na jejich území vyskytnou případy zneužití průkazů/karet vydaných jiným členským státem, byly informovány příslušné orgány členského státu, který evropský průkaz osob se zdravotním postižením nebo evropskou parkovací kartu pro osoby se zdravotním postižením vydal. Členský stát vydání zajistí vhodná následná opatření v souladu s vnitrostátními právními předpisy nebo praxí.</w:t>
            </w:r>
          </w:p>
        </w:tc>
        <w:tc>
          <w:tcPr>
            <w:tcW w:w="4876" w:type="dxa"/>
          </w:tcPr>
          <w:p>
            <w:pPr>
              <w:pStyle w:val="Normal6a"/>
            </w:pPr>
            <w:r>
              <w:t>5.</w:t>
            </w:r>
            <w:r>
              <w:tab/>
            </w:r>
            <w:r>
              <w:t xml:space="preserve">Členské státy přijmou nezbytná opatření k zajištění toho, aby v případě, že se na jejich území vyskytnou případy zneužití průkazů/karet vydaných jiným členským státem, byly informovány příslušné orgány členského státu, který evropský průkaz osob se zdravotním postižením nebo evropskou parkovací kartu pro osoby se zdravotním postižením vydal. Členský stát vydání zajistí vhodná následná opatření v souladu s vnitrostátními právními předpisy nebo praxí. </w:t>
            </w:r>
            <w:r>
              <w:rPr>
                <w:b/>
                <w:i/>
              </w:rPr>
              <w:t>Členské státy si vyměňují informace o případech zneužití nebo nesprávného použití karet.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Členské státy přijmou nezbytná opatření k zajištění toho, aby v případě, že se na jejich území vyskytnou případy zneužití průkazů/karet vydaných jiným členským státem, byly informovány příslušné orgány členského státu, který evropský průkaz osob se zdravotním postižením nebo evropskou parkovací kartu pro osoby se zdravotním postižením vydal. Členský stát vydání zajistí vhodná následná opatření v souladu s vnitrostátními právními předpisy nebo praxí.</w:t>
            </w:r>
          </w:p>
        </w:tc>
        <w:tc>
          <w:tcPr>
            <w:tcW w:w="4876" w:type="dxa"/>
          </w:tcPr>
          <w:p>
            <w:pPr>
              <w:pStyle w:val="Normal6a"/>
            </w:pPr>
            <w:r>
              <w:t>5.</w:t>
            </w:r>
            <w:r>
              <w:tab/>
            </w:r>
            <w:r>
              <w:t xml:space="preserve">Členské státy přijmou nezbytná opatření k zajištění toho, aby v případě, že se na jejich území vyskytnou případy zneužití průkazů/karet vydaných jiným členským státem, byly informovány příslušné orgány členského státu, který evropský průkaz osob se zdravotním postižením </w:t>
            </w:r>
            <w:r>
              <w:rPr>
                <w:b/>
                <w:i/>
              </w:rPr>
              <w:t>a seniorů</w:t>
            </w:r>
            <w:r>
              <w:t xml:space="preserve"> nebo evropskou parkovací kartu pro osoby se zdravotním postižením </w:t>
            </w:r>
            <w:r>
              <w:rPr>
                <w:b/>
                <w:i/>
              </w:rPr>
              <w:t>a seniory</w:t>
            </w:r>
            <w:r>
              <w:t xml:space="preserve"> vydal. Členský stát vydání zajistí vhodná následná opatření v souladu s vnitrostátními právními předpisy nebo praxí.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Členské státy provádějí kontroly dodržování povinností vyplývajících z evropského průkazu osob se zdravotním postižením nebo evropské parkovací karty pro osoby se zdravotním postižením a odpovídajících práv osob se zdravotním postižením</w:t>
            </w:r>
            <w:r>
              <w:rPr>
                <w:b/>
                <w:i/>
              </w:rPr>
              <w:t>, které</w:t>
            </w:r>
            <w:r>
              <w:t xml:space="preserve"> jsou držiteli těchto průkazů/karet, a osob, které je doprovázejí nebo jim pomáhají, včetně jejich osobních asistentů.</w:t>
            </w:r>
          </w:p>
        </w:tc>
        <w:tc>
          <w:tcPr>
            <w:tcW w:w="4876" w:type="dxa"/>
          </w:tcPr>
          <w:p>
            <w:pPr>
              <w:pStyle w:val="Normal6a"/>
            </w:pPr>
            <w:r>
              <w:t>6.</w:t>
            </w:r>
            <w:r>
              <w:tab/>
            </w:r>
            <w:r>
              <w:t xml:space="preserve">Členské státy provádějí kontroly dodržování povinností vyplývajících z evropského průkazu osob se zdravotním postižením </w:t>
            </w:r>
            <w:r>
              <w:rPr>
                <w:b/>
                <w:i/>
              </w:rPr>
              <w:t>a seniorů</w:t>
            </w:r>
            <w:r>
              <w:t xml:space="preserve"> nebo evropské parkovací karty pro osoby se zdravotním postižením a </w:t>
            </w:r>
            <w:r>
              <w:rPr>
                <w:b/>
                <w:i/>
              </w:rPr>
              <w:t>seniory a</w:t>
            </w:r>
            <w:r>
              <w:t xml:space="preserve"> odpovídajících práv osob se zdravotním postižením </w:t>
            </w:r>
            <w:r>
              <w:rPr>
                <w:b/>
                <w:i/>
              </w:rPr>
              <w:t>a seniorů, kteří</w:t>
            </w:r>
            <w:r>
              <w:t xml:space="preserve"> jsou držiteli těchto průkazů/karet, a osob, které je doprovázejí nebo jim pomáhají, včetně jejich osobních asistentů.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7.</w:t>
            </w:r>
            <w:r>
              <w:tab/>
            </w:r>
            <w:r>
              <w:t xml:space="preserve">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w:t>
            </w:r>
            <w:r>
              <w:rPr>
                <w:b/>
                <w:i/>
              </w:rPr>
              <w:t>webových stránek na úrovni EU ve všech jazycích EU</w:t>
            </w:r>
            <w:r>
              <w:t xml:space="preserve"> anebo jinými vhodnými prostředky v souladu s příslušnými požadavky na přístupnost služeb stanovenými v příloze I směrnice (EU) 2019/882. </w:t>
            </w:r>
            <w:r>
              <w:rPr>
                <w:b/>
                <w:i/>
              </w:rPr>
              <w:t>Tyto informace nesmí překročit úroveň složitosti B1 (mírně pokročilí) společného evropského referenčního rámce pro jazyky Rady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7.</w:t>
            </w:r>
            <w:r>
              <w:tab/>
            </w:r>
            <w:r>
              <w:t xml:space="preserve">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 </w:t>
            </w:r>
            <w:r>
              <w:rPr>
                <w:b/>
                <w:i/>
              </w:rPr>
              <w:t>Členské státy přijmou opatření vyplývající z odstavců 1 a 2 tohoto článku po konzultaci s organizacemi zastupujícími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7.</w:t>
            </w:r>
            <w:r>
              <w:tab/>
            </w:r>
            <w:r>
              <w:t xml:space="preserve">Informace uvedené v odstavcích 1 a 2 tohoto článku se poskytují bezplatně jasným, srozumitelným, uživatelsky přívětivým a snadno přístupným způsobem, a to i prostřednictvím </w:t>
            </w:r>
            <w:r>
              <w:rPr>
                <w:b/>
                <w:i/>
              </w:rPr>
              <w:t>webových stránek na úrovni EU ve všech jazycích EU,</w:t>
            </w:r>
            <w:r>
              <w:t xml:space="preserve">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Informace uvedené v odstavcích 1 a 2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7.</w:t>
            </w:r>
            <w:r>
              <w:tab/>
            </w:r>
            <w:r>
              <w:t xml:space="preserve">Informace uvedené v odstavcích 1 a 2 tohoto článku se poskytují bezplatně jasným, srozumitelným, uživatelsky přívětivým a snadno přístupným způsobem, a to i prostřednictvím </w:t>
            </w:r>
            <w:r>
              <w:rPr>
                <w:b/>
                <w:i/>
              </w:rPr>
              <w:t>webových stránek na úrovni EU ve všech jazycích EU,</w:t>
            </w:r>
            <w:r>
              <w:t xml:space="preserve">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 – bod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Měly by být zřízeny internetové stránky obsahující veškeré informace o evropském průkazu osob se zdravotním postižením nebo o evropském parkovacím průkazu pro osoby se zdravotním postižením a případně o tom, jak o něj požádat, ve všech jazycích Evropské unie, včetně znakového jazyka, snadno čitelného a alternativního a augmentativního komunikačního prostředku.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odst. 7 – bod 2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Organizace zastupující osoby se zdravotním postižením by měly být zapojeny do celého procesu vývoje, plánování, provádění, monitorování a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Komise zajistí, aby byly členským státům poskytnuty odpovídající finanční prostředky na pokrytí nákladů na správní postupy, fyzické vydání karet, poskytování informací a osvětové kampaně, jakož i dalších nezbytných souvisejících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Informace uvedené v odstavcích 1 a 2 tohoto článku jsou srozumitelné a stupeň jejich jazykové náročnosti není vyšší než úroveň B1 (mírně pokročilá úroveň) stanovená podle společného evropského referenčního rámce pro jazyky Rady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Informace uvedené v odstavcích 1 a 2 tohoto článku jsou srozumitelné a stupeň jejich jazykové náročnosti není vyšší než úroveň B1 (mírně pokročilá úroveň) stanovená podle společného evropského referenčního rámce pro jazyky Rady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Organizace zastupující osoby se zdravotním postižením se účastní celého procesu vývoje, plánování, provádění, monitorování a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Komise zajišťuje, aby členské státy měly odpovídající finanční prostředky na pokrytí nákladů na provádění výše uvedených ustanovení.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Komise zřídí zvláštní internetové stránky na úrovni EU, které budou obsahovat relevantní a pravidelně aktualizované informace o zvláštních podmínkách nebo preferenčním zacházení, které členské státy nabízejí držitelům evropského průkazu osob se zdravotním postižením.</w:t>
            </w:r>
            <w:r>
              <w:t xml:space="preserve"> </w:t>
            </w:r>
            <w:r>
              <w:rPr>
                <w:b/>
                <w:i/>
              </w:rPr>
              <w:t>Internetové stránky musí být k dispozici ve všech jazycích EU a v přístupných formátech.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Komise zajistí, aby byly členským státům poskytnuty dostatečné finanční prostředky na pokrytí nákladů na správní postupy, fyzické vydání karet, poskytování informací a osvětovou kampaň, jakož i dalších souvisejících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9 – pododstavec 7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Komise zajistí, aby byly členským státům poskytnuty odpovídající finanční prostředky na pokrytí nákladů na správní postupy, fyzické vydání karet, poskytování informací a osvětovou kampaň, jakož i dalších souvisejících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Do dd/mm/rrrr [do šesti měsíců ode dne vstupu této směrnice v platnost] oznámí členské státy Komisi příslušné orgány určené k vydávání, obnovování a odebírání evropského průkazu osob se zdravotním postižením a evropské parkovací karty pro osoby se zdravotním postižením.</w:t>
            </w:r>
          </w:p>
        </w:tc>
        <w:tc>
          <w:tcPr>
            <w:tcW w:w="4876" w:type="dxa"/>
          </w:tcPr>
          <w:p>
            <w:pPr>
              <w:pStyle w:val="Normal6a"/>
            </w:pPr>
            <w:r>
              <w:t xml:space="preserve">Do dd/mm/rrrr [do šesti měsíců ode dne vstupu této směrnice v platnost] oznámí členské státy Komisi příslušné orgány určené k vydávání, obnovování a odebírání evropského průkazu osob se zdravotním postižením a </w:t>
            </w:r>
            <w:r>
              <w:rPr>
                <w:b/>
                <w:i/>
              </w:rPr>
              <w:t>seniorů a</w:t>
            </w:r>
            <w:r>
              <w:t xml:space="preserve"> evropské parkovací karty pro osoby se zdravotním postižením </w:t>
            </w:r>
            <w:r>
              <w:rPr>
                <w:b/>
                <w:i/>
              </w:rPr>
              <w:t>a seniory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Pravomoc přijímat akty v přenesené pravomoci </w:t>
            </w:r>
            <w:r>
              <w:rPr>
                <w:b/>
                <w:i/>
              </w:rPr>
              <w:t>uvedené</w:t>
            </w:r>
            <w:r>
              <w:t xml:space="preserve"> v čl. 6 odst. 7 a čl. </w:t>
            </w:r>
            <w:r>
              <w:rPr>
                <w:b/>
                <w:i/>
              </w:rPr>
              <w:t>7</w:t>
            </w:r>
            <w:r>
              <w:t xml:space="preserve"> odst. </w:t>
            </w:r>
            <w:r>
              <w:rPr>
                <w:b/>
                <w:i/>
              </w:rPr>
              <w:t>7</w:t>
            </w:r>
            <w:r>
              <w:t xml:space="preserve"> je svěřena Komisi na dobu neurčitou od [datum vstupu této směrnice v platnost].</w:t>
            </w:r>
          </w:p>
        </w:tc>
        <w:tc>
          <w:tcPr>
            <w:tcW w:w="4876" w:type="dxa"/>
          </w:tcPr>
          <w:p>
            <w:pPr>
              <w:pStyle w:val="Normal6a"/>
            </w:pPr>
            <w:r>
              <w:t>2.</w:t>
            </w:r>
            <w:r>
              <w:tab/>
            </w:r>
            <w:r>
              <w:t xml:space="preserve">Pravomoc přijímat akty v přenesené pravomoci </w:t>
            </w:r>
            <w:r>
              <w:rPr>
                <w:b/>
                <w:i/>
              </w:rPr>
              <w:t>uvedená</w:t>
            </w:r>
            <w:r>
              <w:t xml:space="preserve"> v čl. 6 odst. 7</w:t>
            </w:r>
            <w:r>
              <w:rPr>
                <w:b/>
                <w:i/>
              </w:rPr>
              <w:t>, čl. 7 odst. 7</w:t>
            </w:r>
            <w:r>
              <w:t xml:space="preserve"> a čl. </w:t>
            </w:r>
            <w:r>
              <w:rPr>
                <w:b/>
                <w:i/>
              </w:rPr>
              <w:t>15</w:t>
            </w:r>
            <w:r>
              <w:t xml:space="preserve"> odst. </w:t>
            </w:r>
            <w:r>
              <w:rPr>
                <w:b/>
                <w:i/>
              </w:rPr>
              <w:t>4</w:t>
            </w:r>
            <w:r>
              <w:t xml:space="preserve"> je svěřena Komisi na dobu neurčitou od [datum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Před přijetím aktu v přenesené pravomoci Komise vede konzultace </w:t>
            </w:r>
            <w:r>
              <w:rPr>
                <w:b/>
                <w:i/>
              </w:rPr>
              <w:t>s</w:t>
            </w:r>
            <w:r>
              <w:t xml:space="preserve">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 xml:space="preserve">Před přijetím aktu v přenesené pravomoci Komise vede konzultace </w:t>
            </w:r>
            <w:r>
              <w:rPr>
                <w:b/>
                <w:i/>
              </w:rPr>
              <w:t>primárně a v rámci metodiky koprodukce s osobami se zdravotním postižením a organizacemi zastupujícími tyto osoby, jakož i s dalšími příslušnými</w:t>
            </w:r>
            <w:r>
              <w:t xml:space="preserve"> odborníky</w:t>
            </w:r>
            <w:r>
              <w:rPr>
                <w:b/>
                <w:i/>
              </w:rPr>
              <w:t>,</w:t>
            </w:r>
            <w:r>
              <w:t xml:space="preserve"> jmenovanými jednotlivými členskými státy v souladu se zásadami stanovenými v interinstitucionální dohodě o zdokonalení tvorby právních předpisů ze dne 13. dubna 2016. </w:t>
            </w:r>
            <w:r>
              <w:rPr>
                <w:b/>
                <w:i/>
              </w:rPr>
              <w:t>Pokud dotčené osoby se zdravotním postižením tuto práci nevykonávají v rámci profesní činnosti v organizaci zdravotně postižených osob, poskytne se peněžitá náhrada.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 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 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 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pPr>
              <w:pStyle w:val="Normal6a"/>
            </w:pPr>
            <w:r>
              <w:t>4.</w:t>
            </w:r>
            <w:r>
              <w:tab/>
            </w:r>
            <w:r>
              <w:t>Před přijetím aktu v přenesené pravomoci Komise vede konzultace s odborníky jmenovanými jednotlivými členskými státy v souladu se zásadami stanovenými v interinstitucionální dohodě o zdokonalení tvorby právních předpisů ze dne 13. dubna 2016</w:t>
            </w:r>
            <w:r>
              <w:rPr>
                <w:b/>
                <w:i/>
              </w:rPr>
              <w:t>, jakož i s osobami se zdravotním postižením a organizacemi zastupujícími tyto osoby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 xml:space="preserve">Komisi je nápomocen výbor </w:t>
            </w:r>
            <w:r>
              <w:rPr>
                <w:b/>
                <w:i/>
              </w:rPr>
              <w:t>a Komise také formálně a v rámci koprodukční a participativní metodiky zapojuje formální a neformální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přičemž Komise smysluplně zapojuje různé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přičemž Komise smysluplně zapojuje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přičemž Komise smysluplně zapojuje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přičemž Komise smysluplně zapojuje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přičemž Komise smysluplně zapojuje organizace zastupující osoby se zdravotním postižením</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Komisi je nápomocen výbor</w:t>
            </w:r>
            <w:r>
              <w:rPr>
                <w:b/>
                <w:i/>
              </w:rPr>
              <w:t>, do něhož jsou zapojeny osoby se zdravotním postižením a organizace, které je zastupují</w:t>
            </w:r>
            <w:r>
              <w:t>. Tento výbor je výborem ve smyslu nařízení (EU) č.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 je nápomocen výbor. Tento výbor je výborem ve smyslu nařízení (EU) č. 182/2011.</w:t>
            </w:r>
          </w:p>
        </w:tc>
        <w:tc>
          <w:tcPr>
            <w:tcW w:w="4876" w:type="dxa"/>
          </w:tcPr>
          <w:p>
            <w:pPr>
              <w:pStyle w:val="Normal6a"/>
            </w:pPr>
            <w:r>
              <w:t>1.</w:t>
            </w:r>
            <w:r>
              <w:tab/>
            </w:r>
            <w:r>
              <w:t xml:space="preserve">Komisi je nápomocen výbor. Tento výbor je výborem ve smyslu nařízení (EU) č. 182/2011 </w:t>
            </w:r>
            <w:r>
              <w:rPr>
                <w:b/>
                <w:i/>
              </w:rPr>
              <w:t>a zahrnuje organizace zastupující osoby se zdravotním postižením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byly k dispozici odpovídající a účinné prostředky pro zajištění souladu s touto směrnicí.</w:t>
            </w:r>
          </w:p>
        </w:tc>
        <w:tc>
          <w:tcPr>
            <w:tcW w:w="4876" w:type="dxa"/>
          </w:tcPr>
          <w:p>
            <w:pPr>
              <w:pStyle w:val="Normal6a"/>
            </w:pPr>
            <w:r>
              <w:t>1.</w:t>
            </w:r>
            <w:r>
              <w:tab/>
            </w:r>
            <w:r>
              <w:t xml:space="preserve">Členské státy zajistí, aby byly k dispozici odpovídající a účinné prostředky pro zajištění souladu s touto směrnicí. </w:t>
            </w:r>
            <w:r>
              <w:rPr>
                <w:b/>
                <w:i/>
              </w:rPr>
              <w:t>Podporuje se účast a stálý dialog s organizacemi občanské společnosti a sdruženími zastupujícími osoby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13 – odst. 2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ustanovení, podle nichž mohou osoby se zdravotním postižením podat žalobu podle vnitrostátního práva u soudu nebo u příslušných správních orgánů v případě porušení jejich práv podle této směrnice a vnitrostátních předpisů, kterými se tato směrnice provádí;</w:t>
            </w:r>
          </w:p>
        </w:tc>
        <w:tc>
          <w:tcPr>
            <w:tcW w:w="4876" w:type="dxa"/>
          </w:tcPr>
          <w:p>
            <w:pPr>
              <w:pStyle w:val="Normal6a"/>
            </w:pPr>
            <w:r>
              <w:t>a)</w:t>
            </w:r>
            <w:r>
              <w:tab/>
            </w:r>
            <w:r>
              <w:t xml:space="preserve">ustanovení, podle nichž mohou osoby se zdravotním postižením </w:t>
            </w:r>
            <w:r>
              <w:rPr>
                <w:b/>
                <w:i/>
              </w:rPr>
              <w:t>a organizace, které je zastupují,</w:t>
            </w:r>
            <w:r>
              <w:t xml:space="preserve"> podat žalobu podle vnitrostátního práva u soudu nebo u příslušných správních orgánů v případě porušení jejich práv podle této směrnice a vnitrostátních předpisů, kterými se tato směrnice provádí;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ustanovení, podle nichž mohou veřejné subjekty nebo soukromá sdružení, organizace nebo jiné právní subjekty, které mají oprávněný zájem na zajištění dodržování ustanovení této směrnice, jednat v souladu s vnitrostátními právními předpisy a postupy před soudy nebo příslušnými správními orgány jménem osoby se zdravotním postižením nebo na její podporu, s jejím souhlasem, ve všech soudních nebo správních řízeních stanovených pro vymáhání plnění povinností vyplývajících z této směrnice.</w:t>
            </w:r>
          </w:p>
        </w:tc>
        <w:tc>
          <w:tcPr>
            <w:tcW w:w="4876" w:type="dxa"/>
          </w:tcPr>
          <w:p>
            <w:pPr>
              <w:pStyle w:val="Normal6a"/>
            </w:pPr>
            <w:r>
              <w:t>b)</w:t>
            </w:r>
            <w:r>
              <w:tab/>
            </w:r>
            <w:r>
              <w:t>ustanovení, podle nichž mohou veřejné subjekty</w:t>
            </w:r>
            <w:r>
              <w:rPr>
                <w:b/>
                <w:i/>
              </w:rPr>
              <w:t>, jako jsou orgány pro rovné zacházení,</w:t>
            </w:r>
            <w:r>
              <w:t xml:space="preserve"> nebo soukromá sdružení, organizace</w:t>
            </w:r>
            <w:r>
              <w:rPr>
                <w:b/>
                <w:i/>
              </w:rPr>
              <w:t>, zejména organizace zastupující osoby se zdravotním postižením</w:t>
            </w:r>
            <w:r>
              <w:t xml:space="preserve"> nebo jiné právní subjekty, které mají oprávněný zájem na zajištění dodržování ustanovení této směrnice, jednat v souladu s vnitrostátními právními předpisy a postupy před soudy nebo příslušnými správními orgány jménem osoby se zdravotním postižením nebo na její podporu, s jejím souhlasem, ve všech soudních nebo správních řízeních stanovených pro vymáhání plnění povinností vyplývajících z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ustanovení, podle nichž mohou veřejné subjekty nebo soukromá sdružení, organizace nebo jiné právní subjekty, které mají oprávněný zájem na zajištění dodržování ustanovení této směrnice, jednat v souladu s vnitrostátními právními předpisy a postupy před soudy nebo příslušnými správními orgány jménem </w:t>
            </w:r>
            <w:r>
              <w:rPr>
                <w:b/>
                <w:i/>
              </w:rPr>
              <w:t>osoby</w:t>
            </w:r>
            <w:r>
              <w:t xml:space="preserve"> se zdravotním postižením nebo na </w:t>
            </w:r>
            <w:r>
              <w:rPr>
                <w:b/>
                <w:i/>
              </w:rPr>
              <w:t>její</w:t>
            </w:r>
            <w:r>
              <w:t xml:space="preserve"> podporu, s </w:t>
            </w:r>
            <w:r>
              <w:rPr>
                <w:b/>
                <w:i/>
              </w:rPr>
              <w:t>jejím</w:t>
            </w:r>
            <w:r>
              <w:t xml:space="preserve"> souhlasem, ve všech soudních nebo správních řízeních stanovených pro vymáhání plnění povinností vyplývajících z této směrnice.</w:t>
            </w:r>
          </w:p>
        </w:tc>
        <w:tc>
          <w:tcPr>
            <w:tcW w:w="4876" w:type="dxa"/>
          </w:tcPr>
          <w:p>
            <w:pPr>
              <w:pStyle w:val="Normal6a"/>
            </w:pPr>
            <w:r>
              <w:t>b)</w:t>
            </w:r>
            <w:r>
              <w:tab/>
            </w:r>
            <w:r>
              <w:t xml:space="preserve">ustanovení, podle nichž mohou veřejné subjekty nebo soukromá sdružení, organizace nebo jiné právní subjekty, které mají oprávněný zájem na zajištění dodržování ustanovení této směrnice, jednat v souladu s vnitrostátními právními předpisy a postupy před soudy nebo příslušnými správními orgány jménem </w:t>
            </w:r>
            <w:r>
              <w:rPr>
                <w:b/>
                <w:i/>
              </w:rPr>
              <w:t>osob</w:t>
            </w:r>
            <w:r>
              <w:t xml:space="preserve"> se zdravotním postižením </w:t>
            </w:r>
            <w:r>
              <w:rPr>
                <w:b/>
                <w:i/>
              </w:rPr>
              <w:t>a seniorů</w:t>
            </w:r>
            <w:r>
              <w:t xml:space="preserve"> nebo na </w:t>
            </w:r>
            <w:r>
              <w:rPr>
                <w:b/>
                <w:i/>
              </w:rPr>
              <w:t>jejich</w:t>
            </w:r>
            <w:r>
              <w:t xml:space="preserve"> podporu, s </w:t>
            </w:r>
            <w:r>
              <w:rPr>
                <w:b/>
                <w:i/>
              </w:rPr>
              <w:t>jejich</w:t>
            </w:r>
            <w:r>
              <w:t xml:space="preserve"> souhlasem, ve všech soudních nebo správních řízeních stanovených pro vymáhání plnění povinností vyplývajících z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13 – pododstavec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Měl by být zřízen orgán, který by zřídil institucionální mechanismus pro sledování a kontrolu dodržování předpisů týkajících se provádění, monitorování a hodnocení evropského průkazu osob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soukromé hospodářské subjekty nebo orgány veřejné správy zveřejňovaly informace o zvláštních podmínkách nebo přednostním zacházení podle článku 5 v přístupných formátech.</w:t>
            </w:r>
          </w:p>
        </w:tc>
        <w:tc>
          <w:tcPr>
            <w:tcW w:w="4876" w:type="dxa"/>
          </w:tcPr>
          <w:p>
            <w:pPr>
              <w:pStyle w:val="Normal6a"/>
            </w:pPr>
            <w:r>
              <w:t>1.</w:t>
            </w:r>
            <w:r>
              <w:tab/>
            </w:r>
            <w:r>
              <w:t xml:space="preserve">Členské státy zajistí, aby soukromé hospodářské subjekty nebo orgány veřejné správy zveřejňovaly informace o zvláštních podmínkách nebo přednostním zacházení podle článku 5 </w:t>
            </w:r>
            <w:r>
              <w:rPr>
                <w:b/>
                <w:i/>
              </w:rPr>
              <w:t>jasným, srozumitelným, uživatelsky přívětivým a snadno přístupným způsobem a</w:t>
            </w:r>
            <w:r>
              <w:t xml:space="preserve"> v přístupných formátech. </w:t>
            </w:r>
            <w:r>
              <w:rPr>
                <w:b/>
                <w:i/>
              </w:rPr>
              <w:t>Komise zřídí samostatné internetové stránky, které budou dostupné ve všech jazycích EU, včetně všech národních znakových jazyků EU pro audio a video obsah a v přístupných formátech, na nichž budou shromážděny informace o zvláštních podmínkách nebo preferenčním zacházení nabízených jejich veřejnými orgány.</w:t>
            </w:r>
            <w:r>
              <w:t xml:space="preserve"> </w:t>
            </w:r>
            <w:r>
              <w:rPr>
                <w:b/>
                <w:i/>
              </w:rPr>
              <w:t>Členské státy usnadní přístup k informacím o zvláštních podmínkách nebo preferenčním zacházení nabízených veřejnými a soukromými provozovateli na internetových stránkách, jsou-li k dispozici, a tyto informace pravidelně aktualizují v souladu se změnami vnitrostátních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soukromé hospodářské subjekty nebo orgány veřejné správy zveřejňovaly informace o zvláštních podmínkách nebo přednostním zacházení podle článku 5 v přístupných formátech.</w:t>
            </w:r>
          </w:p>
        </w:tc>
        <w:tc>
          <w:tcPr>
            <w:tcW w:w="4876" w:type="dxa"/>
          </w:tcPr>
          <w:p>
            <w:pPr>
              <w:pStyle w:val="Normal6a"/>
            </w:pPr>
            <w:r>
              <w:t>1.</w:t>
            </w:r>
            <w:r>
              <w:tab/>
            </w:r>
            <w:r>
              <w:t xml:space="preserve">Členské státy zajistí, aby soukromé hospodářské subjekty nebo orgány veřejné správy zveřejňovaly informace o zvláštních podmínkách nebo přednostním zacházení podle článku 5 </w:t>
            </w:r>
            <w:r>
              <w:rPr>
                <w:b/>
                <w:i/>
              </w:rPr>
              <w:t>jasným, srozumitelným, uživatelsky přívětivým a snadno přístupným způsobem a</w:t>
            </w:r>
            <w:r>
              <w:t xml:space="preserve"> v přístupných formátech. </w:t>
            </w:r>
            <w:r>
              <w:rPr>
                <w:b/>
                <w:i/>
              </w:rPr>
              <w:t>Členské státy zřídí samostatné internetové stránky, na nichž budou shromážděny informace o zvláštních podmínkách nebo přednostním zacházení nabízených jejich orgány veřejné správy.</w:t>
            </w:r>
            <w:r>
              <w:t xml:space="preserve"> </w:t>
            </w:r>
            <w:r>
              <w:rPr>
                <w:b/>
                <w:i/>
              </w:rPr>
              <w:t>Členské státy mohou rovněž usnadnit sdílení informací o zvláštních podmínkách nebo přednostním zacházení nabízených soukromými subjekty prostřednictvím internetových stránek, jsou-li tyto stránky k dispozici.</w:t>
            </w:r>
            <w:r>
              <w:t xml:space="preserve"> </w:t>
            </w:r>
            <w:r>
              <w:rPr>
                <w:b/>
                <w:i/>
              </w:rPr>
              <w:t>Obsah internetových stránek je dostupný v úředním jazyce (jazycích) členských států, v národním znakovém jazyce a v angličtině, jakož i v jakémkoli jiném jazyce (jazycích), který (které) určí členský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soukromé hospodářské subjekty nebo orgány veřejné správy zveřejňovaly informace o zvláštních podmínkách nebo přednostním zacházení podle článku 5 v přístupných formátech.</w:t>
            </w:r>
          </w:p>
        </w:tc>
        <w:tc>
          <w:tcPr>
            <w:tcW w:w="4876" w:type="dxa"/>
          </w:tcPr>
          <w:p>
            <w:pPr>
              <w:pStyle w:val="Normal6a"/>
            </w:pPr>
            <w:r>
              <w:t>1.</w:t>
            </w:r>
            <w:r>
              <w:tab/>
            </w:r>
            <w:r>
              <w:t xml:space="preserve">Členské státy zajistí, aby soukromé hospodářské subjekty nebo orgány veřejné správy zveřejňovaly informace o zvláštních podmínkách nebo přednostním zacházení podle článku 5 v přístupných formátech </w:t>
            </w:r>
            <w:r>
              <w:rPr>
                <w:b/>
                <w:i/>
              </w:rPr>
              <w:t>(včetně snadno čitelných formátů a videí s titulky v národním znakovém jazyce a v mezinárodním znakovém jazyce) na přístupné online informační platformě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soukromé hospodářské subjekty nebo orgány veřejné správy zveřejňovaly informace o zvláštních podmínkách nebo přednostním zacházení podle článku 5 v přístupných formátech.</w:t>
            </w:r>
          </w:p>
        </w:tc>
        <w:tc>
          <w:tcPr>
            <w:tcW w:w="4876" w:type="dxa"/>
          </w:tcPr>
          <w:p>
            <w:pPr>
              <w:pStyle w:val="Normal6a"/>
            </w:pPr>
            <w:r>
              <w:t>1.</w:t>
            </w:r>
            <w:r>
              <w:tab/>
            </w:r>
            <w:r>
              <w:t xml:space="preserve">Členské státy zajistí, aby soukromé hospodářské subjekty nebo orgány veřejné správy zveřejňovaly informace o zvláštních podmínkách nebo přednostním zacházení podle článku 5 v přístupných formátech. </w:t>
            </w:r>
            <w:r>
              <w:rPr>
                <w:b/>
                <w:i/>
              </w:rPr>
              <w:t>Za tímto účelem budou poskytnuty dostatečné finanční prostředky EU, jak je uvedeno v článku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Členské státy zajistí, aby soukromé hospodářské subjekty nebo orgány veřejné správy zveřejňovaly informace o zvláštních podmínkách nebo přednostním zacházení podle článku 5 v přístupných formátech.</w:t>
            </w:r>
          </w:p>
        </w:tc>
        <w:tc>
          <w:tcPr>
            <w:tcW w:w="4876" w:type="dxa"/>
          </w:tcPr>
          <w:p>
            <w:pPr>
              <w:pStyle w:val="Normal6a"/>
            </w:pPr>
            <w:r>
              <w:t>1.</w:t>
            </w:r>
            <w:r>
              <w:tab/>
            </w:r>
            <w:r>
              <w:t xml:space="preserve">Členské státy zajistí, aby soukromé hospodářské subjekty nebo orgány veřejné správy zveřejňovaly informace o zvláštních podmínkách nebo přednostním zacházení podle článku 5 v přístupných formátech. </w:t>
            </w:r>
            <w:r>
              <w:rPr>
                <w:b/>
                <w:i/>
              </w:rPr>
              <w:t>Za tímto účelem by měly být poskytnuty dostatečné finanční prostředky EU, jak je uvedeno v článku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státy podporují soukromé hospodářské subjekty nebo orgány veřejné správy, aby osobám se zdravotním postižením dobrovolně poskytovaly zvláštní podmínky nebo přednostní zacházení.</w:t>
            </w:r>
          </w:p>
        </w:tc>
        <w:tc>
          <w:tcPr>
            <w:tcW w:w="4876" w:type="dxa"/>
          </w:tcPr>
          <w:p>
            <w:pPr>
              <w:pStyle w:val="Normal6a"/>
            </w:pPr>
            <w:r>
              <w:t>2.</w:t>
            </w:r>
            <w:r>
              <w:tab/>
            </w:r>
            <w:r>
              <w:t xml:space="preserve">Členské státy podporují </w:t>
            </w:r>
            <w:r>
              <w:rPr>
                <w:b/>
                <w:i/>
              </w:rPr>
              <w:t>a povzbuzují</w:t>
            </w:r>
            <w:r>
              <w:t xml:space="preserve"> soukromé hospodářské subjekty nebo orgány veřejné správy, aby osobám se zdravotním postižením dobrovolně poskytovaly zvláštní podmínky nebo přednostní zacházení </w:t>
            </w:r>
            <w:r>
              <w:rPr>
                <w:b/>
                <w:i/>
              </w:rPr>
              <w:t>prostřednictvím co nejširšího rozsahu služeb, činností a zařízení</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Členské státy zejména podporují a povzbuzují soukromé hospodářské subjekty a veřejné orgány, mimo jiné poskytováním informací a výměnou osvědčených postupů o možných zvláštních podmínkách nebo preferenčním zacházení, které mají být nabízeny, a poskytováním školení zaměřeného na začleňování problematiky zdravotního postižení a zvyšování povědomí s cílem zajistit relevantnost, účinnost a inkluzivnost všech nabízených zvláštních podmínek nebo preferenčního zacházení.</w:t>
            </w:r>
            <w:r>
              <w:t xml:space="preserve"> </w:t>
            </w:r>
            <w:r>
              <w:rPr>
                <w:b/>
                <w:i/>
              </w:rPr>
              <w:t>Členské státy zajistí, aby veškerá tato opatření byla prováděna v partnerství s osobami se zdravotním postižením a organizacemi, které je zastupují.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státy podporují soukromé hospodářské subjekty nebo orgány veřejné správy, aby osobám se zdravotním postižením dobrovolně poskytovaly zvláštní podmínky nebo přednostní zacházení.</w:t>
            </w:r>
          </w:p>
        </w:tc>
        <w:tc>
          <w:tcPr>
            <w:tcW w:w="4876" w:type="dxa"/>
          </w:tcPr>
          <w:p>
            <w:pPr>
              <w:pStyle w:val="Normal6a"/>
            </w:pPr>
            <w:r>
              <w:t>2.</w:t>
            </w:r>
            <w:r>
              <w:tab/>
            </w:r>
            <w:r>
              <w:t>Členské státy podporují soukromé hospodářské subjekty nebo orgány veřejné správy, aby osobám se zdravotním postižením dobrovolně poskytovaly zvláštní podmínky nebo přednostní zacházení</w:t>
            </w:r>
            <w:r>
              <w:rPr>
                <w:b/>
                <w:i/>
              </w:rPr>
              <w:t>, a vypracují společné evropské pokyny pro veřejné orgány a soukromé hospodářské subjekty podle článku 5 s cílem zajistit odpovídajícím způsobem plnění požadavků na přístupnost u služeb stanovených v příloze I směrnice (EU)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Členské státy podporují soukromé hospodářské subjekty nebo orgány veřejné správy, aby osobám se zdravotním postižením dobrovolně poskytovaly zvláštní podmínky nebo přednostní zacházení.</w:t>
            </w:r>
          </w:p>
        </w:tc>
        <w:tc>
          <w:tcPr>
            <w:tcW w:w="4876" w:type="dxa"/>
          </w:tcPr>
          <w:p>
            <w:pPr>
              <w:pStyle w:val="Normal6a"/>
            </w:pPr>
            <w:r>
              <w:t>2.</w:t>
            </w:r>
            <w:r>
              <w:tab/>
            </w:r>
            <w:r>
              <w:t xml:space="preserve">Členské státy podporují soukromé hospodářské subjekty nebo orgány veřejné správy, aby osobám se zdravotním postižením </w:t>
            </w:r>
            <w:r>
              <w:rPr>
                <w:b/>
                <w:i/>
              </w:rPr>
              <w:t>a seniorům</w:t>
            </w:r>
            <w:r>
              <w:t xml:space="preserve"> dobrovolně poskytovaly zvláštní podmínky nebo přednostní zacházení.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 xml:space="preserve">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 </w:t>
            </w:r>
            <w:r>
              <w:rPr>
                <w:b/>
                <w:i/>
              </w:rPr>
              <w:t>Komise vytvoří digitální portál obsahující veškeré informace o výhodách držení evropského průkazu osob se zdravotním postižením a evropského parkovacího průkazu ve všech členských státech, včetně informací o různých postupech v jednotlivých členských státech.</w:t>
            </w:r>
            <w:r>
              <w:t xml:space="preserve"> </w:t>
            </w:r>
            <w:r>
              <w:rPr>
                <w:b/>
                <w:i/>
              </w:rPr>
              <w:t>Tyto informace zašlou členské státy Komisi a aktualizují je v souladu s požadavky na podávání zpráv podle článku 16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r>
              <w:rPr>
                <w:b/>
                <w:i/>
              </w:rPr>
              <w:t>, a stupeň jejich jazykové náročnosti není vyšší než úroveň B1 (mírně pokročilá úroveň) stanovená podle společného evropského referenčního rámce pro jazyky Rady Evropy, včetně poskytnutí v národním znakovém jazyce (jazycích)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r>
              <w:rPr>
                <w:b/>
                <w:i/>
              </w:rPr>
              <w:t>, a stupeň jejich jazykové náročnosti není vyšší než úroveň B1 (mírně pokročilá úroveň) stanovená podle společného evropského referenčního rámce pro jazyky Rady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r>
              <w:rPr>
                <w:b/>
                <w:i/>
              </w:rPr>
              <w:t>, a stupeň jejich jazykové náročnosti není vyšší než úroveň B1 (středně pokročilá úroveň) stanovená podle společného evropského referenčního rámce pro jazyky Rady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Informace uvedené v odstavci 1 tohoto článku se poskytují bezplatně jasným, srozumitelným, uživatelsky přívětivým a snadno přístupným způsobem, </w:t>
            </w:r>
            <w:r>
              <w:rPr>
                <w:b/>
                <w:i/>
              </w:rPr>
              <w:t>a to i prostřednictvím</w:t>
            </w:r>
            <w:r>
              <w:t xml:space="preserve">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 xml:space="preserve">Informace uvedené v odstavci 1 tohoto článku se poskytují </w:t>
            </w:r>
            <w:r>
              <w:rPr>
                <w:b/>
                <w:i/>
              </w:rPr>
              <w:t>ve všech jazycích EU,</w:t>
            </w:r>
            <w:r>
              <w:t xml:space="preserve"> bezplatně</w:t>
            </w:r>
            <w:r>
              <w:rPr>
                <w:b/>
                <w:i/>
              </w:rPr>
              <w:t>,</w:t>
            </w:r>
            <w:r>
              <w:t xml:space="preserve"> jasným, srozumitelným, uživatelsky přívětivým a snadno přístupným způsobem, </w:t>
            </w:r>
            <w:r>
              <w:rPr>
                <w:b/>
                <w:i/>
              </w:rPr>
              <w:t>v přístupných formátech (včetně snadno čitelných formátů a videí s titulky v národním znakovém jazyce a v mezinárodním znakovém jazyce), včetně</w:t>
            </w:r>
            <w:r>
              <w:t xml:space="preserve">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p>
        </w:tc>
        <w:tc>
          <w:tcPr>
            <w:tcW w:w="4876" w:type="dxa"/>
          </w:tcPr>
          <w:p>
            <w:pPr>
              <w:pStyle w:val="Normal6a"/>
            </w:pPr>
            <w:r>
              <w:t>3.</w:t>
            </w:r>
            <w:r>
              <w:tab/>
            </w:r>
            <w:r>
              <w:t>Informace uvedené v odstavci 1 tohoto článku se poskytují bezplatně jasným, srozumitelným, uživatelsky přívětivým a snadno přístupným způsobem, a to i prostřednictvím oficiálních webových stránek soukromých hospodářských subjektů nebo orgánů veřejné správy, jsou-li k dispozici, anebo jinými vhodnými prostředky v souladu s příslušnými požadavky na přístupnost služeb stanovenými v příloze I směrnice (EU) 2019/882</w:t>
            </w:r>
            <w:r>
              <w:rPr>
                <w:b/>
                <w:i/>
              </w:rPr>
              <w:t>, a stupeň jejich jazykové náročnosti není vyšší než úroveň B1 (mírně pokročilá úroveň) stanovená podle společného evropského referenčního rámce pro jazyky Rady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15 – pododstavec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Komisi je svěřena pravomoc přijímat akty v přenesené pravomoci v souladu s článkem 11 za účelem doplnění směrnice s cílem vytvořit oficiální internetové stránky EU dostupné ve všech jazycích EU za účelem shromažďování informací uvedených v odstavci 1 tohoto článku s cílem usnadnit držitelům karty její používání v souladu s příslušnými požadavky na přístupnost pro služby stanovenými v příloze I směrnice (EU)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Bylo by užitečné zřídit internetové stránky na úrovni EU dostupné ve všech jazycích EU, které budou členským státům přístupné, aby se usnadnilo používání pro držitele karty.</w:t>
      </w:r>
      <w:r>
        <w:t xml:space="preserve"> </w:t>
      </w:r>
      <w:r>
        <w:t>Pro uživatele by to bylo mnohem snazší, než se zorientovat na 27 různých internetových stránkách s různým uspořádáním, strukturou a jazyky, a zároveň to ušetří náklady.</w:t>
      </w:r>
    </w:p>
    <w:p>
      <w:r>
        <w:rPr>
          <w:rStyle w:val="HideTWBExt"/>
        </w:rPr>
        <w:t>&lt;/Amend&gt;</w:t>
      </w:r>
    </w:p>
    <w:p>
      <w:pPr>
        <w:pStyle w:val="AmNumberTabs"/>
      </w:pPr>
      <w:r>
        <w:rPr>
          <w:rStyle w:val="HideTWBExt"/>
        </w:rPr>
        <w:t>&lt;Amend&gt;</w:t>
      </w:r>
      <w:r>
        <w:t>Pozměňovací návrh</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 dd/mm/rrrr [</w:t>
            </w:r>
            <w:r>
              <w:rPr>
                <w:b/>
                <w:i/>
              </w:rPr>
              <w:t>tři</w:t>
            </w:r>
            <w:r>
              <w:t xml:space="preserve"> roky po datu použitelnosti směrnice] a poté </w:t>
            </w:r>
            <w:r>
              <w:rPr>
                <w:b/>
                <w:i/>
              </w:rPr>
              <w:t>každých pět let</w:t>
            </w:r>
            <w:r>
              <w:t xml:space="preserve"> podá Komise Evropskému parlamentu, Radě, Evropskému hospodářskému a sociálnímu výboru a Výboru regionů zprávu o uplatňování této směrnice.</w:t>
            </w:r>
          </w:p>
        </w:tc>
        <w:tc>
          <w:tcPr>
            <w:tcW w:w="4876" w:type="dxa"/>
          </w:tcPr>
          <w:p>
            <w:pPr>
              <w:pStyle w:val="Normal6a"/>
            </w:pPr>
            <w:r>
              <w:t>1.</w:t>
            </w:r>
            <w:r>
              <w:tab/>
            </w:r>
            <w:r>
              <w:t>Do dd/mm/rrrr [</w:t>
            </w:r>
            <w:r>
              <w:rPr>
                <w:b/>
                <w:i/>
              </w:rPr>
              <w:t>dva</w:t>
            </w:r>
            <w:r>
              <w:t xml:space="preserve"> roky po datu použitelnosti směrnice] a poté </w:t>
            </w:r>
            <w:r>
              <w:rPr>
                <w:b/>
                <w:i/>
              </w:rPr>
              <w:t>každé tři roky</w:t>
            </w:r>
            <w:r>
              <w:t xml:space="preserve"> podá Komise Evropskému parlamentu, Radě, Evropskému hospodářskému a sociálnímu výboru a Výboru regionů zprávu o uplatňování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Zpráva se s ohledem na sociální </w:t>
            </w:r>
            <w:r>
              <w:rPr>
                <w:b/>
                <w:i/>
              </w:rPr>
              <w:t>a hospodářský</w:t>
            </w:r>
            <w:r>
              <w:t xml:space="preserve"> vývoj zabývá mimo jiné používáním evropského průkazu osob se zdravotním postižením a evropské parkovací karty pro osoby se zdravotním postižením s cílem posoudit potřebu přezkumu této směrnice.</w:t>
            </w:r>
          </w:p>
        </w:tc>
        <w:tc>
          <w:tcPr>
            <w:tcW w:w="4876" w:type="dxa"/>
          </w:tcPr>
          <w:p>
            <w:pPr>
              <w:pStyle w:val="Normal6a"/>
            </w:pPr>
            <w:r>
              <w:t>2.</w:t>
            </w:r>
            <w:r>
              <w:tab/>
            </w:r>
            <w:r>
              <w:t>Zpráva se s ohledem na sociální</w:t>
            </w:r>
            <w:r>
              <w:rPr>
                <w:b/>
                <w:i/>
              </w:rPr>
              <w:t>, hospodářský a jiný související</w:t>
            </w:r>
            <w:r>
              <w:t xml:space="preserve"> vývoj zabývá mimo jiné používáním evropského průkazu osob se zdravotním postižením a evropské parkovací karty pro osoby se zdravotním postižením s cílem posoudit potřebu přezkumu této směrnice. </w:t>
            </w:r>
            <w:r>
              <w:rPr>
                <w:b/>
                <w:i/>
              </w:rPr>
              <w:t>Zpráva obsahuje analýzu rovnosti žen a mužů ohledně toho, jak ustanovení této směrnice ovlivnila volný pohyb žen a dívek se zdravotním postižením.</w:t>
            </w:r>
            <w:r>
              <w:t xml:space="preserve"> </w:t>
            </w:r>
            <w:r>
              <w:rPr>
                <w:b/>
                <w:i/>
              </w:rPr>
              <w:t>Zpráva rovněž vyhodnotí účinnost pobídkových opatření, která členské státy poskytují poskytovatelům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Zpráva se s ohledem na sociální </w:t>
            </w:r>
            <w:r>
              <w:rPr>
                <w:b/>
                <w:i/>
              </w:rPr>
              <w:t>a hospodářský</w:t>
            </w:r>
            <w:r>
              <w:t xml:space="preserve"> vývoj zabývá mimo jiné používáním evropského průkazu osob se zdravotním postižením a evropské parkovací karty pro osoby se zdravotním postižením s cílem posoudit potřebu přezkumu této směrnice.</w:t>
            </w:r>
          </w:p>
        </w:tc>
        <w:tc>
          <w:tcPr>
            <w:tcW w:w="4876" w:type="dxa"/>
          </w:tcPr>
          <w:p>
            <w:pPr>
              <w:pStyle w:val="Normal6a"/>
            </w:pPr>
            <w:r>
              <w:t>2.</w:t>
            </w:r>
            <w:r>
              <w:tab/>
            </w:r>
            <w:r>
              <w:t>Zpráva se s ohledem na sociální</w:t>
            </w:r>
            <w:r>
              <w:rPr>
                <w:b/>
                <w:i/>
              </w:rPr>
              <w:t>, hospodářský a jiný související</w:t>
            </w:r>
            <w:r>
              <w:t xml:space="preserve"> vývoj</w:t>
            </w:r>
            <w:r>
              <w:rPr>
                <w:b/>
                <w:i/>
              </w:rPr>
              <w:t>, včetně vývoje technologického,</w:t>
            </w:r>
            <w:r>
              <w:t xml:space="preserve"> zabývá mimo jiné používáním evropského průkazu osob se zdravotním postižením a evropské parkovací karty pro osoby se zdravotním postižením s cílem posoudit potřebu přezkumu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Zpráva se s ohledem na sociální a hospodářský vývoj zabývá mimo jiné používáním evropského průkazu osob se zdravotním postižením a evropské parkovací karty pro osoby se zdravotním postižením s cílem posoudit potřebu přezkumu této směrnice.</w:t>
            </w:r>
          </w:p>
        </w:tc>
        <w:tc>
          <w:tcPr>
            <w:tcW w:w="4876" w:type="dxa"/>
          </w:tcPr>
          <w:p>
            <w:pPr>
              <w:pStyle w:val="Normal6a"/>
            </w:pPr>
            <w:r>
              <w:t>2.</w:t>
            </w:r>
            <w:r>
              <w:tab/>
            </w:r>
            <w:r>
              <w:t xml:space="preserve">Zpráva se s ohledem na sociální a hospodářský vývoj zabývá mimo jiné používáním evropského průkazu osob se zdravotním postižením a </w:t>
            </w:r>
            <w:r>
              <w:rPr>
                <w:b/>
                <w:i/>
              </w:rPr>
              <w:t>seniorů a</w:t>
            </w:r>
            <w:r>
              <w:t xml:space="preserve"> evropské parkovací karty pro osoby se zdravotním postižením </w:t>
            </w:r>
            <w:r>
              <w:rPr>
                <w:b/>
                <w:i/>
              </w:rPr>
              <w:t>a seniory</w:t>
            </w:r>
            <w:r>
              <w:t xml:space="preserve"> s cílem posoudit potřebu přezkumu této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Zpráva Komise přihlédne k názorům osob se zdravotním postižením, hospodářských zúčastněných stran a příslušných nevládních organizací, včetně organizací zastupujících osoby se zdravotním postižením.</w:t>
            </w:r>
          </w:p>
        </w:tc>
        <w:tc>
          <w:tcPr>
            <w:tcW w:w="4876" w:type="dxa"/>
          </w:tcPr>
          <w:p>
            <w:pPr>
              <w:pStyle w:val="Normal6a"/>
            </w:pPr>
            <w:r>
              <w:t>4.</w:t>
            </w:r>
            <w:r>
              <w:tab/>
            </w:r>
            <w:r>
              <w:t xml:space="preserve">Zpráva Komise přihlédne k názorům osob se zdravotním postižením </w:t>
            </w:r>
            <w:r>
              <w:rPr>
                <w:b/>
                <w:i/>
              </w:rPr>
              <w:t>a seniorů</w:t>
            </w:r>
            <w:r>
              <w:t xml:space="preserve">, hospodářských zúčastněných stran a příslušných nevládních organizací, včetně organizací zastupujících osoby se zdravotním postižením </w:t>
            </w:r>
            <w:r>
              <w:rPr>
                <w:b/>
                <w:i/>
              </w:rPr>
              <w:t>a seniory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16 – pododstavec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Zpráva musí obsahovat posouzení dopadů používání průkazu jako nástroje k posílení výhod přenositelnosti v oblasti sociálního zabezpečení podle nařízení (ES) č. 883/2004 a (ES) č. 987/2009 a sociální pomoci, na něž se vztahuje čl. 24 odst. 2 směrnice 2004/38/ES.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18</w:t>
            </w:r>
            <w:r>
              <w:t xml:space="preserve"> měsíců po vstupu této směrnice v platnost]. Neprodleně sdělí Komisi jejich znění.</w:t>
            </w:r>
          </w:p>
        </w:tc>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24</w:t>
            </w:r>
            <w:r>
              <w:t xml:space="preserve"> měsíců po vstupu této směrnice v platnost]. Neprodleně sdělí Komisi jejich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18</w:t>
            </w:r>
            <w:r>
              <w:t xml:space="preserve"> měsíců po vstupu této směrnice v platnost]. Neprodleně sdělí Komisi jejich znění.</w:t>
            </w:r>
          </w:p>
        </w:tc>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36</w:t>
            </w:r>
            <w:r>
              <w:t xml:space="preserve"> měsíců po vstupu této směrnice v platnost]. Neprodleně sdělí Komisi jejich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18</w:t>
            </w:r>
            <w:r>
              <w:t xml:space="preserve"> měsíců po vstupu této směrnice v platnost]. Neprodleně sdělí Komisi jejich znění.</w:t>
            </w:r>
          </w:p>
        </w:tc>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12</w:t>
            </w:r>
            <w:r>
              <w:t xml:space="preserve"> měsíců po vstupu této směrnice v platnost]. Neprodleně sdělí Komisi jejich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18</w:t>
            </w:r>
            <w:r>
              <w:t xml:space="preserve"> měsíců po vstupu této směrnice v platnost]. Neprodleně sdělí Komisi jejich znění.</w:t>
            </w:r>
          </w:p>
        </w:tc>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12</w:t>
            </w:r>
            <w:r>
              <w:t xml:space="preserve"> měsíců po vstupu této směrnice v platnost]. Neprodleně sdělí Komisi jejich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18</w:t>
            </w:r>
            <w:r>
              <w:t xml:space="preserve"> měsíců po vstupu této směrnice v platnost]. Neprodleně sdělí Komisi jejich znění.</w:t>
            </w:r>
          </w:p>
        </w:tc>
        <w:tc>
          <w:tcPr>
            <w:tcW w:w="4876" w:type="dxa"/>
          </w:tcPr>
          <w:p>
            <w:pPr>
              <w:pStyle w:val="Normal6a"/>
            </w:pPr>
            <w:r>
              <w:t>1.</w:t>
            </w:r>
            <w:r>
              <w:tab/>
            </w:r>
            <w:r>
              <w:t xml:space="preserve">Členské státy přijmou a zveřejní právní a správní předpisy nezbytné pro dosažení souladu s touto směrnicí nejpozději do dd/mm/rrrr [do </w:t>
            </w:r>
            <w:r>
              <w:rPr>
                <w:b/>
                <w:i/>
              </w:rPr>
              <w:t>12</w:t>
            </w:r>
            <w:r>
              <w:t xml:space="preserve"> měsíců po vstupu této směrnice v platnost]. Neprodleně sdělí Komisi jejich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Použijí tyto předpisy ode dne dd/mm/rrrr [</w:t>
            </w:r>
            <w:r>
              <w:rPr>
                <w:b/>
                <w:i/>
              </w:rPr>
              <w:t>30</w:t>
            </w:r>
            <w:r>
              <w:t xml:space="preserve"> měsíců po vstupu této směrnice v platnost].</w:t>
            </w:r>
          </w:p>
        </w:tc>
        <w:tc>
          <w:tcPr>
            <w:tcW w:w="4876" w:type="dxa"/>
          </w:tcPr>
          <w:p>
            <w:pPr>
              <w:pStyle w:val="Normal6a"/>
            </w:pPr>
            <w:r>
              <w:t>2.</w:t>
            </w:r>
            <w:r>
              <w:tab/>
            </w:r>
            <w:r>
              <w:t>Použijí tyto předpisy ode dne dd/mm/rrrr [</w:t>
            </w:r>
            <w:r>
              <w:rPr>
                <w:b/>
                <w:i/>
              </w:rPr>
              <w:t>24</w:t>
            </w:r>
            <w:r>
              <w:t xml:space="preserve"> měsíců po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Použijí tyto předpisy ode dne dd/mm/rrrr [</w:t>
            </w:r>
            <w:r>
              <w:rPr>
                <w:b/>
                <w:i/>
              </w:rPr>
              <w:t>30</w:t>
            </w:r>
            <w:r>
              <w:t xml:space="preserve"> měsíců po vstupu této směrnice v platnost].</w:t>
            </w:r>
          </w:p>
        </w:tc>
        <w:tc>
          <w:tcPr>
            <w:tcW w:w="4876" w:type="dxa"/>
          </w:tcPr>
          <w:p>
            <w:pPr>
              <w:pStyle w:val="Normal6a"/>
            </w:pPr>
            <w:r>
              <w:t>2.</w:t>
            </w:r>
            <w:r>
              <w:tab/>
            </w:r>
            <w:r>
              <w:t>Použijí tyto předpisy ode dne dd/mm/rrrr [</w:t>
            </w:r>
            <w:r>
              <w:rPr>
                <w:b/>
                <w:i/>
              </w:rPr>
              <w:t>36</w:t>
            </w:r>
            <w:r>
              <w:t xml:space="preserve"> měsíců po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Použijí tyto předpisy ode dne dd/mm/rrrr [</w:t>
            </w:r>
            <w:r>
              <w:rPr>
                <w:b/>
                <w:i/>
              </w:rPr>
              <w:t>30</w:t>
            </w:r>
            <w:r>
              <w:t xml:space="preserve"> měsíců po vstupu této směrnice v platnost].</w:t>
            </w:r>
          </w:p>
        </w:tc>
        <w:tc>
          <w:tcPr>
            <w:tcW w:w="4876" w:type="dxa"/>
          </w:tcPr>
          <w:p>
            <w:pPr>
              <w:pStyle w:val="Normal6a"/>
            </w:pPr>
            <w:r>
              <w:t>2.</w:t>
            </w:r>
            <w:r>
              <w:tab/>
            </w:r>
            <w:r>
              <w:t>Použijí tyto předpisy ode dne dd/mm/rrrr [</w:t>
            </w:r>
            <w:r>
              <w:rPr>
                <w:b/>
                <w:i/>
              </w:rPr>
              <w:t>48</w:t>
            </w:r>
            <w:r>
              <w:t xml:space="preserve"> měsíců po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Použijí tyto předpisy ode dne dd/mm/rrrr [</w:t>
            </w:r>
            <w:r>
              <w:rPr>
                <w:b/>
                <w:i/>
              </w:rPr>
              <w:t>30</w:t>
            </w:r>
            <w:r>
              <w:t xml:space="preserve"> měsíců po vstupu této směrnice v platnost].</w:t>
            </w:r>
          </w:p>
        </w:tc>
        <w:tc>
          <w:tcPr>
            <w:tcW w:w="4876" w:type="dxa"/>
          </w:tcPr>
          <w:p>
            <w:pPr>
              <w:pStyle w:val="Normal6a"/>
            </w:pPr>
            <w:r>
              <w:t>2.</w:t>
            </w:r>
            <w:r>
              <w:tab/>
            </w:r>
            <w:r>
              <w:t>Použijí tyto předpisy ode dne dd/mm/rrrr [</w:t>
            </w:r>
            <w:r>
              <w:rPr>
                <w:b/>
                <w:i/>
              </w:rPr>
              <w:t>24</w:t>
            </w:r>
            <w:r>
              <w:t xml:space="preserve"> měsíců po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Použijí tyto předpisy ode dne dd/mm/rrrr [</w:t>
            </w:r>
            <w:r>
              <w:rPr>
                <w:b/>
                <w:i/>
              </w:rPr>
              <w:t>30</w:t>
            </w:r>
            <w:r>
              <w:t xml:space="preserve"> měsíců po vstupu této směrnice v platnost].</w:t>
            </w:r>
          </w:p>
        </w:tc>
        <w:tc>
          <w:tcPr>
            <w:tcW w:w="4876" w:type="dxa"/>
          </w:tcPr>
          <w:p>
            <w:pPr>
              <w:pStyle w:val="Normal6a"/>
            </w:pPr>
            <w:r>
              <w:t>2.</w:t>
            </w:r>
            <w:r>
              <w:tab/>
            </w:r>
            <w:r>
              <w:t>Použijí tyto předpisy ode dne dd/mm/rrrr [</w:t>
            </w:r>
            <w:r>
              <w:rPr>
                <w:b/>
                <w:i/>
              </w:rPr>
              <w:t>20</w:t>
            </w:r>
            <w:r>
              <w:t xml:space="preserve"> měsíců po vstupu této směrnice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dílčí nadpis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FORMÁT EVROPSKÉHO PRŮKAZU OSOB SE ZDRAVOTNÍM POSTIŽENÍM</w:t>
            </w:r>
          </w:p>
        </w:tc>
        <w:tc>
          <w:tcPr>
            <w:tcW w:w="4876" w:type="dxa"/>
          </w:tcPr>
          <w:p>
            <w:pPr>
              <w:pStyle w:val="Normal6a"/>
            </w:pPr>
            <w:r>
              <w:t xml:space="preserve">FORMÁT EVROPSKÉHO PRŮKAZU OSOB SE ZDRAVOTNÍM POSTIŽENÍM </w:t>
            </w:r>
            <w:r>
              <w:rPr>
                <w:b/>
                <w:i/>
              </w:rPr>
              <w:t>A SENIORŮ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PŘEDNÍ STRANA: text „Evropský průkaz osob se zdravotním postižením“ v angličtině</w:t>
            </w:r>
            <w:r>
              <w:rPr>
                <w:b/>
                <w:i/>
              </w:rPr>
              <w:t>.</w:t>
            </w:r>
          </w:p>
        </w:tc>
        <w:tc>
          <w:tcPr>
            <w:tcW w:w="4876" w:type="dxa"/>
          </w:tcPr>
          <w:p>
            <w:pPr>
              <w:pStyle w:val="Normal6a"/>
            </w:pPr>
            <w:r>
              <w:t xml:space="preserve">PŘEDNÍ STRANA: text „Evropský průkaz osob se zdravotním postižením“ v angličtině </w:t>
            </w:r>
            <w:r>
              <w:rPr>
                <w:b/>
                <w:i/>
              </w:rPr>
              <w:t>a v jazyce (jazycích) členského státu, který průkaz vydal, a v Braillově písmu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PŘEDNÍ STRANA: text „Evropský průkaz osob se zdravotním postižením“ v angličtině.</w:t>
            </w:r>
          </w:p>
        </w:tc>
        <w:tc>
          <w:tcPr>
            <w:tcW w:w="4876" w:type="dxa"/>
          </w:tcPr>
          <w:p>
            <w:pPr>
              <w:pStyle w:val="Normal6a"/>
            </w:pPr>
            <w:r>
              <w:t xml:space="preserve">PŘEDNÍ STRANA: text „Evropský průkaz osob se zdravotním postižením </w:t>
            </w:r>
            <w:r>
              <w:rPr>
                <w:b/>
                <w:i/>
              </w:rPr>
              <w:t>a seniorů</w:t>
            </w:r>
            <w:r>
              <w:t>“ v angličtině.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ZADNÍ STRANA: vnitrostátní informace v národním jazyce nebo národních jazycích, o nichž rozhodne vydávající členský stát.</w:t>
            </w:r>
          </w:p>
        </w:tc>
        <w:tc>
          <w:tcPr>
            <w:tcW w:w="4876" w:type="dxa"/>
          </w:tcPr>
          <w:p>
            <w:pPr>
              <w:pStyle w:val="Normal6a"/>
            </w:pPr>
            <w:r>
              <w:t>ZADNÍ STRANA: vnitrostátní informace v národním jazyce nebo národních jazycích, o nichž rozhodne vydávající členský stát.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Vybízí členské státy, aby na zadní straně evropského průkazu osob se zdravotním postižením uváděly grafické, digitální nebo písemné označení, jako je piktogram ilustrující povahu pomoci požadované držitelem karty, a to na základě dobrovolnosti na žádost oprávněné osoby a bez uvedení povahy jejího zdravotního postižení, aby se zabránilo stigmatizaci jakékoli povahy.</w:t>
            </w:r>
            <w:r>
              <w:t xml:space="preserve"> </w:t>
            </w:r>
            <w:r>
              <w:rPr>
                <w:b/>
                <w:i/>
              </w:rPr>
              <w:t>Komise vypracuje pokyny pro společné piktogramy pro různé druhy pomoci.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ZADNÍ STRANA: vnitrostátní informace v národním jazyce nebo národních jazycích, o nichž rozhodne vydávající členský stát.</w:t>
            </w:r>
          </w:p>
        </w:tc>
        <w:tc>
          <w:tcPr>
            <w:tcW w:w="4876" w:type="dxa"/>
          </w:tcPr>
          <w:p>
            <w:pPr>
              <w:pStyle w:val="Normal6a"/>
            </w:pPr>
            <w:r>
              <w:t xml:space="preserve">ZADNÍ STRANA: vnitrostátní informace v národním jazyce nebo národních jazycích, o nichž rozhodne vydávající členský stát. </w:t>
            </w:r>
            <w:r>
              <w:rPr>
                <w:b/>
                <w:i/>
              </w:rPr>
              <w:t>Členské státy poskytnou osobám se zdravotním postižením možnost, aby si při podání žádosti o kartu příslušným orgánům, nechaly na kartě zobrazit příslušný symbol (symboly) pro označení jejich požadované přiměřené úpravy.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ZADNÍ STRANA: vnitrostátní informace v národním jazyce nebo národních jazycích, o nichž rozhodne vydávající členský stát.</w:t>
            </w:r>
          </w:p>
        </w:tc>
        <w:tc>
          <w:tcPr>
            <w:tcW w:w="4876" w:type="dxa"/>
          </w:tcPr>
          <w:p>
            <w:pPr>
              <w:pStyle w:val="Normal6a"/>
            </w:pPr>
            <w:r>
              <w:t>ZADNÍ STRANA: vnitrostátní informace v národním jazyce nebo národních jazycích, o nichž rozhodne vydávající členský stát</w:t>
            </w:r>
            <w:r>
              <w:rPr>
                <w:b/>
                <w:i/>
              </w:rPr>
              <w:t>, v souladu s vnitrostátními právními předpisy a zvyklostmi, např. stupeň zdravotního postižení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Velikost evropského průkazu osob se zdravotním postižením musí být v souladu s normou ISO 7810.</w:t>
            </w:r>
          </w:p>
        </w:tc>
        <w:tc>
          <w:tcPr>
            <w:tcW w:w="4876" w:type="dxa"/>
          </w:tcPr>
          <w:p>
            <w:pPr>
              <w:pStyle w:val="Normal6a"/>
            </w:pPr>
            <w:r>
              <w:t>1.</w:t>
            </w:r>
            <w:r>
              <w:tab/>
            </w:r>
            <w:r>
              <w:t xml:space="preserve">Velikost evropského průkazu osob se zdravotním postižením </w:t>
            </w:r>
            <w:r>
              <w:rPr>
                <w:b/>
                <w:i/>
              </w:rPr>
              <w:t>a seniorů</w:t>
            </w:r>
            <w:r>
              <w:t xml:space="preserve"> musí být v souladu s normou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Velmi důrazně se doporučuje začlenit do základního materiálu dokladu biografické údaje, včetně fotografie obličeje, a hlavní údaje o jeho vydání, aby se zajistilo řádné zabezpečení údajů proti pokusům o padělání nebo podvodné úpravy.</w:t>
            </w:r>
            <w:r>
              <w:rPr>
                <w:b/>
                <w:i/>
              </w:rPr>
              <w:t>Pro personalizaci dokumentu tímto způsobem je k dispozici celá řada technologií (např. laserové rytiny) a předem se nevylučuje používání a vývoj nových technologií.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Oblasti personalizace: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Grafická úprava karty musí obsahuje jedno bílé pole o rozměrech 21 x 28 mm, které se používá k tisku fotografie obličeje držitele.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Uspořádání karty obsahuje pět bílých polí o rozměrech 4 ×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Popisky vytištěné černou barvou jsou v národním jazyce a v anglickém jazyce (kurzívou), umístěné na dvou řádcích.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Písmo je Arial bold 4pt zarovnáno na levé straně pole.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Personalizační údaje jsou v Arialu 12pt zarovnané na pravé straně pole.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Údaje vytištěné na zadní straně dokumentu: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portrétní fotografie výhradního držitele.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1:</w:t>
            </w:r>
            <w:r>
              <w:rPr>
                <w:b/>
                <w:i/>
              </w:rPr>
              <w:t>jméno držitele průkazu.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2:</w:t>
            </w:r>
            <w:r>
              <w:rPr>
                <w:b/>
                <w:i/>
              </w:rPr>
              <w:t>příjmení držitele průkazu.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3:</w:t>
            </w:r>
            <w:r>
              <w:rPr>
                <w:b/>
                <w:i/>
              </w:rPr>
              <w:t>datum narození.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4:</w:t>
            </w:r>
            <w:r>
              <w:rPr>
                <w:b/>
                <w:i/>
              </w:rPr>
              <w:t>sériové číslo dokumentu.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5:</w:t>
            </w:r>
            <w:r>
              <w:rPr>
                <w:b/>
                <w:i/>
              </w:rPr>
              <w:t>datum skončení platnosti dokladu.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Pozn.: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Maximální počet znaků, které lze vytisknout pro jméno a příjmení, je 25.</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Datum je ve formátu DDnMMnRRRR, kde n je „.“ nebo nevyplněný 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Průkaz obsahuje:</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fotografii držitele průkazu,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příjmení a jméno držitele průkazu,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datum narození držitele průkazu,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sériové čísla průkazu.</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4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Barva průkazu je světle a tmavě modrá, jak je uvedeno na obrázku, a s hodnotami:</w:t>
            </w:r>
          </w:p>
        </w:tc>
        <w:tc>
          <w:tcPr>
            <w:tcW w:w="4876" w:type="dxa"/>
          </w:tcPr>
          <w:p>
            <w:pPr>
              <w:pStyle w:val="Normal6a"/>
            </w:pPr>
            <w:r>
              <w:t>4.</w:t>
            </w:r>
            <w:r>
              <w:tab/>
            </w:r>
            <w:r>
              <w:rPr>
                <w:b/>
                <w:i/>
              </w:rPr>
              <w:t>Podkladový bezpečnostní tisk musí obsahovat vzor mřížky vytištěný jednou pantonovou barvou.</w:t>
            </w:r>
            <w:r>
              <w:t xml:space="preserve"> </w:t>
            </w:r>
            <w:r>
              <w:rPr>
                <w:b/>
                <w:i/>
              </w:rPr>
              <w:t>Jsou dosaženy plochy různé barvy, které se skládají z čar s proměnlivou tloušťkou a schůdky.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Pozadí zahrnuje mikrotisk s nápisem „DISABILITY CARD“. Podkladový tisk musí obsahovat grafický prvek vytištěný neviditelným UV inkoustem (žluté barvy) znázorňujícím kruh 12 hvězd s opakováním písmen „EU“ ve středu.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Pro bezpečnostní pozadí se používá pouze jedna barva.</w:t>
      </w:r>
    </w:p>
    <w:p>
      <w:r>
        <w:rPr>
          <w:rStyle w:val="HideTWBExt"/>
        </w:rPr>
        <w:t>&lt;/Amend&gt;</w:t>
      </w:r>
    </w:p>
    <w:p>
      <w:pPr>
        <w:pStyle w:val="AmNumberTabs"/>
      </w:pPr>
      <w:r>
        <w:rPr>
          <w:rStyle w:val="HideTWBExt"/>
        </w:rPr>
        <w:t>&lt;Amend&gt;</w:t>
      </w:r>
      <w:r>
        <w:t>Pozměňovací návrh</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4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tmavě modrá:</w:t>
            </w:r>
            <w:r>
              <w:t xml:space="preserve"> </w:t>
            </w:r>
            <w:r>
              <w:rPr>
                <w:b/>
                <w:i/>
              </w:rPr>
              <w:t>CMYK 100, 90, 10, 0</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4 – odrážka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světle modrá:</w:t>
            </w:r>
            <w:r>
              <w:t xml:space="preserve"> </w:t>
            </w:r>
            <w:r>
              <w:rPr>
                <w:b/>
                <w:i/>
              </w:rPr>
              <w:t>CMYK 94, 63, 7, 1</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Na průkazu je uvedeno datum konce platnosti</w:t>
            </w:r>
            <w:r>
              <w:t>.</w:t>
            </w:r>
          </w:p>
        </w:tc>
        <w:tc>
          <w:tcPr>
            <w:tcW w:w="4876" w:type="dxa"/>
          </w:tcPr>
          <w:p>
            <w:pPr>
              <w:pStyle w:val="Normal6a"/>
            </w:pPr>
            <w:r>
              <w:t>5.</w:t>
            </w:r>
            <w:r>
              <w:tab/>
            </w:r>
            <w:r>
              <w:rPr>
                <w:b/>
                <w:i/>
              </w:rPr>
              <w:t>Viz návrh předložený v bodě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Průkaz obsahuje kód země v modrém kruhu</w:t>
            </w:r>
            <w:r>
              <w:t>.</w:t>
            </w:r>
          </w:p>
        </w:tc>
        <w:tc>
          <w:tcPr>
            <w:tcW w:w="4876" w:type="dxa"/>
          </w:tcPr>
          <w:p>
            <w:pPr>
              <w:pStyle w:val="Normal6a"/>
            </w:pPr>
            <w:r>
              <w:t>6.</w:t>
            </w:r>
            <w:r>
              <w:tab/>
            </w:r>
            <w:r>
              <w:rPr>
                <w:b/>
                <w:i/>
              </w:rPr>
              <w:t>Kružnice se dvěma písmeny kódu ISO vydávající země uvnitř se vytiskne barvou pantone blue reflex.</w:t>
            </w:r>
            <w:r>
              <w:t xml:space="preserve"> </w:t>
            </w:r>
            <w:r>
              <w:rPr>
                <w:b/>
                <w:i/>
              </w:rPr>
              <w:t>Kružnici tvoří dvanáct hvězd.</w:t>
            </w:r>
            <w:r>
              <w:t xml:space="preserve"> </w:t>
            </w:r>
            <w:r>
              <w:rPr>
                <w:b/>
                <w:i/>
              </w:rPr>
              <w:t>Dvě písmena ISO kódu země jsou bílá</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Grafický průvodce evropským znakem je uveden zde:</w:t>
      </w:r>
    </w:p>
    <w:p>
      <w:pPr>
        <w:pStyle w:val="AmJustText"/>
      </w:pPr>
      <w:r>
        <w:t>http://publications.europa.eu/code/cs/cs-5000100.htm</w:t>
      </w:r>
    </w:p>
    <w:p>
      <w:r>
        <w:rPr>
          <w:rStyle w:val="HideTWBExt"/>
        </w:rPr>
        <w:t>&lt;/Amend&gt;</w:t>
      </w:r>
    </w:p>
    <w:p>
      <w:pPr>
        <w:pStyle w:val="AmNumberTabs"/>
      </w:pPr>
      <w:r>
        <w:rPr>
          <w:rStyle w:val="HideTWBExt"/>
        </w:rPr>
        <w:t>&lt;Amend&gt;</w:t>
      </w:r>
      <w:r>
        <w:t>Pozměňovací návrh</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Nápis „Evropský průkaz osob se zdravotním postižením“ je zobrazen písmem Arial a Braillovým písmem o rozměrech podle normy Marburg.</w:t>
            </w:r>
          </w:p>
        </w:tc>
        <w:tc>
          <w:tcPr>
            <w:tcW w:w="4876" w:type="dxa"/>
          </w:tcPr>
          <w:p>
            <w:pPr>
              <w:pStyle w:val="Normal6a"/>
            </w:pPr>
            <w:r>
              <w:t>8.</w:t>
            </w:r>
            <w:r>
              <w:tab/>
            </w:r>
            <w:r>
              <w:t xml:space="preserve">Nápis „Evropský průkaz osob se zdravotním postižením“ je zobrazen písmem Arial a Braillovým písmem o rozměrech podle normy Marburg </w:t>
            </w:r>
            <w:r>
              <w:rPr>
                <w:b/>
                <w:i/>
              </w:rPr>
              <w:t>vytištěný barvou blue reflex</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Vzdálenost mezi body na ose x (a):</w:t>
            </w:r>
            <w:r>
              <w:rPr>
                <w:b/>
                <w:i/>
              </w:rPr>
              <w:t>2,5 mm (od středu bodu do středu bodu).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Vzdálenost mezi body na ose y (b):</w:t>
            </w:r>
            <w:r>
              <w:rPr>
                <w:b/>
                <w:i/>
              </w:rPr>
              <w:t>2,5 mm (od středu bodu do středu bodu).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Šířka znaku (c):</w:t>
            </w:r>
            <w:r>
              <w:rPr>
                <w:b/>
                <w:i/>
              </w:rPr>
              <w:t>6,0 mm (od středu bodu 1 prvního znaku do středu bodu 1 následujícího znaku).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Měřítko (d) mezi středem koncového znaku a středem počátečního znaku následujícího slova je 2 ×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Vzdálenost mezi řádky (e):</w:t>
            </w:r>
            <w:r>
              <w:rPr>
                <w:b/>
                <w:i/>
              </w:rPr>
              <w:t>10,0 mm (střed bodu 1 až střed bodu 1 následujícího řádku).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Bodový průměr:</w:t>
            </w:r>
            <w:r>
              <w:rPr>
                <w:b/>
                <w:i/>
              </w:rPr>
              <w:t>přibližně 1,3 mm (průměr bodu základní reliéfní razby) nebo 1,6 mm (průměr bodu raznice).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Nápis „EU DISABILITY CARD“ v Braillově písmě s použitím rozměrů kódu Marburg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Nápis „Evropský průkaz osob se zdravotním postižením“ je zobrazen písmem Arial a Braillovým písmem o rozměrech podle normy Marburg.</w:t>
            </w:r>
          </w:p>
        </w:tc>
        <w:tc>
          <w:tcPr>
            <w:tcW w:w="4876" w:type="dxa"/>
          </w:tcPr>
          <w:p>
            <w:pPr>
              <w:pStyle w:val="Normal6a"/>
            </w:pPr>
            <w:r>
              <w:t>8.</w:t>
            </w:r>
            <w:r>
              <w:tab/>
            </w:r>
            <w:r>
              <w:t xml:space="preserve">Nápis „Evropský průkaz osob se zdravotním postižením </w:t>
            </w:r>
            <w:r>
              <w:rPr>
                <w:b/>
                <w:i/>
              </w:rPr>
              <w:t>a seniorů</w:t>
            </w:r>
            <w:r>
              <w:t>“ je zobrazen písmem Arial a Braillovým písmem o rozměrech podle normy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 bod 10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Na zadní stranu se vloží hologram A s metalizací.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Hologram obsahuje slova „Evropský průkaz osob se zdravotním postižením“ a kruh tvořený 12 bílými hvězdami.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Karta musí mít kód QR obsahující všechna data zahrnutá na kartě v přístupném formátu, který je řádně definován a označen reliéfním razítkem, plně v souladu s právními předpisy o ochraně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dílčí nadpis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FORMÁT EVROPSKÉ PARKOVACÍ KARTY PRO OSOBY SE ZDRAVOTNÍM POSTIŽENÍM</w:t>
            </w:r>
          </w:p>
        </w:tc>
        <w:tc>
          <w:tcPr>
            <w:tcW w:w="4876" w:type="dxa"/>
          </w:tcPr>
          <w:p>
            <w:pPr>
              <w:pStyle w:val="Normal6a"/>
            </w:pPr>
            <w:r>
              <w:t xml:space="preserve">FORMÁT EVROPSKÉ PARKOVACÍ KARTY PRO OSOBY SE ZDRAVOTNÍM POSTIŽENÍM </w:t>
            </w:r>
            <w:r>
              <w:rPr>
                <w:b/>
                <w:i/>
              </w:rPr>
              <w:t>A SENIORY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dílčí nadpis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Nápis „Evropská parkovací karta“ je zobrazen Braillovým písmem o rozměrech podle normy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Velikost evropské parkovací karty pro osoby se zdravotním postižením je následující:</w:t>
            </w:r>
          </w:p>
        </w:tc>
        <w:tc>
          <w:tcPr>
            <w:tcW w:w="4876" w:type="dxa"/>
          </w:tcPr>
          <w:p>
            <w:pPr>
              <w:pStyle w:val="Normal6a"/>
            </w:pPr>
            <w:r>
              <w:t>1.</w:t>
            </w:r>
            <w:r>
              <w:tab/>
            </w:r>
            <w:r>
              <w:t xml:space="preserve">Velikost evropské parkovací karty pro osoby se zdravotním postižením </w:t>
            </w:r>
            <w:r>
              <w:rPr>
                <w:b/>
                <w:i/>
              </w:rPr>
              <w:t>a seniory</w:t>
            </w:r>
            <w:r>
              <w:t xml:space="preserve"> je následující: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2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Barva karty je tmavě modrá a žlutá, jak je uvedeno na obrázku, a s hodnotami:</w:t>
            </w:r>
          </w:p>
        </w:tc>
        <w:tc>
          <w:tcPr>
            <w:tcW w:w="4876" w:type="dxa"/>
          </w:tcPr>
          <w:p>
            <w:pPr>
              <w:pStyle w:val="Normal6a"/>
            </w:pPr>
            <w:r>
              <w:t>2.</w:t>
            </w:r>
            <w:r>
              <w:tab/>
            </w:r>
            <w:r>
              <w:rPr>
                <w:b/>
                <w:i/>
              </w:rPr>
              <w:t>Na pravé straně dokumentu lze použít pantone blue reflex a pantone yellow, neboť tyto barvy navrhuje Komise pro zobrazení vlajky EU.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Podkladový bezpečnostní tisk musí obsahovat vzor mřížky vytištěný jednou pantonovou barvou.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Pozadí zahrnuje mikrotisk s nápisem „EUROPEAN PARKING CARD“.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2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tmavě modrá:</w:t>
            </w:r>
            <w:r>
              <w:t xml:space="preserve"> </w:t>
            </w:r>
            <w:r>
              <w:rPr>
                <w:b/>
                <w:i/>
              </w:rPr>
              <w:t>CMYK 100, 90, 10, 0</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2 – odrážka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žlutá:</w:t>
            </w:r>
            <w:r>
              <w:t xml:space="preserve"> </w:t>
            </w:r>
            <w:r>
              <w:rPr>
                <w:b/>
                <w:i/>
              </w:rPr>
              <w:t>CMYK 94, 63, 7, 1</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Evropská parkovací karta pro osoby se zdravotním postižením je na přední i zadní straně svisle rozdělena na dvě části.</w:t>
            </w:r>
          </w:p>
        </w:tc>
        <w:tc>
          <w:tcPr>
            <w:tcW w:w="4876" w:type="dxa"/>
          </w:tcPr>
          <w:p>
            <w:pPr>
              <w:pStyle w:val="Normal6a"/>
            </w:pPr>
            <w:r>
              <w:t>3.</w:t>
            </w:r>
            <w:r>
              <w:tab/>
            </w:r>
            <w:r>
              <w:t xml:space="preserve">Evropská parkovací karta pro osoby se zdravotním postižením </w:t>
            </w:r>
            <w:r>
              <w:rPr>
                <w:b/>
                <w:i/>
              </w:rPr>
              <w:t>a seniory</w:t>
            </w:r>
            <w:r>
              <w:t xml:space="preserve"> je na přední i zadní straně svisle rozdělena na dvě části.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a – odrážka 5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slova „Evropská parkovací karta“ jsou zobrazena Braillovým písmem o rozměrech podle normy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b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slova „Evropská parkovací karta pro osoby se zdravotním postižením“ hůlkovým písmem v jazyce (jazycích) členského státu, který kartu vydal, za vhodnou mezerou jsou malým písmem uvedena v ostatních jazycích Evropské unie,</w:t>
            </w:r>
          </w:p>
        </w:tc>
        <w:tc>
          <w:tcPr>
            <w:tcW w:w="4876" w:type="dxa"/>
          </w:tcPr>
          <w:p>
            <w:pPr>
              <w:pStyle w:val="Normal6a"/>
            </w:pPr>
            <w:r>
              <w:rPr>
                <w:b/>
                <w:i/>
              </w:rPr>
              <w:t>–</w:t>
            </w:r>
            <w:r>
              <w:tab/>
            </w:r>
            <w:r>
              <w:t xml:space="preserve">slova „Evropská parkovací karta pro osoby se zdravotním postižením“ hůlkovým písmem v jazyce (jazycích) členského státu, který kartu vydal, za vhodnou mezerou jsou malým písmem uvedena v ostatních jazycích Evropské unie, </w:t>
            </w:r>
            <w:r>
              <w:rPr>
                <w:b/>
                <w:i/>
              </w:rPr>
              <w:t>slova „Evropská parkovací karta“ jsou zobrazena Braillovým písmem o rozměrech podle normy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b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slova „Evropská parkovací karta pro osoby se zdravotním postižením“ hůlkovým písmem v jazyce (jazycích) členského státu, který kartu vydal, za vhodnou mezerou jsou malým písmem uvedena v ostatních jazycích Evropské unie,</w:t>
            </w:r>
          </w:p>
        </w:tc>
        <w:tc>
          <w:tcPr>
            <w:tcW w:w="4876" w:type="dxa"/>
          </w:tcPr>
          <w:p>
            <w:pPr>
              <w:pStyle w:val="Normal6a"/>
            </w:pPr>
            <w:r>
              <w:rPr>
                <w:b/>
                <w:i/>
              </w:rPr>
              <w:t>–</w:t>
            </w:r>
            <w:r>
              <w:tab/>
            </w:r>
            <w:r>
              <w:t>slova „Evropská parkovací karta pro osoby se zdravotním postižením“ hůlkovým písmem v jazyce (jazycích) členského státu, který kartu vydal</w:t>
            </w:r>
            <w:r>
              <w:rPr>
                <w:b/>
                <w:i/>
              </w:rPr>
              <w:t>, a Braillovým písmem o rozměrech podle normy Marburg</w:t>
            </w:r>
            <w:r>
              <w:t>, za vhodnou mezerou jsou malým písmem uvedena v ostatních jazycích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b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slova „Evropská parkovací karta pro osoby se zdravotním postižením“ hůlkovým písmem v jazyce (jazycích) členského státu, který kartu vydal, za vhodnou mezerou jsou malým písmem uvedena v ostatních jazycích Evropské unie,</w:t>
            </w:r>
          </w:p>
        </w:tc>
        <w:tc>
          <w:tcPr>
            <w:tcW w:w="4876" w:type="dxa"/>
          </w:tcPr>
          <w:p>
            <w:pPr>
              <w:pStyle w:val="Normal6a"/>
            </w:pPr>
            <w:r>
              <w:rPr>
                <w:b/>
                <w:i/>
              </w:rPr>
              <w:t>–</w:t>
            </w:r>
            <w:r>
              <w:tab/>
            </w:r>
            <w:r>
              <w:t xml:space="preserve">slova „Evropská parkovací karta pro osoby se zdravotním postižením </w:t>
            </w:r>
            <w:r>
              <w:rPr>
                <w:b/>
                <w:i/>
              </w:rPr>
              <w:t>a seniory</w:t>
            </w:r>
            <w:r>
              <w:t>“ hůlkovým písmem v jazyce (jazycích) členského státu, který kartu vydal, za vhodnou mezerou jsou malým písmem uvedena v ostatních jazycích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b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slova „Evropská parkovací karta pro osoby se zdravotním postižením“ hůlkovým písmem v jazyce (jazycích) členského státu, který kartu vydal, za vhodnou mezerou jsou malým písmem uvedena v ostatních jazycích Evropské unie,</w:t>
            </w:r>
          </w:p>
        </w:tc>
        <w:tc>
          <w:tcPr>
            <w:tcW w:w="4876" w:type="dxa"/>
          </w:tcPr>
          <w:p>
            <w:pPr>
              <w:pStyle w:val="Normal6a"/>
            </w:pPr>
            <w:r>
              <w:rPr>
                <w:b/>
                <w:i/>
              </w:rPr>
              <w:t>–</w:t>
            </w:r>
            <w:r>
              <w:tab/>
            </w:r>
            <w:r>
              <w:t xml:space="preserve">slova „Evropská parkovací karta pro osoby se zdravotním postižením“ hůlkovým písmem v jazyce (jazycích) členského státu, který kartu vydal, </w:t>
            </w:r>
            <w:r>
              <w:rPr>
                <w:b/>
                <w:i/>
              </w:rPr>
              <w:t>a Braillovým písmem;</w:t>
            </w:r>
            <w:r>
              <w:t xml:space="preserve"> za vhodnou mezerou jsou malým písmem uvedena v ostatních jazycích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c – odrážka 7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sekundární identifikační číslo průkazu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Navrhujeme doplnit nový bod uvádějící nepovinné pole, které se používá v případě, že členský stát použije další identifikační číslo dokumentu.</w:t>
      </w:r>
    </w:p>
    <w:p>
      <w:r>
        <w:rPr>
          <w:rStyle w:val="HideTWBExt"/>
        </w:rPr>
        <w:t>&lt;/Amend&gt;</w:t>
      </w:r>
    </w:p>
    <w:p>
      <w:pPr>
        <w:pStyle w:val="AmNumberTabs"/>
      </w:pPr>
      <w:r>
        <w:rPr>
          <w:rStyle w:val="HideTWBExt"/>
        </w:rPr>
        <w:t>&lt;Amend&gt;</w:t>
      </w:r>
      <w:r>
        <w:t>Pozměňovací návrh</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3 – písm. d – odrážka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prohlášení: „Tato karta opravňuje držitele k místním parkovacím podmínkám a zařízením vyhrazeným pro osoby se zdravotním postižením, které jsou k dispozici v dotyčném členském státě.“,</w:t>
            </w:r>
          </w:p>
        </w:tc>
        <w:tc>
          <w:tcPr>
            <w:tcW w:w="4876" w:type="dxa"/>
          </w:tcPr>
          <w:p>
            <w:pPr>
              <w:pStyle w:val="Normal6a"/>
            </w:pPr>
            <w:r>
              <w:rPr>
                <w:b/>
                <w:i/>
              </w:rPr>
              <w:t>–</w:t>
            </w:r>
            <w:r>
              <w:tab/>
            </w:r>
            <w:r>
              <w:t xml:space="preserve">prohlášení: „Tato karta opravňuje držitele k místním parkovacím podmínkám a zařízením vyhrazeným pro osoby se zdravotním postižením </w:t>
            </w:r>
            <w:r>
              <w:rPr>
                <w:b/>
                <w:i/>
              </w:rPr>
              <w:t>a seniory</w:t>
            </w:r>
            <w:r>
              <w:t>, které jsou k dispozici v dotyčném členském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 bod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Materiály.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Aby bylo zajištěno řádné zabezpečení údajů proti pokusům o padělání nebo podvodné úpravy, velmi důrazně se doporučuje používat bezpečnostní materiály s bezpečnostními prvky proti padělání.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Příklad č. 1:</w:t>
            </w:r>
            <w:r>
              <w:rPr>
                <w:b/>
                <w:i/>
              </w:rPr>
              <w:t>Bezpečnostní papír s vodoznakem a bezpečnostními vlákny.</w:t>
            </w:r>
            <w:r>
              <w:rPr>
                <w:b/>
                <w:i/>
              </w:rPr>
              <w:t>Holografický prvek nebo rovnocenný bezpečnostní prvek.</w:t>
            </w:r>
            <w:r>
              <w:rPr>
                <w:b/>
                <w:i/>
              </w:rPr>
              <w:t>Za účelem ochrany dokumentu lze přidat laminaci.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Příklad č. 2:</w:t>
            </w:r>
            <w:r>
              <w:t xml:space="preserve"> </w:t>
            </w:r>
            <w:r>
              <w:rPr>
                <w:b/>
                <w:i/>
              </w:rPr>
              <w:t>Polykarbonát nebo rovnocenný materiál.</w:t>
            </w:r>
            <w:r>
              <w:t xml:space="preserve"> </w:t>
            </w:r>
            <w:r>
              <w:rPr>
                <w:b/>
                <w:i/>
              </w:rPr>
              <w:t>V tomto případě se velmi důrazně doporučuje začlenit do základního materiálu dokladu biografické údaje, včetně fotografie obličeje, a hlavní údaje o jeho vydání, aby se zajistilo řádné zabezpečení údajů proti pokusům o padělání nebo podvodné úpravy.</w:t>
            </w:r>
            <w:r>
              <w:t xml:space="preserve"> </w:t>
            </w:r>
            <w:r>
              <w:rPr>
                <w:b/>
                <w:i/>
              </w:rPr>
              <w:t>Holografický prvek nebo rovnocenný bezpečnostní prvek lze začlenit do struktury dokumentu.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Navrhuje se, aby byly v tomto oddíle výslovně popsány bezpečnostní materiály .</w:t>
      </w:r>
    </w:p>
    <w:p>
      <w:r>
        <w:rPr>
          <w:rStyle w:val="HideTWBExt"/>
        </w:rPr>
        <w:t>&lt;/Amend&gt;</w:t>
      </w:r>
    </w:p>
    <w:p>
      <w:pPr>
        <w:pStyle w:val="AmNumberTabs"/>
      </w:pPr>
      <w:r>
        <w:rPr>
          <w:rStyle w:val="HideTWBExt"/>
        </w:rPr>
        <w:t>&lt;Amend&gt;</w:t>
      </w:r>
      <w:r>
        <w:t>Pozměňovací návrh</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Návrh směrnice</w:t>
      </w:r>
      <w:r>
        <w:rPr>
          <w:rStyle w:val="HideTWBExt"/>
        </w:rPr>
        <w:t>&lt;/DocAmend&gt;</w:t>
      </w:r>
    </w:p>
    <w:p>
      <w:pPr>
        <w:pStyle w:val="NormalBold"/>
      </w:pPr>
      <w:r>
        <w:rPr>
          <w:rStyle w:val="HideTWBExt"/>
        </w:rPr>
        <w:t>&lt;Article&gt;</w:t>
      </w:r>
      <w:r>
        <w:t>Příloha II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Karta musí mít kód QR obsahující všechna data zahrnutá na kartě v přístupném formátu, který je řádně definován a označen reliéfním razítkem, plně v souladu s právními předpisy o ochraně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AM\1289917CS.docx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AM\1289917CS.docx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AM\1289917CS.docx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10200</Words>
  <Characters>61450</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35857</vt:lpwstr>
  </property>
  <property fmtid="{D5CDD505-2E9C-101B-9397-08002B2CF9AE}" pid="7" name="dmxml.render.traceId">
    <vt:lpwstr>6565c5a1d3f35f67558c898db4ee8beb</vt:lpwstr>
  </property>
  <property fmtid="{D5CDD505-2E9C-101B-9397-08002B2CF9AE}" pid="8" name="FooterPath">
    <vt:lpwstr>AM\1289917CS.docx</vt:lpwstr>
  </property>
  <property fmtid="{D5CDD505-2E9C-101B-9397-08002B2CF9AE}" pid="9" name="PE Number">
    <vt:lpwstr>756.072</vt:lpwstr>
  </property>
  <property fmtid="{D5CDD505-2E9C-101B-9397-08002B2CF9AE}" pid="10" name="UID">
    <vt:lpwstr>eu.europa.europarl-DIN1-2023-0000149720_02.00-cs-01.00_text-xml</vt:lpwstr>
  </property>
</Properties>
</file>