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Ausschuss für Beschäftigung und soziale Angelegenheiten</w:t>
      </w:r>
      <w:r>
        <w:rPr>
          <w:rStyle w:val="HideTWBExt"/>
        </w:rPr>
        <w:t>&lt;/Commission&gt;</w:t>
      </w:r>
    </w:p>
    <w:p>
      <w:pPr>
        <w:pStyle w:val="LineBottom"/>
      </w:pPr>
      <w:r>
        <w:t xml:space="preserve"> </w:t>
      </w:r>
    </w:p>
    <w:p>
      <w:pPr>
        <w:pStyle w:val="CoverReference"/>
      </w:pPr>
      <w:r>
        <w:rPr>
          <w:rStyle w:val="HideTWBExt"/>
        </w:rPr>
        <w:t>&lt;RefProc&gt;</w:t>
      </w:r>
      <w:r>
        <w:t>2023/0311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{10/11/2023}</w:t>
      </w:r>
      <w:r>
        <w:t>10.11.2023</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370</w:t>
      </w:r>
      <w:r>
        <w:t xml:space="preserve"> - </w:t>
      </w:r>
      <w:r>
        <w:t>480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Lucia Ďuriš Nicholsonová</w:t>
      </w:r>
      <w:r>
        <w:rPr>
          <w:rStyle w:val="HideTWBExt"/>
        </w:rPr>
        <w:t>&lt;/Rapporteur&gt;</w:t>
      </w:r>
    </w:p>
    <w:p>
      <w:pPr>
        <w:pStyle w:val="CoverNormal24a"/>
      </w:pPr>
      <w:r>
        <w:rPr>
          <w:rStyle w:val="HideTWBExt"/>
        </w:rPr>
        <w:t>&lt;DocRefPE&gt;</w:t>
      </w:r>
      <w:r>
        <w:t>(PE754.831v01-00)</w:t>
      </w:r>
      <w:r>
        <w:rPr>
          <w:rStyle w:val="HideTWBExt"/>
        </w:rPr>
        <w:t>&lt;/DocRefPE&gt;</w:t>
      </w:r>
    </w:p>
    <w:p>
      <w:pPr>
        <w:pStyle w:val="CoverNormal24a"/>
      </w:pPr>
      <w:r>
        <w:rPr>
          <w:rStyle w:val="HideTWBExt"/>
        </w:rPr>
        <w:t>&lt;Titre&gt;</w:t>
      </w:r>
      <w:r>
        <w:t>Einführung des Europäischen Behindertenausweises und des Europäischen Parkausweises für Menschen mit Behinderungen</w:t>
      </w:r>
      <w:r>
        <w:rPr>
          <w:rStyle w:val="HideTWBExt"/>
        </w:rPr>
        <w:t>&lt;/Titre&gt;</w:t>
      </w:r>
    </w:p>
    <w:p>
      <w:pPr>
        <w:pStyle w:val="CoverNormal"/>
      </w:pPr>
      <w:r>
        <w:rPr>
          <w:rStyle w:val="HideTWBExt"/>
        </w:rPr>
        <w:t>&lt;DocAmend&gt;</w:t>
      </w:r>
      <w:r>
        <w:t>Vorschlag für eine Richtlinie</w:t>
      </w:r>
      <w:r>
        <w:rPr>
          <w:rStyle w:val="HideTWBExt"/>
        </w:rPr>
        <w:t>&lt;/DocAmend&gt;</w:t>
      </w:r>
    </w:p>
    <w:p>
      <w:pPr>
        <w:pStyle w:val="CoverNormal24a"/>
      </w:pPr>
      <w:r>
        <w:rPr>
          <w:rStyle w:val="HideTWBExt"/>
        </w:rPr>
        <w:t>&lt;DocRef&gt;</w:t>
      </w:r>
      <w:r>
        <w:t>(COM(2023)0512 – C9-0328/2023 – 2023/0311(COD))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Kommission stellt sicher, dass den Mitgliedstaaten angemessene Mittel zur Deckung der Kosten zur Verfügung gestellt werden, die durch die Informations- und Sensibilisierungspflichten gemäß diesem Artikel und Artikel 15 entstehen.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Mitgliedstaaten treffen alle erforderlichen Maßnahmen zur Verhütung von Fälschung oder Betrug und gehen aktiv gegen jedwede betrügerische Verwendung und Fälschung des Europäischen Behindertenausweises und des Europäischen Parkausweises für Menschen mit Behinderungen vor.</w:t>
            </w:r>
          </w:p>
        </w:tc>
        <w:tc>
          <w:tcPr>
            <w:tcW w:w="4876" w:type="dxa"/>
          </w:tcPr>
          <w:p>
            <w:pPr>
              <w:pStyle w:val="Normal6a"/>
            </w:pPr>
            <w:r>
              <w:t>3.</w:t>
            </w:r>
            <w:r>
              <w:tab/>
            </w:r>
            <w:r>
              <w:t>Die Mitgliedstaaten treffen alle erforderlichen Maßnahmen zur Verhütung von Fälschung oder Betrug und gehen aktiv gegen jedwede betrügerische Verwendung und Fälschung des Europäischen Behindertenausweises und des Europäischen Parkausweises für Menschen mit Behinderungen vor</w:t>
            </w:r>
            <w:r>
              <w:rPr>
                <w:b/>
                <w:i/>
              </w:rPr>
              <w:t>, ohne den Zugang von Menschen mit Behinderungen zu den Ausweisen zu beeinträchtigen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Mitgliedstaaten treffen alle erforderlichen Maßnahmen zur Verhütung von Fälschung oder Betrug und gehen aktiv gegen jedwede betrügerische Verwendung und Fälschung des Europäischen </w:t>
            </w:r>
            <w:r>
              <w:rPr>
                <w:b/>
                <w:i/>
              </w:rPr>
              <w:t>Behindertenausweises</w:t>
            </w:r>
            <w:r>
              <w:t xml:space="preserve"> und des Europäischen Parkausweises für Menschen mit Behinderungen vor.</w:t>
            </w:r>
          </w:p>
        </w:tc>
        <w:tc>
          <w:tcPr>
            <w:tcW w:w="4876" w:type="dxa"/>
          </w:tcPr>
          <w:p>
            <w:pPr>
              <w:pStyle w:val="Normal6a"/>
            </w:pPr>
            <w:r>
              <w:t>3.</w:t>
            </w:r>
            <w:r>
              <w:tab/>
            </w:r>
            <w:r>
              <w:t xml:space="preserve">Die Mitgliedstaaten treffen alle erforderlichen Maßnahmen zur Verhütung von Fälschung oder Betrug und gehen aktiv gegen jedwede betrügerische Verwendung und Fälschung des Europäischen </w:t>
            </w:r>
            <w:r>
              <w:rPr>
                <w:b/>
                <w:i/>
              </w:rPr>
              <w:t>Ausweises für Menschen mit Behinderungen und ältere Menschen</w:t>
            </w:r>
            <w:r>
              <w:t xml:space="preserve"> und des Europäischen Parkausweises für Menschen mit Behinderungen </w:t>
            </w:r>
            <w:r>
              <w:rPr>
                <w:b/>
                <w:i/>
              </w:rPr>
              <w:t>und ältere Menschen</w:t>
            </w:r>
            <w:r>
              <w:t xml:space="preserve">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Darüber hinaus sollten die Organe der Union fortlaufend Informationen und Schulungen über den Europäischen Behindertenausweis zur Verfügung stellen, und zwar durch regelmäßige Schulungs- und Sensibilisierungskampagnen zu seiner Verwendung in Formaten, bei denen die universelle Barrierefreiheit sichergestellt ist, und unter Beteiligung von Menschen mit Behinderungen und deren Vertretungsorganisationen.</w:t>
            </w:r>
            <w:r>
              <w:t xml:space="preserve"> </w:t>
            </w:r>
            <w:r>
              <w:rPr>
                <w:b/>
                <w:i/>
              </w:rPr>
              <w:t>In diesen Informationen sollte eindeutig der freiwillige Charakter des Ausweises zum Ausdruck kommen.</w:t>
            </w:r>
            <w:r>
              <w:t xml:space="preserve"> </w:t>
            </w:r>
            <w:r>
              <w:rPr>
                <w:b/>
                <w:i/>
              </w:rPr>
              <w:t>Zu diesem Zweck sollten in der Union spezifische Haushaltslinien eingerichtet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David Casa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 Mitgliedstaaten stellen sicher, dass Betrug im öffentlichen Sektor, insbesondere im Bereich Sozialleistungen, umgehend und gründlich untersucht und unter Umständen strafrechtlich verfolgt wird, damit diese Richtlinie reibungslos umgesetzt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Die Mitgliedstaaten stellen mit den dafür erforderlichen Maßnahmen sicher, dass Inhaber eines Europäischen </w:t>
            </w:r>
            <w:r>
              <w:rPr>
                <w:b/>
                <w:i/>
              </w:rPr>
              <w:t>Behindertenausweises</w:t>
            </w:r>
            <w:r>
              <w:t xml:space="preserve"> oder eines Europäischen Parkausweises für Menschen mit Behinderungen ihre Ausweise an die zuständige Behörde zurückgeben, sobald die Voraussetzungen, unter denen sie ausgestellt wurden, nicht mehr erfüllt sind.</w:t>
            </w:r>
          </w:p>
        </w:tc>
        <w:tc>
          <w:tcPr>
            <w:tcW w:w="4876" w:type="dxa"/>
          </w:tcPr>
          <w:p>
            <w:pPr>
              <w:pStyle w:val="Normal6a"/>
            </w:pPr>
            <w:r>
              <w:t>4.</w:t>
            </w:r>
            <w:r>
              <w:tab/>
            </w:r>
            <w:r>
              <w:t xml:space="preserve">Die Mitgliedstaaten stellen mit den dafür erforderlichen Maßnahmen sicher, dass Inhaber eines Europäischen </w:t>
            </w:r>
            <w:r>
              <w:rPr>
                <w:b/>
                <w:i/>
              </w:rPr>
              <w:t>Ausweises für Menschen mit Behinderungen und ältere Menschen</w:t>
            </w:r>
            <w:r>
              <w:t xml:space="preserve"> oder eines Europäischen Parkausweises für Menschen mit Behinderungen </w:t>
            </w:r>
            <w:r>
              <w:rPr>
                <w:b/>
                <w:i/>
              </w:rPr>
              <w:t>und ältere Menschen</w:t>
            </w:r>
            <w:r>
              <w:t xml:space="preserve"> ihre Ausweise an die zuständige Behörde zurückgeben, sobald die Voraussetzungen, unter denen sie ausgestellt wurden, nicht mehr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Die Mitgliedstaaten stellen mit den dafür erforderlichen Maßnahmen sicher, dass bei einer missbräuchlichen Verwendung oder Zweckentfremdung der von einem anderen Mitgliedstaat ausgestellten Ausweise in ihrem Hoheitsgebiet die zuständigen Behörden des Mitgliedstaats, der den Europäischen Behindertenausweis oder den Europäischen Parkausweis für Menschen mit Behinderungen ausgestellt hat, entsprechend unterrichtet werden. Der Ausstellungsmitgliedstaat sorgt für angemessene Folgemaßnahmen im Einklang mit den nationalen Rechtsvorschriften oder Gepflogenheiten.</w:t>
            </w:r>
          </w:p>
        </w:tc>
        <w:tc>
          <w:tcPr>
            <w:tcW w:w="4876" w:type="dxa"/>
          </w:tcPr>
          <w:p>
            <w:pPr>
              <w:pStyle w:val="Normal6a"/>
            </w:pPr>
            <w:r>
              <w:t>5.</w:t>
            </w:r>
            <w:r>
              <w:tab/>
            </w:r>
            <w:r>
              <w:t xml:space="preserve">Die Mitgliedstaaten stellen mit den dafür erforderlichen Maßnahmen sicher, dass bei einer missbräuchlichen Verwendung oder Zweckentfremdung der von einem anderen Mitgliedstaat ausgestellten Ausweise in ihrem Hoheitsgebiet die zuständigen Behörden des Mitgliedstaats, der den Europäischen Behindertenausweis oder den Europäischen Parkausweis für Menschen mit Behinderungen ausgestellt hat, entsprechend unterrichtet werden. Der Ausstellungsmitgliedstaat sorgt für angemessene Folgemaßnahmen im Einklang mit den nationalen Rechtsvorschriften oder Gepflogenheiten. </w:t>
            </w:r>
            <w:r>
              <w:rPr>
                <w:b/>
                <w:i/>
              </w:rPr>
              <w:t>Die Mitgliedstaaten tauschen Informationen über die missbräuchliche Verwendung oder Zweckentfremdung der Ausweise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Die Mitgliedstaaten stellen mit den dafür erforderlichen Maßnahmen sicher, dass bei einer missbräuchlichen Verwendung oder Zweckentfremdung der von einem anderen Mitgliedstaat ausgestellten Ausweise in ihrem Hoheitsgebiet die zuständigen Behörden des Mitgliedstaats, der den Europäischen </w:t>
            </w:r>
            <w:r>
              <w:rPr>
                <w:b/>
                <w:i/>
              </w:rPr>
              <w:t>Behindertenausweis</w:t>
            </w:r>
            <w:r>
              <w:t xml:space="preserve"> oder den Europäischen Parkausweis für Menschen mit Behinderungen ausgestellt hat, entsprechend unterrichtet werden. Der Ausstellungsmitgliedstaat sorgt für angemessene Folgemaßnahmen im Einklang mit den nationalen Rechtsvorschriften oder Gepflogenheiten.</w:t>
            </w:r>
          </w:p>
        </w:tc>
        <w:tc>
          <w:tcPr>
            <w:tcW w:w="4876" w:type="dxa"/>
          </w:tcPr>
          <w:p>
            <w:pPr>
              <w:pStyle w:val="Normal6a"/>
            </w:pPr>
            <w:r>
              <w:t>5.</w:t>
            </w:r>
            <w:r>
              <w:tab/>
            </w:r>
            <w:r>
              <w:t xml:space="preserve">Die Mitgliedstaaten stellen mit den dafür erforderlichen Maßnahmen sicher, dass bei einer missbräuchlichen Verwendung oder Zweckentfremdung der von einem anderen Mitgliedstaat ausgestellten Ausweise in ihrem Hoheitsgebiet die zuständigen Behörden des Mitgliedstaats, der den Europäischen </w:t>
            </w:r>
            <w:r>
              <w:rPr>
                <w:b/>
                <w:i/>
              </w:rPr>
              <w:t>Ausweis für Menschen mit Behinderungen und ältere Menschen</w:t>
            </w:r>
            <w:r>
              <w:t xml:space="preserve"> oder den Europäischen Parkausweis für Menschen mit Behinderungen </w:t>
            </w:r>
            <w:r>
              <w:rPr>
                <w:b/>
                <w:i/>
              </w:rPr>
              <w:t>und ältere Menschen</w:t>
            </w:r>
            <w:r>
              <w:t xml:space="preserve"> ausgestellt hat, entsprechend unterrichtet werden. Der Ausstellungsmitgliedstaat sorgt für angemessene Folgemaßnahmen im Einklang mit den nationalen Rechtsvorschriften oder Gepflogenheiten.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Die Mitgliedstaaten überprüfen, ob die Verpflichtungen im Zusammenhang mit dem Europäischen </w:t>
            </w:r>
            <w:r>
              <w:rPr>
                <w:b/>
                <w:i/>
              </w:rPr>
              <w:t>Behindertenausweis</w:t>
            </w:r>
            <w:r>
              <w:t xml:space="preserve"> bzw. dem Europäischen Parkausweis für Menschen mit Behinderungen eingehalten und die damit einhergehenden Rechte der Menschen mit Behinderungen, die Inhaber dieser Ausweise sind, sowie der sie begleitenden oder unterstützenden Person(en) wie persönlichen Assistenzkräften gewahrt werden.</w:t>
            </w:r>
          </w:p>
        </w:tc>
        <w:tc>
          <w:tcPr>
            <w:tcW w:w="4876" w:type="dxa"/>
          </w:tcPr>
          <w:p>
            <w:pPr>
              <w:pStyle w:val="Normal6a"/>
            </w:pPr>
            <w:r>
              <w:t>6.</w:t>
            </w:r>
            <w:r>
              <w:tab/>
            </w:r>
            <w:r>
              <w:t xml:space="preserve">Die Mitgliedstaaten überprüfen, ob die Verpflichtungen im Zusammenhang mit dem Europäischen </w:t>
            </w:r>
            <w:r>
              <w:rPr>
                <w:b/>
                <w:i/>
              </w:rPr>
              <w:t>Ausweis für Menschen mit Behinderungen und ältere Menschen</w:t>
            </w:r>
            <w:r>
              <w:t xml:space="preserve"> bzw. dem Europäischen Parkausweis für Menschen mit Behinderungen </w:t>
            </w:r>
            <w:r>
              <w:rPr>
                <w:b/>
                <w:i/>
              </w:rPr>
              <w:t>ältere Menschen</w:t>
            </w:r>
            <w:r>
              <w:t xml:space="preserve"> eingehalten und die damit einhergehenden Rechte der Menschen mit Behinderungen </w:t>
            </w:r>
            <w:r>
              <w:rPr>
                <w:b/>
                <w:i/>
              </w:rPr>
              <w:t>und älteren Menschen</w:t>
            </w:r>
            <w:r>
              <w:t>, die Inhaber dieser Ausweise sind, sowie der sie begleitenden oder unterstützenden Person(en) wie persönlichen Assistenzkräften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 in den Absätzen 1 und 2 </w:t>
            </w:r>
            <w:r>
              <w:rPr>
                <w:b/>
                <w:i/>
              </w:rPr>
              <w:t>dieses Artikels</w:t>
            </w:r>
            <w:r>
              <w:t xml:space="preserve">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w:t>
            </w:r>
            <w:r>
              <w:rPr>
                <w:b/>
                <w:i/>
              </w:rPr>
              <w:t>öffentlichen</w:t>
            </w:r>
            <w:r>
              <w:t xml:space="preserve"> Behörde oder durch andere geeignete Mittel, und zwar im Einklang mit den einschlägigen Barrierefreiheitsanforderungen für Dienstleistungen gemäß Anhang I der Richtlinie (EU) 2019/882.</w:t>
            </w:r>
          </w:p>
        </w:tc>
        <w:tc>
          <w:tcPr>
            <w:tcW w:w="4876" w:type="dxa"/>
          </w:tcPr>
          <w:p>
            <w:pPr>
              <w:pStyle w:val="Normal6a"/>
            </w:pPr>
            <w:r>
              <w:t>7.</w:t>
            </w:r>
            <w:r>
              <w:tab/>
            </w:r>
            <w:r>
              <w:t xml:space="preserve">Die in den Absätzen 1 und 2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w:t>
            </w:r>
            <w:r>
              <w:rPr>
                <w:b/>
                <w:i/>
              </w:rPr>
              <w:t>, auf einer Website der Union in allen Amtssprachen der Union</w:t>
            </w:r>
            <w:r>
              <w:t xml:space="preserve"> oder durch andere geeignete Mittel, und zwar im Einklang mit den einschlägigen Barrierefreiheitsanforderungen für Dienstleistungen gemäß Anhang I der Richtlinie (EU) 2019/882. </w:t>
            </w:r>
            <w:r>
              <w:rPr>
                <w:b/>
                <w:i/>
              </w:rPr>
              <w:t>Diese Informationen dürfen den Schwierigkeitsgrad des Sprachniveaus B1 (untere Mittelstufe) des Gemeinsamen Europäischen Referenzrahmens für Sprachen des Europarats nicht überschreiten.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 in den Absätzen 1 und 2 </w:t>
            </w:r>
            <w:r>
              <w:rPr>
                <w:b/>
                <w:i/>
              </w:rPr>
              <w:t>dieses Artikels</w:t>
            </w:r>
            <w:r>
              <w:t xml:space="preserve">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w:t>
            </w:r>
            <w:r>
              <w:rPr>
                <w:b/>
                <w:i/>
              </w:rPr>
              <w:t>öffentlichen</w:t>
            </w:r>
            <w:r>
              <w:t xml:space="preserve"> Behörde oder durch andere geeignete Mittel, und zwar im Einklang mit den einschlägigen Barrierefreiheitsanforderungen für Dienstleistungen gemäß Anhang I der Richtlinie (EU) 2019/882.</w:t>
            </w:r>
          </w:p>
        </w:tc>
        <w:tc>
          <w:tcPr>
            <w:tcW w:w="4876" w:type="dxa"/>
          </w:tcPr>
          <w:p>
            <w:pPr>
              <w:pStyle w:val="Normal6a"/>
            </w:pPr>
            <w:r>
              <w:t>7.</w:t>
            </w:r>
            <w:r>
              <w:tab/>
            </w:r>
            <w:r>
              <w:t xml:space="preserve">Die in den Absätzen 1 und 2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 </w:t>
            </w:r>
            <w:r>
              <w:rPr>
                <w:b/>
                <w:i/>
              </w:rPr>
              <w:t>Die Mitgliedstaaten ergreifen die Maßnahmen, die sich aus den Absätzen 1 und 2 ergeben, im Benehmen mit den Vertretungsorganisationen von Menschen mit Behinderungen.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 in den Absätzen 1 und 2 </w:t>
            </w:r>
            <w:r>
              <w:rPr>
                <w:b/>
                <w:i/>
              </w:rPr>
              <w:t>dieses Artikels</w:t>
            </w:r>
            <w:r>
              <w:t xml:space="preserve">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w:t>
            </w:r>
            <w:r>
              <w:rPr>
                <w:b/>
                <w:i/>
              </w:rPr>
              <w:t>öffentlichen</w:t>
            </w:r>
            <w:r>
              <w:t xml:space="preserve"> Behörde oder durch andere geeignete Mittel, und zwar im Einklang mit den einschlägigen Barrierefreiheitsanforderungen für Dienstleistungen gemäß Anhang I der Richtlinie (EU) 2019/882.</w:t>
            </w:r>
          </w:p>
        </w:tc>
        <w:tc>
          <w:tcPr>
            <w:tcW w:w="4876" w:type="dxa"/>
          </w:tcPr>
          <w:p>
            <w:pPr>
              <w:pStyle w:val="Normal6a"/>
            </w:pPr>
            <w:r>
              <w:t>7.</w:t>
            </w:r>
            <w:r>
              <w:tab/>
            </w:r>
            <w:r>
              <w:t xml:space="preserve">Die in den Absätzen 1 und 2 genannten Informationen werden </w:t>
            </w:r>
            <w:r>
              <w:rPr>
                <w:b/>
                <w:i/>
              </w:rPr>
              <w:t>kostenfrei</w:t>
            </w:r>
            <w:r>
              <w:t xml:space="preserve"> und in klarer, verständlicher, nutzerfreundlicher und leicht zugänglicher Weise zur Verfügung gestellt, einschließlich auf </w:t>
            </w:r>
            <w:r>
              <w:rPr>
                <w:b/>
                <w:i/>
              </w:rPr>
              <w:t>einer Website der Union in allen Amtssprachen der Union, auf</w:t>
            </w:r>
            <w:r>
              <w:t xml:space="preserve"> der Website – falls vorhanden – des privaten Anbieters oder der Behörde oder durch andere geeignete Mittel, und zwar im Einklang mit den einschlägigen Barrierefreiheitsanforderungen für Dienstleistungen gemäß Anhang I der Richtlinie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 in den Absätzen 1 und 2 </w:t>
            </w:r>
            <w:r>
              <w:rPr>
                <w:b/>
                <w:i/>
              </w:rPr>
              <w:t>dieses Artikels</w:t>
            </w:r>
            <w:r>
              <w:t xml:space="preserve">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w:t>
            </w:r>
            <w:r>
              <w:rPr>
                <w:b/>
                <w:i/>
              </w:rPr>
              <w:t>öffentlichen</w:t>
            </w:r>
            <w:r>
              <w:t xml:space="preserve"> Behörde oder durch andere geeignete Mittel, und zwar im Einklang mit den einschlägigen Barrierefreiheitsanforderungen für Dienstleistungen gemäß Anhang I der Richtlinie (EU) 2019/882.</w:t>
            </w:r>
          </w:p>
        </w:tc>
        <w:tc>
          <w:tcPr>
            <w:tcW w:w="4876" w:type="dxa"/>
          </w:tcPr>
          <w:p>
            <w:pPr>
              <w:pStyle w:val="Normal6a"/>
            </w:pPr>
            <w:r>
              <w:t>7.</w:t>
            </w:r>
            <w:r>
              <w:tab/>
            </w:r>
            <w:r>
              <w:t xml:space="preserve">Die in den Absätzen 1 und 2 genannten Informationen werden </w:t>
            </w:r>
            <w:r>
              <w:rPr>
                <w:b/>
                <w:i/>
              </w:rPr>
              <w:t>kostenfrei</w:t>
            </w:r>
            <w:r>
              <w:t xml:space="preserve"> und in klarer, verständlicher, nutzerfreundlicher und leicht zugänglicher Weise zur Verfügung gestellt, einschließlich auf </w:t>
            </w:r>
            <w:r>
              <w:rPr>
                <w:b/>
                <w:i/>
              </w:rPr>
              <w:t>einer Website der Union in allen Amtssprachen der Union, auf</w:t>
            </w:r>
            <w:r>
              <w:t xml:space="preserve"> der Website – falls vorhanden – des privaten Anbieters oder der Behörde oder durch andere geeignete Mittel, und zwar im Einklang mit den einschlägigen Barrierefreiheitsanforderungen für Dienstleistungen gemäß Anhang I der Richtlinie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Es wird eine Website eingerichtet, die alle Informationen über den Europäischen Behindertenausweis oder den Europäischen Parkausweis für Menschen mit Behinderungen und über das etwaige Antragsverfahren enthält, und zwar in durchgängig barrierefreier Form, in allen Amtssprachen der Europäischen Union einschließlich Gebärdensprachen, in einem lesefreundlichen Format und durch Formen der unterstützten Kommunikation.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Die Vertretungsorganisationen von Menschen mit Behinderungen werden in das gesamte Verfahren der Entwicklung, Planung, Umsetzung, Überwachung und Evaluierung einbezogen.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Kommission stellt sicher, dass den Mitgliedstaaten angemessene Mittel zur Verfügung gestellt werden, um die Kosten der Verwaltungsverfahren, der physischen Ausstellung der Ausweise, der Bereitstellung von Informationen und Sensibilisierungskampagnen sowie andere notwendige Kosten zu decken.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in den Absätzen 1 und 2 genannten Informationen müssen verständlich sein und dürfen den Schwierigkeitsgrad des Sprachniveaus B1 (untere Mittelstufe) des Gemeinsamen Europäischen Referenzrahmens für Sprachen des Europarats nicht überschreiten.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in den Absätzen 1 und 2 genannten Informationen müssen verständlich sein und dürfen den Schwierigkeitsgrad des Sprachniveaus B1 (untere Mittelstufe) des Gemeinsamen Europäischen Referenzrahmens für Sprachen des Europarats nicht überschreiten.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Jordi Cañas, Monica Semedo,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Vertretungsorganisationen von Menschen mit Behinderungen werden in das gesamte Verfahren der Entwicklung, Planung, Durchführung, Überwachung und Evaluierung einbezogen.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Francesca Peppucci,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Kommission stellt sicher, dass die Mitgliedstaaten über ausreichende Mittel zur Deckung der Kosten der Umsetzung der vorstehenden Bestimmungen verfügen.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Die Kommission richtet auf der Ebene der Union eine spezielle Website ein, die relevante und regelmäßig aktualisierte Informationen über die Sonderkonditionen oder Vorzugsbehandlungen enthält, die die Mitgliedstaaten den Inhabern des Europäischen Behindertenausweises gewähren.</w:t>
            </w:r>
            <w:r>
              <w:t xml:space="preserve"> </w:t>
            </w:r>
            <w:r>
              <w:rPr>
                <w:b/>
                <w:i/>
              </w:rPr>
              <w:t>Die Website muss in allen Amtssprachen der Union und in barrierefreien Formaten verfügbar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Die Kommission stellt sicher, dass den Mitgliedstaaten ausreichende Mittel zur Verfügung gestellt werden, um die Kosten der Verwaltungsverfahren, der physischen Ausstellung des Ausweises, der Bereitstellung von Informationen und Sensibilisierungskampagnen sowie andere diesbezügliche Kosten zu decken.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9 – Absatz 7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7b.</w:t>
            </w:r>
            <w:r>
              <w:tab/>
            </w:r>
            <w:r>
              <w:rPr>
                <w:b/>
                <w:i/>
              </w:rPr>
              <w:t>Die Kommission stellt sicher, dass den Mitgliedstaaten angemessene Mittel zur Verfügung gestellt werden, um die Kosten der Verwaltungsverfahren, der physischen Ausstellung des Ausweises, der Bereitstellung von Informationen und Sensibilisierungskampagnen sowie andere diesbezügliche Kosten zu decken.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Mitgliedstaaten teilen der Kommission bis zum T.M.JJJJ [innerhalb von sechs Monaten nach Inkrafttreten dieser Richtlinie] mit, welche Behörden für die Ausstellung, die Verlängerung und den Entzug des Europäischen </w:t>
            </w:r>
            <w:r>
              <w:rPr>
                <w:b/>
                <w:i/>
              </w:rPr>
              <w:t>Behindertenausweises</w:t>
            </w:r>
            <w:r>
              <w:t xml:space="preserve"> und des Europäischen Parkausweises für Menschen mit Behinderungen zuständig sind.</w:t>
            </w:r>
          </w:p>
        </w:tc>
        <w:tc>
          <w:tcPr>
            <w:tcW w:w="4876" w:type="dxa"/>
          </w:tcPr>
          <w:p>
            <w:pPr>
              <w:pStyle w:val="Normal6a"/>
            </w:pPr>
            <w:r>
              <w:t xml:space="preserve">Die Mitgliedstaaten teilen der Kommission bis zum T.M.JJJJ [innerhalb von sechs Monaten nach Inkrafttreten dieser Richtlinie] mit, welche Behörden für die Ausstellung, die Verlängerung und den Entzug des Europäischen </w:t>
            </w:r>
            <w:r>
              <w:rPr>
                <w:b/>
                <w:i/>
              </w:rPr>
              <w:t>Ausweises für Menschen mit Behinderungen und ältere Menschen</w:t>
            </w:r>
            <w:r>
              <w:t xml:space="preserve"> und des Europäischen Parkausweises für Menschen mit Behinderungen </w:t>
            </w:r>
            <w:r>
              <w:rPr>
                <w:b/>
                <w:i/>
              </w:rPr>
              <w:t>und ältere Menschen</w:t>
            </w:r>
            <w:r>
              <w:t xml:space="preserve"> zuständig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Befugnis zum Erlass delegierter Rechtsakte gemäß Artikel 6 Absatz 7 und Artikel </w:t>
            </w:r>
            <w:r>
              <w:rPr>
                <w:b/>
                <w:i/>
              </w:rPr>
              <w:t>7</w:t>
            </w:r>
            <w:r>
              <w:t xml:space="preserve"> Absatz </w:t>
            </w:r>
            <w:r>
              <w:rPr>
                <w:b/>
                <w:i/>
              </w:rPr>
              <w:t>7</w:t>
            </w:r>
            <w:r>
              <w:t xml:space="preserve"> wird der Kommission auf unbestimmte Zeit ab [dem Datum des Inkrafttretens dieser Richtlinie] übertragen.</w:t>
            </w:r>
          </w:p>
        </w:tc>
        <w:tc>
          <w:tcPr>
            <w:tcW w:w="4876" w:type="dxa"/>
          </w:tcPr>
          <w:p>
            <w:pPr>
              <w:pStyle w:val="Normal6a"/>
            </w:pPr>
            <w:r>
              <w:t>2.</w:t>
            </w:r>
            <w:r>
              <w:tab/>
            </w:r>
            <w:r>
              <w:t>Die Befugnis zum Erlass delegierter Rechtsakte gemäß Artikel 6 Absatz 7</w:t>
            </w:r>
            <w:r>
              <w:rPr>
                <w:b/>
                <w:i/>
              </w:rPr>
              <w:t>, Artikel 7 Absatz 7</w:t>
            </w:r>
            <w:r>
              <w:t xml:space="preserve"> und Artikel </w:t>
            </w:r>
            <w:r>
              <w:rPr>
                <w:b/>
                <w:i/>
              </w:rPr>
              <w:t>15</w:t>
            </w:r>
            <w:r>
              <w:t xml:space="preserve"> Absatz </w:t>
            </w:r>
            <w:r>
              <w:rPr>
                <w:b/>
                <w:i/>
              </w:rPr>
              <w:t>4</w:t>
            </w:r>
            <w:r>
              <w:t xml:space="preserve"> wird der Kommission auf unbestimmte Zeit ab [dem Datum des Inkrafttretens dieser Richtlinie]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Vor dem Erlass eines delegierten Rechtsakts konsultiert die Kommission die von den einzelnen Mitgliedstaaten </w:t>
            </w:r>
            <w:r>
              <w:rPr>
                <w:b/>
                <w:i/>
              </w:rPr>
              <w:t>benannten</w:t>
            </w:r>
            <w:r>
              <w:t xml:space="preserve">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w:t>
            </w:r>
            <w:r>
              <w:rPr>
                <w:b/>
                <w:i/>
              </w:rPr>
              <w:t>in erster Linie und im Rahmen eines Kooperationsverfahrens Menschen mit Behinderungen und ihre Vertretungsorganisationen sowie andere einschlägige Sachverständige,</w:t>
            </w:r>
            <w:r>
              <w:t xml:space="preserve"> die von den einzelnen Mitgliedstaaten Sachverständigen im Einklang mit den in der Interinstitutionellen Vereinbarung vom 13. April 2016 über bessere Rechtsetzung enthaltenen Grundsätzen </w:t>
            </w:r>
            <w:r>
              <w:rPr>
                <w:b/>
                <w:i/>
              </w:rPr>
              <w:t>benannt werden. Üben die beteiligten Menschen mit Behinderungen diese Tätigkeit nicht in beruflicher Eigenschaft in einer Organisation für Menschen mit Behinderungen aus, so wird ihnen eine finanzielle Entschädigung gewährt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Francesca Peppucci, Rosa Estaràs Ferragut,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11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die von den einzelnen Mitgliedstaaten benannten Sachverständigen im Einklang mit den in der Interinstitutionellen Vereinbarung vom 13. April 2016 über bessere Rechtsetzung enthaltenen Grundsätzen </w:t>
            </w:r>
            <w:r>
              <w:rPr>
                <w:b/>
                <w:i/>
              </w:rPr>
              <w:t>sowie Menschen mit Behinderungen und deren Vertretungsorganisationen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formal und im Rahmen eines Kooperations- und Partizipationsverfahrens formelle und informelle Vertretungsorganisationen von Menschen mit Behinderungen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Stelios Kympouropoulos, Loucas Fourlas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Vertretungsorganisationen von Menschen mit Behinderungen angemessen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Vertretungsorganisationen von Menschen mit Behinderungen angemessen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Vertretungsorganisationen von Menschen mit Behinderungen angemessen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Vertretungsorganisationen von Menschen mit Behinderungen angemessen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Vertretungsorganisationen von Menschen mit Behinderungen angemessen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Francesca Peppucci, 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w:t>
            </w:r>
            <w:r>
              <w:rPr>
                <w:b/>
                <w:i/>
              </w:rPr>
              <w:t>und bezieht Menschen mit Behinderungen und deren Vertretungsorganisationen ein</w:t>
            </w:r>
            <w:r>
              <w:t>. Dieser Ausschuss ist ein Ausschuss im Sinne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Loucas Fourlas, Stelios Kympouropoulos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Kommission wird von einem Ausschuss unterstützt. Dieser Ausschuss ist ein Ausschuss im Sinne der Verordnung (EU) Nr. 182/2011.</w:t>
            </w:r>
          </w:p>
        </w:tc>
        <w:tc>
          <w:tcPr>
            <w:tcW w:w="4876" w:type="dxa"/>
          </w:tcPr>
          <w:p>
            <w:pPr>
              <w:pStyle w:val="Normal6a"/>
            </w:pPr>
            <w:r>
              <w:t>1.</w:t>
            </w:r>
            <w:r>
              <w:tab/>
            </w:r>
            <w:r>
              <w:t xml:space="preserve">Die Kommission wird von einem Ausschuss unterstützt. Dieser Ausschuss ist ein Ausschuss im Sinne der Verordnung (EU) Nr. 182/2011 </w:t>
            </w:r>
            <w:r>
              <w:rPr>
                <w:b/>
                <w:i/>
              </w:rPr>
              <w:t>und bezieht Vertretungsorganisationen von Menschen mit Behinderungen 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13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sorgen dafür, dass angemessene und wirksame Instrumente vorhanden sind, mit denen die Einhaltung dieser Richtlinie sichergestellt wird.</w:t>
            </w:r>
          </w:p>
        </w:tc>
        <w:tc>
          <w:tcPr>
            <w:tcW w:w="4876" w:type="dxa"/>
          </w:tcPr>
          <w:p>
            <w:pPr>
              <w:pStyle w:val="Normal6a"/>
            </w:pPr>
            <w:r>
              <w:t>1.</w:t>
            </w:r>
            <w:r>
              <w:tab/>
            </w:r>
            <w:r>
              <w:t xml:space="preserve">Die Mitgliedstaaten sorgen dafür, dass angemessene und wirksame Instrumente vorhanden sind, mit denen die Einhaltung dieser Richtlinie sichergestellt wird. </w:t>
            </w:r>
            <w:r>
              <w:rPr>
                <w:b/>
                <w:i/>
              </w:rPr>
              <w:t>Die Teilhabe und der ständige Dialog mit Organisationen der Zivilgesellschaft und Vertretungsorganisationen von Menschen mit Behinderungen werden gefördert.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13 – Absatz 2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Bestimmungen, wonach Menschen mit Behinderungen gemäß dem nationalen Recht vor Gericht oder bei den zuständigen Verwaltungsbehörden gegen Verletzungen der Rechte, die ihnen nach dieser Richtlinie und nach nationalen Vorschriften zur Umsetzung dieser Richtlinie zustehen, vorgehen können;</w:t>
            </w:r>
          </w:p>
        </w:tc>
        <w:tc>
          <w:tcPr>
            <w:tcW w:w="4876" w:type="dxa"/>
          </w:tcPr>
          <w:p>
            <w:pPr>
              <w:pStyle w:val="Normal6a"/>
            </w:pPr>
            <w:r>
              <w:t>a)</w:t>
            </w:r>
            <w:r>
              <w:tab/>
            </w:r>
            <w:r>
              <w:t xml:space="preserve">Bestimmungen, wonach Menschen mit Behinderungen </w:t>
            </w:r>
            <w:r>
              <w:rPr>
                <w:b/>
                <w:i/>
              </w:rPr>
              <w:t>und deren Vertretungsorganisationen</w:t>
            </w:r>
            <w:r>
              <w:t xml:space="preserve"> gemäß dem nationalen Recht vor Gericht oder bei den zuständigen Verwaltungsbehörden gegen Verletzungen der Rechte, die ihnen nach dieser Richtlinie und nach nationalen Vorschriften zur Umsetzung dieser Richtlinie zustehen, vorgehen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13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Bestimmungen, wonach öffentliche Stellen oder private Verbände, Organisationen oder andere juristische Personen, die ein berechtigtes Interesse daran haben, dass die Bestimmungen dieser Richtlinie eingehalten werden, entweder im Namen oder zur Unterstützung einer Person mit Behinderungen und mit deren Einverständnis in Gerichts- oder Verwaltungsverfahren zur Durchsetzung der nach dieser Richtlinie geltenden Verpflichtungen die Gerichte oder die zuständigen Verwaltungsbehörden anrufen können.</w:t>
            </w:r>
          </w:p>
        </w:tc>
        <w:tc>
          <w:tcPr>
            <w:tcW w:w="4876" w:type="dxa"/>
          </w:tcPr>
          <w:p>
            <w:pPr>
              <w:pStyle w:val="Normal6a"/>
            </w:pPr>
            <w:r>
              <w:t>b)</w:t>
            </w:r>
            <w:r>
              <w:tab/>
            </w:r>
            <w:r>
              <w:t>Bestimmungen, wonach öffentliche Stellen</w:t>
            </w:r>
            <w:r>
              <w:rPr>
                <w:b/>
                <w:i/>
              </w:rPr>
              <w:t>, etwa Gleichstellungsstellen,</w:t>
            </w:r>
            <w:r>
              <w:t xml:space="preserve"> oder private Verbände, Organisationen</w:t>
            </w:r>
            <w:r>
              <w:rPr>
                <w:b/>
                <w:i/>
              </w:rPr>
              <w:t>, insbesondere Vertretungsorganisationen von Menschen mit Behinderungen</w:t>
            </w:r>
            <w:r>
              <w:t xml:space="preserve"> oder andere juristische Personen, die ein berechtigtes Interesse daran haben, dass die Bestimmungen dieser Richtlinie eingehalten werden, entweder im Namen oder zur Unterstützung einer Person mit Behinderungen und mit deren Einverständnis in Gerichts- oder Verwaltungsverfahren zur Durchsetzung der nach dieser Richtlinie geltenden Verpflichtungen die Gerichte oder die zuständigen Verwaltungsbehörden anrufen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13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Bestimmungen, wonach öffentliche Stellen oder private Verbände, Organisationen oder andere juristische Personen, die ein berechtigtes Interesse daran haben, dass die Bestimmungen dieser Richtlinie eingehalten werden, entweder im Namen oder zur Unterstützung einer Person mit Behinderungen und mit deren Einverständnis in Gerichts- oder Verwaltungsverfahren zur Durchsetzung der nach dieser Richtlinie geltenden Verpflichtungen die Gerichte oder die zuständigen Verwaltungsbehörden anrufen können.</w:t>
            </w:r>
          </w:p>
        </w:tc>
        <w:tc>
          <w:tcPr>
            <w:tcW w:w="4876" w:type="dxa"/>
          </w:tcPr>
          <w:p>
            <w:pPr>
              <w:pStyle w:val="Normal6a"/>
            </w:pPr>
            <w:r>
              <w:t>b)</w:t>
            </w:r>
            <w:r>
              <w:tab/>
            </w:r>
            <w:r>
              <w:t xml:space="preserve">Bestimmungen, wonach öffentliche Stellen oder private Verbände, Organisationen oder andere juristische Personen, die ein berechtigtes Interesse daran haben, dass die Bestimmungen dieser Richtlinie eingehalten werden, entweder im Namen oder zur Unterstützung einer Person mit Behinderungen </w:t>
            </w:r>
            <w:r>
              <w:rPr>
                <w:b/>
                <w:i/>
              </w:rPr>
              <w:t>oder einer älteren Person</w:t>
            </w:r>
            <w:r>
              <w:t xml:space="preserve"> und mit deren Einverständnis in Gerichts- oder Verwaltungsverfahren zur Durchsetzung der nach dieser Richtlinie geltenden Verpflichtungen die Gerichte oder die zuständigen Verwaltungsbehörden anrufen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13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Es sollte eine Behörde eingerichtet werden, um einen institutionellen Mechanismus zur Überwachung und Kontrolle der Einhaltung der Vorschriften im Zusammenhang mit der Umsetzung, Überwachung und Evaluierung des Europäischen Behindertenausweises einzuführen.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barrierefreiem Format</w:t>
            </w:r>
            <w:r>
              <w:t xml:space="preserve"> öffentlich zugänglich machen.</w:t>
            </w:r>
          </w:p>
        </w:tc>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klarer, verständlicher, nutzerfreundlicher und leicht zugänglicher Weise und in barrierefreien Formaten</w:t>
            </w:r>
            <w:r>
              <w:t xml:space="preserve"> öffentlich zugänglich machen. </w:t>
            </w:r>
            <w:r>
              <w:rPr>
                <w:b/>
                <w:i/>
              </w:rPr>
              <w:t>Die Kommission richtet eine spezielle Website ein, die in allen Amtssprachen der Union einschließlich aller nationalen Gebärdensprachen der Mitgliedstaaten der Union für Audio- und Videoinhalte und in barrierefreien Formaten zur Verfügung steht und auf der die von den Behörden der Mitgliedstaaten gewährten Sonderkonditionen oder Vorzugsbehandlungen zusammengestellt werden.</w:t>
            </w:r>
            <w:r>
              <w:t xml:space="preserve"> </w:t>
            </w:r>
            <w:r>
              <w:rPr>
                <w:b/>
                <w:i/>
              </w:rPr>
              <w:t>Die Mitgliedstaaten stellen sicher, dass auf dieser Website – falls vorhanden – Informationen über die von Behörden und privaten Anbietern gewährten Sonderkonditionen oder Vorzugsbehandlungen bereitgestellt werden, und aktualisieren diese Informationen regelmäßig entsprechend den Änderungen der nationalen Rechtsvorschriften.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barrierefreiem Format</w:t>
            </w:r>
            <w:r>
              <w:t xml:space="preserve"> öffentlich zugänglich machen.</w:t>
            </w:r>
          </w:p>
        </w:tc>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klarer, verständlicher, nutzerfreundlicher und leicht zugänglicher Weise und in barrierefreien Formaten</w:t>
            </w:r>
            <w:r>
              <w:t xml:space="preserve"> öffentlich zugänglich machen. </w:t>
            </w:r>
            <w:r>
              <w:rPr>
                <w:b/>
                <w:i/>
              </w:rPr>
              <w:t>Die Mitgliedstaaten richten eine spezielle Website ein, auf der die von ihren Behörden gewährten Sonderkonditionen oder Vorzugsbehandlungen zusammengestellt werden.</w:t>
            </w:r>
            <w:r>
              <w:t xml:space="preserve"> </w:t>
            </w:r>
            <w:r>
              <w:rPr>
                <w:b/>
                <w:i/>
              </w:rPr>
              <w:t>Zudem können die Mitgliedstaaten auf dieser Website Informationen über etwaige von privaten Betreibern gewährte Sonderkonditionen oder Vorzugsbehandlungen zur Verfügung stellen.</w:t>
            </w:r>
            <w:r>
              <w:t xml:space="preserve"> </w:t>
            </w:r>
            <w:r>
              <w:rPr>
                <w:b/>
                <w:i/>
              </w:rPr>
              <w:t>Die Website wird in der/den Amtssprache(n) des Mitgliedstaats, den nationalen Gebärdensprachen und auf Englisch sowie in anderen relevanten Sprachen, die vom Mitgliedstaat festgelegt werden,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barrierefreiem Format</w:t>
            </w:r>
            <w:r>
              <w:t xml:space="preserve"> öffentlich zugänglich machen.</w:t>
            </w:r>
          </w:p>
        </w:tc>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barrierefreien Formaten auf einer barrierefreien Online-Informationsplattform öffentlich zugänglich machen (einschließlich leicht lesbarer Formate und untertitelter Videos in den nationalen Gebärdensprachen und International Sign)</w:t>
            </w:r>
            <w:r>
              <w:t xml:space="preserve"> öffentlich zugänglich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barrierefreiem Format</w:t>
            </w:r>
            <w:r>
              <w:t xml:space="preserve"> öffentlich zugänglich machen.</w:t>
            </w:r>
          </w:p>
        </w:tc>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barrierefreien Formaten</w:t>
            </w:r>
            <w:r>
              <w:t xml:space="preserve"> öffentlich zugänglich machen. </w:t>
            </w:r>
            <w:r>
              <w:rPr>
                <w:b/>
                <w:i/>
              </w:rPr>
              <w:t>Zu diesem Zweck werden ausreichende Unionsmittel gemäß Artikel 9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barrierefreiem Format</w:t>
            </w:r>
            <w:r>
              <w:t xml:space="preserve"> öffentlich zugänglich machen.</w:t>
            </w:r>
          </w:p>
        </w:tc>
        <w:tc>
          <w:tcPr>
            <w:tcW w:w="4876" w:type="dxa"/>
          </w:tcPr>
          <w:p>
            <w:pPr>
              <w:pStyle w:val="Normal6a"/>
            </w:pPr>
            <w:r>
              <w:t>1.</w:t>
            </w:r>
            <w:r>
              <w:tab/>
            </w:r>
            <w:r>
              <w:t xml:space="preserve">Die Mitgliedstaaten stellen sicher, dass private Anbieter oder Behörden Informationen über etwaige Sonderkonditionen oder Vorzugsbehandlungen nach Artikel 5 in </w:t>
            </w:r>
            <w:r>
              <w:rPr>
                <w:b/>
                <w:i/>
              </w:rPr>
              <w:t>barrierefreien Formaten</w:t>
            </w:r>
            <w:r>
              <w:t xml:space="preserve"> öffentlich zugänglich machen. </w:t>
            </w:r>
            <w:r>
              <w:rPr>
                <w:b/>
                <w:i/>
              </w:rPr>
              <w:t>Zu diesem Zweck werden ausreichende Unionsmittel gemäß Artikel 9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Mitgliedstaaten </w:t>
            </w:r>
            <w:r>
              <w:rPr>
                <w:b/>
                <w:i/>
              </w:rPr>
              <w:t>fordern</w:t>
            </w:r>
            <w:r>
              <w:t xml:space="preserve"> private Anbieter oder Behörden dazu auf, Menschen mit Behinderungen freiwillig Sonderkonditionen oder Vorzugsbehandlungen zu gewähren.</w:t>
            </w:r>
          </w:p>
        </w:tc>
        <w:tc>
          <w:tcPr>
            <w:tcW w:w="4876" w:type="dxa"/>
          </w:tcPr>
          <w:p>
            <w:pPr>
              <w:pStyle w:val="Normal6a"/>
            </w:pPr>
            <w:r>
              <w:t>2.</w:t>
            </w:r>
            <w:r>
              <w:tab/>
            </w:r>
            <w:r>
              <w:t>Die Mitgliedstaaten </w:t>
            </w:r>
            <w:r>
              <w:rPr>
                <w:b/>
                <w:i/>
              </w:rPr>
              <w:t>unterstützen</w:t>
            </w:r>
            <w:r>
              <w:t xml:space="preserve"> private Anbieter oder Behörden </w:t>
            </w:r>
            <w:r>
              <w:rPr>
                <w:b/>
                <w:i/>
              </w:rPr>
              <w:t>dabei und fordern sie</w:t>
            </w:r>
            <w:r>
              <w:t xml:space="preserve"> dazu auf, Menschen mit Behinderungen freiwillig Sonderkonditionen oder Vorzugsbehandlungen </w:t>
            </w:r>
            <w:r>
              <w:rPr>
                <w:b/>
                <w:i/>
              </w:rPr>
              <w:t>in einem möglichst breiten Spektrum an Dienstleistungen, anderen Aktivitäten und Einrichtungen</w:t>
            </w:r>
            <w:r>
              <w:t xml:space="preserve"> zu gewähren.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Insbesondere unterstützen die Mitgliedstaaten private Anbieter und Behörden dabei und fordern sie dazu auf, unter anderem durch die Bereitstellung von Informationen und den Austausch bewährter Verfahren über möglicherweise angebotene Sonderkonditionen oder Vorzugsbehandlungen sowie durch das Angebot von Schulungen zur durchgängigen Berücksichtigung der Belange von Menschen mit Behinderungen und zur Sensibilisierung für ihre Belange, um die Relevanz, Wirksamkeit und Inklusivität der angebotenen Sonderkonditionen oder Vorzugsbehandlungen sicherzustellen.</w:t>
            </w:r>
            <w:r>
              <w:t xml:space="preserve"> </w:t>
            </w:r>
            <w:r>
              <w:rPr>
                <w:b/>
                <w:i/>
              </w:rPr>
              <w:t>Die Mitgliedstaaten stellen sicher, dass alle derartigen Maßnahmen in Partnerschaft mit Menschen mit Behinderungen und ihren Vertretungsorganisationen durchgeführt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Mitgliedstaaten fordern private Anbieter oder Behörden dazu auf, Menschen mit Behinderungen freiwillig Sonderkonditionen oder Vorzugsbehandlungen zu gewähren.</w:t>
            </w:r>
          </w:p>
        </w:tc>
        <w:tc>
          <w:tcPr>
            <w:tcW w:w="4876" w:type="dxa"/>
          </w:tcPr>
          <w:p>
            <w:pPr>
              <w:pStyle w:val="Normal6a"/>
            </w:pPr>
            <w:r>
              <w:t>2.</w:t>
            </w:r>
            <w:r>
              <w:tab/>
            </w:r>
            <w:r>
              <w:t xml:space="preserve">Die Mitgliedstaaten fordern private Anbieter oder Behörden dazu auf, Menschen mit Behinderungen freiwillig Sonderkonditionen oder Vorzugsbehandlungen zu gewähren </w:t>
            </w:r>
            <w:r>
              <w:rPr>
                <w:b/>
                <w:i/>
              </w:rPr>
              <w:t>und gemeinsame Leitlinien der Union für Behörden und private Anbieter gemäß Artikel 5 auszuarbeiten, um die Erfüllung der Barrierefreiheitsanforderungen für Dienstleistungen gemäß Anhang I der Richtlinie (EU) 2019/882 angemessen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Mitgliedstaaten fordern private Anbieter oder Behörden dazu auf, Menschen mit Behinderungen freiwillig Sonderkonditionen oder Vorzugsbehandlungen zu gewähren.</w:t>
            </w:r>
          </w:p>
        </w:tc>
        <w:tc>
          <w:tcPr>
            <w:tcW w:w="4876" w:type="dxa"/>
          </w:tcPr>
          <w:p>
            <w:pPr>
              <w:pStyle w:val="Normal6a"/>
            </w:pPr>
            <w:r>
              <w:t>2.</w:t>
            </w:r>
            <w:r>
              <w:tab/>
            </w:r>
            <w:r>
              <w:t xml:space="preserve">Die Mitgliedstaaten fordern private Anbieter oder Behörden dazu auf, Menschen mit Behinderungen </w:t>
            </w:r>
            <w:r>
              <w:rPr>
                <w:b/>
                <w:i/>
              </w:rPr>
              <w:t>und älteren Menschen</w:t>
            </w:r>
            <w:r>
              <w:t xml:space="preserve"> freiwillig Sonderkonditionen oder Vorzugsbehandlungen zu gewähren.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dieses Artikels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dieses Artikels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 </w:t>
            </w:r>
            <w:r>
              <w:rPr>
                <w:b/>
                <w:i/>
              </w:rPr>
              <w:t>Die Kommission richtet ein digitales Portal ein, das alle Informationen über die Vorteile des Besitzes des Europäischen Behindertenausweises und des Europäischen Parkausweises in allen Mitgliedstaaten enthält, einschließlich Informationen über die verschiedenen Verfahren in den einzelnen Mitgliedstaaten.</w:t>
            </w:r>
            <w:r>
              <w:t xml:space="preserve"> </w:t>
            </w:r>
            <w:r>
              <w:rPr>
                <w:b/>
                <w:i/>
              </w:rPr>
              <w:t>Diese Informationen werden gemäß den Verpflichtungen zur Berichterstattung nach Artikel 16 dieser Richtlinie von den Mitgliedstaaten an die Kommission übermittelt und aktualisiert.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Atidzhe Alieva-Veli,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dieses Artikels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dieses Artikels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r>
              <w:rPr>
                <w:b/>
                <w:i/>
              </w:rPr>
              <w:t>, wobei der Schwierigkeitsgrad des Sprachniveaus B1 (untere Mittelstufe) des Gemeinsamen Europäischen Referenzrahmens für Sprachen des Europarats – auch in der bzw. den nationale(n) Gebärdensprache(n) – nicht überschritten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dieses Artikels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dieses Artikels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r>
              <w:rPr>
                <w:b/>
                <w:i/>
              </w:rPr>
              <w:t>, wobei der Schwierigkeitsgrad des Sprachniveaus B1 (untere Mittelstufe) des Gemeinsamen Europäischen Referenzrahmens für Sprachen des Europarats nicht überschritten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dieses Artikels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dieses Artikels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r>
              <w:rPr>
                <w:b/>
                <w:i/>
              </w:rPr>
              <w:t>, wobei der Schwierigkeitsgrad des Sprachniveaus B1 (untere Mittelstufe) des Gemeinsamen Europäischen Referenzrahmens für Sprachen des Europarats nicht überschritten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Ádám Kósa, Stelios Kympouropoulos, Lucia Ďuriš Nicholsonová</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w:t>
            </w:r>
            <w:r>
              <w:rPr>
                <w:b/>
                <w:i/>
              </w:rPr>
              <w:t>dieses Artikels</w:t>
            </w:r>
            <w:r>
              <w:t xml:space="preserve">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genannten Informationen werden </w:t>
            </w:r>
            <w:r>
              <w:rPr>
                <w:b/>
                <w:i/>
              </w:rPr>
              <w:t>in allen Amtssprachen der Union kostenfrei</w:t>
            </w:r>
            <w:r>
              <w:t xml:space="preserve"> und in klarer, verständlicher, nutzerfreundlicher und leicht zugänglicher Weise </w:t>
            </w:r>
            <w:r>
              <w:rPr>
                <w:b/>
                <w:i/>
              </w:rPr>
              <w:t>in barrierefreien Formaten (einschließlich leicht lesbarer Formate und untertitelter Videos in den nationalen Gebärdensprachen und International Sign)</w:t>
            </w:r>
            <w:r>
              <w:t xml:space="preserve"> zur Verfügung gestellt, einschließlich auf der Website – falls vorhanden – des privaten Anbieters oder der Behörde</w:t>
            </w:r>
            <w:r>
              <w:rPr>
                <w:b/>
                <w:i/>
              </w:rPr>
              <w:t>, auf einer Website der Union in allen Amtssprachen der Union</w:t>
            </w:r>
            <w:r>
              <w:t xml:space="preserve"> oder durch andere geeignete Mittel, und zwar im Einklang mit den einschlägigen Barrierefreiheitsanforderungen für Dienstleistungen gemäß Anhang I der Richtlinie (EU) 2019/882.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in Absatz 1 dieses Artikels genannten Informationen werden </w:t>
            </w:r>
            <w:r>
              <w:rPr>
                <w:b/>
                <w:i/>
              </w:rPr>
              <w:t>kostenlos</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p>
        </w:tc>
        <w:tc>
          <w:tcPr>
            <w:tcW w:w="4876" w:type="dxa"/>
          </w:tcPr>
          <w:p>
            <w:pPr>
              <w:pStyle w:val="Normal6a"/>
            </w:pPr>
            <w:r>
              <w:t>3.</w:t>
            </w:r>
            <w:r>
              <w:tab/>
            </w:r>
            <w:r>
              <w:t xml:space="preserve">Die in Absatz 1 dieses Artikels genannten Informationen werden </w:t>
            </w:r>
            <w:r>
              <w:rPr>
                <w:b/>
                <w:i/>
              </w:rPr>
              <w:t>kostenfrei</w:t>
            </w:r>
            <w:r>
              <w:t xml:space="preserve"> und in klarer, verständlicher, nutzerfreundlicher und leicht zugänglicher Weise zur Verfügung gestellt, einschließlich auf der Website – falls vorhanden – des privaten Anbieters oder der Behörde oder durch andere geeignete Mittel, und zwar im Einklang mit den einschlägigen Barrierefreiheitsanforderungen für Dienstleistungen gemäß Anhang I der Richtlinie (EU) 2019/882</w:t>
            </w:r>
            <w:r>
              <w:rPr>
                <w:b/>
                <w:i/>
              </w:rPr>
              <w:t>, wobei der Schwierigkeitsgrad des Sprachniveaus B1 (untere Mittelstufe) des Gemeinsamen Europäischen Referenzrahmens für Sprachen des Europarats nicht überschritten werden darf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15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Der Kommission wird die Befugnis übertragen, gemäß Artikel 11 delegierte Rechtsakte zur Ergänzung der Richtlinie zu erlassen, um im Einklang mit den einschlägigen Barrierefreiheitsanforderungen für Dienstleistungen gemäß Anhang I der Richtlinie (EU) 2019/882 eine offizielle Website der Union in allen Amtssprachen der Union einzurichten, auf der die in Absatz 1 genannten Informationen zusammengestellt werden, damit sie den Inhabern der Ausweise leichter zugänglich sind.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wäre sinnvoll, auf der Ebene der Union eine Website einzurichten, die in allen Amtssprachen der Union zur Verfügung steht und sortiert nach Mitgliedstaaten durchsucht werden kann, damit den Inhabern der Ausweise die Informationen leichter zugänglich sind.</w:t>
      </w:r>
      <w:r>
        <w:t xml:space="preserve"> </w:t>
      </w:r>
      <w:r>
        <w:t>Dies wäre für die Nutzer viel einfacher, als 27 verschiedene Websites mit unterschiedlichen Layouts, Strukturen und Sprachen zu durchsuchen, und auch Kosten würden gespart.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Spätestens zum T.M.JJJJ [</w:t>
            </w:r>
            <w:r>
              <w:rPr>
                <w:b/>
                <w:i/>
              </w:rPr>
              <w:t>drei</w:t>
            </w:r>
            <w:r>
              <w:t xml:space="preserve"> Jahre nach dem Geltungsbeginn der Richtlinie] und danach alle </w:t>
            </w:r>
            <w:r>
              <w:rPr>
                <w:b/>
                <w:i/>
              </w:rPr>
              <w:t>fünf</w:t>
            </w:r>
            <w:r>
              <w:t xml:space="preserve"> Jahre legt die Kommission dem Europäischen Parlament, dem Rat, dem Europäischen Wirtschafts- und Sozialausschuss und dem Ausschuss der Regionen einen Bericht über die Anwendung dieser Richtlinie vor.</w:t>
            </w:r>
          </w:p>
        </w:tc>
        <w:tc>
          <w:tcPr>
            <w:tcW w:w="4876" w:type="dxa"/>
          </w:tcPr>
          <w:p>
            <w:pPr>
              <w:pStyle w:val="Normal6a"/>
            </w:pPr>
            <w:r>
              <w:t>1.</w:t>
            </w:r>
            <w:r>
              <w:tab/>
            </w:r>
            <w:r>
              <w:t>Spätestens zum T.M.JJJJ [</w:t>
            </w:r>
            <w:r>
              <w:rPr>
                <w:b/>
                <w:i/>
              </w:rPr>
              <w:t>zwei</w:t>
            </w:r>
            <w:r>
              <w:t xml:space="preserve"> Jahre nach dem Geltungsbeginn der Richtlinie] und danach alle </w:t>
            </w:r>
            <w:r>
              <w:rPr>
                <w:b/>
                <w:i/>
              </w:rPr>
              <w:t>drei</w:t>
            </w:r>
            <w:r>
              <w:t xml:space="preserve"> Jahre legt die Kommission dem Europäischen Parlament, dem Rat, dem Europäischen Wirtschafts- und Sozialausschuss und dem Ausschuss der Regionen einen Bericht über die Anwendung dieser Richtlinie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Abir Al-Sahlani, Lucia Ďuriš Nicholsonová, Monica Semedo, Jordi Cañas, Dragoş Pîslaru, Irena Joveva,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Darin wird unter anderem die Nutzung des Europäischen Behindertenausweises und des Europäischen Parkausweises für Menschen mit Behinderungen im Lichte der sozialen und wirtschaftlichen Entwicklungen untersucht, um festzustellen, ob in Bezug auf die Richtlinie Verbesserungsbedarf besteht.</w:t>
            </w:r>
          </w:p>
        </w:tc>
        <w:tc>
          <w:tcPr>
            <w:tcW w:w="4876" w:type="dxa"/>
          </w:tcPr>
          <w:p>
            <w:pPr>
              <w:pStyle w:val="Normal6a"/>
            </w:pPr>
            <w:r>
              <w:t>2.</w:t>
            </w:r>
            <w:r>
              <w:tab/>
            </w:r>
            <w:r>
              <w:t xml:space="preserve">Darin wird unter anderem die Nutzung des Europäischen Behindertenausweises und des Europäischen Parkausweises für Menschen mit Behinderungen im Lichte der sozialen und wirtschaftlichen </w:t>
            </w:r>
            <w:r>
              <w:rPr>
                <w:b/>
                <w:i/>
              </w:rPr>
              <w:t>sowie sonstiger einschlägiger</w:t>
            </w:r>
            <w:r>
              <w:t xml:space="preserve"> Entwicklungen untersucht, um festzustellen, ob in Bezug auf die Richtlinie Verbesserungsbedarf besteht. </w:t>
            </w:r>
            <w:r>
              <w:rPr>
                <w:b/>
                <w:i/>
              </w:rPr>
              <w:t>In dem Bericht wird hinsichtlich der Geschlechtergleichstellung analysiert, wie sich die Bestimmungen dieser Richtlinie auf die Freizügigkeit von Frauen und Mädchen mit Behinderungen ausgewirkt haben.</w:t>
            </w:r>
            <w:r>
              <w:t xml:space="preserve"> </w:t>
            </w:r>
            <w:r>
              <w:rPr>
                <w:b/>
                <w:i/>
              </w:rPr>
              <w:t>In dem Bericht wird auch die Wirksamkeit der Anreize der Mitgliedstaaten für die Dienstleister evaluiert.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Darin wird unter anderem die Nutzung des Europäischen Behindertenausweises und des Europäischen Parkausweises für Menschen mit Behinderungen im Lichte der sozialen und wirtschaftlichen Entwicklungen untersucht, um festzustellen, ob in Bezug auf die Richtlinie Verbesserungsbedarf besteht.</w:t>
            </w:r>
          </w:p>
        </w:tc>
        <w:tc>
          <w:tcPr>
            <w:tcW w:w="4876" w:type="dxa"/>
          </w:tcPr>
          <w:p>
            <w:pPr>
              <w:pStyle w:val="Normal6a"/>
            </w:pPr>
            <w:r>
              <w:t>2.</w:t>
            </w:r>
            <w:r>
              <w:tab/>
            </w:r>
            <w:r>
              <w:t xml:space="preserve">Darin wird unter anderem die Nutzung des Europäischen Behindertenausweises und des Europäischen Parkausweises für Menschen mit Behinderungen im Lichte der sozialen und wirtschaftlichen </w:t>
            </w:r>
            <w:r>
              <w:rPr>
                <w:b/>
                <w:i/>
              </w:rPr>
              <w:t>sowie sonstiger einschlägiger, auch technischer,</w:t>
            </w:r>
            <w:r>
              <w:t xml:space="preserve"> Entwicklungen untersucht, um festzustellen, ob in Bezug auf die Richtlinie Verbesserungsbedarf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Darin wird unter anderem die Nutzung des Europäischen </w:t>
            </w:r>
            <w:r>
              <w:rPr>
                <w:b/>
                <w:i/>
              </w:rPr>
              <w:t>Behindertenausweises</w:t>
            </w:r>
            <w:r>
              <w:t xml:space="preserve"> und des Europäischen Parkausweises für Menschen mit Behinderungen im Lichte der sozialen und wirtschaftlichen Entwicklungen untersucht, um festzustellen, ob in Bezug auf die Richtlinie Verbesserungsbedarf besteht.</w:t>
            </w:r>
          </w:p>
        </w:tc>
        <w:tc>
          <w:tcPr>
            <w:tcW w:w="4876" w:type="dxa"/>
          </w:tcPr>
          <w:p>
            <w:pPr>
              <w:pStyle w:val="Normal6a"/>
            </w:pPr>
            <w:r>
              <w:t>2.</w:t>
            </w:r>
            <w:r>
              <w:tab/>
            </w:r>
            <w:r>
              <w:t xml:space="preserve">Darin wird unter anderem die Nutzung des Europäischen </w:t>
            </w:r>
            <w:r>
              <w:rPr>
                <w:b/>
                <w:i/>
              </w:rPr>
              <w:t>Ausweises für Menschen mit Behinderungen und ältere Menschen</w:t>
            </w:r>
            <w:r>
              <w:t xml:space="preserve"> und des Europäischen Parkausweises für Menschen mit Behinderungen </w:t>
            </w:r>
            <w:r>
              <w:rPr>
                <w:b/>
                <w:i/>
              </w:rPr>
              <w:t>und ältere Menschen</w:t>
            </w:r>
            <w:r>
              <w:t xml:space="preserve"> im Lichte der sozialen und wirtschaftlichen Entwicklungen untersucht, um festzustellen, ob in Bezug auf die Richtlinie Verbesserungsbedarf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Die Kommission berücksichtigt in ihrem Bericht die Standpunkte von Menschen mit Behinderungen</w:t>
            </w:r>
            <w:r>
              <w:rPr>
                <w:b/>
                <w:i/>
              </w:rPr>
              <w:t>, wirtschaftlichen</w:t>
            </w:r>
            <w:r>
              <w:t xml:space="preserve"> Interessenträgern </w:t>
            </w:r>
            <w:r>
              <w:rPr>
                <w:b/>
                <w:i/>
              </w:rPr>
              <w:t>und</w:t>
            </w:r>
            <w:r>
              <w:t xml:space="preserve"> relevanten </w:t>
            </w:r>
            <w:r>
              <w:rPr>
                <w:b/>
                <w:i/>
              </w:rPr>
              <w:t>Nichtregierungsorganisationen</w:t>
            </w:r>
            <w:r>
              <w:t xml:space="preserve">, darunter auch </w:t>
            </w:r>
            <w:r>
              <w:rPr>
                <w:b/>
                <w:i/>
              </w:rPr>
              <w:t>Vertreterorganisationen</w:t>
            </w:r>
            <w:r>
              <w:t xml:space="preserve"> von Menschen mit Behinderungen.</w:t>
            </w:r>
          </w:p>
        </w:tc>
        <w:tc>
          <w:tcPr>
            <w:tcW w:w="4876" w:type="dxa"/>
          </w:tcPr>
          <w:p>
            <w:pPr>
              <w:pStyle w:val="Normal6a"/>
            </w:pPr>
            <w:r>
              <w:t>4.</w:t>
            </w:r>
            <w:r>
              <w:tab/>
            </w:r>
            <w:r>
              <w:t xml:space="preserve">Die Kommission berücksichtigt in ihrem Bericht die Standpunkte von Menschen mit Behinderungen </w:t>
            </w:r>
            <w:r>
              <w:rPr>
                <w:b/>
                <w:i/>
              </w:rPr>
              <w:t>und älteren Menschen,</w:t>
            </w:r>
            <w:r>
              <w:t xml:space="preserve"> Interessenträgern </w:t>
            </w:r>
            <w:r>
              <w:rPr>
                <w:b/>
                <w:i/>
              </w:rPr>
              <w:t>aus der Wirtschaft und von</w:t>
            </w:r>
            <w:r>
              <w:t xml:space="preserve"> relevanten </w:t>
            </w:r>
            <w:r>
              <w:rPr>
                <w:b/>
                <w:i/>
              </w:rPr>
              <w:t>nichtstaatlichen Organisationen</w:t>
            </w:r>
            <w:r>
              <w:t xml:space="preserve">, darunter auch </w:t>
            </w:r>
            <w:r>
              <w:rPr>
                <w:b/>
                <w:i/>
              </w:rPr>
              <w:t>Vertretungsorganisationen</w:t>
            </w:r>
            <w:r>
              <w:t xml:space="preserve"> von Menschen mit Behinderungen </w:t>
            </w:r>
            <w:r>
              <w:rPr>
                <w:b/>
                <w:i/>
              </w:rPr>
              <w:t>und älteren Menschen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Der Bericht enthält eine Folgenabschätzung in Bezug auf die Verwendung des Ausweises als Instrument zur Verbesserung der Übertragbarkeit von Leistungen im Bereich der sozialen Sicherheit gemäß den Verordnungen (EG) Nr. 883/2004 und (EG) Nr. 987/2009 und von Sozialhilfe gemäß Artikel 24 Absatz 2 der Richtlinie 2004/38/EG.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erlassen und veröffentlichen spätestens am T.M.JJJJ [</w:t>
            </w:r>
            <w:r>
              <w:rPr>
                <w:b/>
                <w:i/>
              </w:rPr>
              <w:t>18</w:t>
            </w:r>
            <w:r>
              <w:t xml:space="preserve"> Monate nach Inkrafttreten dieser Richtlinie] die Rechts- und Verwaltungsvorschriften, die erforderlich sind, um dieser Richtlinie nachzukommen. Sie teilen der Kommission unverzüglich den Wortlaut dieser Vorschriften mit.</w:t>
            </w:r>
          </w:p>
        </w:tc>
        <w:tc>
          <w:tcPr>
            <w:tcW w:w="4876" w:type="dxa"/>
          </w:tcPr>
          <w:p>
            <w:pPr>
              <w:pStyle w:val="Normal6a"/>
            </w:pPr>
            <w:r>
              <w:t>(1)</w:t>
            </w:r>
            <w:r>
              <w:tab/>
            </w:r>
            <w:r>
              <w:t>Die Mitgliedstaaten erlassen und veröffentlichen spätestens am T.M.JJJJ [</w:t>
            </w:r>
            <w:r>
              <w:rPr>
                <w:b/>
                <w:i/>
              </w:rPr>
              <w:t>24</w:t>
            </w:r>
            <w:r>
              <w:t> Monate nach Inkrafttreten dieser Richtlinie] die Rechts- und Verwaltungsvorschriften, die erforderlich sind, um dieser Richtlinie nachzukommen. Sie teilen der Kommission unverzüglich den Wortlaut dieser Vorschriften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erlassen und veröffentlichen spätestens am T.M.JJJJ [</w:t>
            </w:r>
            <w:r>
              <w:rPr>
                <w:b/>
                <w:i/>
              </w:rPr>
              <w:t>18</w:t>
            </w:r>
            <w:r>
              <w:t xml:space="preserve"> Monate nach Inkrafttreten dieser Richtlinie] die Rechts- und Verwaltungsvorschriften, die erforderlich sind, um dieser Richtlinie nachzukommen. Sie teilen der Kommission unverzüglich den Wortlaut dieser Vorschriften mit.</w:t>
            </w:r>
          </w:p>
        </w:tc>
        <w:tc>
          <w:tcPr>
            <w:tcW w:w="4876" w:type="dxa"/>
          </w:tcPr>
          <w:p>
            <w:pPr>
              <w:pStyle w:val="Normal6a"/>
            </w:pPr>
            <w:r>
              <w:t>(1)</w:t>
            </w:r>
            <w:r>
              <w:tab/>
            </w:r>
            <w:r>
              <w:t>Die Mitgliedstaaten erlassen und veröffentlichen spätestens am T.M.JJJJ [</w:t>
            </w:r>
            <w:r>
              <w:rPr>
                <w:b/>
                <w:i/>
              </w:rPr>
              <w:t>36</w:t>
            </w:r>
            <w:r>
              <w:t> Monate nach Inkrafttreten dieser Richtlinie] die Rechts- und Verwaltungsvorschriften, die erforderlich sind, um dieser Richtlinie nachzukommen. Sie teilen der Kommission unverzüglich den Wortlaut dieser Vorschriften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José Gusmão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erlassen und veröffentlichen spätestens am T.M.JJJJ [</w:t>
            </w:r>
            <w:r>
              <w:rPr>
                <w:b/>
                <w:i/>
              </w:rPr>
              <w:t>18</w:t>
            </w:r>
            <w:r>
              <w:t xml:space="preserve"> Monate nach Inkrafttreten dieser Richtlinie] die Rechts- und Verwaltungsvorschriften, die erforderlich sind, um dieser Richtlinie nachzukommen. Sie teilen der Kommission unverzüglich den Wortlaut dieser Vorschriften mit.</w:t>
            </w:r>
          </w:p>
        </w:tc>
        <w:tc>
          <w:tcPr>
            <w:tcW w:w="4876" w:type="dxa"/>
          </w:tcPr>
          <w:p>
            <w:pPr>
              <w:pStyle w:val="Normal6a"/>
            </w:pPr>
            <w:r>
              <w:t>(1)</w:t>
            </w:r>
            <w:r>
              <w:tab/>
            </w:r>
            <w:r>
              <w:t>Die Mitgliedstaaten erlassen und veröffentlichen spätestens am T.M.JJJJ [</w:t>
            </w:r>
            <w:r>
              <w:rPr>
                <w:b/>
                <w:i/>
              </w:rPr>
              <w:t>12</w:t>
            </w:r>
            <w:r>
              <w:t> Monate nach Inkrafttreten dieser Richtlinie] die Rechts- und Verwaltungsvorschriften, die erforderlich sind, um dieser Richtlinie nachzukommen. Sie teilen der Kommission unverzüglich den Wortlaut dieser Vorschriften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erlassen und veröffentlichen spätestens am T.M.JJJJ [</w:t>
            </w:r>
            <w:r>
              <w:rPr>
                <w:b/>
                <w:i/>
              </w:rPr>
              <w:t>18</w:t>
            </w:r>
            <w:r>
              <w:t xml:space="preserve"> Monate nach Inkrafttreten dieser Richtlinie] die Rechts- und Verwaltungsvorschriften, die erforderlich sind, um dieser Richtlinie nachzukommen. Sie teilen der Kommission unverzüglich den Wortlaut dieser Vorschriften mit.</w:t>
            </w:r>
          </w:p>
        </w:tc>
        <w:tc>
          <w:tcPr>
            <w:tcW w:w="4876" w:type="dxa"/>
          </w:tcPr>
          <w:p>
            <w:pPr>
              <w:pStyle w:val="Normal6a"/>
            </w:pPr>
            <w:r>
              <w:t>(1)</w:t>
            </w:r>
            <w:r>
              <w:tab/>
            </w:r>
            <w:r>
              <w:t>Die Mitgliedstaaten erlassen und veröffentlichen spätestens am T.M.JJJJ [</w:t>
            </w:r>
            <w:r>
              <w:rPr>
                <w:b/>
                <w:i/>
              </w:rPr>
              <w:t>12</w:t>
            </w:r>
            <w:r>
              <w:t> Monate nach Inkrafttreten dieser Richtlinie] die Rechts- und Verwaltungsvorschriften, die erforderlich sind, um dieser Richtlinie nachzukommen. Sie teilen der Kommission unverzüglich den Wortlaut dieser Vorschriften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Mitgliedstaaten erlassen und veröffentlichen spätestens am T.M.JJJJ [</w:t>
            </w:r>
            <w:r>
              <w:rPr>
                <w:b/>
                <w:i/>
              </w:rPr>
              <w:t>18</w:t>
            </w:r>
            <w:r>
              <w:t xml:space="preserve"> Monate nach Inkrafttreten dieser Richtlinie] die Rechts- und Verwaltungsvorschriften, die erforderlich sind, um dieser Richtlinie nachzukommen. Sie teilen der Kommission unverzüglich den Wortlaut dieser Vorschriften mit.</w:t>
            </w:r>
          </w:p>
        </w:tc>
        <w:tc>
          <w:tcPr>
            <w:tcW w:w="4876" w:type="dxa"/>
          </w:tcPr>
          <w:p>
            <w:pPr>
              <w:pStyle w:val="Normal6a"/>
            </w:pPr>
            <w:r>
              <w:t>(1)</w:t>
            </w:r>
            <w:r>
              <w:tab/>
            </w:r>
            <w:r>
              <w:t>Die Mitgliedstaaten erlassen und veröffentlichen spätestens am T.M.JJJJ [</w:t>
            </w:r>
            <w:r>
              <w:rPr>
                <w:b/>
                <w:i/>
              </w:rPr>
              <w:t>12</w:t>
            </w:r>
            <w:r>
              <w:t> Monate nach Inkrafttreten dieser Richtlinie] die Rechts- und Verwaltungsvorschriften, die erforderlich sind, um dieser Richtlinie nachzukommen. Sie teilen der Kommission unverzüglich den Wortlaut dieser Vorschriften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Katrin Langensiepen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 wenden diese Vorschriften ab dem T.M.JJJJ [</w:t>
            </w:r>
            <w:r>
              <w:rPr>
                <w:b/>
                <w:i/>
              </w:rPr>
              <w:t>30</w:t>
            </w:r>
            <w:r>
              <w:t xml:space="preserve"> Monate nach Inkrafttreten dieser Richtlinie] an.</w:t>
            </w:r>
          </w:p>
        </w:tc>
        <w:tc>
          <w:tcPr>
            <w:tcW w:w="4876" w:type="dxa"/>
          </w:tcPr>
          <w:p>
            <w:pPr>
              <w:pStyle w:val="Normal6a"/>
            </w:pPr>
            <w:r>
              <w:t>(2)</w:t>
            </w:r>
            <w:r>
              <w:tab/>
            </w:r>
            <w:r>
              <w:t>Sie wenden diese Vorschriften ab dem T.M.JJJJ [</w:t>
            </w:r>
            <w:r>
              <w:rPr>
                <w:b/>
                <w:i/>
              </w:rPr>
              <w:t>24</w:t>
            </w:r>
            <w:r>
              <w:t> Monate nach Inkrafttreten dieser Richtlinie]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 wenden diese Vorschriften ab dem T.M.JJJJ [</w:t>
            </w:r>
            <w:r>
              <w:rPr>
                <w:b/>
                <w:i/>
              </w:rPr>
              <w:t>30</w:t>
            </w:r>
            <w:r>
              <w:t xml:space="preserve"> Monate nach Inkrafttreten dieser Richtlinie] an.</w:t>
            </w:r>
          </w:p>
        </w:tc>
        <w:tc>
          <w:tcPr>
            <w:tcW w:w="4876" w:type="dxa"/>
          </w:tcPr>
          <w:p>
            <w:pPr>
              <w:pStyle w:val="Normal6a"/>
            </w:pPr>
            <w:r>
              <w:t>(2)</w:t>
            </w:r>
            <w:r>
              <w:tab/>
            </w:r>
            <w:r>
              <w:t>Sie wenden diese Vorschriften ab dem T.M.JJJJ [</w:t>
            </w:r>
            <w:r>
              <w:rPr>
                <w:b/>
                <w:i/>
              </w:rPr>
              <w:t>36</w:t>
            </w:r>
            <w:r>
              <w:t> Monate nach Inkrafttreten dieser Richtlinie]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 wenden diese Vorschriften ab dem T.M.JJJJ [</w:t>
            </w:r>
            <w:r>
              <w:rPr>
                <w:b/>
                <w:i/>
              </w:rPr>
              <w:t>30</w:t>
            </w:r>
            <w:r>
              <w:t xml:space="preserve"> Monate nach Inkrafttreten dieser Richtlinie] an.</w:t>
            </w:r>
          </w:p>
        </w:tc>
        <w:tc>
          <w:tcPr>
            <w:tcW w:w="4876" w:type="dxa"/>
          </w:tcPr>
          <w:p>
            <w:pPr>
              <w:pStyle w:val="Normal6a"/>
            </w:pPr>
            <w:r>
              <w:t>(2)</w:t>
            </w:r>
            <w:r>
              <w:tab/>
            </w:r>
            <w:r>
              <w:t>Sie wenden diese Vorschriften ab dem T.M.JJJJ [</w:t>
            </w:r>
            <w:r>
              <w:rPr>
                <w:b/>
                <w:i/>
              </w:rPr>
              <w:t>48</w:t>
            </w:r>
            <w:r>
              <w:t> Monate nach Inkrafttreten dieser Richtlinie]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 wenden diese Vorschriften ab dem T.M.JJJJ [</w:t>
            </w:r>
            <w:r>
              <w:rPr>
                <w:b/>
                <w:i/>
              </w:rPr>
              <w:t>30</w:t>
            </w:r>
            <w:r>
              <w:t xml:space="preserve"> Monate nach Inkrafttreten dieser Richtlinie] an.</w:t>
            </w:r>
          </w:p>
        </w:tc>
        <w:tc>
          <w:tcPr>
            <w:tcW w:w="4876" w:type="dxa"/>
          </w:tcPr>
          <w:p>
            <w:pPr>
              <w:pStyle w:val="Normal6a"/>
            </w:pPr>
            <w:r>
              <w:t>(2)</w:t>
            </w:r>
            <w:r>
              <w:tab/>
            </w:r>
            <w:r>
              <w:t>Sie wenden diese Vorschriften ab dem T.M.JJJJ [</w:t>
            </w:r>
            <w:r>
              <w:rPr>
                <w:b/>
                <w:i/>
              </w:rPr>
              <w:t>24</w:t>
            </w:r>
            <w:r>
              <w:t> Monate nach Inkrafttreten dieser Richtlinie]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Rosa Estaràs Ferragut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Sie wenden diese Vorschriften ab dem T.M.JJJJ [</w:t>
            </w:r>
            <w:r>
              <w:rPr>
                <w:b/>
                <w:i/>
              </w:rPr>
              <w:t>30</w:t>
            </w:r>
            <w:r>
              <w:t xml:space="preserve"> Monate nach Inkrafttreten dieser Richtlinie] an.</w:t>
            </w:r>
          </w:p>
        </w:tc>
        <w:tc>
          <w:tcPr>
            <w:tcW w:w="4876" w:type="dxa"/>
          </w:tcPr>
          <w:p>
            <w:pPr>
              <w:pStyle w:val="Normal6a"/>
            </w:pPr>
            <w:r>
              <w:t>(2)</w:t>
            </w:r>
            <w:r>
              <w:tab/>
            </w:r>
            <w:r>
              <w:t>Sie wenden diese Vorschriften ab dem T.M.JJJJ [</w:t>
            </w:r>
            <w:r>
              <w:rPr>
                <w:b/>
                <w:i/>
              </w:rPr>
              <w:t>20</w:t>
            </w:r>
            <w:r>
              <w:t> Monate nach Inkrafttreten dieser Richtlinie]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FORMAT DES EUROPÄISCHEN </w:t>
            </w:r>
            <w:r>
              <w:rPr>
                <w:b/>
                <w:i/>
              </w:rPr>
              <w:t>BEHINDERTENAUSWEISES</w:t>
            </w:r>
          </w:p>
        </w:tc>
        <w:tc>
          <w:tcPr>
            <w:tcW w:w="4876" w:type="dxa"/>
          </w:tcPr>
          <w:p>
            <w:pPr>
              <w:pStyle w:val="Normal6a"/>
            </w:pPr>
            <w:r>
              <w:t xml:space="preserve">FORMAT DES EUROPÄISCHEN </w:t>
            </w:r>
            <w:r>
              <w:rPr>
                <w:b/>
                <w:i/>
              </w:rPr>
              <w:t>AUSWEISES FÜR MENSCHEN MIT BEHINDERUNGEN UND ÄLTERE MENSCHEN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Zeile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VORDERSEITE: Text „European Disability Card“ in englischer Sprache</w:t>
            </w:r>
          </w:p>
        </w:tc>
        <w:tc>
          <w:tcPr>
            <w:tcW w:w="4876" w:type="dxa"/>
          </w:tcPr>
          <w:p>
            <w:pPr>
              <w:pStyle w:val="Normal6a"/>
            </w:pPr>
            <w:r>
              <w:t xml:space="preserve">VORDERSEITE: Text „European Disability Card“ in englischer Sprache </w:t>
            </w:r>
            <w:r>
              <w:rPr>
                <w:b/>
                <w:i/>
              </w:rPr>
              <w:t>und in der Sprache bzw. den Sprachen des ausstellenden Mitgliedstaats sowie in Braille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Zeile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VORDERSEITE: Text „European Disability Card“ in englischer Sprache</w:t>
            </w:r>
          </w:p>
        </w:tc>
        <w:tc>
          <w:tcPr>
            <w:tcW w:w="4876" w:type="dxa"/>
          </w:tcPr>
          <w:p>
            <w:pPr>
              <w:pStyle w:val="Normal6a"/>
            </w:pPr>
            <w:r>
              <w:t xml:space="preserve">VORDERSEITE: Text „European Disability </w:t>
            </w:r>
            <w:r>
              <w:rPr>
                <w:b/>
                <w:i/>
              </w:rPr>
              <w:t>and Elderly</w:t>
            </w:r>
            <w:r>
              <w:t xml:space="preserve"> Card“ in englischer Sprache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Cindy Franssen, David Casa, 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Zeile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RÜCKSEITE: Nationale Informationen in der bzw. den Landessprache(n), die vom ausstellenden Mitgliedstaat festzulegen ist bzw. sind.</w:t>
            </w:r>
          </w:p>
        </w:tc>
        <w:tc>
          <w:tcPr>
            <w:tcW w:w="4876" w:type="dxa"/>
          </w:tcPr>
          <w:p>
            <w:pPr>
              <w:pStyle w:val="Normal6a"/>
            </w:pPr>
            <w:r>
              <w:t>RÜCKSEITE: Nationale Informationen in der bzw. den Landessprache(n), die vom ausstellenden Mitgliedstaat festzulegen ist bzw. sind.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Mitgliedstaaten sind aufgefordert, auf der Rückseite des Europäischen Behindertenausweises auf freiwilliger Basis einen grafischen, digitalen oder schriftlichen Hinweis wie ein Piktogramm aufzunehmen, das die Art der vom Ausweisinhaber benötigten Unterstützung veranschaulicht, ohne die Art der Behinderung offenzulegen, damit keine Stigmatisierung erfolgt.</w:t>
            </w:r>
            <w:r>
              <w:t xml:space="preserve"> </w:t>
            </w:r>
            <w:r>
              <w:rPr>
                <w:b/>
                <w:i/>
              </w:rPr>
              <w:t>Die Kommission arbeitet Leitlinien für die Gestaltung der gemeinsamen Piktogramme für die einzelnen Arten der Unterstützung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Lucia Ďuriš Nicholsonová, Abir Al-Sahlani, Jordi Cañas, Monica Semedo, Dragoş Pîslaru, Irena Joveva, Max Orville, Sylvie Brunet, Marie-Pierre Vedrenne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Zeile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RÜCKSEITE: Nationale Informationen in der bzw. den Landessprache(n), die vom ausstellenden Mitgliedstaat festzulegen ist bzw. sind.</w:t>
            </w:r>
          </w:p>
        </w:tc>
        <w:tc>
          <w:tcPr>
            <w:tcW w:w="4876" w:type="dxa"/>
          </w:tcPr>
          <w:p>
            <w:pPr>
              <w:pStyle w:val="Normal6a"/>
            </w:pPr>
            <w:r>
              <w:t xml:space="preserve">RÜCKSEITE: Nationale Informationen in der bzw. den Landessprache(n), die vom ausstellenden Mitgliedstaat festzulegen ist bzw. sind. </w:t>
            </w:r>
            <w:r>
              <w:rPr>
                <w:b/>
                <w:i/>
              </w:rPr>
              <w:t>Die Mitgliedstaaten sehen vor, dass Menschen mit Behinderungen bei der Beantragung eines Ausweises bei den zuständigen Behörden festlegen können, ob auf dem Ausweis die entsprechenden Symbole für die für sie erforderlichen angemessenen Vorkehrungen angegeben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Elżbieta Rafalska, Beata Szydło, Margarita de la Pisa Carrión, Anna Zalewska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Zeile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RÜCKSEITE: Nationale Informationen in der bzw. den Landessprache(n), die vom ausstellenden Mitgliedstaat festzulegen ist bzw. sind.</w:t>
            </w:r>
          </w:p>
        </w:tc>
        <w:tc>
          <w:tcPr>
            <w:tcW w:w="4876" w:type="dxa"/>
          </w:tcPr>
          <w:p>
            <w:pPr>
              <w:pStyle w:val="Normal6a"/>
            </w:pPr>
            <w:r>
              <w:t>RÜCKSEITE: Nationale Informationen in der bzw. den Landessprache(n), die vom ausstellenden Mitgliedstaat festzulegen ist bzw. sind</w:t>
            </w:r>
            <w:r>
              <w:rPr>
                <w:b/>
                <w:i/>
              </w:rPr>
              <w:t>, nach Maßgabe der nationalen Rechtsvorschriften und Gepflogenheiten, z. B. zum Grad der Behinderung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Größe des Europäischen </w:t>
            </w:r>
            <w:r>
              <w:rPr>
                <w:b/>
                <w:i/>
              </w:rPr>
              <w:t>Behindertenausweises</w:t>
            </w:r>
            <w:r>
              <w:t xml:space="preserve"> entspricht ISO 7810.</w:t>
            </w:r>
          </w:p>
        </w:tc>
        <w:tc>
          <w:tcPr>
            <w:tcW w:w="4876" w:type="dxa"/>
          </w:tcPr>
          <w:p>
            <w:pPr>
              <w:pStyle w:val="Normal6a"/>
            </w:pPr>
            <w:r>
              <w:t>1.</w:t>
            </w:r>
            <w:r>
              <w:tab/>
            </w:r>
            <w:r>
              <w:t xml:space="preserve">Die Größe des Europäischen </w:t>
            </w:r>
            <w:r>
              <w:rPr>
                <w:b/>
                <w:i/>
              </w:rPr>
              <w:t>Ausweises für Menschen mit Behinderungen und ältere Menschen</w:t>
            </w:r>
            <w:r>
              <w:t xml:space="preserve"> entspricht ISO 7810.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Damit die Daten ordnungsgemäß gegen Fälschungsversuche oder betrügerische Veränderungen gesichert sind, wird dringend empfohlen, biografische Daten und das Porträt sowie die wichtigsten einschlägigen Daten in das Basismaterial des Dokuments aufzunehmen.</w:t>
            </w:r>
            <w:r>
              <w:rPr>
                <w:b/>
                <w:i/>
              </w:rPr>
              <w:t>Für die diesbezügliche Personalisierung des Dokuments stehen verschiedene Technologien (z. B. Lasergravur) zur Verfügung, ohne dass der Einsatz und die Entwicklung neuer Technologien ausgeschlossen ist.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Personalisierungsfelder: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Das Layout der Karte umfasst ein weißes Feld in den Abmessungen 21 x 28 mm für das Porträt des Inhabers.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Das Layout der Karte umfasst fünf weiße Felder in den Abmessungen 4 x 52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Einträge sind in Schwarz in der Landessprache und (kursiv) in englischer Sprache in zwei Zeilen abzufassen.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Schriftart ist Arial Bold 4pt linksbündig.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Personalisierungsdaten sind in der Schriftart Arial 12pt rechtsbündig anzugeben.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Auf der Rückseite des Dokuments sind folgende Daten anzugeben: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Porträt des Inhabers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Feld 1:</w:t>
            </w:r>
            <w:r>
              <w:rPr>
                <w:b/>
                <w:i/>
              </w:rPr>
              <w:t>Vorname des Inhabers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Feld 2:</w:t>
            </w:r>
            <w:r>
              <w:rPr>
                <w:b/>
                <w:i/>
              </w:rPr>
              <w:t>Nachname des Inhabers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Feld 2:</w:t>
            </w:r>
            <w:r>
              <w:rPr>
                <w:b/>
                <w:i/>
              </w:rPr>
              <w:t>Geburtsdatum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Feld 4:</w:t>
            </w:r>
            <w:r>
              <w:rPr>
                <w:b/>
                <w:i/>
              </w:rPr>
              <w:t>Seriennummer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 Feld 5:</w:t>
            </w:r>
            <w:r>
              <w:rPr>
                <w:b/>
                <w:i/>
              </w:rPr>
              <w:t>Ablaufdatum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Hinweis: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Länge des Vor- und Nachnamens ist auf je 25 Zeichen beschränkt.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Das Datum ist im Format TTnMMnYYYY anzugeben, wobei n durch einen Punkt oder ein Leerzeichen zu ersetzen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Der Ausweis verfügt über Folgendes:</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 Lichtbild des Ausweisinhabers/der Ausweisinhaberin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Vor- und Nachname des Ausweisinhabers/der Ausweisinhaberin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Geburtsdatum des Ausweisinhabers/der Ausweisinhaberin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 Seriennummer des Ausweises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4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Der </w:t>
            </w:r>
            <w:r>
              <w:rPr>
                <w:b/>
                <w:i/>
              </w:rPr>
              <w:t>Ausweis ist hellblau und dunkelblau, entsprechend der Abbildung und den folgenden Referenzen:</w:t>
            </w:r>
          </w:p>
        </w:tc>
        <w:tc>
          <w:tcPr>
            <w:tcW w:w="4876" w:type="dxa"/>
          </w:tcPr>
          <w:p>
            <w:pPr>
              <w:pStyle w:val="Normal6a"/>
            </w:pPr>
            <w:r>
              <w:t>4.</w:t>
            </w:r>
            <w:r>
              <w:tab/>
            </w:r>
            <w:r>
              <w:t xml:space="preserve">Der </w:t>
            </w:r>
            <w:r>
              <w:rPr>
                <w:b/>
                <w:i/>
              </w:rPr>
              <w:t>Hintergrundsicherheitsdruck muss ein Rastermuster in einer Pantone-Farbe enthalten.</w:t>
            </w:r>
            <w:r>
              <w:t xml:space="preserve"> </w:t>
            </w:r>
            <w:r>
              <w:rPr>
                <w:b/>
                <w:i/>
              </w:rPr>
              <w:t>Bereiche in unterschiedlichen Farben werden mit Linien variabler Dicke und Stufe realisiert.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Hintergrund besteht aus Mikrodrucken mit dem Wort „BEHINDERTENAUSWEIS“. Der Hintergrunddruck enthält ein grafisches Element mit unsichtbarer UV-Tinte (gelb), das einen Sternenkranz mit 12 Sternen darstellt und in dem die Buchstaben „EU“ in der Mitte mehrmals abgedruckt sind.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Für den Hintergrundsicherheitsdruck darf nur eine Farbe verwendet werden.</w:t>
      </w:r>
    </w:p>
    <w:p>
      <w:r>
        <w:rPr>
          <w:rStyle w:val="HideTWBExt"/>
        </w:rPr>
        <w:t>&lt;/Amend&gt;</w:t>
      </w:r>
    </w:p>
    <w:p>
      <w:pPr>
        <w:pStyle w:val="AmNumberTabs"/>
      </w:pPr>
      <w:r>
        <w:rPr>
          <w:rStyle w:val="HideTWBExt"/>
        </w:rPr>
        <w:t>&lt;Amend&gt;</w:t>
      </w:r>
      <w:r>
        <w:t>Änderungsantrag</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4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dunkelblau:</w:t>
            </w:r>
            <w:r>
              <w:t xml:space="preserve"> </w:t>
            </w:r>
            <w:r>
              <w:rPr>
                <w:b/>
                <w:i/>
              </w:rPr>
              <w:t>CMYK 100, 90, 10, 0</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4 – Aufzählungspunkt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hellblau:</w:t>
            </w:r>
            <w:r>
              <w:t xml:space="preserve"> </w:t>
            </w:r>
            <w:r>
              <w:rPr>
                <w:b/>
                <w:i/>
              </w:rPr>
              <w:t>CMYK 94, 63, 7, 1</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110, 183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Auf dem Ausweis ist das Ablaufdatum angegeben</w:t>
            </w:r>
            <w:r>
              <w:t>.</w:t>
            </w:r>
          </w:p>
        </w:tc>
        <w:tc>
          <w:tcPr>
            <w:tcW w:w="4876" w:type="dxa"/>
          </w:tcPr>
          <w:p>
            <w:pPr>
              <w:pStyle w:val="Normal6a"/>
            </w:pPr>
            <w:r>
              <w:t>5.</w:t>
            </w:r>
            <w:r>
              <w:tab/>
            </w:r>
            <w:r>
              <w:rPr>
                <w:b/>
                <w:i/>
              </w:rPr>
              <w:t>Siehe den Entwurf unter Nummer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Der </w:t>
            </w:r>
            <w:r>
              <w:rPr>
                <w:b/>
                <w:i/>
              </w:rPr>
              <w:t>Ausweis enthält einen Ländercode</w:t>
            </w:r>
            <w:r>
              <w:t xml:space="preserve"> in dem </w:t>
            </w:r>
            <w:r>
              <w:rPr>
                <w:b/>
                <w:i/>
              </w:rPr>
              <w:t>blauen</w:t>
            </w:r>
            <w:r>
              <w:t xml:space="preserve"> Kreis.</w:t>
            </w:r>
          </w:p>
        </w:tc>
        <w:tc>
          <w:tcPr>
            <w:tcW w:w="4876" w:type="dxa"/>
          </w:tcPr>
          <w:p>
            <w:pPr>
              <w:pStyle w:val="Normal6a"/>
            </w:pPr>
            <w:r>
              <w:t>6.</w:t>
            </w:r>
            <w:r>
              <w:tab/>
            </w:r>
            <w:r>
              <w:t xml:space="preserve">Der </w:t>
            </w:r>
            <w:r>
              <w:rPr>
                <w:b/>
                <w:i/>
              </w:rPr>
              <w:t>Hintergrund des Kreises,</w:t>
            </w:r>
            <w:r>
              <w:t xml:space="preserve"> in dem </w:t>
            </w:r>
            <w:r>
              <w:rPr>
                <w:b/>
                <w:i/>
              </w:rPr>
              <w:t>der zweibuchstabige ISO-Ländercode des Ausstellungslandes anzugeben ist, hat den Farbton Pantone Reflex Blue.</w:t>
            </w:r>
            <w:r>
              <w:t xml:space="preserve"> </w:t>
            </w:r>
            <w:r>
              <w:rPr>
                <w:b/>
                <w:i/>
              </w:rPr>
              <w:t>Der</w:t>
            </w:r>
            <w:r>
              <w:t xml:space="preserve"> Kreis </w:t>
            </w:r>
            <w:r>
              <w:rPr>
                <w:b/>
                <w:i/>
              </w:rPr>
              <w:t>ist von 12 Sternen umgeben.</w:t>
            </w:r>
            <w:r>
              <w:t xml:space="preserve"> </w:t>
            </w:r>
            <w:r>
              <w:rPr>
                <w:b/>
                <w:i/>
              </w:rPr>
              <w:t>Die beiden Buchstaben des ISO-Ländercodes sind weiß</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Grafik-Handbuch des Europa-Emblems:</w:t>
      </w:r>
    </w:p>
    <w:p>
      <w:pPr>
        <w:pStyle w:val="AmJustText"/>
      </w:pPr>
      <w:r>
        <w:t>http://publications.europa.eu/code/de/de-5000100.htm</w:t>
      </w:r>
    </w:p>
    <w:p>
      <w:r>
        <w:rPr>
          <w:rStyle w:val="HideTWBExt"/>
        </w:rPr>
        <w:t>&lt;/Amend&gt;</w:t>
      </w:r>
    </w:p>
    <w:p>
      <w:pPr>
        <w:pStyle w:val="AmNumberTabs"/>
      </w:pPr>
      <w:r>
        <w:rPr>
          <w:rStyle w:val="HideTWBExt"/>
        </w:rPr>
        <w:t>&lt;Amend&gt;</w:t>
      </w:r>
      <w:r>
        <w:t>Änderungsantrag</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Die Worte „European Disability Card“ werden in der Schriftart Arial sowie in Braille unter Verwendung der Abmessungen des Marburger Codes angezeigt.</w:t>
            </w:r>
          </w:p>
        </w:tc>
        <w:tc>
          <w:tcPr>
            <w:tcW w:w="4876" w:type="dxa"/>
          </w:tcPr>
          <w:p>
            <w:pPr>
              <w:pStyle w:val="Normal6a"/>
            </w:pPr>
            <w:r>
              <w:t>8.</w:t>
            </w:r>
            <w:r>
              <w:tab/>
            </w:r>
            <w:r>
              <w:t xml:space="preserve">Die Worte „European Disability Card“ werden in der Schriftart Arial sowie in Braille unter Verwendung der Abmessungen des Marburger Codes angezeigt </w:t>
            </w:r>
            <w:r>
              <w:rPr>
                <w:b/>
                <w:i/>
              </w:rPr>
              <w:t>und in Pantone Reflex Blue gedruckt</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Marburg Medium: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Punktabstand x-Achse (a):</w:t>
            </w:r>
            <w:r>
              <w:rPr>
                <w:b/>
                <w:i/>
              </w:rPr>
              <w:t>2,5 mm (Punktmitte zu Punktmitte).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Punktabstand y-Achse (b):</w:t>
            </w:r>
            <w:r>
              <w:rPr>
                <w:b/>
                <w:i/>
              </w:rPr>
              <w:t>2,5 mm (Punktmitte zu Punktmitte).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Zeichenbreite (c):</w:t>
            </w:r>
            <w:r>
              <w:rPr>
                <w:b/>
                <w:i/>
              </w:rPr>
              <w:t>6,0 mm (Punktmitte Punkt 1 des ersten Zeichens bis Punktmitte Punkt 1 des folgenden Zeichens).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Das Maß (d) zwischen der Punktmitte des letzten Zeichens und der Punktmitte des ersten Zeichens des folgenden Wortes beträgt 2 x c, d. h. 6,0 mm x 2 = 12,0 mm.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Zeilenabstand (e):</w:t>
            </w:r>
            <w:r>
              <w:rPr>
                <w:b/>
                <w:i/>
              </w:rPr>
              <w:t>10,0 mm (Punktmitte Punkt 1 bis Punktmitte Punkt 1 der folgenden Zeile).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Punktdurchmesser:</w:t>
            </w:r>
            <w:r>
              <w:rPr>
                <w:b/>
                <w:i/>
              </w:rPr>
              <w:t>ca. 1,3 mm (Punktdurchmesser eines männlichen Prägestempels eines Prägedruckers) oder 1,6 mm (Punktdurchmesser eines weiblichen Prägestempels).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„EU-BEHINDERTENAUSWEIS“ in Braille unter Verwendung der Abmessungen des Marburger Codes Medium.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Die Worte „</w:t>
            </w:r>
            <w:r>
              <w:rPr>
                <w:b/>
                <w:i/>
              </w:rPr>
              <w:t>European Disability Card</w:t>
            </w:r>
            <w:r>
              <w:t>“ werden in der Schriftart Arial sowie in Braille unter Verwendung der Abmessungen des Marburger Codes angezeigt.</w:t>
            </w:r>
          </w:p>
        </w:tc>
        <w:tc>
          <w:tcPr>
            <w:tcW w:w="4876" w:type="dxa"/>
          </w:tcPr>
          <w:p>
            <w:pPr>
              <w:pStyle w:val="Normal6a"/>
            </w:pPr>
            <w:r>
              <w:t>8.</w:t>
            </w:r>
            <w:r>
              <w:tab/>
            </w:r>
            <w:r>
              <w:t>Die Worte „</w:t>
            </w:r>
            <w:r>
              <w:rPr>
                <w:b/>
                <w:i/>
              </w:rPr>
              <w:t>Europäischer Ausweis für Menschen mit Behinderungen und ältere Menschen</w:t>
            </w:r>
            <w:r>
              <w:t>“ werden in der Schriftart Arial sowie in Braille unter Verwendung der Abmessungen des Marburger Codes angezeigt.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Nummer 10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Auf der Rückseite ist ein metallisiertes Hologramm A anzubringen.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Das Hologramm enthält die Worte „EU-Behindertenausweis“ und einen Kreis aus 12 weißen Sternen.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Ausweis ist mit einem QR-Code versehen, der alle auf dem Ausweis enthaltenen Daten in einem ordnungsgemäß definierten und durch einen Prägestempel gekennzeichneten barrierefreien Format enthält, das uneingeschränkt den Datenschutzvorschriften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Überschrift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FORMAT DES EUROPÄISCHEN PARKAUSWEISES FÜR MENSCHEN MIT BEHINDERUNGEN</w:t>
            </w:r>
          </w:p>
        </w:tc>
        <w:tc>
          <w:tcPr>
            <w:tcW w:w="4876" w:type="dxa"/>
          </w:tcPr>
          <w:p>
            <w:pPr>
              <w:pStyle w:val="Normal6a"/>
            </w:pPr>
            <w:r>
              <w:t xml:space="preserve">FORMAT DES EUROPÄISCHEN PARKAUSWEISES FÜR MENSCHEN MIT BEHINDERUNGEN </w:t>
            </w:r>
            <w:r>
              <w:rPr>
                <w:b/>
                <w:i/>
              </w:rPr>
              <w:t>UND ÄLTERE MENSCHEN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Chiara Gemma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-1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Worte „Europäischer Parkausweis“ werden in Braille unter Verwendung der Abmessungen des Marburger Codes dargestellt.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Der Europäische Parkausweis für Menschen mit Behinderungen hat folgende Abmessungen:</w:t>
            </w:r>
          </w:p>
        </w:tc>
        <w:tc>
          <w:tcPr>
            <w:tcW w:w="4876" w:type="dxa"/>
          </w:tcPr>
          <w:p>
            <w:pPr>
              <w:pStyle w:val="Normal6a"/>
            </w:pPr>
            <w:r>
              <w:t>1.</w:t>
            </w:r>
            <w:r>
              <w:tab/>
            </w:r>
            <w:r>
              <w:t xml:space="preserve">Der Europäische Parkausweis für Menschen mit Behinderungen </w:t>
            </w:r>
            <w:r>
              <w:rPr>
                <w:b/>
                <w:i/>
              </w:rPr>
              <w:t>und ältere Menschen</w:t>
            </w:r>
            <w:r>
              <w:t xml:space="preserve"> hat folgende Abmessungen: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2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Der Ausweis ist dunkelblau und gelb, entsprechend der obigen Abbildung und den folgenden Referenzen:</w:t>
            </w:r>
          </w:p>
        </w:tc>
        <w:tc>
          <w:tcPr>
            <w:tcW w:w="4876" w:type="dxa"/>
          </w:tcPr>
          <w:p>
            <w:pPr>
              <w:pStyle w:val="Normal6a"/>
            </w:pPr>
            <w:r>
              <w:t>2.</w:t>
            </w:r>
            <w:r>
              <w:tab/>
            </w:r>
            <w:r>
              <w:rPr>
                <w:b/>
                <w:i/>
              </w:rPr>
              <w:t>Auf der rechten Seite des Dokuments können Pantone Reflex Blue und Pantone Yellow verwendet werden, da diese Farben von der Kommission zur Darstellung der EU-Flagge vorgeschlagen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Hintergrundsicherheitsdruck muss ein Rastermuster in der/den Pantone-Farbe(n) enthalten.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Hintergrund umfasst Mikrodrucke mit den Worten „EUROPÄISCHER PARKAUSWEIS“.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2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dunkelblau:</w:t>
            </w:r>
            <w:r>
              <w:t xml:space="preserve"> </w:t>
            </w:r>
            <w:r>
              <w:rPr>
                <w:b/>
                <w:i/>
              </w:rPr>
              <w:t>CMYK 100, 90, 10, 0</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0, 68, 148</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2 – Aufzählungspunkt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ab/>
            </w:r>
            <w:r>
              <w:rPr>
                <w:b/>
                <w:i/>
              </w:rPr>
              <w:t>gelb:</w:t>
            </w:r>
            <w:r>
              <w:t xml:space="preserve"> </w:t>
            </w:r>
            <w:r>
              <w:rPr>
                <w:b/>
                <w:i/>
              </w:rPr>
              <w:t>CMYK 94, 63, 7, 1</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RGB  255, 237, 0</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Der Europäische Parkausweis für Menschen mit </w:t>
            </w:r>
            <w:r>
              <w:rPr>
                <w:b/>
                <w:i/>
              </w:rPr>
              <w:t>Behinderung</w:t>
            </w:r>
            <w:r>
              <w:t xml:space="preserve"> ist auf der Vorder- und der Rückseite jeweils senkrecht in zwei Hälften unterteilt:</w:t>
            </w:r>
          </w:p>
        </w:tc>
        <w:tc>
          <w:tcPr>
            <w:tcW w:w="4876" w:type="dxa"/>
          </w:tcPr>
          <w:p>
            <w:pPr>
              <w:pStyle w:val="Normal6a"/>
            </w:pPr>
            <w:r>
              <w:t>3.</w:t>
            </w:r>
            <w:r>
              <w:tab/>
            </w:r>
            <w:r>
              <w:t xml:space="preserve">Der Europäische Parkausweis für Menschen mit </w:t>
            </w:r>
            <w:r>
              <w:rPr>
                <w:b/>
                <w:i/>
              </w:rPr>
              <w:t>Behinderungen und ältere Menschen</w:t>
            </w:r>
            <w:r>
              <w:t xml:space="preserve"> ist auf der Vorder- und der Rückseite jeweils senkrecht in zwei Hälften unterteilt: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Jarosław Duda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a – Aufzählungspunkt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Die Worte „Europäischer Parkausweis“ werden in Braille unter Verwendung der Abmessungen des Marburger Codes dargestellt.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Miriam Lexmann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b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Blockbuchstaben die Aufschrift „Europäischer Parkausweis für Menschen mit Behinderungen“ in der bzw. den Sprache(n) des Mitgliedstaats, der den Parkausweis ausstellt; in Kleinschrift und in angemessenem Abstand die Bezeichnung in den anderen Sprachen der Europäischen Union;</w:t>
            </w:r>
          </w:p>
        </w:tc>
        <w:tc>
          <w:tcPr>
            <w:tcW w:w="4876" w:type="dxa"/>
          </w:tcPr>
          <w:p>
            <w:pPr>
              <w:pStyle w:val="Normal6a"/>
            </w:pPr>
            <w:r>
              <w:t>—</w:t>
            </w:r>
            <w:r>
              <w:tab/>
            </w:r>
            <w:r>
              <w:t xml:space="preserve">in Blockbuchstaben die Aufschrift „Europäischer Parkausweis für Menschen mit Behinderungen“ in der bzw. den Sprache(n) des Mitgliedstaats, der den Parkausweis ausstellt; in Kleinschrift und in angemessenem Abstand die Bezeichnung in den anderen Sprachen der Europäischen Union; </w:t>
            </w:r>
            <w:r>
              <w:rPr>
                <w:b/>
                <w:i/>
              </w:rPr>
              <w:t>Die Worte „Europäischer Parkausweis“ werden in Braille unter Verwendung der Abmessungen des Marburger Codes dargestellt.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b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Blockbuchstaben die Aufschrift „Europäischer Parkausweis für Menschen mit Behinderungen“ in der bzw. den Sprache(n) des Mitgliedstaats, der den Parkausweis ausstellt; in Kleinschrift und in angemessenem Abstand die Bezeichnung in den anderen Sprachen der Europäischen Union;</w:t>
            </w:r>
          </w:p>
        </w:tc>
        <w:tc>
          <w:tcPr>
            <w:tcW w:w="4876" w:type="dxa"/>
          </w:tcPr>
          <w:p>
            <w:pPr>
              <w:pStyle w:val="Normal6a"/>
            </w:pPr>
            <w:r>
              <w:t>—</w:t>
            </w:r>
            <w:r>
              <w:tab/>
            </w:r>
            <w:r>
              <w:t>in Blockbuchstaben die Aufschrift „Europäischer Parkausweis für Menschen mit Behinderungen“ in der bzw. den Sprache(n) des Mitgliedstaats, der den Parkausweis ausstellt</w:t>
            </w:r>
            <w:r>
              <w:rPr>
                <w:b/>
                <w:i/>
              </w:rPr>
              <w:t>, sowie in Braille unter Verwendung der Abmessungen des Marburger Codes</w:t>
            </w:r>
            <w:r>
              <w:t>; in Kleinschrift und in angemessenem Abstand die Bezeichnung in den anderen Sprachen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b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Blockbuchstaben die Aufschrift „Europäischer Parkausweis für Menschen mit Behinderungen“ in der bzw. den Sprache(n) des Mitgliedstaats, der den Parkausweis ausstellt; in Kleinschrift und in angemessenem Abstand die Bezeichnung in den anderen Sprachen der Europäischen Union;</w:t>
            </w:r>
          </w:p>
        </w:tc>
        <w:tc>
          <w:tcPr>
            <w:tcW w:w="4876" w:type="dxa"/>
          </w:tcPr>
          <w:p>
            <w:pPr>
              <w:pStyle w:val="Normal6a"/>
            </w:pPr>
            <w:r>
              <w:t>—</w:t>
            </w:r>
            <w:r>
              <w:tab/>
            </w:r>
            <w:r>
              <w:t xml:space="preserve">in Blockbuchstaben die Aufschrift „Europäischer Parkausweis für Menschen mit Behinderungen </w:t>
            </w:r>
            <w:r>
              <w:rPr>
                <w:b/>
                <w:i/>
              </w:rPr>
              <w:t>und ältere Menschen</w:t>
            </w:r>
            <w:r>
              <w:t>“ in der bzw. den Sprache(n) des Mitgliedstaats, der den Parkausweis ausstellt; in Kleinschrift und in angemessenem Abstand die Bezeichnung in den anderen Sprachen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Ádám Kósa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b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in Blockbuchstaben die Aufschrift „Europäischer Parkausweis für Menschen mit Behinderungen“ in der bzw. den Sprache(n) des Mitgliedstaats, der den Parkausweis ausstellt; in Kleinschrift und in angemessenem Abstand die Bezeichnung in den anderen Sprachen der Europäischen Union;</w:t>
            </w:r>
          </w:p>
        </w:tc>
        <w:tc>
          <w:tcPr>
            <w:tcW w:w="4876" w:type="dxa"/>
          </w:tcPr>
          <w:p>
            <w:pPr>
              <w:pStyle w:val="Normal6a"/>
            </w:pPr>
            <w:r>
              <w:t>—</w:t>
            </w:r>
            <w:r>
              <w:tab/>
            </w:r>
            <w:r>
              <w:t>in Blockbuchstaben die Aufschrift „Europäischer Parkausweis für Menschen mit Behinderungen“ in der bzw. den Sprache(n) des Mitgliedstaats, der den Parkausweis ausstellt</w:t>
            </w:r>
            <w:r>
              <w:rPr>
                <w:b/>
                <w:i/>
              </w:rPr>
              <w:t>, und in Braille</w:t>
            </w:r>
            <w:r>
              <w:t>; in Kleinschrift und in angemessenem Abstand die Bezeichnung in den anderen Sprachen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c – Aufzählungspunkt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t>
            </w:r>
            <w:r>
              <w:tab/>
            </w:r>
            <w:r>
              <w:rPr>
                <w:b/>
                <w:i/>
              </w:rPr>
              <w:t>Sekundäre Nummer des Identitätsnachweises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sollte ein neuer Aufzählungspunkt für ein fakultatives Feld angefügt werden, das auszufüllen ist, wenn der Mitgliedstaat eine weitere Dokumentenkennung vergibt.</w:t>
      </w:r>
    </w:p>
    <w:p>
      <w:r>
        <w:rPr>
          <w:rStyle w:val="HideTWBExt"/>
        </w:rPr>
        <w:t>&lt;/Amend&gt;</w:t>
      </w:r>
    </w:p>
    <w:p>
      <w:pPr>
        <w:pStyle w:val="AmNumberTabs"/>
      </w:pPr>
      <w:r>
        <w:rPr>
          <w:rStyle w:val="HideTWBExt"/>
        </w:rPr>
        <w:t>&lt;Amend&gt;</w:t>
      </w:r>
      <w:r>
        <w:t>Änderungsantrag</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Antonius Manders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3 – Buchstabe d – Aufzählungspunkt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w:t>
            </w:r>
            <w:r>
              <w:tab/>
            </w:r>
            <w:r>
              <w:t>den Vermerk: „Dieser Ausweis berechtigt den Inhaber bzw. die Inhaberin zur Inanspruchnahme der Parkbedingungen und Stellplätze, die Menschen mit Behinderungen in dem betreffenden Mitgliedstaat vorbehalten sind.“</w:t>
            </w:r>
          </w:p>
        </w:tc>
        <w:tc>
          <w:tcPr>
            <w:tcW w:w="4876" w:type="dxa"/>
          </w:tcPr>
          <w:p>
            <w:pPr>
              <w:pStyle w:val="Normal6a"/>
            </w:pPr>
            <w:r>
              <w:t>—</w:t>
            </w:r>
            <w:r>
              <w:tab/>
            </w:r>
            <w:r>
              <w:t xml:space="preserve">den Vermerk: „Dieser Ausweis berechtigt den Inhaber bzw. die Inhaberin zur Inanspruchnahme der Parkbedingungen und Stellplätze, die Menschen mit Behinderungen </w:t>
            </w:r>
            <w:r>
              <w:rPr>
                <w:b/>
                <w:i/>
              </w:rPr>
              <w:t>und älteren Menschen</w:t>
            </w:r>
            <w:r>
              <w:t xml:space="preserve"> in dem betreffenden Mitgliedstaat vorbehalten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Elena Lizzi, Antonio Maria Rinaldi, Paola Ghidoni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Material: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Damit die Daten ordnungsgemäß gegen Fälschungsversuche oder betrügerische Veränderungen gesichert sind, wird dringend empfohlen, Materialien mit Sicherheitselementen zur Verhinderung von Fälschungen zu verwenden.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Beispiel 1:</w:t>
            </w:r>
            <w:r>
              <w:rPr>
                <w:b/>
                <w:i/>
              </w:rPr>
              <w:t>Sicherheitspapier mit Wasserzeichen und Sicherheitsfasern.</w:t>
            </w:r>
            <w:r>
              <w:rPr>
                <w:b/>
                <w:i/>
              </w:rPr>
              <w:t>Hologramme oder gleichwertige Sicherheitsmerkmale.</w:t>
            </w:r>
            <w:r>
              <w:rPr>
                <w:b/>
                <w:i/>
              </w:rPr>
              <w:t>Das Dokument kann zum Schutz laminiert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Beispiel 2:</w:t>
            </w:r>
            <w:r>
              <w:t xml:space="preserve"> </w:t>
            </w:r>
            <w:r>
              <w:rPr>
                <w:b/>
                <w:i/>
              </w:rPr>
              <w:t>Polycarbonat oder gleichwertiges Material.</w:t>
            </w:r>
            <w:r>
              <w:t xml:space="preserve"> </w:t>
            </w:r>
            <w:r>
              <w:rPr>
                <w:b/>
                <w:i/>
              </w:rPr>
              <w:t>In diesem Fall wird, damit die Daten ordnungsgemäß gegen Fälschungsversuche oder betrügerische Veränderungen gesichert sind, dringend empfohlen, biografische Daten und das Porträt sowie die wichtigsten einschlägigen Daten in das Basismaterial des Dokuments aufzunehmen.</w:t>
            </w:r>
            <w:r>
              <w:t xml:space="preserve"> </w:t>
            </w:r>
            <w:r>
              <w:rPr>
                <w:b/>
                <w:i/>
              </w:rPr>
              <w:t>Hologramme oder gleichwertige Sicherheitsmerkmale können in die Struktur des Dokuments integriert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wird vorgeschlagen, die Sicherheitsmaterialien in diesem Abschnitt ausdrücklich zu beschreiben.</w:t>
      </w:r>
    </w:p>
    <w:p>
      <w:r>
        <w:rPr>
          <w:rStyle w:val="HideTWBExt"/>
        </w:rPr>
        <w:t>&lt;/Amend&gt;</w:t>
      </w:r>
    </w:p>
    <w:p>
      <w:pPr>
        <w:pStyle w:val="AmNumberTabs"/>
      </w:pPr>
      <w:r>
        <w:rPr>
          <w:rStyle w:val="HideTWBExt"/>
        </w:rPr>
        <w:t>&lt;Amend&gt;</w:t>
      </w:r>
      <w:r>
        <w:t>Änderungsantrag</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Richtlinie</w:t>
      </w:r>
      <w:r>
        <w:rPr>
          <w:rStyle w:val="HideTWBExt"/>
        </w:rPr>
        <w:t>&lt;/DocAmend&gt;</w:t>
      </w:r>
    </w:p>
    <w:p>
      <w:pPr>
        <w:pStyle w:val="NormalBold"/>
      </w:pPr>
      <w:r>
        <w:rPr>
          <w:rStyle w:val="HideTWBExt"/>
        </w:rPr>
        <w:t>&lt;Article&gt;</w:t>
      </w:r>
      <w:r>
        <w:t>Anhang II – Nummer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Ausweis ist mit einem QR-Code versehen, der alle auf dem Ausweis enthaltenen Daten in einem ordnungsgemäß definierten und durch einen Prägestempel gekennzeichneten barrierefreien Format enthält, das uneingeschränkt den Datenschutzvorschriften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56</w:t>
    </w:r>
    <w:r>
      <w:fldChar w:fldCharType="end"/>
    </w:r>
    <w:r>
      <w:t>/</w:t>
    </w:r>
    <w:r>
      <w:fldChar w:fldCharType="begin"/>
    </w:r>
    <w:r>
      <w:instrText xml:space="preserve"> NUMPAGES </w:instrText>
    </w:r>
    <w:r>
      <w:fldChar w:fldCharType="separate"/>
    </w:r>
    <w:r>
      <w:t>56</w:t>
    </w:r>
    <w:r>
      <w:fldChar w:fldCharType="end"/>
    </w:r>
    <w:r>
      <w:tab/>
    </w:r>
    <w:r>
      <w:rPr>
        <w:rStyle w:val="HideTWBExt"/>
      </w:rPr>
      <w:t>&lt;PathFdR&gt;</w:t>
    </w:r>
    <w:r>
      <w:t>AM\1289917DE.docx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AM\1289917DE.docx</w:t>
    </w:r>
    <w:r>
      <w:rPr>
        <w:rStyle w:val="HideTWBExt"/>
      </w:rPr>
      <w:t>&lt;/PathFdR&gt;</w:t>
    </w:r>
    <w:r>
      <w:tab/>
    </w:r>
    <w:r>
      <w:fldChar w:fldCharType="begin"/>
    </w:r>
    <w:r>
      <w:instrText xml:space="preserve"> PAGE </w:instrText>
    </w:r>
    <w:r>
      <w:fldChar w:fldCharType="separate"/>
    </w:r>
    <w:r>
      <w:t>55</w:t>
    </w:r>
    <w:r>
      <w:fldChar w:fldCharType="end"/>
    </w:r>
    <w:r>
      <w:t>/</w:t>
    </w:r>
    <w:r>
      <w:fldChar w:fldCharType="begin"/>
    </w:r>
    <w:r>
      <w:instrText xml:space="preserve"> NUMPAGES </w:instrText>
    </w:r>
    <w:r>
      <w:fldChar w:fldCharType="separate"/>
    </w:r>
    <w:r>
      <w:t>56</w:t>
    </w:r>
    <w:r>
      <w:fldChar w:fldCharType="end"/>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AM\1289917DE.docx</w:t>
    </w:r>
    <w:r>
      <w:rPr>
        <w:rStyle w:val="HideTWBExt"/>
      </w:rPr>
      <w:t>&lt;/PathFdR&gt;</w:t>
    </w:r>
    <w:r>
      <w:tab/>
    </w:r>
    <w:r>
      <w:tab/>
    </w:r>
    <w:r>
      <w:t>PE</w:t>
    </w:r>
    <w:r>
      <w:rPr>
        <w:rStyle w:val="HideTWBExt"/>
      </w:rPr>
      <w:t>&lt;NoPE&gt;</w:t>
    </w:r>
    <w:r>
      <w:t>756.072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56</Pages>
  <Words>10484</Words>
  <Characters>70698</Characters>
  <Application>Microsoft Office Word</Application>
  <DocSecurity>0</DocSecurity>
  <Lines>1</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35827</vt:lpwstr>
  </property>
  <property fmtid="{D5CDD505-2E9C-101B-9397-08002B2CF9AE}" pid="7" name="dmxml.render.traceId">
    <vt:lpwstr>6565ba3d1a1ff5c1961f2df170327b05</vt:lpwstr>
  </property>
  <property fmtid="{D5CDD505-2E9C-101B-9397-08002B2CF9AE}" pid="8" name="FooterPath">
    <vt:lpwstr>AM\1289917DE.docx</vt:lpwstr>
  </property>
  <property fmtid="{D5CDD505-2E9C-101B-9397-08002B2CF9AE}" pid="9" name="PE Number">
    <vt:lpwstr>756.072</vt:lpwstr>
  </property>
  <property fmtid="{D5CDD505-2E9C-101B-9397-08002B2CF9AE}" pid="10" name="UID">
    <vt:lpwstr>eu.europa.europarl-DIN1-2023-0000149720_02.00-de-01.00_text-xml</vt:lpwstr>
  </property>
</Properties>
</file>