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42B99" w:rsidRPr="00C97248">
        <w:trPr>
          <w:trHeight w:hRule="exact" w:val="1417"/>
          <w:jc w:val="center"/>
        </w:trPr>
        <w:tc>
          <w:tcPr>
            <w:tcW w:w="6804" w:type="dxa"/>
            <w:vAlign w:val="center"/>
          </w:tcPr>
          <w:p w:rsidR="00342B99" w:rsidRPr="00C97248" w:rsidRDefault="00CF3AC9">
            <w:pPr>
              <w:pStyle w:val="EPName"/>
            </w:pPr>
            <w:r w:rsidRPr="00C97248">
              <w:t>Parlement européen</w:t>
            </w:r>
          </w:p>
          <w:p w:rsidR="00342B99" w:rsidRPr="00C97248" w:rsidRDefault="00CF3AC9">
            <w:pPr>
              <w:pStyle w:val="EPTerm"/>
            </w:pPr>
            <w:r w:rsidRPr="00C97248">
              <w:t>2019-2024</w:t>
            </w:r>
          </w:p>
        </w:tc>
        <w:tc>
          <w:tcPr>
            <w:tcW w:w="2268" w:type="dxa"/>
          </w:tcPr>
          <w:p w:rsidR="00342B99" w:rsidRPr="00C97248" w:rsidRDefault="006C1D3F">
            <w:pPr>
              <w:pStyle w:val="EPLogo"/>
            </w:pPr>
            <w:r w:rsidRPr="00C9724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342B99" w:rsidRPr="00C97248" w:rsidRDefault="00CF3AC9">
      <w:pPr>
        <w:pStyle w:val="LineTop"/>
      </w:pPr>
      <w:r w:rsidRPr="00C97248">
        <w:t xml:space="preserve"> </w:t>
      </w:r>
    </w:p>
    <w:p w:rsidR="00342B99" w:rsidRPr="00C97248" w:rsidRDefault="00CF3AC9">
      <w:pPr>
        <w:pStyle w:val="EPBody"/>
      </w:pPr>
      <w:r w:rsidRPr="00C97248">
        <w:rPr>
          <w:rStyle w:val="HideTWBExt"/>
        </w:rPr>
        <w:t>&lt;Commission&gt;</w:t>
      </w:r>
      <w:r w:rsidRPr="00C97248">
        <w:rPr>
          <w:rStyle w:val="HideTWBInt"/>
          <w:color w:val="auto"/>
        </w:rPr>
        <w:t>{EMPL}</w:t>
      </w:r>
      <w:r w:rsidRPr="00C97248">
        <w:t>Commission de l’emploi et des affaires sociales</w:t>
      </w:r>
      <w:r w:rsidRPr="00C97248">
        <w:rPr>
          <w:rStyle w:val="HideTWBExt"/>
        </w:rPr>
        <w:t>&lt;/Commission&gt;</w:t>
      </w:r>
    </w:p>
    <w:p w:rsidR="00342B99" w:rsidRPr="00C97248" w:rsidRDefault="00CF3AC9">
      <w:pPr>
        <w:pStyle w:val="LineBottom"/>
      </w:pPr>
      <w:r w:rsidRPr="00C97248">
        <w:t xml:space="preserve"> </w:t>
      </w:r>
    </w:p>
    <w:p w:rsidR="00342B99" w:rsidRPr="00C97248" w:rsidRDefault="00CF3AC9">
      <w:pPr>
        <w:pStyle w:val="CoverReference"/>
      </w:pPr>
      <w:r w:rsidRPr="00C97248">
        <w:rPr>
          <w:rStyle w:val="HideTWBExt"/>
        </w:rPr>
        <w:t>&lt;RefProc&gt;</w:t>
      </w:r>
      <w:r w:rsidRPr="00C97248">
        <w:t>2023/0311</w:t>
      </w:r>
      <w:r w:rsidRPr="00C97248">
        <w:rPr>
          <w:rStyle w:val="HideTWBExt"/>
        </w:rPr>
        <w:t>&lt;/RefProc&gt;&lt;RefTypeProc&gt;</w:t>
      </w:r>
      <w:r w:rsidRPr="00C97248">
        <w:t>(COD)</w:t>
      </w:r>
      <w:r w:rsidRPr="00C97248">
        <w:rPr>
          <w:rStyle w:val="HideTWBExt"/>
        </w:rPr>
        <w:t>&lt;/RefTypeProc&gt;</w:t>
      </w:r>
    </w:p>
    <w:p w:rsidR="00342B99" w:rsidRPr="00C97248" w:rsidRDefault="00CF3AC9">
      <w:pPr>
        <w:pStyle w:val="CoverDate"/>
      </w:pPr>
      <w:r w:rsidRPr="00C97248">
        <w:rPr>
          <w:rStyle w:val="HideTWBExt"/>
        </w:rPr>
        <w:t>&lt;Date&gt;</w:t>
      </w:r>
      <w:r w:rsidRPr="00C97248">
        <w:rPr>
          <w:rStyle w:val="HideTWBInt"/>
          <w:color w:val="auto"/>
        </w:rPr>
        <w:t>{10/11/2023}</w:t>
      </w:r>
      <w:r w:rsidRPr="00C97248">
        <w:t>10.11.2023</w:t>
      </w:r>
      <w:r w:rsidRPr="00C97248">
        <w:rPr>
          <w:rStyle w:val="HideTWBExt"/>
        </w:rPr>
        <w:t>&lt;/Date&gt;</w:t>
      </w:r>
    </w:p>
    <w:p w:rsidR="00342B99" w:rsidRPr="00C97248" w:rsidRDefault="00CF3AC9">
      <w:pPr>
        <w:pStyle w:val="CoverDocType"/>
      </w:pPr>
      <w:r w:rsidRPr="00C97248">
        <w:rPr>
          <w:rStyle w:val="HideTWBExt"/>
        </w:rPr>
        <w:t>&lt;TypeAM&gt;</w:t>
      </w:r>
      <w:r w:rsidRPr="00C97248">
        <w:t>AMENDEMENTS</w:t>
      </w:r>
      <w:r w:rsidRPr="00C97248">
        <w:rPr>
          <w:rStyle w:val="HideTWBExt"/>
        </w:rPr>
        <w:t>&lt;/TypeAM&gt;</w:t>
      </w:r>
    </w:p>
    <w:p w:rsidR="00342B99" w:rsidRPr="00C97248" w:rsidRDefault="00CF3AC9">
      <w:pPr>
        <w:pStyle w:val="CoverDocType24a"/>
      </w:pPr>
      <w:r w:rsidRPr="00C97248">
        <w:rPr>
          <w:rStyle w:val="HideTWBExt"/>
        </w:rPr>
        <w:t>&lt;RangeAM&gt;</w:t>
      </w:r>
      <w:r w:rsidRPr="00C97248">
        <w:t>370 –</w:t>
      </w:r>
      <w:r w:rsidRPr="00C97248">
        <w:t xml:space="preserve"> 480</w:t>
      </w:r>
      <w:r w:rsidRPr="00C97248">
        <w:rPr>
          <w:rStyle w:val="HideTWBExt"/>
        </w:rPr>
        <w:t>&lt;/RangeAM&gt;</w:t>
      </w:r>
    </w:p>
    <w:p w:rsidR="00342B99" w:rsidRPr="00C97248" w:rsidRDefault="00CF3AC9">
      <w:pPr>
        <w:pStyle w:val="CoverBold"/>
      </w:pPr>
      <w:r w:rsidRPr="00C97248">
        <w:rPr>
          <w:rStyle w:val="HideTWBExt"/>
        </w:rPr>
        <w:t>&lt;TitreType&gt;</w:t>
      </w:r>
      <w:r w:rsidRPr="00C97248">
        <w:t>Projet de rapport</w:t>
      </w:r>
      <w:r w:rsidRPr="00C97248">
        <w:rPr>
          <w:rStyle w:val="HideTWBExt"/>
        </w:rPr>
        <w:t>&lt;/TitreType&gt;</w:t>
      </w:r>
    </w:p>
    <w:p w:rsidR="00342B99" w:rsidRPr="00C97248" w:rsidRDefault="00CF3AC9">
      <w:pPr>
        <w:pStyle w:val="CoverBold"/>
      </w:pPr>
      <w:r w:rsidRPr="00C97248">
        <w:rPr>
          <w:rStyle w:val="HideTWBExt"/>
        </w:rPr>
        <w:t>&lt;Rapporteur&gt;</w:t>
      </w:r>
      <w:r w:rsidRPr="00C97248">
        <w:t>Lucia Ďuriš Nicholsonová</w:t>
      </w:r>
      <w:r w:rsidRPr="00C97248">
        <w:rPr>
          <w:rStyle w:val="HideTWBExt"/>
        </w:rPr>
        <w:t>&lt;/Rapporteur&gt;</w:t>
      </w:r>
    </w:p>
    <w:p w:rsidR="00342B99" w:rsidRPr="00C97248" w:rsidRDefault="00CF3AC9">
      <w:pPr>
        <w:pStyle w:val="CoverNormal24a"/>
      </w:pPr>
      <w:r w:rsidRPr="00C97248">
        <w:rPr>
          <w:rStyle w:val="HideTWBExt"/>
        </w:rPr>
        <w:t>&lt;DocRefPE&gt;</w:t>
      </w:r>
      <w:r w:rsidRPr="00C97248">
        <w:t>(PE754.831v01-00)</w:t>
      </w:r>
      <w:r w:rsidRPr="00C97248">
        <w:rPr>
          <w:rStyle w:val="HideTWBExt"/>
        </w:rPr>
        <w:t>&lt;/DocRefPE&gt;</w:t>
      </w:r>
    </w:p>
    <w:p w:rsidR="00342B99" w:rsidRPr="00C97248" w:rsidRDefault="00CF3AC9">
      <w:pPr>
        <w:pStyle w:val="CoverNormal24a"/>
      </w:pPr>
      <w:r w:rsidRPr="00C97248">
        <w:rPr>
          <w:rStyle w:val="HideTWBExt"/>
        </w:rPr>
        <w:t>&lt;Titre&gt;</w:t>
      </w:r>
      <w:r w:rsidRPr="00C97248">
        <w:t>établissant la carte européenne du handicap et la carte européenne de stationnement pour personnes handi</w:t>
      </w:r>
      <w:r w:rsidRPr="00C97248">
        <w:t>capées</w:t>
      </w:r>
      <w:r w:rsidRPr="00C97248">
        <w:rPr>
          <w:rStyle w:val="HideTWBExt"/>
        </w:rPr>
        <w:t>&lt;/Titre&gt;</w:t>
      </w:r>
    </w:p>
    <w:p w:rsidR="00342B99" w:rsidRPr="00C97248" w:rsidRDefault="00CF3AC9">
      <w:pPr>
        <w:pStyle w:val="CoverNormal"/>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CoverNormal24a"/>
      </w:pPr>
      <w:r w:rsidRPr="00C97248">
        <w:rPr>
          <w:rStyle w:val="HideTWBExt"/>
        </w:rPr>
        <w:t>&lt;DocRef&gt;</w:t>
      </w:r>
      <w:r w:rsidRPr="00C97248">
        <w:t>(COM(2023)0512 – C9-0328/2023 – 2023/0311(COD))</w:t>
      </w:r>
      <w:r w:rsidRPr="00C97248">
        <w:rPr>
          <w:rStyle w:val="HideTWBExt"/>
        </w:rPr>
        <w:t>&lt;/DocRef&gt;</w:t>
      </w:r>
    </w:p>
    <w:p w:rsidR="00342B99" w:rsidRPr="00C97248" w:rsidRDefault="00CF3AC9">
      <w:r w:rsidRPr="00C97248">
        <w:br w:type="page"/>
      </w:r>
      <w:r w:rsidRPr="00C97248">
        <w:lastRenderedPageBreak/>
        <w:t>AM_Com_LegReport</w:t>
      </w:r>
    </w:p>
    <w:p w:rsidR="00342B99" w:rsidRPr="00C97248" w:rsidRDefault="00CF3AC9">
      <w:pPr>
        <w:pStyle w:val="AmNumberTabs"/>
      </w:pPr>
      <w:r w:rsidRPr="00C97248">
        <w:br w:type="page"/>
      </w:r>
      <w:r w:rsidRPr="00C97248">
        <w:rPr>
          <w:rStyle w:val="HideTWBExt"/>
        </w:rPr>
        <w:t>&lt;RepeatBlock-Amend&gt;&lt;Amend&gt;</w:t>
      </w:r>
      <w:r w:rsidRPr="00C97248">
        <w:t>Amendement</w:t>
      </w:r>
      <w:r w:rsidRPr="00C97248">
        <w:tab/>
      </w:r>
      <w:r w:rsidRPr="00C97248">
        <w:tab/>
      </w:r>
      <w:r w:rsidRPr="00C97248">
        <w:rPr>
          <w:rStyle w:val="HideTWBExt"/>
        </w:rPr>
        <w:t>&lt;NumAm&gt;</w:t>
      </w:r>
      <w:r w:rsidRPr="00C97248">
        <w:t>370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Cindy Franssen, David Casa, </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2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2 bis.</w:t>
            </w:r>
            <w:r w:rsidRPr="00C97248">
              <w:tab/>
            </w:r>
            <w:r w:rsidRPr="00C97248">
              <w:rPr>
                <w:b/>
                <w:i/>
              </w:rPr>
              <w:t>La Commission veille à ce qu’un financement suffisant</w:t>
            </w:r>
            <w:r w:rsidRPr="00C97248">
              <w:rPr>
                <w:b/>
                <w:i/>
              </w:rPr>
              <w:t xml:space="preserve"> soit mis à la disposition des États membres pour couvrir les coûts liés aux obligations de fourniture d’informations et de sensibilisation prévues au présent article et à l’article 15 de la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David Casa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États membres </w:t>
            </w:r>
            <w:r w:rsidRPr="00C97248">
              <w:t>prennent toutes les mesures nécessaires pour éviter le risque de falsification ou de fraude et luttent activement contre l’utilisation frauduleuse et la falsification de la carte européenne du handicap et de la carte européenne de stationnement pour person</w:t>
            </w:r>
            <w:r w:rsidRPr="00C97248">
              <w:t>nes handicapées.</w:t>
            </w:r>
          </w:p>
        </w:tc>
        <w:tc>
          <w:tcPr>
            <w:tcW w:w="4876" w:type="dxa"/>
          </w:tcPr>
          <w:p w:rsidR="00342B99" w:rsidRPr="00C97248" w:rsidRDefault="00CF3AC9">
            <w:pPr>
              <w:pStyle w:val="Normal6a"/>
            </w:pPr>
            <w:r w:rsidRPr="00C97248">
              <w:t>3.</w:t>
            </w:r>
            <w:r w:rsidRPr="00C97248">
              <w:tab/>
              <w:t>Les États membres prennent toutes les mesures nécessaires pour éviter le risque de falsification ou de fraude et luttent activement contre l’utilisation frauduleuse et la falsification de la carte européenne du handicap et de la carte e</w:t>
            </w:r>
            <w:r w:rsidRPr="00C97248">
              <w:t>uropéenne de stationnement pour personnes handicapées</w:t>
            </w:r>
            <w:r w:rsidRPr="00C97248">
              <w:rPr>
                <w:b/>
                <w:i/>
              </w:rPr>
              <w:t>, sans compromettre l’accès de ces dernières à la carte</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w:t>
      </w:r>
      <w:r w:rsidRPr="00C97248">
        <w:rPr>
          <w:rStyle w:val="HideTWBExt"/>
        </w:rPr>
        <w:t>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États membres prennent toutes les mesures nécessaires pour éviter le risque de falsification ou de fraude et </w:t>
            </w:r>
            <w:r w:rsidRPr="00C97248">
              <w:t>luttent activement contre l’utilisation frauduleuse et la falsification de la carte européenne du handicap et de la carte européenne de stationnement pour personnes handicapées.</w:t>
            </w:r>
          </w:p>
        </w:tc>
        <w:tc>
          <w:tcPr>
            <w:tcW w:w="4876" w:type="dxa"/>
          </w:tcPr>
          <w:p w:rsidR="00342B99" w:rsidRPr="00C97248" w:rsidRDefault="00CF3AC9">
            <w:pPr>
              <w:pStyle w:val="Normal6a"/>
            </w:pPr>
            <w:r w:rsidRPr="00C97248">
              <w:t>3.</w:t>
            </w:r>
            <w:r w:rsidRPr="00C97248">
              <w:tab/>
              <w:t>Les États membres prennent toutes les mesures nécessaires pour éviter le ri</w:t>
            </w:r>
            <w:r w:rsidRPr="00C97248">
              <w:t xml:space="preserve">sque de falsification ou de fraude et luttent activement contre l’utilisation frauduleuse et la falsification de la carte européenne du handicap </w:t>
            </w:r>
            <w:r w:rsidRPr="00C97248">
              <w:rPr>
                <w:b/>
                <w:i/>
              </w:rPr>
              <w:t>et des personnes âgées</w:t>
            </w:r>
            <w:r w:rsidRPr="00C97248">
              <w:t xml:space="preserve"> et de la carte européenne de stationnement pour personnes handicapées </w:t>
            </w:r>
            <w:r w:rsidRPr="00C97248">
              <w:rPr>
                <w:b/>
                <w:i/>
              </w:rPr>
              <w:t>et personnes âgées</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3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3 bis.</w:t>
            </w:r>
            <w:r w:rsidRPr="00C97248">
              <w:tab/>
            </w:r>
            <w:r w:rsidRPr="00C97248">
              <w:rPr>
                <w:b/>
                <w:i/>
              </w:rPr>
              <w:t>Les institutions européennes devraient également diffuser des informations et organiser des formations sur la carte européenne du handicap de façon continue, au moyen de campagnes successives</w:t>
            </w:r>
            <w:r w:rsidRPr="00C97248">
              <w:rPr>
                <w:b/>
                <w:i/>
              </w:rPr>
              <w:t xml:space="preserve"> de formation et de sensibilisation à son utilisation, dans des formats qui garantissent l’accessibilité universelle et avec la participation de personnes handicapées et des organisations qui les représentent. Ces informations devraient indiquer clairement</w:t>
            </w:r>
            <w:r w:rsidRPr="00C97248">
              <w:rPr>
                <w:b/>
                <w:i/>
              </w:rPr>
              <w:t xml:space="preserve"> le caractère facultatif de la carte. Il convient à cette fin de mettre à disposition des lignes de financement spécifiques au sein de l’Union.</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David C</w:t>
      </w:r>
      <w:r w:rsidRPr="00C97248">
        <w:t>asa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3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3 bis.</w:t>
            </w:r>
            <w:r w:rsidRPr="00C97248">
              <w:tab/>
            </w:r>
            <w:r w:rsidRPr="00C97248">
              <w:rPr>
                <w:b/>
                <w:i/>
              </w:rPr>
              <w:t xml:space="preserve">Les États membres veillent à ce que la fraude publique, en </w:t>
            </w:r>
            <w:r w:rsidRPr="00C97248">
              <w:rPr>
                <w:b/>
                <w:i/>
              </w:rPr>
              <w:t>particulier dans le domaine des prestations sociales, fasse l’objet d’enquêtes rapides et approfondies et, le cas échéant, de poursuites, afin de garantir le bon fonctionnement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w:t>
      </w:r>
      <w:r w:rsidRPr="00C97248">
        <w:t>dement</w:t>
      </w:r>
      <w:r w:rsidRPr="00C97248">
        <w:tab/>
      </w:r>
      <w:r w:rsidRPr="00C97248">
        <w:tab/>
      </w:r>
      <w:r w:rsidRPr="00C97248">
        <w:rPr>
          <w:rStyle w:val="HideTWBExt"/>
        </w:rPr>
        <w:t>&lt;NumAm&gt;</w:t>
      </w:r>
      <w:r w:rsidRPr="00C97248">
        <w:t>375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 xml:space="preserve">Les États membres </w:t>
            </w:r>
            <w:r w:rsidRPr="00C97248">
              <w:t>prennent les mesures nécessaires pour faire en sorte que les titulaires d’une carte européenne du handicap ou d’une carte européenne de stationnement pour personnes handicapées retournent leur carte à l’autorité compétente une fois que les conditions de dé</w:t>
            </w:r>
            <w:r w:rsidRPr="00C97248">
              <w:t>livrance ne sont plus remplies.</w:t>
            </w:r>
          </w:p>
        </w:tc>
        <w:tc>
          <w:tcPr>
            <w:tcW w:w="4876" w:type="dxa"/>
          </w:tcPr>
          <w:p w:rsidR="00342B99" w:rsidRPr="00C97248" w:rsidRDefault="00CF3AC9">
            <w:pPr>
              <w:pStyle w:val="Normal6a"/>
            </w:pPr>
            <w:r w:rsidRPr="00C97248">
              <w:t>4.</w:t>
            </w:r>
            <w:r w:rsidRPr="00C97248">
              <w:tab/>
              <w:t xml:space="preserve">Les États membres prennent les mesures nécessaires pour faire en sorte que les titulaires d’une carte européenne du handicap </w:t>
            </w:r>
            <w:r w:rsidRPr="00C97248">
              <w:rPr>
                <w:b/>
                <w:i/>
              </w:rPr>
              <w:t>et des personnes âgées</w:t>
            </w:r>
            <w:r w:rsidRPr="00C97248">
              <w:t xml:space="preserve"> ou d’une carte européenne de stationnement pour personnes handicapées </w:t>
            </w:r>
            <w:r w:rsidRPr="00C97248">
              <w:rPr>
                <w:b/>
                <w:i/>
              </w:rPr>
              <w:t xml:space="preserve">et </w:t>
            </w:r>
            <w:r w:rsidRPr="00C97248">
              <w:rPr>
                <w:b/>
                <w:i/>
              </w:rPr>
              <w:t>personnes âgées</w:t>
            </w:r>
            <w:r w:rsidRPr="00C97248">
              <w:t xml:space="preserve"> retournent leur carte à l’autorité compétente une fois que les conditions de délivrance ne sont plus remplies.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5</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5.</w:t>
            </w:r>
            <w:r w:rsidRPr="00C97248">
              <w:tab/>
              <w:t>Les États membres prennent les mesures nécessaires pour faire en sorte qu’en cas d’utilisations ab</w:t>
            </w:r>
            <w:r w:rsidRPr="00C97248">
              <w:t xml:space="preserve">usives ou détournées, sur leur territoire, des cartes délivrées par un autre État membre, les autorités compétentes de l’État membre qui a délivré la carte européenne du handicap ou la carte européenne de stationnement pour personnes handicapées en soient </w:t>
            </w:r>
            <w:r w:rsidRPr="00C97248">
              <w:t>informées. L’État membre de délivrance assure un suivi approprié conformément à la législation ou à la pratique nationale.</w:t>
            </w:r>
          </w:p>
        </w:tc>
        <w:tc>
          <w:tcPr>
            <w:tcW w:w="4876" w:type="dxa"/>
          </w:tcPr>
          <w:p w:rsidR="00342B99" w:rsidRPr="00C97248" w:rsidRDefault="00CF3AC9">
            <w:pPr>
              <w:pStyle w:val="Normal6a"/>
            </w:pPr>
            <w:r w:rsidRPr="00C97248">
              <w:t>5.</w:t>
            </w:r>
            <w:r w:rsidRPr="00C97248">
              <w:tab/>
              <w:t>Les États membres prennent les mesures nécessaires pour faire en sorte qu’en cas d’utilisations abusives ou détournées, sur leur t</w:t>
            </w:r>
            <w:r w:rsidRPr="00C97248">
              <w:t>erritoire, des cartes délivrées par un autre État membre, les autorités compétentes de l’État membre qui a délivré la carte européenne du handicap ou la carte européenne de stationnement pour personnes handicapées en soient informées. L’État membre de déli</w:t>
            </w:r>
            <w:r w:rsidRPr="00C97248">
              <w:t xml:space="preserve">vrance assure un suivi approprié conformément à la législation ou à la pratique nationale. </w:t>
            </w:r>
            <w:r w:rsidRPr="00C97248">
              <w:rPr>
                <w:b/>
                <w:i/>
              </w:rPr>
              <w:t>Les États membres procèdent à des échanges d’informations sur les cas d’utilisations abusives ou détournées des cartes.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5</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5.</w:t>
            </w:r>
            <w:r w:rsidRPr="00C97248">
              <w:tab/>
              <w:t>Les États</w:t>
            </w:r>
            <w:r w:rsidRPr="00C97248">
              <w:t xml:space="preserve"> membres prennent les mesures nécessaires pour faire en sorte qu’en cas d’utilisations abusives ou détournées, sur leur territoire, des cartes délivrées par un autre État membre, les autorités compétentes de l’État membre qui a délivré la carte européenne </w:t>
            </w:r>
            <w:r w:rsidRPr="00C97248">
              <w:t>du handicap ou la carte européenne de stationnement pour personnes handicapées en soient informées. L’État membre de délivrance assure un suivi approprié conformément à la législation ou à la pratique nationale.</w:t>
            </w:r>
          </w:p>
        </w:tc>
        <w:tc>
          <w:tcPr>
            <w:tcW w:w="4876" w:type="dxa"/>
          </w:tcPr>
          <w:p w:rsidR="00342B99" w:rsidRPr="00C97248" w:rsidRDefault="00CF3AC9">
            <w:pPr>
              <w:pStyle w:val="Normal6a"/>
            </w:pPr>
            <w:r w:rsidRPr="00C97248">
              <w:t>5.</w:t>
            </w:r>
            <w:r w:rsidRPr="00C97248">
              <w:tab/>
              <w:t>Les États membres prennent les mesures né</w:t>
            </w:r>
            <w:r w:rsidRPr="00C97248">
              <w:t xml:space="preserve">cessaires pour faire en sorte qu’en cas d’utilisations abusives ou détournées, sur leur territoire, des cartes délivrées par un autre État membre, les autorités compétentes de l’État membre qui a délivré la carte européenne du handicap </w:t>
            </w:r>
            <w:r w:rsidRPr="00C97248">
              <w:rPr>
                <w:b/>
                <w:i/>
              </w:rPr>
              <w:t>et des personnes âgé</w:t>
            </w:r>
            <w:r w:rsidRPr="00C97248">
              <w:rPr>
                <w:b/>
                <w:i/>
              </w:rPr>
              <w:t>es</w:t>
            </w:r>
            <w:r w:rsidRPr="00C97248">
              <w:t xml:space="preserve"> ou la carte européenne de stationnement pour personnes handicapées </w:t>
            </w:r>
            <w:r w:rsidRPr="00C97248">
              <w:rPr>
                <w:b/>
                <w:i/>
              </w:rPr>
              <w:t>et personnes âgées</w:t>
            </w:r>
            <w:r w:rsidRPr="00C97248">
              <w:t xml:space="preserve"> en soient informées. L’État membre de délivrance assure un suivi approprié conformément à la législation ou à la pratique nationale.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6</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6.</w:t>
            </w:r>
            <w:r w:rsidRPr="00C97248">
              <w:tab/>
            </w:r>
            <w:r w:rsidRPr="00C97248">
              <w:t>Les États membres vérifient le respect des obligations découlant de la carte européenne du handicap ou de la carte européenne de stationnement pour personnes handicapées, ainsi que des droits correspondants dont bénéficient les personnes handicapées détena</w:t>
            </w:r>
            <w:r w:rsidRPr="00C97248">
              <w:t>nt ces cartes et la ou les personnes qui les accompagnent ou les aident, y compris un ou plusieurs assistants personnels.</w:t>
            </w:r>
          </w:p>
        </w:tc>
        <w:tc>
          <w:tcPr>
            <w:tcW w:w="4876" w:type="dxa"/>
          </w:tcPr>
          <w:p w:rsidR="00342B99" w:rsidRPr="00C97248" w:rsidRDefault="00CF3AC9">
            <w:pPr>
              <w:pStyle w:val="Normal6a"/>
            </w:pPr>
            <w:r w:rsidRPr="00C97248">
              <w:t>6.</w:t>
            </w:r>
            <w:r w:rsidRPr="00C97248">
              <w:tab/>
              <w:t xml:space="preserve">Les États membres vérifient le respect des obligations découlant de la carte européenne du handicap </w:t>
            </w:r>
            <w:r w:rsidRPr="00C97248">
              <w:rPr>
                <w:b/>
                <w:i/>
              </w:rPr>
              <w:t>et des personnes âgées</w:t>
            </w:r>
            <w:r w:rsidRPr="00C97248">
              <w:t xml:space="preserve"> ou de la</w:t>
            </w:r>
            <w:r w:rsidRPr="00C97248">
              <w:t xml:space="preserve"> carte européenne de stationnement pour personnes handicapées </w:t>
            </w:r>
            <w:r w:rsidRPr="00C97248">
              <w:rPr>
                <w:b/>
                <w:i/>
              </w:rPr>
              <w:t>et personnes âgées</w:t>
            </w:r>
            <w:r w:rsidRPr="00C97248">
              <w:t xml:space="preserve">, ainsi que des droits correspondants dont bénéficient les personnes handicapées </w:t>
            </w:r>
            <w:r w:rsidRPr="00C97248">
              <w:rPr>
                <w:b/>
                <w:i/>
              </w:rPr>
              <w:t>et les personnes âgées</w:t>
            </w:r>
            <w:r w:rsidRPr="00C97248">
              <w:t xml:space="preserve"> détenant ces cartes et la ou les personnes qui les accompagnent ou les a</w:t>
            </w:r>
            <w:r w:rsidRPr="00C97248">
              <w:t>ident, y compris un ou plusieurs assistants personnels.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379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w:t>
      </w:r>
      <w:r w:rsidRPr="00C97248">
        <w:rPr>
          <w:rStyle w:val="HideTWBExt"/>
        </w:rPr>
        <w:t>le&gt;</w:t>
      </w:r>
      <w:r w:rsidRPr="00C97248">
        <w:t>Article 9 – paragraphe 7</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7.</w:t>
            </w:r>
            <w:r w:rsidRPr="00C97248">
              <w:tab/>
              <w:t xml:space="preserve">Les informations visées aux paragraphes 1 et 2 du présent article sont rendues publiques gratuitement et de manière claire, complète, conviviale et facilement </w:t>
            </w:r>
            <w:r w:rsidRPr="00C97248">
              <w:t xml:space="preserve">accessible, y compris par l’intermédiaire du site internet officiel des opérateurs privés ou des pouvoirs publics, le cas échéant, ou par d’autres moyens appropriés, conformément aux exigences en matière d’accessibilité applicables aux services énoncées à </w:t>
            </w:r>
            <w:r w:rsidRPr="00C97248">
              <w:t>l’annexe I de la directive (UE) 2019/882.</w:t>
            </w:r>
          </w:p>
        </w:tc>
        <w:tc>
          <w:tcPr>
            <w:tcW w:w="4876" w:type="dxa"/>
          </w:tcPr>
          <w:p w:rsidR="00342B99" w:rsidRPr="00C97248" w:rsidRDefault="00CF3AC9">
            <w:pPr>
              <w:pStyle w:val="Normal6a"/>
            </w:pPr>
            <w:r w:rsidRPr="00C97248">
              <w:t>7.</w:t>
            </w:r>
            <w:r w:rsidRPr="00C97248">
              <w:tab/>
              <w:t>Les informations visées aux paragraphes 1 et 2 du présent article sont rendues publiques gratuitement et de manière claire, complète, conviviale et facilement accessible, y compris par l’intermédiaire du site in</w:t>
            </w:r>
            <w:r w:rsidRPr="00C97248">
              <w:t xml:space="preserve">ternet officiel des opérateurs privés ou des pouvoirs publics, le cas échéant, </w:t>
            </w:r>
            <w:r w:rsidRPr="00C97248">
              <w:rPr>
                <w:b/>
                <w:i/>
              </w:rPr>
              <w:t>par un site internet au niveau de l’Union disponible dans toutes les langues de l’Union</w:t>
            </w:r>
            <w:r w:rsidRPr="00C97248">
              <w:t>, ou par d’autres moyens appropriés, conformément aux exigences en matière d’accessibilité</w:t>
            </w:r>
            <w:r w:rsidRPr="00C97248">
              <w:t xml:space="preserve"> applicables aux services énoncées à l’annexe I de la directive (UE) 2019/882. </w:t>
            </w:r>
            <w:r w:rsidRPr="00C97248">
              <w:rPr>
                <w:b/>
                <w:i/>
              </w:rPr>
              <w:t>Ces informations ne dépassent pas le niveau de complexité B1 (intermédiaire) du cadre européen commun de référence pour les langues du Conseil de l’Europe.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7.</w:t>
            </w:r>
            <w:r w:rsidRPr="00C97248">
              <w:tab/>
              <w:t xml:space="preserve">Les informations visées aux paragraphes 1 et 2 du présent article sont rendues publiques gratuitement et de manière claire, complète, conviviale et facilement accessible, y compris par l’intermédiaire du site </w:t>
            </w:r>
            <w:r w:rsidRPr="00C97248">
              <w:t>internet officiel des opérateurs privés ou des pouvoirs publics, le cas échéant, ou par d’autres moyens appropriés, conformément aux exigences en matière d’accessibilité applicables aux services énoncées à l’annexe I de la directive (UE) 2019/882.</w:t>
            </w:r>
          </w:p>
        </w:tc>
        <w:tc>
          <w:tcPr>
            <w:tcW w:w="4876" w:type="dxa"/>
          </w:tcPr>
          <w:p w:rsidR="00342B99" w:rsidRPr="00C97248" w:rsidRDefault="00CF3AC9">
            <w:pPr>
              <w:pStyle w:val="Normal6a"/>
            </w:pPr>
            <w:r w:rsidRPr="00C97248">
              <w:t>7.</w:t>
            </w:r>
            <w:r w:rsidRPr="00C97248">
              <w:tab/>
              <w:t>Les i</w:t>
            </w:r>
            <w:r w:rsidRPr="00C97248">
              <w:t>nformations visées aux paragraphes 1 et 2 du présent article sont rendues publiques gratuitement et de manière claire, complète, conviviale et facilement accessible, y compris par l’intermédiaire du site internet officiel des opérateurs privés ou des pouvo</w:t>
            </w:r>
            <w:r w:rsidRPr="00C97248">
              <w:t xml:space="preserve">irs publics, le cas échéant, ou par d’autres moyens appropriés, conformément aux exigences en matière d’accessibilité applicables aux services énoncées à l’annexe I de la directive (UE) 2019/882. </w:t>
            </w:r>
            <w:r w:rsidRPr="00C97248">
              <w:rPr>
                <w:b/>
                <w:i/>
              </w:rPr>
              <w:t>Les États membres prennent les mesures découlant des paragra</w:t>
            </w:r>
            <w:r w:rsidRPr="00C97248">
              <w:rPr>
                <w:b/>
                <w:i/>
              </w:rPr>
              <w:t>phes 1 et 2 du présent article en consultation avec les organisations représentant les personnes handicapées.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7.</w:t>
            </w:r>
            <w:r w:rsidRPr="00C97248">
              <w:tab/>
              <w:t xml:space="preserve">Les informations visées aux paragraphes 1 et 2 du présent article sont rendues publiques gratuitement et de manière </w:t>
            </w:r>
            <w:r w:rsidRPr="00C97248">
              <w:t>claire, complète, conviviale et facilement accessible, y compris par l’intermédiaire du site internet officiel des opérateurs privés ou des pouvoirs publics, le cas échéant, ou par d’autres moyens appropriés, conformément aux exigences en matière d’accessi</w:t>
            </w:r>
            <w:r w:rsidRPr="00C97248">
              <w:t>bilité applicables aux services énoncées à l’annexe I de la directive (UE) 2019/882.</w:t>
            </w:r>
          </w:p>
        </w:tc>
        <w:tc>
          <w:tcPr>
            <w:tcW w:w="4876" w:type="dxa"/>
          </w:tcPr>
          <w:p w:rsidR="00342B99" w:rsidRPr="00C97248" w:rsidRDefault="00CF3AC9">
            <w:pPr>
              <w:pStyle w:val="Normal6a"/>
            </w:pPr>
            <w:r w:rsidRPr="00C97248">
              <w:t>7.</w:t>
            </w:r>
            <w:r w:rsidRPr="00C97248">
              <w:tab/>
              <w:t>Les informations visées aux paragraphes 1 et 2 du présent article sont rendues publiques gratuitement et de manière claire, complète, conviviale et facilement accessibl</w:t>
            </w:r>
            <w:r w:rsidRPr="00C97248">
              <w:t xml:space="preserve">e, y compris </w:t>
            </w:r>
            <w:r w:rsidRPr="00C97248">
              <w:rPr>
                <w:b/>
                <w:i/>
              </w:rPr>
              <w:t>par un site internet au niveau de l’Union disponible dans toutes les langues de l’Union</w:t>
            </w:r>
            <w:r w:rsidRPr="00C97248">
              <w:t>, par l’intermédiaire du site internet officiel des opérateurs privés ou des pouvoirs publics, le cas échéant, ou par d’autres moyens appropriés, conforméme</w:t>
            </w:r>
            <w:r w:rsidRPr="00C97248">
              <w:t>nt aux exigences en matière d’accessibilité applicables aux services énoncées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7.</w:t>
            </w:r>
            <w:r w:rsidRPr="00C97248">
              <w:tab/>
              <w:t>Les informations visées aux paragraphes 1 et 2 du présent article sont rendues publiques gratuiteme</w:t>
            </w:r>
            <w:r w:rsidRPr="00C97248">
              <w:t xml:space="preserve">nt et de manière claire, complète, conviviale et facilement accessible, y compris par l’intermédiaire du site internet officiel des opérateurs privés ou des pouvoirs publics, le cas échéant, ou par d’autres moyens appropriés, conformément aux exigences en </w:t>
            </w:r>
            <w:r w:rsidRPr="00C97248">
              <w:t>matière d’accessibilité applicables aux services énoncées à l’annexe I de la directive (UE) 2019/882.</w:t>
            </w:r>
          </w:p>
        </w:tc>
        <w:tc>
          <w:tcPr>
            <w:tcW w:w="4876" w:type="dxa"/>
          </w:tcPr>
          <w:p w:rsidR="00342B99" w:rsidRPr="00C97248" w:rsidRDefault="00CF3AC9">
            <w:pPr>
              <w:pStyle w:val="Normal6a"/>
            </w:pPr>
            <w:r w:rsidRPr="00C97248">
              <w:t>7.</w:t>
            </w:r>
            <w:r w:rsidRPr="00C97248">
              <w:tab/>
            </w:r>
            <w:r w:rsidRPr="00C97248">
              <w:t xml:space="preserve">Les informations visées aux paragraphes 1 et 2 du présent article sont rendues publiques gratuitement et de manière claire, complète, conviviale et facilement accessible, y compris </w:t>
            </w:r>
            <w:r w:rsidRPr="00C97248">
              <w:rPr>
                <w:b/>
                <w:i/>
              </w:rPr>
              <w:t>par un site internet au niveau de l’Union disponible dans toutes les langue</w:t>
            </w:r>
            <w:r w:rsidRPr="00C97248">
              <w:rPr>
                <w:b/>
                <w:i/>
              </w:rPr>
              <w:t>s de l’Union</w:t>
            </w:r>
            <w:r w:rsidRPr="00C97248">
              <w:t>, par l’intermédiaire du site internet officiel des opérateurs privés ou des pouvoirs publics, le cas échéant, ou par d’autres moyens appropriés, conformément aux exigences en matière d’accessibilité applicables aux services énoncées à l’annexe</w:t>
            </w:r>
            <w:r w:rsidRPr="00C97248">
              <w:t>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 xml:space="preserve">Article 9 – </w:t>
      </w:r>
      <w:r w:rsidRPr="00C97248">
        <w:t>paragraphe 7 – point 1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1)</w:t>
            </w:r>
            <w:r w:rsidRPr="00C97248">
              <w:tab/>
            </w:r>
            <w:r w:rsidRPr="00C97248">
              <w:rPr>
                <w:b/>
                <w:i/>
              </w:rPr>
              <w:t xml:space="preserve">Il convient de créer un site internet comprenant toutes les informations sur la carte européenne du handicap ou sur la carte européenne de stationnement pour </w:t>
            </w:r>
            <w:r w:rsidRPr="00C97248">
              <w:rPr>
                <w:b/>
                <w:i/>
              </w:rPr>
              <w:t>personnes handicapées et, le cas échéant, sur les modalités des demandes, dans un format accessible et convivial, dans toutes les langues de l’Union, y compris la langue des signes, et à l’aide de modes de communication améliorés et alternatifs.</w:t>
            </w:r>
          </w:p>
        </w:tc>
      </w:tr>
    </w:tbl>
    <w:p w:rsidR="00342B99" w:rsidRPr="00C97248" w:rsidRDefault="00CF3AC9">
      <w:pPr>
        <w:pStyle w:val="AmOrLang"/>
      </w:pPr>
      <w:r w:rsidRPr="00C97248">
        <w:t xml:space="preserve">Or. </w:t>
      </w:r>
      <w:r w:rsidRPr="00C97248">
        <w:rPr>
          <w:rStyle w:val="HideTWBExt"/>
        </w:rPr>
        <w:t>&lt;Orig</w:t>
      </w:r>
      <w:r w:rsidRPr="00C97248">
        <w:rPr>
          <w:rStyle w:val="HideTWBExt"/>
        </w:rPr>
        <w:t>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 point 2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2)</w:t>
            </w:r>
            <w:r w:rsidRPr="00C97248">
              <w:tab/>
            </w:r>
            <w:r w:rsidRPr="00C97248">
              <w:rPr>
                <w:b/>
                <w:i/>
              </w:rPr>
              <w:t>Les organisations représentant les personnes handicapées devraient être associées à l’ensemble du processus de développement, de planification, de mise en œuvre, de surveillance et d’évaluation.</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w:t>
            </w:r>
            <w:r w:rsidRPr="00C97248">
              <w:t>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bis.</w:t>
            </w:r>
            <w:r w:rsidRPr="00C97248">
              <w:tab/>
            </w:r>
            <w:r w:rsidRPr="00C97248">
              <w:rPr>
                <w:b/>
                <w:i/>
              </w:rPr>
              <w:t>La Commission veille à ce que les États membres disposent d’un financement approprié pour couvrir le coût des procédures administratives, de la production des cartes physiques, de la fourniture d’informations e</w:t>
            </w:r>
            <w:r w:rsidRPr="00C97248">
              <w:rPr>
                <w:b/>
                <w:i/>
              </w:rPr>
              <w:t>t des campagnes de sensibilisation, ainsi que d’autres coûts connexes nécessaires.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w:t>
      </w:r>
      <w:r w:rsidRPr="00C97248">
        <w:t>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bis.</w:t>
            </w:r>
            <w:r w:rsidRPr="00C97248">
              <w:tab/>
            </w:r>
            <w:r w:rsidRPr="00C97248">
              <w:rPr>
                <w:b/>
                <w:i/>
              </w:rPr>
              <w:t xml:space="preserve">Les informations visées aux paragraphes 1 et 2 du présent article sont compréhensibles et leur niveau de complexité n’excède </w:t>
            </w:r>
            <w:r w:rsidRPr="00C97248">
              <w:rPr>
                <w:b/>
                <w:i/>
              </w:rPr>
              <w:t>pas le niveau B1 (intermédiaire) du cadre européen commun de référence pour les langues du Conseil de l’Europe.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w:t>
      </w:r>
      <w:r w:rsidRPr="00C97248">
        <w:rPr>
          <w:rStyle w:val="HideTWBExt"/>
        </w:rPr>
        <w:t>&gt;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bis.</w:t>
            </w:r>
            <w:r w:rsidRPr="00C97248">
              <w:tab/>
            </w:r>
            <w:r w:rsidRPr="00C97248">
              <w:rPr>
                <w:b/>
                <w:i/>
              </w:rPr>
              <w:t xml:space="preserve">Les informations visées aux paragraphes 1 et 2 du présent article sont compréhensibles et leur </w:t>
            </w:r>
            <w:r w:rsidRPr="00C97248">
              <w:rPr>
                <w:b/>
                <w:i/>
              </w:rPr>
              <w:t>niveau de complexité n’excède pas le niveau B1 (intermédiaire) du cadre européen commun de référence pour les langues du Conseil de l’Europe.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Jordi Cañas, Monica Semedo, Lucia Ďuriš Nicholsonová</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bis.</w:t>
            </w:r>
            <w:r w:rsidRPr="00C97248">
              <w:tab/>
            </w:r>
            <w:r w:rsidRPr="00C97248">
              <w:rPr>
                <w:b/>
                <w:i/>
              </w:rPr>
              <w:t>Les organisations</w:t>
            </w:r>
            <w:r w:rsidRPr="00C97248">
              <w:rPr>
                <w:b/>
                <w:i/>
              </w:rPr>
              <w:t xml:space="preserve"> représentant les personnes handicapées participent à l’ensemble du processus de développement, de planification, d’exécution, de surveillance et d’évaluation.</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389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Francesca Peppucci, Stelios Kympouropoulos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bis.</w:t>
            </w:r>
            <w:r w:rsidRPr="00C97248">
              <w:tab/>
            </w:r>
            <w:r w:rsidRPr="00C97248">
              <w:rPr>
                <w:b/>
                <w:i/>
              </w:rPr>
              <w:t>La</w:t>
            </w:r>
            <w:r w:rsidRPr="00C97248">
              <w:rPr>
                <w:b/>
                <w:i/>
              </w:rPr>
              <w:t xml:space="preserve"> Commission veille à ce que les États membres disposent d’un financement adapté pour couvrir les coûts de mise en œuvre des dispositions susmentionnées.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390</w:t>
      </w:r>
      <w:r w:rsidRPr="00C97248">
        <w:rPr>
          <w:rStyle w:val="HideTWBExt"/>
        </w:rPr>
        <w:t>&lt;/NumAm&gt;</w:t>
      </w:r>
    </w:p>
    <w:p w:rsidR="00342B99" w:rsidRPr="00C97248" w:rsidRDefault="00CF3AC9">
      <w:pPr>
        <w:pStyle w:val="NormalBold"/>
      </w:pPr>
      <w:r w:rsidRPr="00C97248">
        <w:rPr>
          <w:rStyle w:val="HideTWBExt"/>
        </w:rPr>
        <w:t>&lt;RepeatBlock-By&gt;&lt;Member</w:t>
      </w:r>
      <w:r w:rsidRPr="00C97248">
        <w:rPr>
          <w:rStyle w:val="HideTWBExt"/>
        </w:rPr>
        <w:t>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ter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ter.</w:t>
            </w:r>
            <w:r w:rsidRPr="00C97248">
              <w:tab/>
            </w:r>
            <w:r w:rsidRPr="00C97248">
              <w:rPr>
                <w:b/>
                <w:i/>
              </w:rPr>
              <w:t xml:space="preserve">La Commission crée un site internet spécifique au </w:t>
            </w:r>
            <w:r w:rsidRPr="00C97248">
              <w:rPr>
                <w:b/>
                <w:i/>
              </w:rPr>
              <w:t>niveau de l’Union présentant des informations pertinentes et régulièrement mises à jour sur les conditions spéciales ou le traitement préférentiel proposés par les États membres aux titulaires de la carte européenne du handicap. Le site internet est dispon</w:t>
            </w:r>
            <w:r w:rsidRPr="00C97248">
              <w:rPr>
                <w:b/>
                <w:i/>
              </w:rPr>
              <w:t>ible dans toutes les langues de l’Union et dans des formats accessibles.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w:t>
      </w:r>
      <w:r w:rsidRPr="00C97248">
        <w:rPr>
          <w:rStyle w:val="HideTWBExt"/>
        </w:rPr>
        <w:t>cAmend&gt;</w:t>
      </w:r>
    </w:p>
    <w:p w:rsidR="00342B99" w:rsidRPr="00C97248" w:rsidRDefault="00CF3AC9">
      <w:pPr>
        <w:pStyle w:val="NormalBold"/>
      </w:pPr>
      <w:r w:rsidRPr="00C97248">
        <w:rPr>
          <w:rStyle w:val="HideTWBExt"/>
        </w:rPr>
        <w:t>&lt;Article&gt;</w:t>
      </w:r>
      <w:r w:rsidRPr="00C97248">
        <w:t>Article 9 – paragraphe 7 ter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ter.</w:t>
            </w:r>
            <w:r w:rsidRPr="00C97248">
              <w:tab/>
            </w:r>
            <w:r w:rsidRPr="00C97248">
              <w:rPr>
                <w:b/>
                <w:i/>
              </w:rPr>
              <w:t xml:space="preserve">La Commission veille à ce que les États membres disposent d’un financement suffisant pour couvrir le coût des procédures </w:t>
            </w:r>
            <w:r w:rsidRPr="00C97248">
              <w:rPr>
                <w:b/>
                <w:i/>
              </w:rPr>
              <w:t>administratives, de la production des cartes physiques, de la fourniture d’informations et des campagnes de sensibilisation, ainsi que d’autres coûts connexes nécessaires.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392</w:t>
      </w:r>
      <w:r w:rsidRPr="00C97248">
        <w:rPr>
          <w:rStyle w:val="HideTWBExt"/>
        </w:rPr>
        <w:t>&lt;/NumAm&gt;</w:t>
      </w:r>
    </w:p>
    <w:p w:rsidR="00342B99" w:rsidRPr="00C97248" w:rsidRDefault="00CF3AC9">
      <w:pPr>
        <w:pStyle w:val="NormalBold"/>
      </w:pPr>
      <w:r w:rsidRPr="00C97248">
        <w:rPr>
          <w:rStyle w:val="HideTWBExt"/>
        </w:rPr>
        <w:t>&lt;Rep</w:t>
      </w:r>
      <w:r w:rsidRPr="00C97248">
        <w:rPr>
          <w:rStyle w:val="HideTWBExt"/>
        </w:rPr>
        <w:t>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9 – paragraphe 7 ter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7 ter.</w:t>
            </w:r>
            <w:r w:rsidRPr="00C97248">
              <w:tab/>
            </w:r>
            <w:r w:rsidRPr="00C97248">
              <w:rPr>
                <w:b/>
                <w:i/>
              </w:rPr>
              <w:t xml:space="preserve">La Commission veille à ce que les </w:t>
            </w:r>
            <w:r w:rsidRPr="00C97248">
              <w:rPr>
                <w:b/>
                <w:i/>
              </w:rPr>
              <w:t>États membres disposent d’un financement approprié pour couvrir le coût des procédures administratives, de la production des cartes physiques, de la fourniture d’informations et des campagnes de sensibilisation, ainsi que d’autres coûts connexes nécessaire</w:t>
            </w:r>
            <w:r w:rsidRPr="00C97248">
              <w:rPr>
                <w:b/>
                <w:i/>
              </w:rPr>
              <w:t>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10 – alinéa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proposé </w:t>
            </w:r>
            <w:r w:rsidRPr="00C97248">
              <w:t>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Au plus tard le jj/mm/aa [dans les six mois suivant l’entrée en vigueur de la présente directive], les États membres notifient à la Commission les autorités compétentes désignées pour délivrer, renouveler et retirer la carte e</w:t>
            </w:r>
            <w:r w:rsidRPr="00C97248">
              <w:t>uropéenne du handicap et la carte européenne de stationnement pour personnes handicapées.</w:t>
            </w:r>
          </w:p>
        </w:tc>
        <w:tc>
          <w:tcPr>
            <w:tcW w:w="4876" w:type="dxa"/>
          </w:tcPr>
          <w:p w:rsidR="00342B99" w:rsidRPr="00C97248" w:rsidRDefault="00CF3AC9">
            <w:pPr>
              <w:pStyle w:val="Normal6a"/>
            </w:pPr>
            <w:r w:rsidRPr="00C97248">
              <w:t>Au plus tard le jj/mm/aa [dans les six mois suivant l’entrée en vigueur de la présente directive], les États membres notifient à la Commission les autorités compétent</w:t>
            </w:r>
            <w:r w:rsidRPr="00C97248">
              <w:t xml:space="preserve">es désignées pour délivrer, renouveler et retirer la carte européenne du handicap </w:t>
            </w:r>
            <w:r w:rsidRPr="00C97248">
              <w:rPr>
                <w:b/>
                <w:i/>
              </w:rPr>
              <w:t>et des personnes âgées</w:t>
            </w:r>
            <w:r w:rsidRPr="00C97248">
              <w:t xml:space="preserve"> et la carte européenne de stationnement pour personnes handicapées </w:t>
            </w:r>
            <w:r w:rsidRPr="00C97248">
              <w:rPr>
                <w:b/>
                <w:i/>
              </w:rPr>
              <w:t>et personnes âgées</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w:t>
            </w:r>
            <w:r w:rsidRPr="00C97248">
              <w:t>t</w:t>
            </w:r>
          </w:p>
        </w:tc>
      </w:tr>
      <w:tr w:rsidR="00342B99" w:rsidRPr="00C97248">
        <w:trPr>
          <w:jc w:val="center"/>
        </w:trPr>
        <w:tc>
          <w:tcPr>
            <w:tcW w:w="4876" w:type="dxa"/>
          </w:tcPr>
          <w:p w:rsidR="00342B99" w:rsidRPr="00C97248" w:rsidRDefault="00CF3AC9">
            <w:pPr>
              <w:pStyle w:val="Normal6a"/>
            </w:pPr>
            <w:r w:rsidRPr="00C97248">
              <w:t>2.</w:t>
            </w:r>
            <w:r w:rsidRPr="00C97248">
              <w:tab/>
              <w:t xml:space="preserve">Le pouvoir d’adopter des actes délégués visé à l’article 6, paragraphe 7, </w:t>
            </w:r>
            <w:r w:rsidRPr="00C97248">
              <w:rPr>
                <w:b/>
                <w:i/>
              </w:rPr>
              <w:t>et</w:t>
            </w:r>
            <w:r w:rsidRPr="00C97248">
              <w:t xml:space="preserve"> à l’article 7, paragraphe 7, est conféré à la Commission pour une durée indéterminée à compter du [date d’entrée en vigueur de la présente directive].</w:t>
            </w:r>
          </w:p>
        </w:tc>
        <w:tc>
          <w:tcPr>
            <w:tcW w:w="4876" w:type="dxa"/>
          </w:tcPr>
          <w:p w:rsidR="00342B99" w:rsidRPr="00C97248" w:rsidRDefault="00CF3AC9">
            <w:pPr>
              <w:pStyle w:val="Normal6a"/>
            </w:pPr>
            <w:r w:rsidRPr="00C97248">
              <w:t>2.</w:t>
            </w:r>
            <w:r w:rsidRPr="00C97248">
              <w:tab/>
              <w:t>Le pouvoir d’adopte</w:t>
            </w:r>
            <w:r w:rsidRPr="00C97248">
              <w:t xml:space="preserve">r des actes délégués visé à l’article 6, paragraphe 7, à l’article 7, paragraphe 7, </w:t>
            </w:r>
            <w:r w:rsidRPr="00C97248">
              <w:rPr>
                <w:b/>
                <w:i/>
              </w:rPr>
              <w:t>et à l’article 15, paragraphe 4,</w:t>
            </w:r>
            <w:r w:rsidRPr="00C97248">
              <w:t xml:space="preserve"> est conféré à la Commission pour une durée indéterminée à compter du [date d’entrée en vigueur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 xml:space="preserve">Avant l’adoption d’un acte délégué, la Commission consulte </w:t>
            </w:r>
            <w:r w:rsidRPr="00C97248">
              <w:rPr>
                <w:b/>
                <w:i/>
              </w:rPr>
              <w:t xml:space="preserve">les </w:t>
            </w:r>
            <w:r w:rsidRPr="00C97248">
              <w:t>experts désignés 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r>
            <w:r w:rsidRPr="00C97248">
              <w:t xml:space="preserve">Avant l’adoption d’un acte délégué, la Commission consulte </w:t>
            </w:r>
            <w:r w:rsidRPr="00C97248">
              <w:rPr>
                <w:b/>
                <w:i/>
              </w:rPr>
              <w:t>en priorité, et dans le cadre d’une méthode de coproduction, les personnes handicapées et les organisations qui les représentent, ainsi que d’autres</w:t>
            </w:r>
            <w:r w:rsidRPr="00C97248">
              <w:t xml:space="preserve"> experts </w:t>
            </w:r>
            <w:r w:rsidRPr="00C97248">
              <w:rPr>
                <w:b/>
                <w:i/>
              </w:rPr>
              <w:t>compétents,</w:t>
            </w:r>
            <w:r w:rsidRPr="00C97248">
              <w:t xml:space="preserve"> désignés par chaque État mem</w:t>
            </w:r>
            <w:r w:rsidRPr="00C97248">
              <w:t>bre, conformément aux principes définis dans l’accord interinstitutionnel du 13 avril 2016 «Mieux légiférer».</w:t>
            </w:r>
            <w:r w:rsidRPr="00C97248">
              <w:rPr>
                <w:b/>
                <w:i/>
              </w:rPr>
              <w:t> Les personnes handicapées concernées qui n’exercent pas ces fonctions à titre professionnel au sein d’une organisation de personnes handicapées re</w:t>
            </w:r>
            <w:r w:rsidRPr="00C97248">
              <w:rPr>
                <w:b/>
                <w:i/>
              </w:rPr>
              <w:t>çoivent une compensation financière.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Loucas Fourlas, Stelios Kympouropoulos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w:t>
      </w:r>
      <w:r w:rsidRPr="00C97248">
        <w:rPr>
          <w:rStyle w:val="HideTWBExt"/>
        </w:rPr>
        <w: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 xml:space="preserve">Avant l’adoption d’un acte délégué, la Commission consulte les experts désignés par chaque État membre, conformément aux principes définis dans l’accord </w:t>
            </w:r>
            <w:r w:rsidRPr="00C97248">
              <w:t>interinstitutionnel du 13 avril 2016 «Mieux légiférer».</w:t>
            </w:r>
          </w:p>
        </w:tc>
        <w:tc>
          <w:tcPr>
            <w:tcW w:w="4876" w:type="dxa"/>
          </w:tcPr>
          <w:p w:rsidR="00342B99" w:rsidRPr="00C97248" w:rsidRDefault="00CF3AC9">
            <w:pPr>
              <w:pStyle w:val="Normal6a"/>
            </w:pPr>
            <w:r w:rsidRPr="00C97248">
              <w:t>4.</w:t>
            </w:r>
            <w:r w:rsidRPr="00C97248">
              <w:tab/>
              <w:t xml:space="preserve">Avant l’adoption d’un acte délégué, la Commission consulte les experts désignés par chaque État membre, conformément aux principes définis dans l’accord interinstitutionnel du 13 avril 2016 «Mieux </w:t>
            </w:r>
            <w:r w:rsidRPr="00C97248">
              <w:t>légiférer»</w:t>
            </w:r>
            <w:r w:rsidRPr="00C97248">
              <w:rPr>
                <w:b/>
                <w:i/>
              </w:rPr>
              <w:t>, ainsi que les personnes handicapées et les organisations qui les représentent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Francesca Peppucci, Rosa Estaràs Ferragut, Stelios Kympourop</w:t>
      </w:r>
      <w:r w:rsidRPr="00C97248">
        <w:t>oulos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 xml:space="preserve">Avant l’adoption d’un acte délégué, la Commission consulte les experts désignés </w:t>
            </w:r>
            <w:r w:rsidRPr="00C97248">
              <w:t>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t>Avant l’adoption d’un acte délégué, la Commission consulte les experts désignés par chaque État membre, conformément aux pri</w:t>
            </w:r>
            <w:r w:rsidRPr="00C97248">
              <w:t>ncipes définis dans l’accord interinstitutionnel du 13 avril 2016 «Mieux légiférer»</w:t>
            </w:r>
            <w:r w:rsidRPr="00C97248">
              <w:rPr>
                <w:b/>
                <w:i/>
              </w:rPr>
              <w:t>, ainsi que les personnes handicapées et les organisations qui les représentent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398</w:t>
      </w:r>
      <w:r w:rsidRPr="00C97248">
        <w:rPr>
          <w:rStyle w:val="HideTWBExt"/>
        </w:rPr>
        <w:t>&lt;/NumAm&gt;</w:t>
      </w:r>
    </w:p>
    <w:p w:rsidR="00342B99" w:rsidRPr="00C97248" w:rsidRDefault="00CF3AC9">
      <w:pPr>
        <w:pStyle w:val="NormalBold"/>
      </w:pPr>
      <w:r w:rsidRPr="00C97248">
        <w:rPr>
          <w:rStyle w:val="HideTWBExt"/>
        </w:rPr>
        <w:t>&lt;RepeatBlock</w:t>
      </w:r>
      <w:r w:rsidRPr="00C97248">
        <w:rPr>
          <w:rStyle w:val="HideTWBExt"/>
        </w:rPr>
        <w:t>-By&gt;&lt;Members&gt;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Avant l’adoption d’un acte délégué, la Commission consulte les</w:t>
            </w:r>
            <w:r w:rsidRPr="00C97248">
              <w:t xml:space="preserve"> experts désignés 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t>Avant l’adoption d’un acte délégué, la Commission consulte les experts désignés par chaque État membre, co</w:t>
            </w:r>
            <w:r w:rsidRPr="00C97248">
              <w:t>nformément aux principes définis dans l’accord interinstitutionnel du 13 avril 2016 «Mieux légiférer»</w:t>
            </w:r>
            <w:r w:rsidRPr="00C97248">
              <w:rPr>
                <w:b/>
                <w:i/>
              </w:rPr>
              <w:t>, ainsi que les personnes handicapées et les organisations qui les représentent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399</w:t>
      </w:r>
      <w:r w:rsidRPr="00C97248">
        <w:rPr>
          <w:rStyle w:val="HideTWBExt"/>
        </w:rPr>
        <w:t>&lt;/N</w:t>
      </w:r>
      <w:r w:rsidRPr="00C97248">
        <w:rPr>
          <w:rStyle w:val="HideTWBExt"/>
        </w:rPr>
        <w:t>umAm&gt;</w:t>
      </w:r>
    </w:p>
    <w:p w:rsidR="00342B99" w:rsidRPr="00C97248" w:rsidRDefault="00CF3AC9">
      <w:pPr>
        <w:pStyle w:val="NormalBold"/>
      </w:pPr>
      <w:r w:rsidRPr="00C97248">
        <w:rPr>
          <w:rStyle w:val="HideTWBExt"/>
        </w:rPr>
        <w:t>&lt;RepeatBlock-By&gt;&lt;Members&gt;</w:t>
      </w:r>
      <w:r w:rsidRPr="00C97248">
        <w:t>Ádám Kósa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 xml:space="preserve">Avant l’adoption d’un acte délégué, la </w:t>
            </w:r>
            <w:r w:rsidRPr="00C97248">
              <w:t>Commission consulte les experts désignés 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t>Avant l’adoption d’un acte délégué, la Commission consulte les experts désignés par</w:t>
            </w:r>
            <w:r w:rsidRPr="00C97248">
              <w:t xml:space="preserve"> chaque État membre, conformément aux principes définis dans l’accord interinstitutionnel du 13 avril 2016 «Mieux légiférer»</w:t>
            </w:r>
            <w:r w:rsidRPr="00C97248">
              <w:rPr>
                <w:b/>
                <w:i/>
              </w:rPr>
              <w:t>, ainsi que les personnes handicapées et les organisations qui les représentent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 Marc Angel, Milan Brglez, Agnes Jongerius, Aurore Lalucq, Elisabetta Gualmini, Klára Dobrev, Marianne Vind, Vilija Blinkevičiūtė, Alex Agius Saliba, Brando Benife</w:t>
      </w:r>
      <w:r w:rsidRPr="00C97248">
        <w:t>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Avant l’ado</w:t>
            </w:r>
            <w:r w:rsidRPr="00C97248">
              <w:t>ption d’un acte délégué, la Commission consulte les experts désignés 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t>Avant l’adoption d’un acte délégué, la Commission consu</w:t>
            </w:r>
            <w:r w:rsidRPr="00C97248">
              <w:t>lte les experts désignés par chaque État membre, conformément aux principes définis dans l’accord interinstitutionnel du 13 avril 2016 «Mieux légiférer»</w:t>
            </w:r>
            <w:r w:rsidRPr="00C97248">
              <w:rPr>
                <w:b/>
                <w:i/>
              </w:rPr>
              <w:t>, ainsi que les personnes handicapées et les organisations qui les représentent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w:t>
            </w:r>
            <w:r w:rsidRPr="00C97248">
              <w:t>dement</w:t>
            </w:r>
          </w:p>
        </w:tc>
      </w:tr>
      <w:tr w:rsidR="00342B99" w:rsidRPr="00C97248">
        <w:trPr>
          <w:jc w:val="center"/>
        </w:trPr>
        <w:tc>
          <w:tcPr>
            <w:tcW w:w="4876" w:type="dxa"/>
          </w:tcPr>
          <w:p w:rsidR="00342B99" w:rsidRPr="00C97248" w:rsidRDefault="00CF3AC9">
            <w:pPr>
              <w:pStyle w:val="Normal6a"/>
            </w:pPr>
            <w:r w:rsidRPr="00C97248">
              <w:t>4.</w:t>
            </w:r>
            <w:r w:rsidRPr="00C97248">
              <w:tab/>
              <w:t>Avant l’adoption d’un acte délégué, la Commission consulte les experts désignés 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t xml:space="preserve">Avant l’adoption d’un acte </w:t>
            </w:r>
            <w:r w:rsidRPr="00C97248">
              <w:t>délégué, la Commission consulte les experts désignés par chaque État membre, conformément aux principes définis dans l’accord interinstitutionnel du 13 avril 2016 «Mieux légiférer»</w:t>
            </w:r>
            <w:r w:rsidRPr="00C97248">
              <w:rPr>
                <w:b/>
                <w:i/>
              </w:rPr>
              <w:t>, ainsi que les personnes handicapées et les organisations qui les représent</w:t>
            </w:r>
            <w:r w:rsidRPr="00C97248">
              <w:rPr>
                <w:b/>
                <w:i/>
              </w:rPr>
              <w: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Jarosław Duda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11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w:t>
            </w:r>
            <w:r w:rsidRPr="00C97248">
              <w:t>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Avant l’adoption d’un acte délégué, la Commission consulte les experts désignés par chaque État membre, conformément aux principes définis dans l’accord interinstitutionnel du 13 avril 2016 «Mieux légiférer».</w:t>
            </w:r>
          </w:p>
        </w:tc>
        <w:tc>
          <w:tcPr>
            <w:tcW w:w="4876" w:type="dxa"/>
          </w:tcPr>
          <w:p w:rsidR="00342B99" w:rsidRPr="00C97248" w:rsidRDefault="00CF3AC9">
            <w:pPr>
              <w:pStyle w:val="Normal6a"/>
            </w:pPr>
            <w:r w:rsidRPr="00C97248">
              <w:t>4.</w:t>
            </w:r>
            <w:r w:rsidRPr="00C97248">
              <w:tab/>
            </w:r>
            <w:r w:rsidRPr="00C97248">
              <w:t>Avant l’adoption d’un acte délégué, la Commission consulte les experts désignés par chaque État membre, conformément aux principes définis dans l’accord interinstitutionnel du 13 avril 2016 «Mieux légiférer»</w:t>
            </w:r>
            <w:r w:rsidRPr="00C97248">
              <w:rPr>
                <w:b/>
                <w:i/>
              </w:rPr>
              <w:t>, ainsi que les personnes handicapées et les orga</w:t>
            </w:r>
            <w:r w:rsidRPr="00C97248">
              <w:rPr>
                <w:b/>
                <w:i/>
              </w:rPr>
              <w:t>nisations qui les représentent</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w:t>
      </w:r>
      <w:r w:rsidRPr="00C97248">
        <w:t>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La Commission est assistée par un comité. Ledit comité est un comité au sens du règlement (UE) nº 182/2011.</w:t>
            </w:r>
          </w:p>
        </w:tc>
        <w:tc>
          <w:tcPr>
            <w:tcW w:w="4876" w:type="dxa"/>
          </w:tcPr>
          <w:p w:rsidR="00342B99" w:rsidRPr="00C97248" w:rsidRDefault="00CF3AC9">
            <w:pPr>
              <w:pStyle w:val="Normal6a"/>
            </w:pPr>
            <w:r w:rsidRPr="00C97248">
              <w:t>1.</w:t>
            </w:r>
            <w:r w:rsidRPr="00C97248">
              <w:tab/>
              <w:t xml:space="preserve">La Commission est assistée par un comité </w:t>
            </w:r>
            <w:r w:rsidRPr="00C97248">
              <w:rPr>
                <w:b/>
                <w:i/>
              </w:rPr>
              <w:t xml:space="preserve">et associe formellement, et dans le cadre </w:t>
            </w:r>
            <w:r w:rsidRPr="00C97248">
              <w:rPr>
                <w:b/>
                <w:i/>
              </w:rPr>
              <w:t>d’une méthode participative de coproduction, des organisations officielles et non officielles représentant les personnes handicapées</w:t>
            </w:r>
            <w:r w:rsidRPr="00C97248">
              <w:t>. Ledit comité est un comité au sens du règlement (UE) nº 182/2011.</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w:t>
      </w:r>
      <w:r w:rsidRPr="00C97248">
        <w:t>ent</w:t>
      </w:r>
      <w:r w:rsidRPr="00C97248">
        <w:tab/>
      </w:r>
      <w:r w:rsidRPr="00C97248">
        <w:tab/>
      </w:r>
      <w:r w:rsidRPr="00C97248">
        <w:rPr>
          <w:rStyle w:val="HideTWBExt"/>
        </w:rPr>
        <w:t>&lt;NumAm&gt;</w:t>
      </w:r>
      <w:r w:rsidRPr="00C97248">
        <w:t>404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Stelios Kympouropoulos, Loucas Fourlas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r>
            <w:r w:rsidRPr="00C97248">
              <w:t>La Commission est assistée par un comité. Ledit comité est un comité au sens du règlement (UE) nº 182/2011.</w:t>
            </w:r>
          </w:p>
        </w:tc>
        <w:tc>
          <w:tcPr>
            <w:tcW w:w="4876" w:type="dxa"/>
          </w:tcPr>
          <w:p w:rsidR="00342B99" w:rsidRPr="00C97248" w:rsidRDefault="00CF3AC9">
            <w:pPr>
              <w:pStyle w:val="Normal6a"/>
            </w:pPr>
            <w:r w:rsidRPr="00C97248">
              <w:t>1.</w:t>
            </w:r>
            <w:r w:rsidRPr="00C97248">
              <w:tab/>
              <w:t>La Commission est assistée par un comité</w:t>
            </w:r>
            <w:r w:rsidRPr="00C97248">
              <w:rPr>
                <w:b/>
                <w:i/>
              </w:rPr>
              <w:t xml:space="preserve"> et associe de manière significative les différentes organisations représentant les personnes handicapées</w:t>
            </w:r>
            <w:r w:rsidRPr="00C97248">
              <w:t>. Ledit comité est un comité au sens du règlement (UE) nº 182/2011.</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La Commission est assistée par un comité. Ledit comité est un comité au sens du règlement (UE) nº 182/2011.</w:t>
            </w:r>
          </w:p>
        </w:tc>
        <w:tc>
          <w:tcPr>
            <w:tcW w:w="4876" w:type="dxa"/>
          </w:tcPr>
          <w:p w:rsidR="00342B99" w:rsidRPr="00C97248" w:rsidRDefault="00CF3AC9">
            <w:pPr>
              <w:pStyle w:val="Normal6a"/>
            </w:pPr>
            <w:r w:rsidRPr="00C97248">
              <w:t>1.</w:t>
            </w:r>
            <w:r w:rsidRPr="00C97248">
              <w:tab/>
              <w:t xml:space="preserve">La Commission est assistée par un </w:t>
            </w:r>
            <w:r w:rsidRPr="00C97248">
              <w:t>comité</w:t>
            </w:r>
            <w:r w:rsidRPr="00C97248">
              <w:rPr>
                <w:b/>
                <w:i/>
              </w:rPr>
              <w:t xml:space="preserve"> et associe de manière significative les organisations représentant les personnes handicapées</w:t>
            </w:r>
            <w:r w:rsidRPr="00C97248">
              <w:t>. Ledit comité est un comité au sens du règlement (UE) nº 182/2011.</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 Marc Angel, Milan Brglez, Agnes Jongerius, Aurore Lalucq, Elisabetta Gualmini, Klára Dobrev, Marianne Vind, Vilija Blinkevičiūtė, Alex Agius Saliba, Brando Benifei, Ilan De Basso, Alicia Homs G</w:t>
      </w:r>
      <w:r w:rsidRPr="00C97248">
        <w:t>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La Commission est assistée par un comité. </w:t>
            </w:r>
            <w:r w:rsidRPr="00C97248">
              <w:t>Ledit comité est un comité au sens du règlement (UE) nº 182/2011.</w:t>
            </w:r>
          </w:p>
        </w:tc>
        <w:tc>
          <w:tcPr>
            <w:tcW w:w="4876" w:type="dxa"/>
          </w:tcPr>
          <w:p w:rsidR="00342B99" w:rsidRPr="00C97248" w:rsidRDefault="00CF3AC9">
            <w:pPr>
              <w:pStyle w:val="Normal6a"/>
            </w:pPr>
            <w:r w:rsidRPr="00C97248">
              <w:t>1.</w:t>
            </w:r>
            <w:r w:rsidRPr="00C97248">
              <w:tab/>
              <w:t>La Commission est assistée par un comité</w:t>
            </w:r>
            <w:r w:rsidRPr="00C97248">
              <w:rPr>
                <w:b/>
                <w:i/>
              </w:rPr>
              <w:t xml:space="preserve"> et associe de manière significative les organisations représentant les personnes handicapées</w:t>
            </w:r>
            <w:r w:rsidRPr="00C97248">
              <w:t>. Ledit comité est un comité au sens du règlement (UE)</w:t>
            </w:r>
            <w:r w:rsidRPr="00C97248">
              <w:t> nº 182/2011.</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La Commission est assistée par un comité. Ledit comité est un comité au sens du règlement (UE) nº 182/2011.</w:t>
            </w:r>
          </w:p>
        </w:tc>
        <w:tc>
          <w:tcPr>
            <w:tcW w:w="4876" w:type="dxa"/>
          </w:tcPr>
          <w:p w:rsidR="00342B99" w:rsidRPr="00C97248" w:rsidRDefault="00CF3AC9">
            <w:pPr>
              <w:pStyle w:val="Normal6a"/>
            </w:pPr>
            <w:r w:rsidRPr="00C97248">
              <w:t>1.</w:t>
            </w:r>
            <w:r w:rsidRPr="00C97248">
              <w:tab/>
              <w:t>La Commission est assistée par un comité</w:t>
            </w:r>
            <w:r w:rsidRPr="00C97248">
              <w:rPr>
                <w:b/>
                <w:i/>
              </w:rPr>
              <w:t xml:space="preserve"> et associe de manière significative les organisations représentant les personnes handicapées</w:t>
            </w:r>
            <w:r w:rsidRPr="00C97248">
              <w:t>. Ledit comité est un comité au sens du règlement (UE) nº 182/2011.</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408</w:t>
      </w:r>
      <w:r w:rsidRPr="00C97248">
        <w:rPr>
          <w:rStyle w:val="HideTWBExt"/>
        </w:rPr>
        <w:t>&lt;/NumAm&gt;</w:t>
      </w:r>
    </w:p>
    <w:p w:rsidR="00342B99" w:rsidRPr="00C97248" w:rsidRDefault="00CF3AC9">
      <w:pPr>
        <w:pStyle w:val="NormalBold"/>
      </w:pPr>
      <w:r w:rsidRPr="00C97248">
        <w:rPr>
          <w:rStyle w:val="HideTWBExt"/>
        </w:rPr>
        <w:t>&lt;RepeatBlock-By</w:t>
      </w:r>
      <w:r w:rsidRPr="00C97248">
        <w:rPr>
          <w:rStyle w:val="HideTWBExt"/>
        </w:rPr>
        <w:t>&gt;&lt;Members&gt;</w:t>
      </w:r>
      <w:r w:rsidRPr="00C97248">
        <w:t>Jarosław Duda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La Commission est assistée par un comité. Ledit comité est un </w:t>
            </w:r>
            <w:r w:rsidRPr="00C97248">
              <w:t>comité au sens du règlement (UE) nº 182/2011.</w:t>
            </w:r>
          </w:p>
        </w:tc>
        <w:tc>
          <w:tcPr>
            <w:tcW w:w="4876" w:type="dxa"/>
          </w:tcPr>
          <w:p w:rsidR="00342B99" w:rsidRPr="00C97248" w:rsidRDefault="00CF3AC9">
            <w:pPr>
              <w:pStyle w:val="Normal6a"/>
            </w:pPr>
            <w:r w:rsidRPr="00C97248">
              <w:t>1.</w:t>
            </w:r>
            <w:r w:rsidRPr="00C97248">
              <w:tab/>
              <w:t>La Commission est assistée par un comité</w:t>
            </w:r>
            <w:r w:rsidRPr="00C97248">
              <w:rPr>
                <w:b/>
                <w:i/>
              </w:rPr>
              <w:t xml:space="preserve"> et associe de manière significative les organisations représentant les personnes handicapées</w:t>
            </w:r>
            <w:r w:rsidRPr="00C97248">
              <w:t>. Ledit comité est un comité au sens du règlement (UE) nº 182/2011.</w:t>
            </w:r>
          </w:p>
        </w:tc>
      </w:tr>
    </w:tbl>
    <w:p w:rsidR="00342B99" w:rsidRPr="00C97248" w:rsidRDefault="00CF3AC9">
      <w:pPr>
        <w:pStyle w:val="AmOrLang"/>
      </w:pPr>
      <w:r w:rsidRPr="00C97248">
        <w:t xml:space="preserve">Or. </w:t>
      </w:r>
      <w:r w:rsidRPr="00C97248">
        <w:rPr>
          <w:rStyle w:val="HideTWBExt"/>
        </w:rPr>
        <w:t>&lt;</w:t>
      </w:r>
      <w:r w:rsidRPr="00C97248">
        <w:rPr>
          <w:rStyle w:val="HideTWBExt"/>
        </w:rPr>
        <w: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409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Francesca Peppucci, 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w:t>
      </w:r>
      <w:r w:rsidRPr="00C97248">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La Commission est assistée par un comité. Ledit comité est un comité au sens du règlement (UE) nº 182/2011.</w:t>
            </w:r>
          </w:p>
        </w:tc>
        <w:tc>
          <w:tcPr>
            <w:tcW w:w="4876" w:type="dxa"/>
          </w:tcPr>
          <w:p w:rsidR="00342B99" w:rsidRPr="00C97248" w:rsidRDefault="00CF3AC9">
            <w:pPr>
              <w:pStyle w:val="Normal6a"/>
            </w:pPr>
            <w:r w:rsidRPr="00C97248">
              <w:t>1.</w:t>
            </w:r>
            <w:r w:rsidRPr="00C97248">
              <w:tab/>
              <w:t>La Commission est assistée par un comité</w:t>
            </w:r>
            <w:r w:rsidRPr="00C97248">
              <w:rPr>
                <w:b/>
                <w:i/>
              </w:rPr>
              <w:t xml:space="preserve"> et associe les personnes handicapées et les organisations qui les représentent</w:t>
            </w:r>
            <w:r w:rsidRPr="00C97248">
              <w:t>. Ledit comité est un comité au sens du règlement (UE) nº 182/2011.</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Louc</w:t>
      </w:r>
      <w:r w:rsidRPr="00C97248">
        <w:t>as Fourlas, Stelios Kympouropoulos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12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La Commission est assistée par un comité. Ledit </w:t>
            </w:r>
            <w:r w:rsidRPr="00C97248">
              <w:t>comité est un comité au sens du règlement (UE) nº 182/2011.</w:t>
            </w:r>
          </w:p>
        </w:tc>
        <w:tc>
          <w:tcPr>
            <w:tcW w:w="4876" w:type="dxa"/>
          </w:tcPr>
          <w:p w:rsidR="00342B99" w:rsidRPr="00C97248" w:rsidRDefault="00CF3AC9">
            <w:pPr>
              <w:pStyle w:val="Normal6a"/>
            </w:pPr>
            <w:r w:rsidRPr="00C97248">
              <w:t>1.</w:t>
            </w:r>
            <w:r w:rsidRPr="00C97248">
              <w:tab/>
              <w:t xml:space="preserve">La Commission est assistée par un comité. Ledit comité est un comité au sens du règlement (UE) nº 182/2011 </w:t>
            </w:r>
            <w:r w:rsidRPr="00C97248">
              <w:rPr>
                <w:b/>
                <w:i/>
              </w:rPr>
              <w:t>et associe les organisations représentant les personnes handicapées</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w:t>
      </w:r>
      <w:r w:rsidRPr="00C97248">
        <w:rPr>
          <w:rStyle w:val="HideTWBInt"/>
        </w:rPr>
        <w:t>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João Albuquerque, Daniela Rondinelli, Marc Angel, Milan Brglez, Agnes Jongerius, Aurore Lalucq, Elisabetta Gualmini, Klára Dobrev, Marianne Vind, Vilija Blinkevičiūtė, </w:t>
      </w:r>
      <w:r w:rsidRPr="00C97248">
        <w:t>Alex Agius Saliba, Brando Benifei,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13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proposé par la </w:t>
            </w:r>
            <w:r w:rsidRPr="00C97248">
              <w:t>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Les États membres veillent à l’existence de moyens suffisants et efficaces permettant de faire respecter la présente directive.</w:t>
            </w:r>
          </w:p>
        </w:tc>
        <w:tc>
          <w:tcPr>
            <w:tcW w:w="4876" w:type="dxa"/>
          </w:tcPr>
          <w:p w:rsidR="00342B99" w:rsidRPr="00C97248" w:rsidRDefault="00CF3AC9">
            <w:pPr>
              <w:pStyle w:val="Normal6a"/>
            </w:pPr>
            <w:r w:rsidRPr="00C97248">
              <w:t>1.</w:t>
            </w:r>
            <w:r w:rsidRPr="00C97248">
              <w:tab/>
              <w:t>Les États membres veillent à l’existence de moyens suffisants et efficaces permettant de faire resp</w:t>
            </w:r>
            <w:r w:rsidRPr="00C97248">
              <w:t xml:space="preserve">ecter la présente directive. </w:t>
            </w:r>
            <w:r w:rsidRPr="00C97248">
              <w:rPr>
                <w:b/>
                <w:i/>
              </w:rPr>
              <w:t>Il convient d’encourager la participation des organisations de la société civile et des associations représentant les personnes handicapées, et de maintenir un dialogue permanent avec celles-ci.</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13 – paragraphe 2 – point a</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proposé par la </w:t>
            </w:r>
            <w:r w:rsidRPr="00C97248">
              <w:t>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a)</w:t>
            </w:r>
            <w:r w:rsidRPr="00C97248">
              <w:tab/>
              <w:t>des dispositions permettant aux personnes handicapées de saisir les tribunaux ou les organes administratifs compétents en vertu du droit national en cas de violation de leurs droits au titre de la présente directive et des disposi</w:t>
            </w:r>
            <w:r w:rsidRPr="00C97248">
              <w:t>tions nationales transposant la présente directive;</w:t>
            </w:r>
          </w:p>
        </w:tc>
        <w:tc>
          <w:tcPr>
            <w:tcW w:w="4876" w:type="dxa"/>
          </w:tcPr>
          <w:p w:rsidR="00342B99" w:rsidRPr="00C97248" w:rsidRDefault="00CF3AC9">
            <w:pPr>
              <w:pStyle w:val="Normal6a"/>
            </w:pPr>
            <w:r w:rsidRPr="00C97248">
              <w:t>a)</w:t>
            </w:r>
            <w:r w:rsidRPr="00C97248">
              <w:tab/>
              <w:t xml:space="preserve">des dispositions permettant aux personnes handicapées </w:t>
            </w:r>
            <w:r w:rsidRPr="00C97248">
              <w:rPr>
                <w:b/>
                <w:i/>
              </w:rPr>
              <w:t>et aux organisations qui les représentent</w:t>
            </w:r>
            <w:r w:rsidRPr="00C97248">
              <w:t xml:space="preserve"> de saisir les tribunaux ou les organes administratifs compétents en vertu du droit national en cas de vio</w:t>
            </w:r>
            <w:r w:rsidRPr="00C97248">
              <w:t>lation de leurs droits au titre de la présente directive et des dispositions nationales transposant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João Albuquerque, </w:t>
      </w:r>
      <w:r w:rsidRPr="00C97248">
        <w:t>Daniela Rondinelli, Marc Angel, Milan Brglez, Agnes Jongerius, Aurore Lalucq, Elisabetta Gualmini, Klára Dobrev, Marianne Vind, Vilija Blinkevičiūtė, Alex Agius Saliba, Brando Benifei, Ilan De Basso, Alicia Homs Ginel, Carina Ohlsson, Estrella Durá Ferrand</w:t>
      </w:r>
      <w:r w:rsidRPr="00C97248">
        <w:t>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13 – paragraphe 2 – point b</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b)</w:t>
            </w:r>
            <w:r w:rsidRPr="00C97248">
              <w:tab/>
              <w:t>des dispositions permettant à des organismes publics ou à des associations,</w:t>
            </w:r>
            <w:r w:rsidRPr="00C97248">
              <w:t xml:space="preserve"> à des organisations ou à d’autres entités juridiques privées ayant un intérêt légitime au respect des dispositions de la présente directive d’agir devant les tribunaux ou les organes administratifs compétents conformément au droit national et aux procédur</w:t>
            </w:r>
            <w:r w:rsidRPr="00C97248">
              <w:t>es nationales, au nom ou à l’appui d’une personne handicapée et avec son accord, dans toute procédure judiciaire ou administrative prévue aux fins de l’exécution des obligations énoncées par la présente directive.</w:t>
            </w:r>
          </w:p>
        </w:tc>
        <w:tc>
          <w:tcPr>
            <w:tcW w:w="4876" w:type="dxa"/>
          </w:tcPr>
          <w:p w:rsidR="00342B99" w:rsidRPr="00C97248" w:rsidRDefault="00CF3AC9">
            <w:pPr>
              <w:pStyle w:val="Normal6a"/>
            </w:pPr>
            <w:r w:rsidRPr="00C97248">
              <w:t>b)</w:t>
            </w:r>
            <w:r w:rsidRPr="00C97248">
              <w:tab/>
              <w:t>des dispositions permettant à des organ</w:t>
            </w:r>
            <w:r w:rsidRPr="00C97248">
              <w:t>ismes publics</w:t>
            </w:r>
            <w:r w:rsidRPr="00C97248">
              <w:rPr>
                <w:b/>
                <w:i/>
              </w:rPr>
              <w:t>, tels que les organismes de promotion de l’égalité,</w:t>
            </w:r>
            <w:r w:rsidRPr="00C97248">
              <w:t xml:space="preserve"> ou à des associations, à des organisations</w:t>
            </w:r>
            <w:r w:rsidRPr="00C97248">
              <w:rPr>
                <w:b/>
                <w:i/>
              </w:rPr>
              <w:t>, en particulier les organisations représentant les personnes handicapées,</w:t>
            </w:r>
            <w:r w:rsidRPr="00C97248">
              <w:t xml:space="preserve"> ou à d’autres entités juridiques privées ayant un intérêt légitime au res</w:t>
            </w:r>
            <w:r w:rsidRPr="00C97248">
              <w:t>pect des dispositions de la présente directive d’agir devant les tribunaux ou les organes administratifs compétents conformément au droit national et aux procédures nationales, au nom ou à l’appui d’une personne handicapée et avec son accord, dans toute pr</w:t>
            </w:r>
            <w:r w:rsidRPr="00C97248">
              <w:t>océdure judiciaire ou administrative prévue aux fins de l’exécution des obligations énoncées par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w:t>
      </w:r>
      <w:r w:rsidRPr="00C97248">
        <w:rPr>
          <w:rStyle w:val="HideTWBExt"/>
        </w:rPr>
        <w:t>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13 – paragraphe 2 – point b</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b)</w:t>
            </w:r>
            <w:r w:rsidRPr="00C97248">
              <w:tab/>
              <w:t xml:space="preserve">des dispositions permettant à des organismes publics ou à des associations, à des </w:t>
            </w:r>
            <w:r w:rsidRPr="00C97248">
              <w:t>organisations ou à d’autres entités juridiques privées ayant un intérêt légitime au respect des dispositions de la présente directive d’agir devant les tribunaux ou les organes administratifs compétents conformément au droit national et aux procédures nati</w:t>
            </w:r>
            <w:r w:rsidRPr="00C97248">
              <w:t>onales, au nom ou à l’appui d’une personne handicapée et avec son accord, dans toute procédure judiciaire ou administrative prévue aux fins de l’exécution des obligations énoncées par la présente directive.</w:t>
            </w:r>
          </w:p>
        </w:tc>
        <w:tc>
          <w:tcPr>
            <w:tcW w:w="4876" w:type="dxa"/>
          </w:tcPr>
          <w:p w:rsidR="00342B99" w:rsidRPr="00C97248" w:rsidRDefault="00CF3AC9">
            <w:pPr>
              <w:pStyle w:val="Normal6a"/>
            </w:pPr>
            <w:r w:rsidRPr="00C97248">
              <w:t>b)</w:t>
            </w:r>
            <w:r w:rsidRPr="00C97248">
              <w:tab/>
              <w:t>des dispositions permettant à des organismes p</w:t>
            </w:r>
            <w:r w:rsidRPr="00C97248">
              <w:t>ublics ou à des associations, à des organisations ou à d’autres entités juridiques privées ayant un intérêt légitime au respect des dispositions de la présente directive d’agir devant les tribunaux ou les organes administratifs compétents conformément au d</w:t>
            </w:r>
            <w:r w:rsidRPr="00C97248">
              <w:t xml:space="preserve">roit national et aux procédures nationales, au nom ou à l’appui d’une personne handicapée </w:t>
            </w:r>
            <w:r w:rsidRPr="00C97248">
              <w:rPr>
                <w:b/>
                <w:i/>
              </w:rPr>
              <w:t>ou de personnes âgées</w:t>
            </w:r>
            <w:r w:rsidRPr="00C97248">
              <w:t xml:space="preserve"> et avec son accord, dans toute procédure judiciaire ou administrative prévue aux fins de l’exécution des obligations énoncées par la présente di</w:t>
            </w:r>
            <w:r w:rsidRPr="00C97248">
              <w:t>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13 – paragraphe 2 bis (nouvea</w:t>
      </w:r>
      <w:r w:rsidRPr="00C97248">
        <w:t>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2 bis.</w:t>
            </w:r>
            <w:r w:rsidRPr="00C97248">
              <w:tab/>
            </w:r>
            <w:r w:rsidRPr="00C97248">
              <w:rPr>
                <w:b/>
                <w:i/>
              </w:rPr>
              <w:t xml:space="preserve">Il conviendrait d’instituer une autorité chargée d’établir un mécanisme institutionnel permettant de surveiller et de contrôler le respect de la réglementation en matière de mise en œuvre, </w:t>
            </w:r>
            <w:r w:rsidRPr="00C97248">
              <w:rPr>
                <w:b/>
                <w:i/>
              </w:rPr>
              <w:t>de suivi et d’évaluation de la carte européenne du handicap.</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 Marc Angel, Milan Brglez, Agnes Jongerius, Aurore La</w:t>
      </w:r>
      <w:r w:rsidRPr="00C97248">
        <w:t>lucq, Elisabetta Gualmini, Klára Dobrev, Marianne Vind, Vilija Blinkevičiūtė, Alex Agius Saliba, Brando Benifei,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w:t>
      </w:r>
      <w:r w:rsidRPr="00C97248">
        <w:rPr>
          <w:rStyle w:val="HideTWBExt"/>
        </w:rPr>
        <w:t>end&gt;</w:t>
      </w:r>
    </w:p>
    <w:p w:rsidR="00342B99" w:rsidRPr="00C97248" w:rsidRDefault="00CF3AC9">
      <w:pPr>
        <w:pStyle w:val="NormalBold"/>
      </w:pPr>
      <w:r w:rsidRPr="00C97248">
        <w:rPr>
          <w:rStyle w:val="HideTWBExt"/>
        </w:rPr>
        <w:t>&lt;Article&gt;</w:t>
      </w:r>
      <w:r w:rsidRPr="00C97248">
        <w:t>Article 15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Les États membres veillent à ce que les opérateurs privés ou les pouvoirs publics rendent publiques, dans des formats accessibles, des informations sur toute</w:t>
            </w:r>
            <w:r w:rsidRPr="00C97248">
              <w:t xml:space="preserve"> condition spéciale ou tout traitement préférentiel visés à l’article 5.</w:t>
            </w:r>
          </w:p>
        </w:tc>
        <w:tc>
          <w:tcPr>
            <w:tcW w:w="4876" w:type="dxa"/>
          </w:tcPr>
          <w:p w:rsidR="00342B99" w:rsidRPr="00C97248" w:rsidRDefault="00CF3AC9">
            <w:pPr>
              <w:pStyle w:val="Normal6a"/>
            </w:pPr>
            <w:r w:rsidRPr="00C97248">
              <w:t>1.</w:t>
            </w:r>
            <w:r w:rsidRPr="00C97248">
              <w:tab/>
              <w:t>Les États membres veillent à ce que les opérateurs privés ou les pouvoirs publics rendent publiques,</w:t>
            </w:r>
            <w:r w:rsidRPr="00C97248">
              <w:rPr>
                <w:b/>
                <w:i/>
              </w:rPr>
              <w:t xml:space="preserve"> de manière claire, complète, conviviale et facilement accessible et </w:t>
            </w:r>
            <w:r w:rsidRPr="00C97248">
              <w:t>dans des fo</w:t>
            </w:r>
            <w:r w:rsidRPr="00C97248">
              <w:t xml:space="preserve">rmats accessibles, des informations sur toute condition spéciale ou tout traitement préférentiel visés à l’article 5. </w:t>
            </w:r>
            <w:r w:rsidRPr="00C97248">
              <w:rPr>
                <w:b/>
                <w:i/>
              </w:rPr>
              <w:t>La Commission crée un site internet unique spécifique, disponible dans toutes les langues de l’Union, y compris dans toutes les langues de</w:t>
            </w:r>
            <w:r w:rsidRPr="00C97248">
              <w:rPr>
                <w:b/>
                <w:i/>
              </w:rPr>
              <w:t>s signes nationales de l’Union pour les contenus audio et vidéo et dans des formats accessibles, qui regroupe les conditions spéciales ou le traitement préférentiel proposés par les pouvoirs publics nationaux. Les États membres facilitent l’accès, sur le s</w:t>
            </w:r>
            <w:r w:rsidRPr="00C97248">
              <w:rPr>
                <w:b/>
                <w:i/>
              </w:rPr>
              <w:t>ite internet, aux informations concernant les conditions spéciales ou le traitement préférentiel proposés par les opérateurs publics ou privés, lorsqu’elles sont disponibles, et mettent à jour ces informations régulièrement en fonction de toute modificatio</w:t>
            </w:r>
            <w:r w:rsidRPr="00C97248">
              <w:rPr>
                <w:b/>
                <w:i/>
              </w:rPr>
              <w:t>n de la législation nationale.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Lucia Ďuriš Nicholsonová, Abir Al-Sahlani, Jordi Cañas, Monica Semedo, Atidzhe Alieva-Veli, Dragoş Pîslaru, </w:t>
      </w:r>
      <w:r w:rsidRPr="00C97248">
        <w:t>Irena Joveva, Max Orville, Sylvie Brunet, Marie-Pierre Vedrenne</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w:t>
            </w:r>
            <w:r w:rsidRPr="00C97248">
              <w:t>veillent à ce que les opérateurs privés ou les pouvoirs publics rendent publiques, dans des formats accessibles, des informations sur toute condition spéciale ou tout traitement préférentiel visés à l’article 5.</w:t>
            </w:r>
          </w:p>
        </w:tc>
        <w:tc>
          <w:tcPr>
            <w:tcW w:w="4876" w:type="dxa"/>
          </w:tcPr>
          <w:p w:rsidR="00342B99" w:rsidRPr="00C97248" w:rsidRDefault="00CF3AC9">
            <w:pPr>
              <w:pStyle w:val="Normal6a"/>
            </w:pPr>
            <w:r w:rsidRPr="00C97248">
              <w:t>1.</w:t>
            </w:r>
            <w:r w:rsidRPr="00C97248">
              <w:tab/>
              <w:t>Les États membres veillent à ce que les o</w:t>
            </w:r>
            <w:r w:rsidRPr="00C97248">
              <w:t>pérateurs privés ou les pouvoirs publics rendent publiques,</w:t>
            </w:r>
            <w:r w:rsidRPr="00C97248">
              <w:rPr>
                <w:b/>
                <w:i/>
              </w:rPr>
              <w:t xml:space="preserve"> de manière claire, complète, conviviale et facilement accessible et </w:t>
            </w:r>
            <w:r w:rsidRPr="00C97248">
              <w:t>dans des formats accessibles, des informations sur toute condition spéciale ou tout traitement préférentiel visés à l’article 5.</w:t>
            </w:r>
            <w:r w:rsidRPr="00C97248">
              <w:t xml:space="preserve"> </w:t>
            </w:r>
            <w:r w:rsidRPr="00C97248">
              <w:rPr>
                <w:b/>
                <w:i/>
              </w:rPr>
              <w:t>Les États membres créent un site internet unique spécifique qui regroupe les conditions spéciales ou le traitement préférentiel proposés par leurs pouvoirs publics. Les États membres peuvent également faciliter l’accès, sur le site internet, aux informati</w:t>
            </w:r>
            <w:r w:rsidRPr="00C97248">
              <w:rPr>
                <w:b/>
                <w:i/>
              </w:rPr>
              <w:t>ons concernant les conditions spéciales ou le traitement préférentiel proposés par les opérateurs privés, lorsqu’elles sont disponibles. Le site internet est disponible dans la ou les langues officielles des États membres, en langue des signes nationale et</w:t>
            </w:r>
            <w:r w:rsidRPr="00C97248">
              <w:rPr>
                <w:b/>
                <w:i/>
              </w:rPr>
              <w:t xml:space="preserve"> en anglais, ainsi que dans toute autre langue que l’État membre juge pertinente.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Ádám Kósa, Stelios Kympouropoulos, Lucia Ďuriš Nicholsonová</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Les États membres veillent à ce que les opérateurs privés ou les pouvoirs publics rendent publiqu</w:t>
            </w:r>
            <w:r w:rsidRPr="00C97248">
              <w:t>es, dans des formats accessibles, des informations sur toute condition spéciale ou tout traitement préférentiel visés à l’article 5.</w:t>
            </w:r>
          </w:p>
        </w:tc>
        <w:tc>
          <w:tcPr>
            <w:tcW w:w="4876" w:type="dxa"/>
          </w:tcPr>
          <w:p w:rsidR="00342B99" w:rsidRPr="00C97248" w:rsidRDefault="00CF3AC9">
            <w:pPr>
              <w:pStyle w:val="Normal6a"/>
            </w:pPr>
            <w:r w:rsidRPr="00C97248">
              <w:t>1.</w:t>
            </w:r>
            <w:r w:rsidRPr="00C97248">
              <w:tab/>
              <w:t>Les États membres veillent à ce que les opérateurs privés ou les pouvoirs publics rendent publiques, dans des formats ac</w:t>
            </w:r>
            <w:r w:rsidRPr="00C97248">
              <w:t xml:space="preserve">cessibles </w:t>
            </w:r>
            <w:r w:rsidRPr="00C97248">
              <w:rPr>
                <w:b/>
                <w:i/>
              </w:rPr>
              <w:t>(y compris des formats faciles à lire et des vidéos sous-titrées en langue des signes nationale et internationale) sur une plateforme d’informations accessible en ligne</w:t>
            </w:r>
            <w:r w:rsidRPr="00C97248">
              <w:t>, des informations sur toute condition spéciale ou tout traitement préférentie</w:t>
            </w:r>
            <w:r w:rsidRPr="00C97248">
              <w:t>l visés à l’article 5.</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419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veillent à ce que les opérateurs privés ou les pouvoirs publics rendent publiques, dans des formats accessibles, des informations sur toute condition spéciale ou tout traitement </w:t>
            </w:r>
            <w:r w:rsidRPr="00C97248">
              <w:t>préférentiel visés à l’article 5.</w:t>
            </w:r>
          </w:p>
        </w:tc>
        <w:tc>
          <w:tcPr>
            <w:tcW w:w="4876" w:type="dxa"/>
          </w:tcPr>
          <w:p w:rsidR="00342B99" w:rsidRPr="00C97248" w:rsidRDefault="00CF3AC9">
            <w:pPr>
              <w:pStyle w:val="Normal6a"/>
            </w:pPr>
            <w:r w:rsidRPr="00C97248">
              <w:t>1.</w:t>
            </w:r>
            <w:r w:rsidRPr="00C97248">
              <w:tab/>
              <w:t>Les États membres veillent à ce que les opérateurs privés ou les pouvoirs publics rendent publiques, dans des formats accessibles, des informations sur toute condition spéciale ou tout traitement préférentiel visés à l’</w:t>
            </w:r>
            <w:r w:rsidRPr="00C97248">
              <w:t xml:space="preserve">article 5. </w:t>
            </w:r>
            <w:r w:rsidRPr="00C97248">
              <w:rPr>
                <w:b/>
                <w:i/>
              </w:rPr>
              <w:t>À cette fin, un financement suffisant de l’Union est prévu comme indiqué à l’article 9.</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w:t>
      </w:r>
      <w:r w:rsidRPr="00C97248">
        <w:t>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veillent à ce que les opérateurs privés ou les pouvoirs publics rendent publiques, dans des formats </w:t>
            </w:r>
            <w:r w:rsidRPr="00C97248">
              <w:t>accessibles, des informations sur toute condition spéciale ou tout traitement préférentiel visés à l’article 5.</w:t>
            </w:r>
          </w:p>
        </w:tc>
        <w:tc>
          <w:tcPr>
            <w:tcW w:w="4876" w:type="dxa"/>
          </w:tcPr>
          <w:p w:rsidR="00342B99" w:rsidRPr="00C97248" w:rsidRDefault="00CF3AC9">
            <w:pPr>
              <w:pStyle w:val="Normal6a"/>
            </w:pPr>
            <w:r w:rsidRPr="00C97248">
              <w:t>1.</w:t>
            </w:r>
            <w:r w:rsidRPr="00C97248">
              <w:tab/>
              <w:t>Les États membres veillent à ce que les opérateurs privés ou les pouvoirs publics rendent publiques, dans des formats accessibles, des inform</w:t>
            </w:r>
            <w:r w:rsidRPr="00C97248">
              <w:t>ations sur toute condition spéciale ou tout traitement préférentiel visés à l’article 5.</w:t>
            </w:r>
            <w:r w:rsidRPr="00C97248">
              <w:rPr>
                <w:b/>
                <w:i/>
              </w:rPr>
              <w:t> À cette fin, un financement de l’Union est prévu comme indiqué à l’article 9.</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421</w:t>
      </w:r>
      <w:r w:rsidRPr="00C97248">
        <w:rPr>
          <w:rStyle w:val="HideTWBExt"/>
        </w:rPr>
        <w:t>&lt;/NumAm&gt;</w:t>
      </w:r>
    </w:p>
    <w:p w:rsidR="00342B99" w:rsidRPr="00C97248" w:rsidRDefault="00CF3AC9">
      <w:pPr>
        <w:pStyle w:val="NormalBold"/>
      </w:pPr>
      <w:r w:rsidRPr="00C97248">
        <w:rPr>
          <w:rStyle w:val="HideTWBExt"/>
        </w:rPr>
        <w:t>&lt;RepeatBl</w:t>
      </w:r>
      <w:r w:rsidRPr="00C97248">
        <w:rPr>
          <w:rStyle w:val="HideTWBExt"/>
        </w:rPr>
        <w:t>ock-By&gt;&lt;Members&gt;</w:t>
      </w:r>
      <w:r w:rsidRPr="00C97248">
        <w:t>Lucia Ďuriš Nicholsonová, Abir Al-Sahlani, Jordi Cañas, Monica Semedo, Atidzhe Alieva-Veli, Dragoş Pîslaru, Irena Joveva, Max Orville, Sylvie Brunet, Marie-Pierre Vedrenne</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w:t>
      </w:r>
      <w:r w:rsidRPr="00C97248">
        <w:rPr>
          <w:rStyle w:val="HideTWBExt"/>
        </w:rPr>
        <w:t>mend&gt;</w:t>
      </w:r>
    </w:p>
    <w:p w:rsidR="00342B99" w:rsidRPr="00C97248" w:rsidRDefault="00CF3AC9">
      <w:pPr>
        <w:pStyle w:val="NormalBold"/>
      </w:pPr>
      <w:r w:rsidRPr="00C97248">
        <w:rPr>
          <w:rStyle w:val="HideTWBExt"/>
        </w:rPr>
        <w:t>&lt;Article&gt;</w:t>
      </w:r>
      <w:r w:rsidRPr="00C97248">
        <w:t>Article 15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Les États membres encouragent les opérateurs privés ou les pouvoirs publics à accorder volontairement des conditions spéciales ou un traitement préférentiel</w:t>
            </w:r>
            <w:r w:rsidRPr="00C97248">
              <w:t xml:space="preserve"> aux personnes handicapées.</w:t>
            </w:r>
          </w:p>
        </w:tc>
        <w:tc>
          <w:tcPr>
            <w:tcW w:w="4876" w:type="dxa"/>
          </w:tcPr>
          <w:p w:rsidR="00342B99" w:rsidRPr="00C97248" w:rsidRDefault="00CF3AC9">
            <w:pPr>
              <w:pStyle w:val="Normal6a"/>
            </w:pPr>
            <w:r w:rsidRPr="00C97248">
              <w:t>2.</w:t>
            </w:r>
            <w:r w:rsidRPr="00C97248">
              <w:tab/>
              <w:t xml:space="preserve">Les États membres </w:t>
            </w:r>
            <w:r w:rsidRPr="00C97248">
              <w:rPr>
                <w:b/>
                <w:i/>
              </w:rPr>
              <w:t>aident et</w:t>
            </w:r>
            <w:r w:rsidRPr="00C97248">
              <w:t xml:space="preserve"> encouragent les opérateurs privés ou les pouvoirs publics à accorder volontairement des conditions spéciales ou un traitement préférentiel aux personnes handicapées</w:t>
            </w:r>
            <w:r w:rsidRPr="00C97248">
              <w:rPr>
                <w:b/>
                <w:i/>
              </w:rPr>
              <w:t xml:space="preserve"> dans un éventail aussi large que possible de services, d’autres activités et d’installations</w:t>
            </w:r>
            <w:r w:rsidRPr="00C97248">
              <w: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En particulier, les États membres soutiennent et encouragent les opérateurs privés et les pouvoirs publics, notamment au moyen de la fourniture d’informations </w:t>
            </w:r>
            <w:r w:rsidRPr="00C97248">
              <w:rPr>
                <w:b/>
                <w:i/>
              </w:rPr>
              <w:t>et de l’échange de bonnes pratiques concernant la possibilité de proposer des conditions spéciales ou un traitement spécial et la mise en place d’une formation sur l’intégration du handicap et la sensibilisation à cet égard, et ce afin de garantir la perti</w:t>
            </w:r>
            <w:r w:rsidRPr="00C97248">
              <w:rPr>
                <w:b/>
                <w:i/>
              </w:rPr>
              <w:t>nence, l’efficacité et l’inclusivité de toute condition spéciale et de tout traitement préférentiel proposé. Les États membres veillent à ce que chacune de ces mesures soit mise en œuvre en association avec les personnes handicapées et les organisations qu</w:t>
            </w:r>
            <w:r w:rsidRPr="00C97248">
              <w:rPr>
                <w:b/>
                <w:i/>
              </w:rPr>
              <w:t>i les représentent.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Ádám Kósa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Les États membres encouragent les opérateurs privés ou les pouvoirs publics à accorder volontairement des conditions spéciales ou un traitement préférentiel aux personnes handicapées.</w:t>
            </w:r>
          </w:p>
        </w:tc>
        <w:tc>
          <w:tcPr>
            <w:tcW w:w="4876" w:type="dxa"/>
          </w:tcPr>
          <w:p w:rsidR="00342B99" w:rsidRPr="00C97248" w:rsidRDefault="00CF3AC9">
            <w:pPr>
              <w:pStyle w:val="Normal6a"/>
            </w:pPr>
            <w:r w:rsidRPr="00C97248">
              <w:t>2.</w:t>
            </w:r>
            <w:r w:rsidRPr="00C97248">
              <w:tab/>
              <w:t>Les États membres enco</w:t>
            </w:r>
            <w:r w:rsidRPr="00C97248">
              <w:t xml:space="preserve">uragent les opérateurs privés ou les pouvoirs publics à accorder volontairement des conditions spéciales ou un traitement préférentiel aux personnes handicapées </w:t>
            </w:r>
            <w:r w:rsidRPr="00C97248">
              <w:rPr>
                <w:b/>
                <w:i/>
              </w:rPr>
              <w:t xml:space="preserve">et élaborent des lignes directrices européennes communes destinées aux pouvoirs publics et aux </w:t>
            </w:r>
            <w:r w:rsidRPr="00C97248">
              <w:rPr>
                <w:b/>
                <w:i/>
              </w:rPr>
              <w:t>opérateurs privés en vertu de l’article 5, pour dûment garantir la mise en place d’exigences en matière d’accessibilité pour les services énoncées à l’annexe I de la directive (UE) 2019/882</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w:t>
      </w:r>
      <w:r w:rsidRPr="00C97248">
        <w:rPr>
          <w:rStyle w:val="HideTWBExt"/>
        </w:rPr>
        <w:t>Am&gt;</w:t>
      </w:r>
      <w:r w:rsidRPr="00C97248">
        <w:t>423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 xml:space="preserve">Les États membres encouragent </w:t>
            </w:r>
            <w:r w:rsidRPr="00C97248">
              <w:t>les opérateurs privés ou les pouvoirs publics à accorder volontairement des conditions spéciales ou un traitement préférentiel aux personnes handicapées.</w:t>
            </w:r>
          </w:p>
        </w:tc>
        <w:tc>
          <w:tcPr>
            <w:tcW w:w="4876" w:type="dxa"/>
          </w:tcPr>
          <w:p w:rsidR="00342B99" w:rsidRPr="00C97248" w:rsidRDefault="00CF3AC9">
            <w:pPr>
              <w:pStyle w:val="Normal6a"/>
            </w:pPr>
            <w:r w:rsidRPr="00C97248">
              <w:t>2.</w:t>
            </w:r>
            <w:r w:rsidRPr="00C97248">
              <w:tab/>
              <w:t>Les États membres encouragent les opérateurs privés ou les pouvoirs publics à accorder volontaireme</w:t>
            </w:r>
            <w:r w:rsidRPr="00C97248">
              <w:t xml:space="preserve">nt des conditions spéciales ou un traitement préférentiel aux personnes handicapées </w:t>
            </w:r>
            <w:r w:rsidRPr="00C97248">
              <w:rPr>
                <w:b/>
                <w:i/>
              </w:rPr>
              <w:t>et aux personnes âgées</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Katrin Langensiepen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w:t>
            </w:r>
            <w:r w:rsidRPr="00C97248">
              <w:t>de manière claire, complète, conviviale et facilement accessible, y compris par l’intermédiaire du site internet officiel des opérateurs privés ou des pouvoirs publics, le cas échéant, ou par d’autres moyens appropriés, conformément aux exigences en matièr</w:t>
            </w:r>
            <w:r w:rsidRPr="00C97248">
              <w:t>e d’accessibilité applicables aux services énoncées à l’annexe I de la directive (UE) 2019/882.</w:t>
            </w:r>
          </w:p>
        </w:tc>
        <w:tc>
          <w:tcPr>
            <w:tcW w:w="4876" w:type="dxa"/>
          </w:tcPr>
          <w:p w:rsidR="00342B99" w:rsidRPr="00C97248" w:rsidRDefault="00CF3AC9">
            <w:pPr>
              <w:pStyle w:val="Normal6a"/>
            </w:pPr>
            <w:r w:rsidRPr="00C97248">
              <w:t>3.</w:t>
            </w:r>
            <w:r w:rsidRPr="00C97248">
              <w:tab/>
              <w:t>Les informations visées au paragraphe 1 du présent article sont rendues publiques gratuitement et de manière claire, complète, conviviale et facilement acces</w:t>
            </w:r>
            <w:r w:rsidRPr="00C97248">
              <w:t>sible, y compris par l’intermédiaire du site internet officiel des opérateurs privés ou des pouvoirs publics, le cas échéant, ou par d’autres moyens appropriés, conformément aux exigences en matière d’accessibilité applicables aux services énoncées à l’ann</w:t>
            </w:r>
            <w:r w:rsidRPr="00C97248">
              <w:t>exe I de la directive (UE) 2019/882.</w:t>
            </w:r>
            <w:r w:rsidRPr="00C97248">
              <w:rPr>
                <w:b/>
                <w:i/>
              </w:rPr>
              <w:t> La Commission crée un portail numérique contenant toutes les informations concernant les avantages liés à la possession d’une carte européenne du handicap et d’une carte européenne de stationnement pour personnes handic</w:t>
            </w:r>
            <w:r w:rsidRPr="00C97248">
              <w:rPr>
                <w:b/>
                <w:i/>
              </w:rPr>
              <w:t xml:space="preserve">apées, y compris les informations sur les différentes procédures dans chaque État membre. Les États membres communiquent ces informations à la Commission et les mettent à jour conformément aux exigences en matière de rapports énoncées à l’article 16 de la </w:t>
            </w:r>
            <w:r w:rsidRPr="00C97248">
              <w:rPr>
                <w:b/>
                <w:i/>
              </w:rPr>
              <w:t>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Lucia Ďuriš Nicholsonová, Abir Al-Sahlani, Jordi Cañas, Monica Semedo, Atidzhe Alieva-Veli, Dragoş Pîslaru, Irena Joveva, </w:t>
      </w:r>
      <w:r w:rsidRPr="00C97248">
        <w:t>Max Orville, Sylvie Brunet, Marie-Pierre Vedrenne</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informations visées au </w:t>
            </w:r>
            <w:r w:rsidRPr="00C97248">
              <w:t xml:space="preserve">paragraphe 1 du présent article sont rendues publiques gratuitement et de manière claire, complète, conviviale et facilement accessible, y compris par l’intermédiaire du site internet officiel des opérateurs privés ou des pouvoirs publics, le cas échéant, </w:t>
            </w:r>
            <w:r w:rsidRPr="00C97248">
              <w:t>ou par d’autres moyens appropriés, conformément aux exigences en matière d’accessibilité applicables aux services énoncées à l’annexe I de la directive (UE) 2019/882.</w:t>
            </w:r>
          </w:p>
        </w:tc>
        <w:tc>
          <w:tcPr>
            <w:tcW w:w="4876" w:type="dxa"/>
          </w:tcPr>
          <w:p w:rsidR="00342B99" w:rsidRPr="00C97248" w:rsidRDefault="00CF3AC9">
            <w:pPr>
              <w:pStyle w:val="Normal6a"/>
            </w:pPr>
            <w:r w:rsidRPr="00C97248">
              <w:t>3.</w:t>
            </w:r>
            <w:r w:rsidRPr="00C97248">
              <w:tab/>
              <w:t>Les informations visées au paragraphe 1 du présent article sont rendues publiques grat</w:t>
            </w:r>
            <w:r w:rsidRPr="00C97248">
              <w:t xml:space="preserve">uitement et de manière claire, complète, conviviale et facilement accessible, </w:t>
            </w:r>
            <w:r w:rsidRPr="00C97248">
              <w:rPr>
                <w:b/>
                <w:i/>
              </w:rPr>
              <w:t>sans que leur niveau de complexité n’excède le niveau B1 (intermédiaire) du cadre européen commun de référence pour les langues du Conseil de l’Europe, y compris en langue(s) des</w:t>
            </w:r>
            <w:r w:rsidRPr="00C97248">
              <w:rPr>
                <w:b/>
                <w:i/>
              </w:rPr>
              <w:t xml:space="preserve"> signes nationale(s),</w:t>
            </w:r>
            <w:r w:rsidRPr="00C97248">
              <w:t xml:space="preserve"> y compris par l’intermédiaire du site internet officiel des opérateurs privés ou des pouvoirs publics, le cas échéant, ou par d’autres moyens appropriés, conformément aux exigences en matière d’accessibilité applicables aux services é</w:t>
            </w:r>
            <w:r w:rsidRPr="00C97248">
              <w:t>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José Gusmão</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w:t>
      </w:r>
      <w:r w:rsidRPr="00C97248">
        <w:t>cle 15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de manière claire, complète, conviviale et facilement accessible, y compris </w:t>
            </w:r>
            <w:r w:rsidRPr="00C97248">
              <w:t>par l’intermédiaire du site internet officiel des opérateurs privés ou des pouvoirs publics, le cas échéant, ou par d’autres moyens appropriés, conformément aux exigences en matière d’accessibilité applicables aux services énoncées à l’annexe I de la direc</w:t>
            </w:r>
            <w:r w:rsidRPr="00C97248">
              <w:t>tive (UE) 2019/882.</w:t>
            </w:r>
          </w:p>
        </w:tc>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de manière claire, complète, conviviale et facilement accessible, </w:t>
            </w:r>
            <w:r w:rsidRPr="00C97248">
              <w:rPr>
                <w:b/>
                <w:i/>
              </w:rPr>
              <w:t>sans que leur niveau de complexité n’excède le niveau B1 (intermédiai</w:t>
            </w:r>
            <w:r w:rsidRPr="00C97248">
              <w:rPr>
                <w:b/>
                <w:i/>
              </w:rPr>
              <w:t>re) du cadre européen commun de référence pour les langues du Conseil de l’Europe,</w:t>
            </w:r>
            <w:r w:rsidRPr="00C97248">
              <w:t xml:space="preserve"> y compris par l’intermédiaire du site internet officiel des opérateurs privés ou des pouvoirs publics, le cas échéant, ou par d’autres moyens appropriés, conformément aux ex</w:t>
            </w:r>
            <w:r w:rsidRPr="00C97248">
              <w:t>igences en matière d’accessibilité applicables aux services énoncées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w:t>
      </w:r>
      <w:r w:rsidRPr="00C97248">
        <w:rPr>
          <w:rStyle w:val="HideTWBExt"/>
        </w:rPr>
        <w:t>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de manière </w:t>
            </w:r>
            <w:r w:rsidRPr="00C97248">
              <w:t>claire, complète, conviviale et facilement accessible, y compris par l’intermédiaire du site internet officiel des opérateurs privés ou des pouvoirs publics, le cas échéant, ou par d’autres moyens appropriés, conformément aux exigences en matière d’accessi</w:t>
            </w:r>
            <w:r w:rsidRPr="00C97248">
              <w:t>bilité applicables aux services énoncées à l’annexe I de la directive (UE) 2019/882.</w:t>
            </w:r>
          </w:p>
        </w:tc>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de manière claire, complète, conviviale et facilement accessible, </w:t>
            </w:r>
            <w:r w:rsidRPr="00C97248">
              <w:rPr>
                <w:b/>
                <w:i/>
              </w:rPr>
              <w:t>sans</w:t>
            </w:r>
            <w:r w:rsidRPr="00C97248">
              <w:rPr>
                <w:b/>
                <w:i/>
              </w:rPr>
              <w:t xml:space="preserve"> que leur niveau de complexité n’excède le niveau B1 (intermédiaire) du cadre européen commun de référence pour les langues du Conseil de l’Europe,</w:t>
            </w:r>
            <w:r w:rsidRPr="00C97248">
              <w:t xml:space="preserve"> y compris par l’intermédiaire du site internet officiel des opérateurs privés ou des pouvoirs publics, le ca</w:t>
            </w:r>
            <w:r w:rsidRPr="00C97248">
              <w:t>s échéant, ou par d’autres moyens appropriés, conformément aux exigences en matière d’accessibilité applicables aux services énoncées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428</w:t>
      </w:r>
      <w:r w:rsidRPr="00C97248">
        <w:rPr>
          <w:rStyle w:val="HideTWBExt"/>
        </w:rPr>
        <w:t>&lt;/NumAm</w:t>
      </w:r>
      <w:r w:rsidRPr="00C97248">
        <w:rPr>
          <w:rStyle w:val="HideTWBExt"/>
        </w:rPr>
        <w:t>&gt;</w:t>
      </w:r>
    </w:p>
    <w:p w:rsidR="00342B99" w:rsidRPr="00C97248" w:rsidRDefault="00CF3AC9">
      <w:pPr>
        <w:pStyle w:val="NormalBold"/>
      </w:pPr>
      <w:r w:rsidRPr="00C97248">
        <w:rPr>
          <w:rStyle w:val="HideTWBExt"/>
        </w:rPr>
        <w:t>&lt;RepeatBlock-By&gt;&lt;Members&gt;</w:t>
      </w:r>
      <w:r w:rsidRPr="00C97248">
        <w:t>Ádám Kósa, Stelios Kympouropoulos, Lucia Ďuriš Nicholsonová</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r>
            <w:r w:rsidRPr="00C97248">
              <w:t>Les informations visées au paragraphe 1 du présent article sont rendues publiques gratuitement et de manière claire, complète, conviviale et facilement accessible, y compris par l’intermédiaire du site internet officiel des opérateurs privés ou des pouvoir</w:t>
            </w:r>
            <w:r w:rsidRPr="00C97248">
              <w:t>s publics, le cas échéant, ou par d’autres moyens appropriés, conformément aux exigences en matière d’accessibilité applicables aux services énoncées à l’annexe I de la directive (UE) 2019/882.</w:t>
            </w:r>
          </w:p>
        </w:tc>
        <w:tc>
          <w:tcPr>
            <w:tcW w:w="4876" w:type="dxa"/>
          </w:tcPr>
          <w:p w:rsidR="00342B99" w:rsidRPr="00C97248" w:rsidRDefault="00CF3AC9">
            <w:pPr>
              <w:pStyle w:val="Normal6a"/>
            </w:pPr>
            <w:r w:rsidRPr="00C97248">
              <w:t>3.</w:t>
            </w:r>
            <w:r w:rsidRPr="00C97248">
              <w:tab/>
              <w:t xml:space="preserve">Les informations visées au paragraphe 1 du présent article </w:t>
            </w:r>
            <w:r w:rsidRPr="00C97248">
              <w:t xml:space="preserve">sont rendues publiques </w:t>
            </w:r>
            <w:r w:rsidRPr="00C97248">
              <w:rPr>
                <w:b/>
                <w:i/>
              </w:rPr>
              <w:t>dans toutes les langues de l’Union</w:t>
            </w:r>
            <w:r w:rsidRPr="00C97248">
              <w:t xml:space="preserve"> gratuitement et de manière claire, complète, conviviale et facilement accessible, </w:t>
            </w:r>
            <w:r w:rsidRPr="00C97248">
              <w:rPr>
                <w:b/>
                <w:i/>
              </w:rPr>
              <w:t>dans des formats accessibles (y compris des formats faciles à lire et des vidéos sous-titrées dans les langues des s</w:t>
            </w:r>
            <w:r w:rsidRPr="00C97248">
              <w:rPr>
                <w:b/>
                <w:i/>
              </w:rPr>
              <w:t>ignes nationale et internationale),</w:t>
            </w:r>
            <w:r w:rsidRPr="00C97248">
              <w:t xml:space="preserve"> y compris par l’intermédiaire du site internet officiel des opérateurs privés ou des pouvoirs publics, le cas échéant, ou par d’autres moyens appropriés, conformément aux exigences en matière d’accessibilité applicables </w:t>
            </w:r>
            <w:r w:rsidRPr="00C97248">
              <w:t>aux services énoncées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429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de manière claire, complète, conviviale et </w:t>
            </w:r>
            <w:r w:rsidRPr="00C97248">
              <w:t xml:space="preserve">facilement accessible, y compris par l’intermédiaire du site internet officiel des opérateurs privés ou des pouvoirs publics, le cas échéant, ou par d’autres moyens appropriés, conformément aux exigences en matière d’accessibilité applicables aux services </w:t>
            </w:r>
            <w:r w:rsidRPr="00C97248">
              <w:t>énoncées à l’annexe I de la directive (UE) 2019/882.</w:t>
            </w:r>
          </w:p>
        </w:tc>
        <w:tc>
          <w:tcPr>
            <w:tcW w:w="4876" w:type="dxa"/>
          </w:tcPr>
          <w:p w:rsidR="00342B99" w:rsidRPr="00C97248" w:rsidRDefault="00CF3AC9">
            <w:pPr>
              <w:pStyle w:val="Normal6a"/>
            </w:pPr>
            <w:r w:rsidRPr="00C97248">
              <w:t>3.</w:t>
            </w:r>
            <w:r w:rsidRPr="00C97248">
              <w:tab/>
              <w:t xml:space="preserve">Les informations visées au paragraphe 1 du présent article sont rendues publiques gratuitement et de manière claire, complète, conviviale et facilement accessible, </w:t>
            </w:r>
            <w:r w:rsidRPr="00C97248">
              <w:rPr>
                <w:b/>
                <w:i/>
              </w:rPr>
              <w:t>sans que leur niveau de complexité n</w:t>
            </w:r>
            <w:r w:rsidRPr="00C97248">
              <w:rPr>
                <w:b/>
                <w:i/>
              </w:rPr>
              <w:t>’excède le niveau B1 (intermédiaire) du cadre européen commun de référence pour les langues du Conseil de l’Europe,</w:t>
            </w:r>
            <w:r w:rsidRPr="00C97248">
              <w:t xml:space="preserve"> y compris par l’intermédiaire du site internet officiel des opérateurs privés ou des pouvoirs publics, le cas échéant, ou par d’autres moyen</w:t>
            </w:r>
            <w:r w:rsidRPr="00C97248">
              <w:t>s appropriés, conformément aux exigences en matière d’accessibilité applicables aux services énoncées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15 – paragraphe 3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3 bis.</w:t>
            </w:r>
            <w:r w:rsidRPr="00C97248">
              <w:tab/>
            </w:r>
            <w:r w:rsidRPr="00C97248">
              <w:rPr>
                <w:b/>
                <w:i/>
              </w:rPr>
              <w:t>La Commission est h</w:t>
            </w:r>
            <w:r w:rsidRPr="00C97248">
              <w:rPr>
                <w:b/>
                <w:i/>
              </w:rPr>
              <w:t>abilitée, conformément à l’article 11, à adopter des actes délégués visant à compléter la directive afin de créer un site internet officiel de l’Union, disponible dans toutes les langues de l’Union, destiné à rassembler les informations visées au paragraph</w:t>
            </w:r>
            <w:r w:rsidRPr="00C97248">
              <w:rPr>
                <w:b/>
                <w:i/>
              </w:rPr>
              <w:t>e 1 du présent article, dans le but de faciliter l’utilisation par les titulaires de la carte, conformément aux exigences en matière d’accessibilité applicables aux services énoncées à l’annexe I de la directive (UE) 2019/882.</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pPr>
        <w:pStyle w:val="AmJustTitle"/>
      </w:pPr>
      <w:r w:rsidRPr="00C97248">
        <w:rPr>
          <w:rStyle w:val="HideTWBExt"/>
        </w:rPr>
        <w:t>&lt;TitreJust&gt;</w:t>
      </w:r>
      <w:r w:rsidRPr="00C97248">
        <w:t>Justification</w:t>
      </w:r>
      <w:r w:rsidRPr="00C97248">
        <w:rPr>
          <w:rStyle w:val="HideTWBExt"/>
        </w:rPr>
        <w:t>&lt;/TitreJust&gt;</w:t>
      </w:r>
    </w:p>
    <w:p w:rsidR="00342B99" w:rsidRPr="00C97248" w:rsidRDefault="00CF3AC9">
      <w:pPr>
        <w:pStyle w:val="AmJustText"/>
      </w:pPr>
      <w:r w:rsidRPr="00C97248">
        <w:t>Il serait utile de créer un site internet au niveau de l’Union, disponible dans toutes les langues de l’Union et pouvant être consulté par les États membres, dans le but de faciliter l’utilisation par les ti</w:t>
      </w:r>
      <w:r w:rsidRPr="00C97248">
        <w:t>tulaires de la carte. Il serait bien plus simple pour les utilisateurs de consulter un seul site que 27 sites internet distincts, avec des mises en page, des structures et des langues différentes et cela réduira les coûts.</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w:t>
      </w:r>
      <w:r w:rsidRPr="00C97248">
        <w:rPr>
          <w:rStyle w:val="HideTWBExt"/>
        </w:rPr>
        <w:t>m&gt;</w:t>
      </w:r>
      <w:r w:rsidRPr="00C97248">
        <w:t>431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 Marc Angel, Milan Brglez, Agnes Jongerius, Aurore Lalucq, Elisabetta Gualmini, Klára Dobrev, Marianne Vind, Vilija Blinkevičiūtė, Alex Agius Saliba, Brando Benifei, Ilan De Basso,</w:t>
      </w:r>
      <w:r w:rsidRPr="00C97248">
        <w:t xml:space="preserve">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16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Au plus tard le jj/mm/aa [</w:t>
            </w:r>
            <w:r w:rsidRPr="00C97248">
              <w:rPr>
                <w:b/>
                <w:i/>
              </w:rPr>
              <w:t>trois</w:t>
            </w:r>
            <w:r w:rsidRPr="00C97248">
              <w:t xml:space="preserve"> ans après la date d’application de la présente directive] et tous les </w:t>
            </w:r>
            <w:r w:rsidRPr="00C97248">
              <w:rPr>
                <w:b/>
                <w:i/>
              </w:rPr>
              <w:t>cinq</w:t>
            </w:r>
            <w:r w:rsidRPr="00C97248">
              <w:t xml:space="preserve"> ans par la suite, la Commission soumet au Parlement européen, au Conseil, au Comité économique et social européen et au Comité des régions un rapport sur l’application de la p</w:t>
            </w:r>
            <w:r w:rsidRPr="00C97248">
              <w:t>résente directive.</w:t>
            </w:r>
          </w:p>
        </w:tc>
        <w:tc>
          <w:tcPr>
            <w:tcW w:w="4876" w:type="dxa"/>
          </w:tcPr>
          <w:p w:rsidR="00342B99" w:rsidRPr="00C97248" w:rsidRDefault="00CF3AC9">
            <w:pPr>
              <w:pStyle w:val="Normal6a"/>
            </w:pPr>
            <w:r w:rsidRPr="00C97248">
              <w:t>1.</w:t>
            </w:r>
            <w:r w:rsidRPr="00C97248">
              <w:tab/>
              <w:t>Au plus tard le jj/mm/aa [</w:t>
            </w:r>
            <w:r w:rsidRPr="00C97248">
              <w:rPr>
                <w:b/>
                <w:i/>
              </w:rPr>
              <w:t>deux</w:t>
            </w:r>
            <w:r w:rsidRPr="00C97248">
              <w:t xml:space="preserve"> ans après la date d’application de la présente directive] et tous les </w:t>
            </w:r>
            <w:r w:rsidRPr="00C97248">
              <w:rPr>
                <w:b/>
                <w:i/>
              </w:rPr>
              <w:t>trois</w:t>
            </w:r>
            <w:r w:rsidRPr="00C97248">
              <w:t xml:space="preserve"> ans par la suite, la Commission soumet au Parlement européen, au Conseil, au Comité économique et social européen et au Comité </w:t>
            </w:r>
            <w:r w:rsidRPr="00C97248">
              <w:t>des régions un rapport sur l’application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Abir Al-Sahlani, Lucia Ďuriš Nicholsonová, Monica Semedo, Jordi Cañas, Dragoş Pîslar</w:t>
      </w:r>
      <w:r w:rsidRPr="00C97248">
        <w:t>u, Irena Joveva, Sylvie Brunet, Marie-Pierre Vedrenne</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16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 xml:space="preserve">Le rapport examine, entre autres, </w:t>
            </w:r>
            <w:r w:rsidRPr="00C97248">
              <w:t>à la lumière des évolutions sociales et économiques, l’utilisation de la carte européenne du handicap et de la carte européenne de stationnement pour personnes handicapées, en vue d’évaluer la nécessité de réviser la présente directive.</w:t>
            </w:r>
          </w:p>
        </w:tc>
        <w:tc>
          <w:tcPr>
            <w:tcW w:w="4876" w:type="dxa"/>
          </w:tcPr>
          <w:p w:rsidR="00342B99" w:rsidRPr="00C97248" w:rsidRDefault="00CF3AC9">
            <w:pPr>
              <w:pStyle w:val="Normal6a"/>
            </w:pPr>
            <w:r w:rsidRPr="00C97248">
              <w:t>2.</w:t>
            </w:r>
            <w:r w:rsidRPr="00C97248">
              <w:tab/>
              <w:t>Le rapport exami</w:t>
            </w:r>
            <w:r w:rsidRPr="00C97248">
              <w:t xml:space="preserve">ne, entre autres, à la lumière des évolutions sociales et économiques </w:t>
            </w:r>
            <w:r w:rsidRPr="00C97248">
              <w:rPr>
                <w:b/>
                <w:i/>
              </w:rPr>
              <w:t>et de toute autre évolution pertinente</w:t>
            </w:r>
            <w:r w:rsidRPr="00C97248">
              <w:t>, l’utilisation de la carte européenne du handicap et de la carte européenne de stationnement pour personnes handicapées, en vue d’évaluer la nécess</w:t>
            </w:r>
            <w:r w:rsidRPr="00C97248">
              <w:t xml:space="preserve">ité de réviser la présente directive. </w:t>
            </w:r>
            <w:r w:rsidRPr="00C97248">
              <w:rPr>
                <w:b/>
                <w:i/>
              </w:rPr>
              <w:t>Le rapport comprend une analyse en matière d’égalité hommes-femmes centrée sur l’influence des dispositions de la présente directive sur la libre circulation des femmes et des filles handicapées. Le rapport évalue égal</w:t>
            </w:r>
            <w:r w:rsidRPr="00C97248">
              <w:rPr>
                <w:b/>
                <w:i/>
              </w:rPr>
              <w:t>ement l’efficacité des mesures d’incitation que les États membres adoptent à l’égard des prestataires de services.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w:t>
      </w:r>
      <w:r w:rsidRPr="00C97248">
        <w:t>, Marc Angel, Milan Brglez, Agnes Jongerius, Aurore Lalucq, Elisabetta Gualmini, Klára Dobrev, Marianne Vind, Vilija Blinkevičiūtė, Alex Agius Saliba, Brando Benifei,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w:t>
      </w:r>
      <w:r w:rsidRPr="00C97248">
        <w:rPr>
          <w:rStyle w:val="HideTWBExt"/>
        </w:rPr>
        <w:t>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16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Le rapport examine, entre autres, à la lumière des évolutions sociales et économiques, l’utilisation de</w:t>
            </w:r>
            <w:r w:rsidRPr="00C97248">
              <w:t xml:space="preserve"> la carte européenne du handicap et de la carte européenne de stationnement pour personnes handicapées, en vue d’évaluer la nécessité de réviser la présente directive.</w:t>
            </w:r>
          </w:p>
        </w:tc>
        <w:tc>
          <w:tcPr>
            <w:tcW w:w="4876" w:type="dxa"/>
          </w:tcPr>
          <w:p w:rsidR="00342B99" w:rsidRPr="00C97248" w:rsidRDefault="00CF3AC9">
            <w:pPr>
              <w:pStyle w:val="Normal6a"/>
            </w:pPr>
            <w:r w:rsidRPr="00C97248">
              <w:t>2.</w:t>
            </w:r>
            <w:r w:rsidRPr="00C97248">
              <w:tab/>
              <w:t>Le rapport examine, entre autres, à la lumière des évolutions sociales et économiques</w:t>
            </w:r>
            <w:r w:rsidRPr="00C97248">
              <w:t xml:space="preserve"> </w:t>
            </w:r>
            <w:r w:rsidRPr="00C97248">
              <w:rPr>
                <w:b/>
                <w:i/>
              </w:rPr>
              <w:t>et de toute autre évolution pertinente, y compris technologique</w:t>
            </w:r>
            <w:r w:rsidRPr="00C97248">
              <w:t>, l’utilisation de la carte européenne du handicap et de la carte européenne de stationnement pour personnes handicapées, en vue d’évaluer la nécessité de réviser la présente directive.</w:t>
            </w:r>
          </w:p>
        </w:tc>
      </w:tr>
    </w:tbl>
    <w:p w:rsidR="00342B99" w:rsidRPr="00C97248" w:rsidRDefault="00CF3AC9">
      <w:pPr>
        <w:pStyle w:val="AmOrLang"/>
      </w:pPr>
      <w:r w:rsidRPr="00C97248">
        <w:t xml:space="preserve">Or. </w:t>
      </w:r>
      <w:r w:rsidRPr="00C97248">
        <w:rPr>
          <w:rStyle w:val="HideTWBExt"/>
        </w:rPr>
        <w:t>&lt;</w:t>
      </w:r>
      <w:r w:rsidRPr="00C97248">
        <w:rPr>
          <w:rStyle w:val="HideTWBExt"/>
        </w:rPr>
        <w: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16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proposé par </w:t>
            </w:r>
            <w:r w:rsidRPr="00C97248">
              <w:t>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 xml:space="preserve">Le rapport examine, entre autres, à la lumière des évolutions sociales et économiques, l’utilisation de la carte européenne du handicap et de la carte européenne de stationnement pour personnes handicapées, en vue d’évaluer la </w:t>
            </w:r>
            <w:r w:rsidRPr="00C97248">
              <w:t>nécessité de réviser la présente directive.</w:t>
            </w:r>
          </w:p>
        </w:tc>
        <w:tc>
          <w:tcPr>
            <w:tcW w:w="4876" w:type="dxa"/>
          </w:tcPr>
          <w:p w:rsidR="00342B99" w:rsidRPr="00C97248" w:rsidRDefault="00CF3AC9">
            <w:pPr>
              <w:pStyle w:val="Normal6a"/>
            </w:pPr>
            <w:r w:rsidRPr="00C97248">
              <w:t>2.</w:t>
            </w:r>
            <w:r w:rsidRPr="00C97248">
              <w:tab/>
              <w:t xml:space="preserve">Le rapport examine, entre autres, à la lumière des évolutions sociales et économiques, l’utilisation de la carte européenne du handicap </w:t>
            </w:r>
            <w:r w:rsidRPr="00C97248">
              <w:rPr>
                <w:b/>
                <w:i/>
              </w:rPr>
              <w:t>et des personnes âgées</w:t>
            </w:r>
            <w:r w:rsidRPr="00C97248">
              <w:t xml:space="preserve"> et de la carte européenne de stationnement pour pe</w:t>
            </w:r>
            <w:r w:rsidRPr="00C97248">
              <w:t xml:space="preserve">rsonnes handicapées </w:t>
            </w:r>
            <w:r w:rsidRPr="00C97248">
              <w:rPr>
                <w:b/>
                <w:i/>
              </w:rPr>
              <w:t>et personnes âgées</w:t>
            </w:r>
            <w:r w:rsidRPr="00C97248">
              <w:t>, en vue d’évaluer la nécessité de réviser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16 – paragraphe 4</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t>Le rapport de la Commission prend en considération le point de vue des personnes handicapées, des acteurs économique</w:t>
            </w:r>
            <w:r w:rsidRPr="00C97248">
              <w:t>s et des organisations non gouvernementales concernées, notamment les organisations représentant les personnes handicapées.</w:t>
            </w:r>
          </w:p>
        </w:tc>
        <w:tc>
          <w:tcPr>
            <w:tcW w:w="4876" w:type="dxa"/>
          </w:tcPr>
          <w:p w:rsidR="00342B99" w:rsidRPr="00C97248" w:rsidRDefault="00CF3AC9">
            <w:pPr>
              <w:pStyle w:val="Normal6a"/>
            </w:pPr>
            <w:r w:rsidRPr="00C97248">
              <w:t>4.</w:t>
            </w:r>
            <w:r w:rsidRPr="00C97248">
              <w:tab/>
              <w:t xml:space="preserve">Le rapport de la Commission prend en considération le point de vue des personnes handicapées </w:t>
            </w:r>
            <w:r w:rsidRPr="00C97248">
              <w:rPr>
                <w:b/>
                <w:i/>
              </w:rPr>
              <w:t>et des personnes âgées</w:t>
            </w:r>
            <w:r w:rsidRPr="00C97248">
              <w:t xml:space="preserve">, des acteurs </w:t>
            </w:r>
            <w:r w:rsidRPr="00C97248">
              <w:t xml:space="preserve">économiques et des organisations non gouvernementales concernées, notamment les organisations représentant les personnes handicapées </w:t>
            </w:r>
            <w:r w:rsidRPr="00C97248">
              <w:rPr>
                <w:b/>
                <w:i/>
              </w:rPr>
              <w:t>et les personnes âgées</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Katrin Langensiepen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16 – paragraphe 4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4 bis.</w:t>
            </w:r>
            <w:r w:rsidRPr="00C97248">
              <w:tab/>
            </w:r>
            <w:r w:rsidRPr="00C97248">
              <w:rPr>
                <w:b/>
                <w:i/>
              </w:rPr>
              <w:t xml:space="preserve">Le rapport comprend une </w:t>
            </w:r>
            <w:r w:rsidRPr="00C97248">
              <w:rPr>
                <w:b/>
                <w:i/>
              </w:rPr>
              <w:t>analyse d’impact de l’utilisation de la carte comme outil pour améliorer les prestations de portabilité des données dans le domaine de la sécurité sociale au titre des règlements (CE) nº 883/2004 et (CE) nº 987/2009 et l’assistance sociale relevant de l’ar</w:t>
            </w:r>
            <w:r w:rsidRPr="00C97248">
              <w:rPr>
                <w:b/>
                <w:i/>
              </w:rPr>
              <w:t>ticle 24, paragraphe 2 de la directive 2004/38/CE.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Elżbieta Rafalska, Beata Szydło, Margarita de la Pisa Carrión, Anna Zalewska</w:t>
      </w:r>
      <w:r w:rsidRPr="00C97248">
        <w:rPr>
          <w:rStyle w:val="HideTWBExt"/>
        </w:rPr>
        <w:t>&lt;/Members&gt;</w:t>
      </w:r>
    </w:p>
    <w:p w:rsidR="00342B99" w:rsidRPr="00C97248" w:rsidRDefault="00CF3AC9">
      <w:pPr>
        <w:pStyle w:val="NormalBold"/>
      </w:pPr>
      <w:r w:rsidRPr="00C97248">
        <w:rPr>
          <w:rStyle w:val="HideTWBExt"/>
        </w:rPr>
        <w:t>&lt;/RepeatBlock</w:t>
      </w:r>
      <w:r w:rsidRPr="00C97248">
        <w:rPr>
          <w:rStyle w:val="HideTWBExt"/>
        </w:rPr>
        <w:t>-By&gt;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18</w:t>
            </w:r>
            <w:r w:rsidRPr="00C97248">
              <w:t xml:space="preserve"> mois qui suivent l’entrée en </w:t>
            </w:r>
            <w:r w:rsidRPr="00C97248">
              <w:t>vigueur de la présente directive], les dispositions législatives, réglementaires et administratives nécessaires pour se conformer à la présente directive. Ils communiquent immédiatement à la Commission le texte de ces dispositions.</w:t>
            </w:r>
          </w:p>
        </w:tc>
        <w:tc>
          <w:tcPr>
            <w:tcW w:w="4876" w:type="dxa"/>
          </w:tcPr>
          <w:p w:rsidR="00342B99" w:rsidRPr="00C97248" w:rsidRDefault="00CF3AC9">
            <w:pPr>
              <w:pStyle w:val="Normal6a"/>
            </w:pPr>
            <w:r w:rsidRPr="00C97248">
              <w:t>1.</w:t>
            </w:r>
            <w:r w:rsidRPr="00C97248">
              <w:tab/>
              <w:t>Les États membres ado</w:t>
            </w:r>
            <w:r w:rsidRPr="00C97248">
              <w:t xml:space="preserve">ptent et publient, au plus tard le jj/mm/aa [dans les </w:t>
            </w:r>
            <w:r w:rsidRPr="00C97248">
              <w:rPr>
                <w:b/>
                <w:i/>
              </w:rPr>
              <w:t>24</w:t>
            </w:r>
            <w:r w:rsidRPr="00C97248">
              <w:t> mois qui suivent l’entrée en vigueur de la présente directive], les dispositions législatives, réglementaires et administratives nécessaires pour se conformer à la présente directive. Ils communiquen</w:t>
            </w:r>
            <w:r w:rsidRPr="00C97248">
              <w:t>t immédiatement à la Commission le texte de ces dispositions.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438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18</w:t>
            </w:r>
            <w:r w:rsidRPr="00C97248">
              <w:t xml:space="preserve"> mois qui suivent l’entrée en vigueur de la présente directive], les </w:t>
            </w:r>
            <w:r w:rsidRPr="00C97248">
              <w:t>dispositions législatives, réglementaires et administratives nécessaires pour se conformer à la présente directive. Ils communiquent immédiatement à la Commission le texte de ces dispositions.</w:t>
            </w:r>
          </w:p>
        </w:tc>
        <w:tc>
          <w:tcPr>
            <w:tcW w:w="4876" w:type="dxa"/>
          </w:tcPr>
          <w:p w:rsidR="00342B99" w:rsidRPr="00C97248" w:rsidRDefault="00CF3AC9">
            <w:pPr>
              <w:pStyle w:val="Normal6a"/>
            </w:pPr>
            <w:r w:rsidRPr="00C97248">
              <w:t>1.</w:t>
            </w:r>
            <w:r w:rsidRPr="00C97248">
              <w:tab/>
              <w:t>Les États membres adoptent et publient, au plus tard le jj/m</w:t>
            </w:r>
            <w:r w:rsidRPr="00C97248">
              <w:t xml:space="preserve">m/aa [dans les </w:t>
            </w:r>
            <w:r w:rsidRPr="00C97248">
              <w:rPr>
                <w:b/>
                <w:i/>
              </w:rPr>
              <w:t>36</w:t>
            </w:r>
            <w:r w:rsidRPr="00C97248">
              <w:t> mois qui suivent l’entrée en vigueur de la présente directive], les dispositions législatives, réglementaires et administratives nécessaires pour se conformer à la présente directive. Ils communiquent immédiatement à la Commission le text</w:t>
            </w:r>
            <w:r w:rsidRPr="00C97248">
              <w:t>e de ces dispositions.</w:t>
            </w:r>
          </w:p>
        </w:tc>
      </w:tr>
    </w:tbl>
    <w:p w:rsidR="00342B99" w:rsidRPr="00CF3AC9" w:rsidRDefault="00CF3AC9">
      <w:pPr>
        <w:pStyle w:val="AmOrLang"/>
        <w:rPr>
          <w:lang w:val="en-GB"/>
        </w:rPr>
      </w:pPr>
      <w:r w:rsidRPr="00CF3AC9">
        <w:rPr>
          <w:lang w:val="en-GB"/>
        </w:rPr>
        <w:t xml:space="preserve">Or. </w:t>
      </w:r>
      <w:r w:rsidRPr="00CF3AC9">
        <w:rPr>
          <w:rStyle w:val="HideTWBExt"/>
          <w:lang w:val="en-GB"/>
        </w:rPr>
        <w:t>&lt;Original&gt;</w:t>
      </w:r>
      <w:r w:rsidRPr="00CF3AC9">
        <w:rPr>
          <w:rStyle w:val="HideTWBInt"/>
          <w:lang w:val="en-GB"/>
        </w:rPr>
        <w:t>{EN}</w:t>
      </w:r>
      <w:r w:rsidRPr="00CF3AC9">
        <w:rPr>
          <w:lang w:val="en-GB"/>
        </w:rPr>
        <w:t>en</w:t>
      </w:r>
      <w:r w:rsidRPr="00CF3AC9">
        <w:rPr>
          <w:rStyle w:val="HideTWBExt"/>
          <w:lang w:val="en-GB"/>
        </w:rPr>
        <w:t>&lt;/Original&gt;</w:t>
      </w:r>
    </w:p>
    <w:p w:rsidR="00342B99" w:rsidRPr="00CF3AC9" w:rsidRDefault="00CF3AC9">
      <w:pPr>
        <w:rPr>
          <w:lang w:val="en-GB"/>
        </w:rPr>
      </w:pPr>
      <w:r w:rsidRPr="00CF3AC9">
        <w:rPr>
          <w:rStyle w:val="HideTWBExt"/>
          <w:lang w:val="en-GB"/>
        </w:rPr>
        <w:t>&lt;/Amend&gt;</w:t>
      </w:r>
    </w:p>
    <w:p w:rsidR="00342B99" w:rsidRPr="00CF3AC9" w:rsidRDefault="00CF3AC9">
      <w:pPr>
        <w:pStyle w:val="AmNumberTabs"/>
        <w:rPr>
          <w:lang w:val="en-GB"/>
        </w:rPr>
      </w:pPr>
      <w:r w:rsidRPr="00CF3AC9">
        <w:rPr>
          <w:rStyle w:val="HideTWBExt"/>
          <w:lang w:val="en-GB"/>
        </w:rPr>
        <w:t>&lt;Amend&gt;</w:t>
      </w:r>
      <w:r w:rsidRPr="00CF3AC9">
        <w:rPr>
          <w:lang w:val="en-GB"/>
        </w:rPr>
        <w:t>Amendement</w:t>
      </w:r>
      <w:r w:rsidRPr="00CF3AC9">
        <w:rPr>
          <w:lang w:val="en-GB"/>
        </w:rPr>
        <w:tab/>
      </w:r>
      <w:r w:rsidRPr="00CF3AC9">
        <w:rPr>
          <w:lang w:val="en-GB"/>
        </w:rPr>
        <w:tab/>
      </w:r>
      <w:r w:rsidRPr="00CF3AC9">
        <w:rPr>
          <w:rStyle w:val="HideTWBExt"/>
          <w:lang w:val="en-GB"/>
        </w:rPr>
        <w:t>&lt;NumAm&gt;</w:t>
      </w:r>
      <w:r w:rsidRPr="00CF3AC9">
        <w:rPr>
          <w:lang w:val="en-GB"/>
        </w:rPr>
        <w:t>439</w:t>
      </w:r>
      <w:r w:rsidRPr="00CF3AC9">
        <w:rPr>
          <w:rStyle w:val="HideTWBExt"/>
          <w:lang w:val="en-GB"/>
        </w:rPr>
        <w:t>&lt;/NumAm&gt;</w:t>
      </w:r>
    </w:p>
    <w:p w:rsidR="00342B99" w:rsidRPr="00CF3AC9" w:rsidRDefault="00CF3AC9">
      <w:pPr>
        <w:pStyle w:val="NormalBold"/>
        <w:rPr>
          <w:lang w:val="en-GB"/>
        </w:rPr>
      </w:pPr>
      <w:r w:rsidRPr="00CF3AC9">
        <w:rPr>
          <w:rStyle w:val="HideTWBExt"/>
          <w:lang w:val="en-GB"/>
        </w:rPr>
        <w:t>&lt;RepeatBlock-By&gt;&lt;Members&gt;</w:t>
      </w:r>
      <w:r w:rsidRPr="00CF3AC9">
        <w:rPr>
          <w:lang w:val="en-GB"/>
        </w:rPr>
        <w:t>José Gusmão</w:t>
      </w:r>
      <w:r w:rsidRPr="00CF3AC9">
        <w:rPr>
          <w:rStyle w:val="HideTWBExt"/>
          <w:lang w:val="en-GB"/>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1</w:t>
      </w:r>
      <w:r w:rsidRPr="00C97248">
        <w:rPr>
          <w:rStyle w:val="HideTWBExt"/>
        </w:rPr>
        <w:t>&lt;/Articl</w:t>
      </w:r>
      <w:r w:rsidRPr="00C97248">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18</w:t>
            </w:r>
            <w:r w:rsidRPr="00C97248">
              <w:t xml:space="preserve"> mois qui suivent l’entrée en vigueur de la présente directive], les dispositions législatives, réglementaires et </w:t>
            </w:r>
            <w:r w:rsidRPr="00C97248">
              <w:t>administratives nécessaires pour se conformer à la présente directive. Ils communiquent immédiatement à la Commission le texte de ces dispositions.</w:t>
            </w:r>
          </w:p>
        </w:tc>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12</w:t>
            </w:r>
            <w:r w:rsidRPr="00C97248">
              <w:t> mois qui suivent l’entrée e</w:t>
            </w:r>
            <w:r w:rsidRPr="00C97248">
              <w:t>n vigueur de la présente directive], les dispositions législatives, réglementaires et administratives nécessaires pour se conformer à la présente directive. Ils communiquent immédiatement à la Commission le texte de ces dispositions.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w:t>
      </w:r>
      <w:r w:rsidRPr="00C97248">
        <w:rPr>
          <w:rStyle w:val="HideTWBExt"/>
        </w:rPr>
        <w: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Katrin Langensiepen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18</w:t>
            </w:r>
            <w:r w:rsidRPr="00C97248">
              <w:t> mois qui suivent l’entrée en vigueur de la présente directive], les dispositions législatives, réglementaires et administratives nécessaires pour se conformer à la</w:t>
            </w:r>
            <w:r w:rsidRPr="00C97248">
              <w:t xml:space="preserve"> présente directive. Ils communiquent immédiatement à la Commission le texte de ces dispositions.</w:t>
            </w:r>
          </w:p>
        </w:tc>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12</w:t>
            </w:r>
            <w:r w:rsidRPr="00C97248">
              <w:t> mois qui suivent l’entrée en vigueur de la présente directive], les dispositi</w:t>
            </w:r>
            <w:r w:rsidRPr="00C97248">
              <w:t>ons législatives, réglementaires et administratives nécessaires pour se conformer à la présente directive. Ils communiquent immédiatement à la Commission le texte de ces dispositions.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 Marc Angel, Milan Brglez, Agnes Jongerius, Aurore Lalucq, Elisabetta Gualmini, Klára Dobrev, Marianne Vind, Vilija Blinkevičiūtė, Alex Agius Saliba, Brando Benifei, Ilan De Basso, Alic</w:t>
      </w:r>
      <w:r w:rsidRPr="00C97248">
        <w:t>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bookmarkStart w:id="0" w:name="_GoBack"/>
      <w:bookmarkEnd w:id="0"/>
    </w:p>
    <w:p w:rsidR="00342B99" w:rsidRPr="00C97248" w:rsidRDefault="00CF3AC9">
      <w:pPr>
        <w:pStyle w:val="NormalBold"/>
      </w:pPr>
      <w:r w:rsidRPr="00C97248">
        <w:rPr>
          <w:rStyle w:val="HideTWBExt"/>
        </w:rPr>
        <w:t>&lt;Article&gt;</w:t>
      </w:r>
      <w:r w:rsidRPr="00C97248">
        <w:t>Article 18 – paragraphe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Les États membres adoptent et pub</w:t>
            </w:r>
            <w:r w:rsidRPr="00C97248">
              <w:t xml:space="preserve">lient, au plus tard le jj/mm/aa [dans les </w:t>
            </w:r>
            <w:r w:rsidRPr="00C97248">
              <w:rPr>
                <w:b/>
                <w:i/>
              </w:rPr>
              <w:t>18</w:t>
            </w:r>
            <w:r w:rsidRPr="00C97248">
              <w:t> mois qui suivent l’entrée en vigueur de la présente directive], les dispositions législatives, réglementaires et administratives nécessaires pour se conformer à la présente directive. Ils communiquent immédiatem</w:t>
            </w:r>
            <w:r w:rsidRPr="00C97248">
              <w:t>ent à la Commission le texte de ces dispositions.</w:t>
            </w:r>
          </w:p>
        </w:tc>
        <w:tc>
          <w:tcPr>
            <w:tcW w:w="4876" w:type="dxa"/>
          </w:tcPr>
          <w:p w:rsidR="00342B99" w:rsidRPr="00C97248" w:rsidRDefault="00CF3AC9">
            <w:pPr>
              <w:pStyle w:val="Normal6a"/>
            </w:pPr>
            <w:r w:rsidRPr="00C97248">
              <w:t>1.</w:t>
            </w:r>
            <w:r w:rsidRPr="00C97248">
              <w:tab/>
              <w:t xml:space="preserve">Les États membres adoptent et publient, au plus tard le jj/mm/aa [dans les </w:t>
            </w:r>
            <w:r w:rsidRPr="00C97248">
              <w:rPr>
                <w:b/>
                <w:i/>
              </w:rPr>
              <w:t>12</w:t>
            </w:r>
            <w:r w:rsidRPr="00C97248">
              <w:t> mois qui suivent l’entrée en vigueur de la présente directive], les dispositions législatives, réglementaires et administrati</w:t>
            </w:r>
            <w:r w:rsidRPr="00C97248">
              <w:t>ves nécessaires pour se conformer à la présente directive. Ils communiquent immédiatement à la Commission le texte de ces dispositions.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Katrin Langensiepen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Ils appliquent ces dispositions à partir du jj/mm/aa [</w:t>
            </w:r>
            <w:r w:rsidRPr="00C97248">
              <w:rPr>
                <w:b/>
                <w:i/>
              </w:rPr>
              <w:t>30</w:t>
            </w:r>
            <w:r w:rsidRPr="00C97248">
              <w:t xml:space="preserve"> mois après </w:t>
            </w:r>
            <w:r w:rsidRPr="00C97248">
              <w:t>la date d’entrée en vigueur de la présente directive].</w:t>
            </w:r>
          </w:p>
        </w:tc>
        <w:tc>
          <w:tcPr>
            <w:tcW w:w="4876" w:type="dxa"/>
          </w:tcPr>
          <w:p w:rsidR="00342B99" w:rsidRPr="00C97248" w:rsidRDefault="00CF3AC9">
            <w:pPr>
              <w:pStyle w:val="Normal6a"/>
            </w:pPr>
            <w:r w:rsidRPr="00C97248">
              <w:t>2.</w:t>
            </w:r>
            <w:r w:rsidRPr="00C97248">
              <w:tab/>
              <w:t>Ils appliquent ces dispositions à partir du jj/mm/aa [</w:t>
            </w:r>
            <w:r w:rsidRPr="00C97248">
              <w:rPr>
                <w:b/>
                <w:i/>
              </w:rPr>
              <w:t>24</w:t>
            </w:r>
            <w:r w:rsidRPr="00C97248">
              <w:t> mois après la date d’entrée en vigueur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Elżbieta Rafalska, Beata Szydło, Margarita de la Pisa Carrión, Anna Zalewska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w:t>
            </w:r>
            <w:r w:rsidRPr="00C97248">
              <w:t>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Ils appliquent ces dispositions à partir du jj/mm/aa [</w:t>
            </w:r>
            <w:r w:rsidRPr="00C97248">
              <w:rPr>
                <w:b/>
                <w:i/>
              </w:rPr>
              <w:t>30</w:t>
            </w:r>
            <w:r w:rsidRPr="00C97248">
              <w:t> mois après la date d’entrée en vigueur de la présente directive].</w:t>
            </w:r>
          </w:p>
        </w:tc>
        <w:tc>
          <w:tcPr>
            <w:tcW w:w="4876" w:type="dxa"/>
          </w:tcPr>
          <w:p w:rsidR="00342B99" w:rsidRPr="00C97248" w:rsidRDefault="00CF3AC9">
            <w:pPr>
              <w:pStyle w:val="Normal6a"/>
            </w:pPr>
            <w:r w:rsidRPr="00C97248">
              <w:t>2.</w:t>
            </w:r>
            <w:r w:rsidRPr="00C97248">
              <w:tab/>
              <w:t>Ils appliquent ces dispositions à partir du jj/mm/aa [</w:t>
            </w:r>
            <w:r w:rsidRPr="00C97248">
              <w:rPr>
                <w:b/>
                <w:i/>
              </w:rPr>
              <w:t>36</w:t>
            </w:r>
            <w:r w:rsidRPr="00C97248">
              <w:t xml:space="preserve"> mois après la date d’entrée en vigueur de la </w:t>
            </w:r>
            <w:r w:rsidRPr="00C97248">
              <w:t>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2</w:t>
      </w:r>
      <w:r w:rsidRPr="00C97248">
        <w:rPr>
          <w:rStyle w:val="HideTWBExt"/>
        </w:rPr>
        <w:t>&lt;/Art</w:t>
      </w:r>
      <w:r w:rsidRPr="00C97248">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Ils appliquent ces dispositions à partir du jj/mm/aa [</w:t>
            </w:r>
            <w:r w:rsidRPr="00C97248">
              <w:rPr>
                <w:b/>
                <w:i/>
              </w:rPr>
              <w:t>30</w:t>
            </w:r>
            <w:r w:rsidRPr="00C97248">
              <w:t> mois après la date d’entrée en vigueur de la présente directive].</w:t>
            </w:r>
          </w:p>
        </w:tc>
        <w:tc>
          <w:tcPr>
            <w:tcW w:w="4876" w:type="dxa"/>
          </w:tcPr>
          <w:p w:rsidR="00342B99" w:rsidRPr="00C97248" w:rsidRDefault="00CF3AC9">
            <w:pPr>
              <w:pStyle w:val="Normal6a"/>
            </w:pPr>
            <w:r w:rsidRPr="00C97248">
              <w:t>2.</w:t>
            </w:r>
            <w:r w:rsidRPr="00C97248">
              <w:tab/>
              <w:t>Ils appliquent ces dispositions à partir du jj/mm/aa [</w:t>
            </w:r>
            <w:r w:rsidRPr="00C97248">
              <w:rPr>
                <w:b/>
                <w:i/>
              </w:rPr>
              <w:t>48</w:t>
            </w:r>
            <w:r w:rsidRPr="00C97248">
              <w:t> mois après la date</w:t>
            </w:r>
            <w:r w:rsidRPr="00C97248">
              <w:t xml:space="preserve"> d’entrée en vigueur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João Albuquerque, Daniela Rondinelli, Marc Angel, Milan Brglez, Agnes Jongerius, Aurore Lalucq, </w:t>
      </w:r>
      <w:r w:rsidRPr="00C97248">
        <w:t>Elisabetta Gualmini, Klára Dobrev, Marianne Vind, Vilija Blinkevičiūtė, Alex Agius Saliba, Brando Benifei,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w:t>
      </w:r>
      <w:r w:rsidRPr="00C97248">
        <w:rPr>
          <w:rStyle w:val="HideTWBExt"/>
        </w:rPr>
        <w:t>Article&gt;</w:t>
      </w:r>
      <w:r w:rsidRPr="00C97248">
        <w:t>Article 18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Ils appliquent ces dispositions à partir du jj/mm/aa [</w:t>
            </w:r>
            <w:r w:rsidRPr="00C97248">
              <w:rPr>
                <w:b/>
                <w:i/>
              </w:rPr>
              <w:t>30</w:t>
            </w:r>
            <w:r w:rsidRPr="00C97248">
              <w:t> mois après la date d’entrée en vigueur de la présente directive].</w:t>
            </w:r>
          </w:p>
        </w:tc>
        <w:tc>
          <w:tcPr>
            <w:tcW w:w="4876" w:type="dxa"/>
          </w:tcPr>
          <w:p w:rsidR="00342B99" w:rsidRPr="00C97248" w:rsidRDefault="00CF3AC9">
            <w:pPr>
              <w:pStyle w:val="Normal6a"/>
            </w:pPr>
            <w:r w:rsidRPr="00C97248">
              <w:t>2.</w:t>
            </w:r>
            <w:r w:rsidRPr="00C97248">
              <w:tab/>
              <w:t xml:space="preserve">Ils appliquent ces dispositions à </w:t>
            </w:r>
            <w:r w:rsidRPr="00C97248">
              <w:t>partir du jj/mm/aa [</w:t>
            </w:r>
            <w:r w:rsidRPr="00C97248">
              <w:rPr>
                <w:b/>
                <w:i/>
              </w:rPr>
              <w:t>24</w:t>
            </w:r>
            <w:r w:rsidRPr="00C97248">
              <w:t> mois après la date d’entrée en vigueur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Rosa Estaràs Ferragut</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w:t>
      </w:r>
      <w:r w:rsidRPr="00C97248">
        <w:t>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Article 18 – paragraphe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t>Ils appliquent ces dispositions à partir du jj/mm/aa [</w:t>
            </w:r>
            <w:r w:rsidRPr="00C97248">
              <w:rPr>
                <w:b/>
                <w:i/>
              </w:rPr>
              <w:t>30</w:t>
            </w:r>
            <w:r w:rsidRPr="00C97248">
              <w:t> mois après la date d’entrée en vigueur de la présente directive].</w:t>
            </w:r>
          </w:p>
        </w:tc>
        <w:tc>
          <w:tcPr>
            <w:tcW w:w="4876" w:type="dxa"/>
          </w:tcPr>
          <w:p w:rsidR="00342B99" w:rsidRPr="00C97248" w:rsidRDefault="00CF3AC9">
            <w:pPr>
              <w:pStyle w:val="Normal6a"/>
            </w:pPr>
            <w:r w:rsidRPr="00C97248">
              <w:t>2.</w:t>
            </w:r>
            <w:r w:rsidRPr="00C97248">
              <w:tab/>
            </w:r>
            <w:r w:rsidRPr="00C97248">
              <w:t>Ils appliquent ces dispositions à partir du jj/mm/aa [</w:t>
            </w:r>
            <w:r w:rsidRPr="00C97248">
              <w:rPr>
                <w:b/>
                <w:i/>
              </w:rPr>
              <w:t>20</w:t>
            </w:r>
            <w:r w:rsidRPr="00C97248">
              <w:t> mois après la date d’entrée en vigueur de la présente directive].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sous-titre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FORMAT DE LA CARTE EUROPÉENNE DU HANDICAP</w:t>
            </w:r>
          </w:p>
        </w:tc>
        <w:tc>
          <w:tcPr>
            <w:tcW w:w="4876" w:type="dxa"/>
          </w:tcPr>
          <w:p w:rsidR="00342B99" w:rsidRPr="00C97248" w:rsidRDefault="00CF3AC9">
            <w:pPr>
              <w:pStyle w:val="Normal6a"/>
            </w:pPr>
            <w:r w:rsidRPr="00C97248">
              <w:t>FORMAT DE LA CARTE EUROPÉENNE DU HANDICAP</w:t>
            </w:r>
            <w:r w:rsidRPr="00C97248">
              <w:rPr>
                <w:b/>
                <w:i/>
              </w:rPr>
              <w:t xml:space="preserve"> ET DES PERSONNES ÂGÉES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Ádám Kósa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alinéa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Texte du CÔTÉ RECTO de la carte européenne du handicap (en anglais)</w:t>
            </w:r>
          </w:p>
        </w:tc>
        <w:tc>
          <w:tcPr>
            <w:tcW w:w="4876" w:type="dxa"/>
          </w:tcPr>
          <w:p w:rsidR="00342B99" w:rsidRPr="00C97248" w:rsidRDefault="00CF3AC9">
            <w:pPr>
              <w:pStyle w:val="Normal6a"/>
            </w:pPr>
            <w:r w:rsidRPr="00C97248">
              <w:t>Texte du CÔTÉ RECTO de la carte européenne du handicap (en anglais</w:t>
            </w:r>
            <w:r w:rsidRPr="00C97248">
              <w:rPr>
                <w:b/>
                <w:i/>
              </w:rPr>
              <w:t>, dans la ou les langues de l’État membre délivrant la carte et en braille</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449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alinéa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w:t>
            </w:r>
            <w:r w:rsidRPr="00C97248">
              <w:t xml:space="preserve">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Texte du CÔTÉ RECTO de la carte européenne du handicap (en anglais)</w:t>
            </w:r>
          </w:p>
        </w:tc>
        <w:tc>
          <w:tcPr>
            <w:tcW w:w="4876" w:type="dxa"/>
          </w:tcPr>
          <w:p w:rsidR="00342B99" w:rsidRPr="00C97248" w:rsidRDefault="00CF3AC9">
            <w:pPr>
              <w:pStyle w:val="Normal6a"/>
            </w:pPr>
            <w:r w:rsidRPr="00C97248">
              <w:t xml:space="preserve">Texte du CÔTÉ RECTO de la carte européenne du handicap </w:t>
            </w:r>
            <w:r w:rsidRPr="00C97248">
              <w:rPr>
                <w:b/>
                <w:i/>
              </w:rPr>
              <w:t>et des personnes âgées</w:t>
            </w:r>
            <w:r w:rsidRPr="00C97248">
              <w:t xml:space="preserve"> (en anglais)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Cindy Franssen, David Casa, 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alinéa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 xml:space="preserve">CÔTÉ VERSO: </w:t>
            </w:r>
            <w:r w:rsidRPr="00C97248">
              <w:t>informations nationales dans la ou les langues officielles nationales à définir par l’État membre de délivrance.</w:t>
            </w:r>
          </w:p>
        </w:tc>
        <w:tc>
          <w:tcPr>
            <w:tcW w:w="4876" w:type="dxa"/>
          </w:tcPr>
          <w:p w:rsidR="00342B99" w:rsidRPr="00C97248" w:rsidRDefault="00CF3AC9">
            <w:pPr>
              <w:pStyle w:val="Normal6a"/>
            </w:pPr>
            <w:r w:rsidRPr="00C97248">
              <w:t>CÔTÉ VERSO: informations nationales dans la ou les langues officielles nationales à définir par l’État membre de délivrance.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 Parlement eur</w:t>
            </w:r>
            <w:r w:rsidRPr="00C97248">
              <w:rPr>
                <w:b/>
                <w:i/>
              </w:rPr>
              <w:t>opéen encourage les États membres à ajouter une représentation graphique, numérique ou écrite telle qu’un pictogramme illustrant le type d’assistance dont a besoin le titulaire de la carte, de manière facultative à la demande du bénéficiaire et sans dévoil</w:t>
            </w:r>
            <w:r w:rsidRPr="00C97248">
              <w:rPr>
                <w:b/>
                <w:i/>
              </w:rPr>
              <w:t>er la nature de son handicap pour empêcher toute stigmatisation, sur le verso de la carte européenne du handicap. La Commission élabore des orientations pour des pictogrammes communs en fonction des différents types d’assistance.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w:t>
      </w:r>
      <w:r w:rsidRPr="00C97248">
        <w:rPr>
          <w:rStyle w:val="HideTWBExt"/>
        </w:rPr>
        <w:t>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Lucia Ďuriš Nicholsonová, Abir Al-Sahlani, Jordi Cañas, Monica Semedo, Dragoş Pîslaru, Irena Joveva, Max Orville, Sylvie Brunet, Marie-Pierre Vedrenne</w:t>
      </w:r>
      <w:r w:rsidRPr="00C97248">
        <w:rPr>
          <w:rStyle w:val="HideTWBExt"/>
        </w:rPr>
        <w:t>&lt;/Members&gt;</w:t>
      </w:r>
    </w:p>
    <w:p w:rsidR="00342B99" w:rsidRPr="00C97248" w:rsidRDefault="00CF3AC9">
      <w:pPr>
        <w:pStyle w:val="NormalBold"/>
      </w:pPr>
      <w:r w:rsidRPr="00C97248">
        <w:rPr>
          <w:rStyle w:val="HideTWBExt"/>
        </w:rPr>
        <w:t>&lt;/RepeatBlock-By</w:t>
      </w:r>
      <w:r w:rsidRPr="00C97248">
        <w:rPr>
          <w:rStyle w:val="HideTWBExt"/>
        </w:rPr>
        <w:t>&gt;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alinéa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 xml:space="preserve">CÔTÉ VERSO: informations nationales dans la ou les langues officielles nationales à définir par l’État membre de </w:t>
            </w:r>
            <w:r w:rsidRPr="00C97248">
              <w:t>délivrance.</w:t>
            </w:r>
          </w:p>
        </w:tc>
        <w:tc>
          <w:tcPr>
            <w:tcW w:w="4876" w:type="dxa"/>
          </w:tcPr>
          <w:p w:rsidR="00342B99" w:rsidRPr="00C97248" w:rsidRDefault="00CF3AC9">
            <w:pPr>
              <w:pStyle w:val="Normal6a"/>
            </w:pPr>
            <w:r w:rsidRPr="00C97248">
              <w:t xml:space="preserve">CÔTÉ VERSO: informations nationales dans la ou les langues officielles nationales à définir par l’État membre de délivrance. </w:t>
            </w:r>
            <w:r w:rsidRPr="00C97248">
              <w:rPr>
                <w:b/>
                <w:i/>
              </w:rPr>
              <w:t>Les États membres donnent le choix aux personnes handicapées, lorsqu’elles présentent une demande aux autorités compéte</w:t>
            </w:r>
            <w:r w:rsidRPr="00C97248">
              <w:rPr>
                <w:b/>
                <w:i/>
              </w:rPr>
              <w:t>ntes en vue d’obtenir la carte, de faire figurer le ou les symboles correspondants sur la carte afin d’indiquer les aménagements raisonnables dont elles ont besoin.</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Elżbieta Rafalska, Beata Szydło, Margarita de la Pisa Carrión, Anna Zalewska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alinéa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CÔTÉ VERSO: informations nationales dans la ou les langues officielles nationales à définir par l’État membre de délivrance.</w:t>
            </w:r>
          </w:p>
        </w:tc>
        <w:tc>
          <w:tcPr>
            <w:tcW w:w="4876" w:type="dxa"/>
          </w:tcPr>
          <w:p w:rsidR="00342B99" w:rsidRPr="00C97248" w:rsidRDefault="00CF3AC9">
            <w:pPr>
              <w:pStyle w:val="Normal6a"/>
            </w:pPr>
            <w:r w:rsidRPr="00C97248">
              <w:t>CÔTÉ VERSO: informations nationales dans la ou les langues officielles nationales à définir par l’État membre de délivr</w:t>
            </w:r>
            <w:r w:rsidRPr="00C97248">
              <w:t>ance</w:t>
            </w:r>
            <w:r w:rsidRPr="00C97248">
              <w:rPr>
                <w:b/>
                <w:i/>
              </w:rPr>
              <w:t>, conformément à la législation et à la pratique nationales, par exemple, le niveau de handicap</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La taille de la carte européenne du handicap est conforme à la norme ISO 7810.</w:t>
            </w:r>
          </w:p>
        </w:tc>
        <w:tc>
          <w:tcPr>
            <w:tcW w:w="4876" w:type="dxa"/>
          </w:tcPr>
          <w:p w:rsidR="00342B99" w:rsidRPr="00C97248" w:rsidRDefault="00CF3AC9">
            <w:pPr>
              <w:pStyle w:val="Normal6a"/>
            </w:pPr>
            <w:r w:rsidRPr="00C97248">
              <w:t>1.</w:t>
            </w:r>
            <w:r w:rsidRPr="00C97248">
              <w:tab/>
              <w:t>La taille de la carte européenne du handi</w:t>
            </w:r>
            <w:r w:rsidRPr="00C97248">
              <w:t xml:space="preserve">cap </w:t>
            </w:r>
            <w:r w:rsidRPr="00C97248">
              <w:rPr>
                <w:b/>
                <w:i/>
              </w:rPr>
              <w:t>et des personnes âgées</w:t>
            </w:r>
            <w:r w:rsidRPr="00C97248">
              <w:t xml:space="preserve"> est conforme à la norme ISO 7810.</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2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2 bis.</w:t>
            </w:r>
            <w:r w:rsidRPr="00C97248">
              <w:tab/>
            </w:r>
            <w:r w:rsidRPr="00C97248">
              <w:rPr>
                <w:b/>
                <w:i/>
              </w:rPr>
              <w:t xml:space="preserve">Pour garantir comme il se doit la protection des données contre les tentatives de falsification ou d’altération </w:t>
            </w:r>
            <w:r w:rsidRPr="00C97248">
              <w:rPr>
                <w:b/>
                <w:i/>
              </w:rPr>
              <w:t>frauduleuse, il est fortement recommandé d’intégrer les données à caractère personnel, y compris la photographie, ainsi que les autres données essentielles dans le matériau même du document. Diverses technologies sont disponibles pour personnaliser le docu</w:t>
            </w:r>
            <w:r w:rsidRPr="00C97248">
              <w:rPr>
                <w:b/>
                <w:i/>
              </w:rPr>
              <w:t>ment de cette manière (par exemple, gravure laser), ce qui n’exclut pas l’utilisation et le développement de nouvelles technologies.</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Champs à personnaliser:</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la mise en page de la carte comprend un champ blanc de 21 x 28 mm destiné à l’impression de la </w:t>
            </w:r>
            <w:r w:rsidRPr="00C97248">
              <w:rPr>
                <w:b/>
                <w:i/>
              </w:rPr>
              <w:t>photographie du titulaire;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la mise en page de la carte contient cinq champs blancs de 4 x 52 mm;</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les légendes, imprimées en noir, figurent, dans la langue nationale et en anglais (italique), sur deux lignes;</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la police de caractère est Arial gras 4 pt</w:t>
            </w:r>
            <w:r w:rsidRPr="00C97248">
              <w:rPr>
                <w:b/>
                <w:i/>
              </w:rPr>
              <w:t>, alignée à la gauche du champ.</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Les données à personnaliser sont en Arial 12 pt, alignées à la droite du champ.</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Données imprimées sur le côté recto du document: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la photo du titulaire unique;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champ 1: le prénom du titulaire de la carte;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 </w:t>
            </w:r>
            <w:r w:rsidRPr="00C97248">
              <w:rPr>
                <w:b/>
                <w:i/>
              </w:rPr>
              <w:t>champ 2: le nom du titulaire de la carte;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champ 3: la date de naissance;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champ 4: le numéro de série du document;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champ 5: la date d’expiration du document.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Remarque: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 nombre maximal de caractères imprimés pour le prénom et le nom s’élève</w:t>
            </w:r>
            <w:r w:rsidRPr="00C97248">
              <w:rPr>
                <w:b/>
                <w:i/>
              </w:rPr>
              <w:t xml:space="preserve"> à 25.</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La date est en format JJnLLnAAAA, le «n» étant un «.» ou une espace.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3</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rPr>
                <w:b/>
                <w:i/>
              </w:rPr>
              <w:t>3.</w:t>
            </w:r>
            <w:r w:rsidRPr="00C97248">
              <w:tab/>
            </w:r>
            <w:r w:rsidRPr="00C97248">
              <w:rPr>
                <w:b/>
                <w:i/>
              </w:rPr>
              <w:t>Les éléments ci-après figurent sur la carte:</w:t>
            </w:r>
          </w:p>
        </w:tc>
        <w:tc>
          <w:tcPr>
            <w:tcW w:w="4876" w:type="dxa"/>
          </w:tcPr>
          <w:p w:rsidR="00342B99" w:rsidRPr="00C97248" w:rsidRDefault="00CF3AC9">
            <w:pPr>
              <w:pStyle w:val="Normal6a"/>
            </w:pPr>
            <w:r w:rsidRPr="00C97248">
              <w:rPr>
                <w:b/>
                <w:i/>
              </w:rPr>
              <w:t>supprimé</w:t>
            </w:r>
          </w:p>
        </w:tc>
      </w:tr>
      <w:tr w:rsidR="00342B99" w:rsidRPr="00C97248">
        <w:trPr>
          <w:jc w:val="center"/>
        </w:trPr>
        <w:tc>
          <w:tcPr>
            <w:tcW w:w="4876" w:type="dxa"/>
          </w:tcPr>
          <w:p w:rsidR="00342B99" w:rsidRPr="00C97248" w:rsidRDefault="00CF3AC9">
            <w:pPr>
              <w:pStyle w:val="Normal6a"/>
            </w:pPr>
            <w:r w:rsidRPr="00C97248">
              <w:rPr>
                <w:b/>
                <w:i/>
              </w:rPr>
              <w:t>— une photographie du titulaire de la carte;</w:t>
            </w:r>
          </w:p>
        </w:tc>
        <w:tc>
          <w:tcPr>
            <w:tcW w:w="4876" w:type="dxa"/>
          </w:tcPr>
          <w:p w:rsidR="00342B99" w:rsidRPr="00C97248" w:rsidRDefault="00342B99">
            <w:pPr>
              <w:pStyle w:val="Normal6a"/>
            </w:pPr>
          </w:p>
        </w:tc>
      </w:tr>
      <w:tr w:rsidR="00342B99" w:rsidRPr="00C97248">
        <w:trPr>
          <w:jc w:val="center"/>
        </w:trPr>
        <w:tc>
          <w:tcPr>
            <w:tcW w:w="4876" w:type="dxa"/>
          </w:tcPr>
          <w:p w:rsidR="00342B99" w:rsidRPr="00C97248" w:rsidRDefault="00CF3AC9">
            <w:pPr>
              <w:pStyle w:val="Normal6a"/>
            </w:pPr>
            <w:r w:rsidRPr="00C97248">
              <w:rPr>
                <w:b/>
                <w:i/>
              </w:rPr>
              <w:t xml:space="preserve">— </w:t>
            </w:r>
            <w:r w:rsidRPr="00C97248">
              <w:rPr>
                <w:b/>
                <w:i/>
              </w:rPr>
              <w:t>le nom et le prénom du titulaire de la carte;</w:t>
            </w:r>
          </w:p>
        </w:tc>
        <w:tc>
          <w:tcPr>
            <w:tcW w:w="4876" w:type="dxa"/>
          </w:tcPr>
          <w:p w:rsidR="00342B99" w:rsidRPr="00C97248" w:rsidRDefault="00342B99">
            <w:pPr>
              <w:pStyle w:val="Normal6a"/>
            </w:pPr>
          </w:p>
        </w:tc>
      </w:tr>
      <w:tr w:rsidR="00342B99" w:rsidRPr="00C97248">
        <w:trPr>
          <w:jc w:val="center"/>
        </w:trPr>
        <w:tc>
          <w:tcPr>
            <w:tcW w:w="4876" w:type="dxa"/>
          </w:tcPr>
          <w:p w:rsidR="00342B99" w:rsidRPr="00C97248" w:rsidRDefault="00CF3AC9">
            <w:pPr>
              <w:pStyle w:val="Normal6a"/>
            </w:pPr>
            <w:r w:rsidRPr="00C97248">
              <w:rPr>
                <w:b/>
                <w:i/>
              </w:rPr>
              <w:t>— la date de naissance du titulaire de la carte;</w:t>
            </w:r>
          </w:p>
        </w:tc>
        <w:tc>
          <w:tcPr>
            <w:tcW w:w="4876" w:type="dxa"/>
          </w:tcPr>
          <w:p w:rsidR="00342B99" w:rsidRPr="00C97248" w:rsidRDefault="00342B99">
            <w:pPr>
              <w:pStyle w:val="Normal6a"/>
            </w:pPr>
          </w:p>
        </w:tc>
      </w:tr>
      <w:tr w:rsidR="00342B99" w:rsidRPr="00C97248">
        <w:trPr>
          <w:jc w:val="center"/>
        </w:trPr>
        <w:tc>
          <w:tcPr>
            <w:tcW w:w="4876" w:type="dxa"/>
          </w:tcPr>
          <w:p w:rsidR="00342B99" w:rsidRPr="00C97248" w:rsidRDefault="00CF3AC9">
            <w:pPr>
              <w:pStyle w:val="Normal6a"/>
            </w:pPr>
            <w:r w:rsidRPr="00C97248">
              <w:rPr>
                <w:b/>
                <w:i/>
              </w:rPr>
              <w:t>— Le numéro de série de la carte.</w:t>
            </w:r>
          </w:p>
        </w:tc>
        <w:tc>
          <w:tcPr>
            <w:tcW w:w="4876" w:type="dxa"/>
          </w:tcPr>
          <w:p w:rsidR="00342B99" w:rsidRPr="00C97248" w:rsidRDefault="00342B99">
            <w:pPr>
              <w:pStyle w:val="Normal6a"/>
            </w:pP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Elena Lizzi, </w:t>
      </w:r>
      <w:r w:rsidRPr="00C97248">
        <w:t>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4 – partie introductive</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4.</w:t>
            </w:r>
            <w:r w:rsidRPr="00C97248">
              <w:tab/>
            </w:r>
            <w:r w:rsidRPr="00C97248">
              <w:rPr>
                <w:b/>
                <w:i/>
              </w:rPr>
              <w:t>La carte est bleu clair et bleu fonc</w:t>
            </w:r>
            <w:r w:rsidRPr="00C97248">
              <w:rPr>
                <w:b/>
                <w:i/>
              </w:rPr>
              <w:t>é, comme sur l’image et conformément aux références ci-dessous:</w:t>
            </w:r>
          </w:p>
        </w:tc>
        <w:tc>
          <w:tcPr>
            <w:tcW w:w="4876" w:type="dxa"/>
          </w:tcPr>
          <w:p w:rsidR="00342B99" w:rsidRPr="00C97248" w:rsidRDefault="00CF3AC9">
            <w:pPr>
              <w:pStyle w:val="Normal6a"/>
            </w:pPr>
            <w:r w:rsidRPr="00C97248">
              <w:t>4.</w:t>
            </w:r>
            <w:r w:rsidRPr="00C97248">
              <w:tab/>
            </w:r>
            <w:r w:rsidRPr="00C97248">
              <w:rPr>
                <w:b/>
                <w:i/>
              </w:rPr>
              <w:t>L’impression de sécurité en fond comprend un quadrillage imprimé en une seule couleur Pantone. Les zones comprenant différentes couleurs sont formées par des lignes de différentes épaisseur</w:t>
            </w:r>
            <w:r w:rsidRPr="00C97248">
              <w:rPr>
                <w:b/>
                <w:i/>
              </w:rPr>
              <w:t>s et à différents niveaux et en sont composées.</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Le fond contient des micro-impressions portant la mention «CARTE DU HANDICAP». L’impression en fond contient un élément graphique imprimé dans une encre UV invisible (jaune) représentant un cercle composé </w:t>
            </w:r>
            <w:r w:rsidRPr="00C97248">
              <w:rPr>
                <w:b/>
                <w:i/>
              </w:rPr>
              <w:t>de 12 étoiles dont le centre comporte les lettres «UE» de manière répétée.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pPr>
        <w:pStyle w:val="AmJustTitle"/>
      </w:pPr>
      <w:r w:rsidRPr="00C97248">
        <w:rPr>
          <w:rStyle w:val="HideTWBExt"/>
        </w:rPr>
        <w:t>&lt;TitreJust&gt;</w:t>
      </w:r>
      <w:r w:rsidRPr="00C97248">
        <w:t>Justification</w:t>
      </w:r>
      <w:r w:rsidRPr="00C97248">
        <w:rPr>
          <w:rStyle w:val="HideTWBExt"/>
        </w:rPr>
        <w:t>&lt;/TitreJust&gt;</w:t>
      </w:r>
    </w:p>
    <w:p w:rsidR="00342B99" w:rsidRPr="00C97248" w:rsidRDefault="00CF3AC9">
      <w:pPr>
        <w:pStyle w:val="AmJustText"/>
      </w:pPr>
      <w:r w:rsidRPr="00C97248">
        <w:t>Une couleur unique est utilisée pour le fond de sécurité.</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457</w:t>
      </w:r>
      <w:r w:rsidRPr="00C97248">
        <w:rPr>
          <w:rStyle w:val="HideTWBExt"/>
        </w:rPr>
        <w:t>&lt;/NumAm&gt;</w:t>
      </w:r>
    </w:p>
    <w:p w:rsidR="00342B99" w:rsidRPr="00C97248" w:rsidRDefault="00CF3AC9">
      <w:pPr>
        <w:pStyle w:val="NormalBold"/>
      </w:pPr>
      <w:r w:rsidRPr="00C97248">
        <w:rPr>
          <w:rStyle w:val="HideTWBExt"/>
        </w:rPr>
        <w:t>&lt;Repea</w:t>
      </w:r>
      <w:r w:rsidRPr="00C97248">
        <w:rPr>
          <w:rStyle w:val="HideTWBExt"/>
        </w:rPr>
        <w:t>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4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rPr>
                <w:b/>
                <w:i/>
              </w:rPr>
              <w:t>–</w:t>
            </w:r>
            <w:r w:rsidRPr="00C97248">
              <w:tab/>
            </w:r>
            <w:r w:rsidRPr="00C97248">
              <w:rPr>
                <w:b/>
                <w:i/>
              </w:rPr>
              <w:t xml:space="preserve">Bleu foncé: CMYK </w:t>
            </w:r>
            <w:r w:rsidRPr="00C97248">
              <w:rPr>
                <w:b/>
                <w:i/>
              </w:rPr>
              <w:t>100, 90, 10, 0</w:t>
            </w:r>
          </w:p>
        </w:tc>
        <w:tc>
          <w:tcPr>
            <w:tcW w:w="4876" w:type="dxa"/>
          </w:tcPr>
          <w:p w:rsidR="00342B99" w:rsidRPr="00C97248" w:rsidRDefault="00CF3AC9">
            <w:pPr>
              <w:pStyle w:val="Normal6a"/>
            </w:pPr>
            <w:r w:rsidRPr="00C97248">
              <w:rPr>
                <w:b/>
                <w:i/>
              </w:rPr>
              <w:t>supprimé</w:t>
            </w:r>
          </w:p>
        </w:tc>
      </w:tr>
      <w:tr w:rsidR="00342B99" w:rsidRPr="00C97248">
        <w:trPr>
          <w:jc w:val="center"/>
        </w:trPr>
        <w:tc>
          <w:tcPr>
            <w:tcW w:w="4876" w:type="dxa"/>
          </w:tcPr>
          <w:p w:rsidR="00342B99" w:rsidRPr="00C97248" w:rsidRDefault="00CF3AC9">
            <w:pPr>
              <w:pStyle w:val="Normal6a"/>
            </w:pPr>
            <w:r w:rsidRPr="00C97248">
              <w:rPr>
                <w:b/>
                <w:i/>
              </w:rPr>
              <w:t>RGB 0, 68, 148</w:t>
            </w:r>
          </w:p>
        </w:tc>
        <w:tc>
          <w:tcPr>
            <w:tcW w:w="4876" w:type="dxa"/>
          </w:tcPr>
          <w:p w:rsidR="00342B99" w:rsidRPr="00C97248" w:rsidRDefault="00342B99">
            <w:pPr>
              <w:pStyle w:val="Normal6a"/>
            </w:pP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 xml:space="preserve">Proposition de </w:t>
      </w:r>
      <w:r w:rsidRPr="00C97248">
        <w:t>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4 – tiret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rPr>
                <w:b/>
                <w:i/>
              </w:rPr>
              <w:t>–</w:t>
            </w:r>
            <w:r w:rsidRPr="00C97248">
              <w:tab/>
            </w:r>
            <w:r w:rsidRPr="00C97248">
              <w:rPr>
                <w:b/>
                <w:i/>
              </w:rPr>
              <w:t>Briquet: CMYK 94, 63, 7, 1</w:t>
            </w:r>
          </w:p>
        </w:tc>
        <w:tc>
          <w:tcPr>
            <w:tcW w:w="4876" w:type="dxa"/>
          </w:tcPr>
          <w:p w:rsidR="00342B99" w:rsidRPr="00C97248" w:rsidRDefault="00CF3AC9">
            <w:pPr>
              <w:pStyle w:val="Normal6a"/>
            </w:pPr>
            <w:r w:rsidRPr="00C97248">
              <w:rPr>
                <w:b/>
                <w:i/>
              </w:rPr>
              <w:t>supprimé</w:t>
            </w:r>
          </w:p>
        </w:tc>
      </w:tr>
      <w:tr w:rsidR="00342B99" w:rsidRPr="00C97248">
        <w:trPr>
          <w:jc w:val="center"/>
        </w:trPr>
        <w:tc>
          <w:tcPr>
            <w:tcW w:w="4876" w:type="dxa"/>
          </w:tcPr>
          <w:p w:rsidR="00342B99" w:rsidRPr="00C97248" w:rsidRDefault="00CF3AC9">
            <w:pPr>
              <w:pStyle w:val="Normal6a"/>
            </w:pPr>
            <w:r w:rsidRPr="00C97248">
              <w:rPr>
                <w:b/>
                <w:i/>
              </w:rPr>
              <w:t>RGB 0, 110, 183</w:t>
            </w:r>
          </w:p>
        </w:tc>
        <w:tc>
          <w:tcPr>
            <w:tcW w:w="4876" w:type="dxa"/>
          </w:tcPr>
          <w:p w:rsidR="00342B99" w:rsidRPr="00C97248" w:rsidRDefault="00342B99">
            <w:pPr>
              <w:pStyle w:val="Normal6a"/>
            </w:pP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459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5</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5.</w:t>
            </w:r>
            <w:r w:rsidRPr="00C97248">
              <w:tab/>
            </w:r>
            <w:r w:rsidRPr="00C97248">
              <w:rPr>
                <w:b/>
                <w:i/>
              </w:rPr>
              <w:t>La date d’expiration</w:t>
            </w:r>
            <w:r w:rsidRPr="00C97248">
              <w:rPr>
                <w:b/>
                <w:i/>
              </w:rPr>
              <w:t xml:space="preserve"> figure sur la carte</w:t>
            </w:r>
            <w:r w:rsidRPr="00C97248">
              <w:t>.</w:t>
            </w:r>
          </w:p>
        </w:tc>
        <w:tc>
          <w:tcPr>
            <w:tcW w:w="4876" w:type="dxa"/>
          </w:tcPr>
          <w:p w:rsidR="00342B99" w:rsidRPr="00C97248" w:rsidRDefault="00CF3AC9">
            <w:pPr>
              <w:pStyle w:val="Normal6a"/>
            </w:pPr>
            <w:r w:rsidRPr="00C97248">
              <w:t>5.</w:t>
            </w:r>
            <w:r w:rsidRPr="00C97248">
              <w:tab/>
            </w:r>
            <w:r w:rsidRPr="00C97248">
              <w:rPr>
                <w:b/>
                <w:i/>
              </w:rPr>
              <w:t>Voir la première version proposée au point 3</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6</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6.</w:t>
            </w:r>
            <w:r w:rsidRPr="00C97248">
              <w:tab/>
            </w:r>
            <w:r w:rsidRPr="00C97248">
              <w:rPr>
                <w:b/>
                <w:i/>
              </w:rPr>
              <w:t>La carte contient un</w:t>
            </w:r>
            <w:r w:rsidRPr="00C97248">
              <w:t xml:space="preserve"> code pays </w:t>
            </w:r>
            <w:r w:rsidRPr="00C97248">
              <w:rPr>
                <w:b/>
                <w:i/>
              </w:rPr>
              <w:t xml:space="preserve">dans </w:t>
            </w:r>
            <w:r w:rsidRPr="00C97248">
              <w:t xml:space="preserve">le cercle </w:t>
            </w:r>
            <w:r w:rsidRPr="00C97248">
              <w:rPr>
                <w:b/>
                <w:i/>
              </w:rPr>
              <w:t>bleu</w:t>
            </w:r>
            <w:r w:rsidRPr="00C97248">
              <w:t>.</w:t>
            </w:r>
          </w:p>
        </w:tc>
        <w:tc>
          <w:tcPr>
            <w:tcW w:w="4876" w:type="dxa"/>
          </w:tcPr>
          <w:p w:rsidR="00342B99" w:rsidRPr="00C97248" w:rsidRDefault="00CF3AC9">
            <w:pPr>
              <w:pStyle w:val="Normal6a"/>
            </w:pPr>
            <w:r w:rsidRPr="00C97248">
              <w:t>6.</w:t>
            </w:r>
            <w:r w:rsidRPr="00C97248">
              <w:tab/>
            </w:r>
            <w:r w:rsidRPr="00C97248">
              <w:rPr>
                <w:b/>
                <w:i/>
              </w:rPr>
              <w:t>Le cercle contenant les deux lettres du</w:t>
            </w:r>
            <w:r w:rsidRPr="00C97248">
              <w:t xml:space="preserve"> code </w:t>
            </w:r>
            <w:r w:rsidRPr="00C97248">
              <w:rPr>
                <w:b/>
                <w:i/>
              </w:rPr>
              <w:t>ISO du</w:t>
            </w:r>
            <w:r w:rsidRPr="00C97248">
              <w:t xml:space="preserve"> pays </w:t>
            </w:r>
            <w:r w:rsidRPr="00C97248">
              <w:rPr>
                <w:b/>
                <w:i/>
              </w:rPr>
              <w:t xml:space="preserve">délivrant </w:t>
            </w:r>
            <w:r w:rsidRPr="00C97248">
              <w:rPr>
                <w:b/>
                <w:i/>
              </w:rPr>
              <w:t xml:space="preserve">la carte est imprimé en Pantone Reflex Blue. </w:t>
            </w:r>
            <w:r w:rsidRPr="00C97248">
              <w:t xml:space="preserve">Le cercle </w:t>
            </w:r>
            <w:r w:rsidRPr="00C97248">
              <w:rPr>
                <w:b/>
                <w:i/>
              </w:rPr>
              <w:t>est entouré de 12 étoiles</w:t>
            </w:r>
            <w:r w:rsidRPr="00C97248">
              <w:t xml:space="preserve">. </w:t>
            </w:r>
            <w:r w:rsidRPr="00C97248">
              <w:rPr>
                <w:b/>
                <w:i/>
              </w:rPr>
              <w:t>Les deux lettres du code ISO du pays délivrant la carte sont blanches</w:t>
            </w:r>
            <w:r w:rsidRPr="00C97248">
              <w: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pPr>
        <w:pStyle w:val="AmJustTitle"/>
      </w:pPr>
      <w:r w:rsidRPr="00C97248">
        <w:rPr>
          <w:rStyle w:val="HideTWBExt"/>
        </w:rPr>
        <w:t>&lt;TitreJust&gt;</w:t>
      </w:r>
      <w:r w:rsidRPr="00C97248">
        <w:t>Justification</w:t>
      </w:r>
      <w:r w:rsidRPr="00C97248">
        <w:rPr>
          <w:rStyle w:val="HideTWBExt"/>
        </w:rPr>
        <w:t>&lt;/TitreJust&gt;</w:t>
      </w:r>
    </w:p>
    <w:p w:rsidR="00342B99" w:rsidRPr="00C97248" w:rsidRDefault="00CF3AC9">
      <w:pPr>
        <w:pStyle w:val="AmJustText"/>
      </w:pPr>
      <w:r w:rsidRPr="00C97248">
        <w:t xml:space="preserve">Le guide graphique de l’emblème </w:t>
      </w:r>
      <w:r w:rsidRPr="00C97248">
        <w:t>européen est disponible ici:</w:t>
      </w:r>
    </w:p>
    <w:p w:rsidR="00342B99" w:rsidRPr="00C97248" w:rsidRDefault="00CF3AC9">
      <w:pPr>
        <w:pStyle w:val="AmJustText"/>
      </w:pPr>
      <w:r w:rsidRPr="00C97248">
        <w:t>http://publications.europa.eu/code/fr/fr-5000100.htm</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w:t>
      </w:r>
      <w:r w:rsidRPr="00C97248">
        <w:t xml:space="preserv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8</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8.</w:t>
            </w:r>
            <w:r w:rsidRPr="00C97248">
              <w:tab/>
              <w:t>La mention «carte européenne du handicap» apparaît dans la police de caractères Arial et en braille en utilisant les dimensions du code Marburg.</w:t>
            </w:r>
          </w:p>
        </w:tc>
        <w:tc>
          <w:tcPr>
            <w:tcW w:w="4876" w:type="dxa"/>
          </w:tcPr>
          <w:p w:rsidR="00342B99" w:rsidRPr="00C97248" w:rsidRDefault="00CF3AC9">
            <w:pPr>
              <w:pStyle w:val="Normal6a"/>
            </w:pPr>
            <w:r w:rsidRPr="00C97248">
              <w:t>8.</w:t>
            </w:r>
            <w:r w:rsidRPr="00C97248">
              <w:tab/>
              <w:t xml:space="preserve">La mention «carte européenne du handicap» apparaît dans la police de caractères Arial et en braille en utilisant les dimensions du code Marburg </w:t>
            </w:r>
            <w:r w:rsidRPr="00C97248">
              <w:rPr>
                <w:b/>
                <w:i/>
              </w:rPr>
              <w:t>imprimée en Reflex Blue</w:t>
            </w:r>
            <w:r w:rsidRPr="00C97248">
              <w: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Marburg Medium:</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Espacement des points sur l’axe des abscisses (a): 2,5 mm (du cent</w:t>
            </w:r>
            <w:r w:rsidRPr="00C97248">
              <w:rPr>
                <w:b/>
                <w:i/>
              </w:rPr>
              <w:t>re du point au centre du point).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Espacement des points sur l’axe des ordonnées (b): 2,5 mm (du centre du point au centre du point).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Largeur du caractère (c): 6,0 mm (du centre du point 1 du premier caractère au centre du point 1 du caractère suivant).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L’espacement (d) entre le centre du point du dernier caractère et le centre du point du premier caractère d’un mot suivant est de 2 x c, soit 6,0 mm x 2 = 12,0 mm.</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Espacement des lignes (e): 10,0 mm (du centre du point 1 au centre du point 1 de la </w:t>
            </w:r>
            <w:r w:rsidRPr="00C97248">
              <w:rPr>
                <w:b/>
                <w:i/>
              </w:rPr>
              <w:t>ligne suivante).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Diamètre des points: Environ 1,3 mm (diamètre de la base d’un point d’embosseuse) ou 1,5 mm (diamètre d’un point de matrice).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 code braille pour «CARTE EUROPEENNE DU HANDICAP» en utilisant les dimensions du code Marburg Medium.</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462</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8</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proposé par la </w:t>
            </w:r>
            <w:r w:rsidRPr="00C97248">
              <w:t>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8.</w:t>
            </w:r>
            <w:r w:rsidRPr="00C97248">
              <w:tab/>
              <w:t>La mention «carte européenne du handicap» apparaît dans la police de caractères Arial et en braille en utilisant les dimensions du code Marburg.</w:t>
            </w:r>
          </w:p>
        </w:tc>
        <w:tc>
          <w:tcPr>
            <w:tcW w:w="4876" w:type="dxa"/>
          </w:tcPr>
          <w:p w:rsidR="00342B99" w:rsidRPr="00C97248" w:rsidRDefault="00CF3AC9">
            <w:pPr>
              <w:pStyle w:val="Normal6a"/>
            </w:pPr>
            <w:r w:rsidRPr="00C97248">
              <w:t>8.</w:t>
            </w:r>
            <w:r w:rsidRPr="00C97248">
              <w:tab/>
              <w:t xml:space="preserve">La mention «carte européenne du handicap </w:t>
            </w:r>
            <w:r w:rsidRPr="00C97248">
              <w:rPr>
                <w:b/>
                <w:i/>
              </w:rPr>
              <w:t>et des personnes âgées</w:t>
            </w:r>
            <w:r w:rsidRPr="00C97248">
              <w:t xml:space="preserve">» apparaît dans la </w:t>
            </w:r>
            <w:r w:rsidRPr="00C97248">
              <w:t>police de caractères Arial et en braille en utilisant les dimensions du code Marburg.</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w:t>
      </w:r>
      <w:r w:rsidRPr="00C97248">
        <w:rPr>
          <w:rStyle w:val="HideTWBExt"/>
        </w:rPr>
        <w:t>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 point 10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10 bis.</w:t>
            </w:r>
            <w:r w:rsidRPr="00C97248">
              <w:tab/>
            </w:r>
            <w:r w:rsidRPr="00C97248">
              <w:rPr>
                <w:b/>
                <w:i/>
              </w:rPr>
              <w:t>Hologramme Un hologramme métallisé est inséré au recto.</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L’hologramme comprend la </w:t>
            </w:r>
            <w:r w:rsidRPr="00C97248">
              <w:rPr>
                <w:b/>
                <w:i/>
              </w:rPr>
              <w:t>mention «carte européenne du handicap» et un cercle composé de 12 étoiles blanches.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João Albuquerque, Daniela Rondinelli, Marc Angel, Milan Brglez, </w:t>
      </w:r>
      <w:r w:rsidRPr="00C97248">
        <w:t>Agnes Jongerius, Aurore Lalucq, Elisabetta Gualmini, Klára Dobrev, Marianne Vind, Vilija Blinkevičiūtė, Alex Agius Saliba, Brando Benifei,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 bis (nouvelle)</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La carte possède un code QR contenant toutes les informations figurant sur la carte dans un format accessible correctement défini </w:t>
            </w:r>
            <w:r w:rsidRPr="00C97248">
              <w:rPr>
                <w:b/>
                <w:i/>
              </w:rPr>
              <w:t>et indiqué par un marquage en relief, parfaitement conforme à la législation en matière de protection des données.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intertitre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CARTE EUROPÉENNE DE STATIONNEMENT POUR PERSONNES HANDICAPÉES</w:t>
            </w:r>
          </w:p>
        </w:tc>
        <w:tc>
          <w:tcPr>
            <w:tcW w:w="4876" w:type="dxa"/>
          </w:tcPr>
          <w:p w:rsidR="00342B99" w:rsidRPr="00C97248" w:rsidRDefault="00CF3AC9">
            <w:pPr>
              <w:pStyle w:val="Normal6a"/>
            </w:pPr>
            <w:r w:rsidRPr="00C97248">
              <w:t xml:space="preserve">CARTE EUROPÉENNE DE STATIONNEMENT POUR PERSONNES HANDICAPÉES </w:t>
            </w:r>
            <w:r w:rsidRPr="00C97248">
              <w:rPr>
                <w:b/>
                <w:i/>
              </w:rPr>
              <w:t>ET PERSONNES ÂGÉES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Chiara Gemma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w:t>
      </w:r>
      <w:r w:rsidRPr="00C97248">
        <w:t>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sous-titre 1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La mention «carte européenne du handicap» apparaît en braille en utilisant les dimensions du code Marburg.</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1 – partie introductive</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 xml:space="preserve">Texte proposé par </w:t>
            </w:r>
            <w:r w:rsidRPr="00C97248">
              <w:t>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1.</w:t>
            </w:r>
            <w:r w:rsidRPr="00C97248">
              <w:tab/>
              <w:t xml:space="preserve">La taille de la carte européenne de stationnement pour </w:t>
            </w:r>
            <w:r w:rsidRPr="00C97248">
              <w:rPr>
                <w:b/>
                <w:i/>
              </w:rPr>
              <w:t>les</w:t>
            </w:r>
            <w:r w:rsidRPr="00C97248">
              <w:t xml:space="preserve"> personnes handicapées est de:</w:t>
            </w:r>
          </w:p>
        </w:tc>
        <w:tc>
          <w:tcPr>
            <w:tcW w:w="4876" w:type="dxa"/>
          </w:tcPr>
          <w:p w:rsidR="00342B99" w:rsidRPr="00C97248" w:rsidRDefault="00CF3AC9">
            <w:pPr>
              <w:pStyle w:val="Normal6a"/>
            </w:pPr>
            <w:r w:rsidRPr="00C97248">
              <w:t>1.</w:t>
            </w:r>
            <w:r w:rsidRPr="00C97248">
              <w:tab/>
              <w:t xml:space="preserve">La taille de la carte européenne de stationnement pour personnes handicapées </w:t>
            </w:r>
            <w:r w:rsidRPr="00C97248">
              <w:rPr>
                <w:b/>
                <w:i/>
              </w:rPr>
              <w:t>et personnes âgées</w:t>
            </w:r>
            <w:r w:rsidRPr="00C97248">
              <w:t xml:space="preserve"> est de: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w:t>
      </w:r>
      <w:r w:rsidRPr="00C97248">
        <w:rPr>
          <w:rStyle w:val="HideTWBExt"/>
        </w:rPr>
        <w:t>&gt;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2 – partie introductive</w:t>
      </w:r>
      <w:r w:rsidRPr="00C97248">
        <w:rPr>
          <w:rStyle w:val="HideTWBExt"/>
        </w:rPr>
        <w:t>&lt;/Articl</w:t>
      </w:r>
      <w:r w:rsidRPr="00C97248">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2.</w:t>
            </w:r>
            <w:r w:rsidRPr="00C97248">
              <w:tab/>
            </w:r>
            <w:r w:rsidRPr="00C97248">
              <w:rPr>
                <w:b/>
                <w:i/>
              </w:rPr>
              <w:t>La carte est de couleur bleu foncé et jaune, comme sur l’image ci-dessus et conformément aux références suivantes:</w:t>
            </w:r>
          </w:p>
        </w:tc>
        <w:tc>
          <w:tcPr>
            <w:tcW w:w="4876" w:type="dxa"/>
          </w:tcPr>
          <w:p w:rsidR="00342B99" w:rsidRPr="00C97248" w:rsidRDefault="00CF3AC9">
            <w:pPr>
              <w:pStyle w:val="Normal6a"/>
            </w:pPr>
            <w:r w:rsidRPr="00C97248">
              <w:t>2.</w:t>
            </w:r>
            <w:r w:rsidRPr="00C97248">
              <w:tab/>
            </w:r>
            <w:r w:rsidRPr="00C97248">
              <w:rPr>
                <w:b/>
                <w:i/>
              </w:rPr>
              <w:t xml:space="preserve">Le Pantone Reflex Blue et le Pantone Yellow peuvent être utilisés pour le côté droit </w:t>
            </w:r>
            <w:r w:rsidRPr="00C97248">
              <w:rPr>
                <w:b/>
                <w:i/>
              </w:rPr>
              <w:t>du document, car ces couleurs sont proposées par la Commission pour représenter le drapeau de l’Union.</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 fond de sécurité comprend une grille dans une ou plusieurs couleurs Pantone.</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Le fond comprend des micro-impressions portant la mention «CARTE EURO</w:t>
            </w:r>
            <w:r w:rsidRPr="00C97248">
              <w:rPr>
                <w:b/>
                <w:i/>
              </w:rPr>
              <w:t>PÉENNE DE STATIONEMENT».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469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2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rPr>
                <w:b/>
                <w:i/>
              </w:rPr>
              <w:t>–</w:t>
            </w:r>
            <w:r w:rsidRPr="00C97248">
              <w:tab/>
            </w:r>
            <w:r w:rsidRPr="00C97248">
              <w:rPr>
                <w:b/>
                <w:i/>
              </w:rPr>
              <w:t>Bleu foncé: CMYK 100, 90, 10, 0</w:t>
            </w:r>
          </w:p>
        </w:tc>
        <w:tc>
          <w:tcPr>
            <w:tcW w:w="4876" w:type="dxa"/>
          </w:tcPr>
          <w:p w:rsidR="00342B99" w:rsidRPr="00C97248" w:rsidRDefault="00CF3AC9">
            <w:pPr>
              <w:pStyle w:val="Normal6a"/>
            </w:pPr>
            <w:r w:rsidRPr="00C97248">
              <w:rPr>
                <w:b/>
                <w:i/>
              </w:rPr>
              <w:t>supprimé</w:t>
            </w:r>
          </w:p>
        </w:tc>
      </w:tr>
      <w:tr w:rsidR="00342B99" w:rsidRPr="00C97248">
        <w:trPr>
          <w:jc w:val="center"/>
        </w:trPr>
        <w:tc>
          <w:tcPr>
            <w:tcW w:w="4876" w:type="dxa"/>
          </w:tcPr>
          <w:p w:rsidR="00342B99" w:rsidRPr="00C97248" w:rsidRDefault="00CF3AC9">
            <w:pPr>
              <w:pStyle w:val="Normal6a"/>
            </w:pPr>
            <w:r w:rsidRPr="00C97248">
              <w:rPr>
                <w:b/>
                <w:i/>
              </w:rPr>
              <w:t>RGB 0, 68, 148</w:t>
            </w:r>
          </w:p>
        </w:tc>
        <w:tc>
          <w:tcPr>
            <w:tcW w:w="4876" w:type="dxa"/>
          </w:tcPr>
          <w:p w:rsidR="00342B99" w:rsidRPr="00C97248" w:rsidRDefault="00342B99">
            <w:pPr>
              <w:pStyle w:val="Normal6a"/>
            </w:pP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2 – tiret 2</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rPr>
                <w:b/>
                <w:i/>
              </w:rPr>
              <w:t>–</w:t>
            </w:r>
            <w:r w:rsidRPr="00C97248">
              <w:tab/>
            </w:r>
            <w:r w:rsidRPr="00C97248">
              <w:rPr>
                <w:b/>
                <w:i/>
              </w:rPr>
              <w:t xml:space="preserve">Jaune: </w:t>
            </w:r>
            <w:r w:rsidRPr="00C97248">
              <w:rPr>
                <w:b/>
                <w:i/>
              </w:rPr>
              <w:t>CMYK 94, 63, 7, 1</w:t>
            </w:r>
          </w:p>
        </w:tc>
        <w:tc>
          <w:tcPr>
            <w:tcW w:w="4876" w:type="dxa"/>
          </w:tcPr>
          <w:p w:rsidR="00342B99" w:rsidRPr="00C97248" w:rsidRDefault="00CF3AC9">
            <w:pPr>
              <w:pStyle w:val="Normal6a"/>
            </w:pPr>
            <w:r w:rsidRPr="00C97248">
              <w:rPr>
                <w:b/>
                <w:i/>
              </w:rPr>
              <w:t>supprimé</w:t>
            </w:r>
          </w:p>
        </w:tc>
      </w:tr>
      <w:tr w:rsidR="00342B99" w:rsidRPr="00C97248">
        <w:trPr>
          <w:jc w:val="center"/>
        </w:trPr>
        <w:tc>
          <w:tcPr>
            <w:tcW w:w="4876" w:type="dxa"/>
          </w:tcPr>
          <w:p w:rsidR="00342B99" w:rsidRPr="00C97248" w:rsidRDefault="00CF3AC9">
            <w:pPr>
              <w:pStyle w:val="Normal6a"/>
            </w:pPr>
            <w:r w:rsidRPr="00C97248">
              <w:rPr>
                <w:b/>
                <w:i/>
              </w:rPr>
              <w:t>RGB 255, 237, 0</w:t>
            </w:r>
          </w:p>
        </w:tc>
        <w:tc>
          <w:tcPr>
            <w:tcW w:w="4876" w:type="dxa"/>
          </w:tcPr>
          <w:p w:rsidR="00342B99" w:rsidRPr="00C97248" w:rsidRDefault="00342B99">
            <w:pPr>
              <w:pStyle w:val="Normal6a"/>
            </w:pP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471</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w:t>
      </w:r>
      <w:r w:rsidRPr="00C97248">
        <w:t> II – point 3 – partie introductive</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3.</w:t>
            </w:r>
            <w:r w:rsidRPr="00C97248">
              <w:tab/>
              <w:t>La carte de stationnement européenne pour personnes handicapées possède un côté recto et un côté verso, chacun divisé verticalement en deux parties.</w:t>
            </w:r>
          </w:p>
        </w:tc>
        <w:tc>
          <w:tcPr>
            <w:tcW w:w="4876" w:type="dxa"/>
          </w:tcPr>
          <w:p w:rsidR="00342B99" w:rsidRPr="00C97248" w:rsidRDefault="00CF3AC9">
            <w:pPr>
              <w:pStyle w:val="Normal6a"/>
            </w:pPr>
            <w:r w:rsidRPr="00C97248">
              <w:t>3.</w:t>
            </w:r>
            <w:r w:rsidRPr="00C97248">
              <w:tab/>
            </w:r>
            <w:r w:rsidRPr="00C97248">
              <w:t xml:space="preserve">La carte de stationnement européenne pour personnes handicapées </w:t>
            </w:r>
            <w:r w:rsidRPr="00C97248">
              <w:rPr>
                <w:b/>
                <w:i/>
              </w:rPr>
              <w:t>et personnes âgées</w:t>
            </w:r>
            <w:r w:rsidRPr="00C97248">
              <w:t xml:space="preserve"> possède un côté recto et un côté verso, chacun divisé verticalement en deux parties.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472</w:t>
      </w:r>
      <w:r w:rsidRPr="00C97248">
        <w:rPr>
          <w:rStyle w:val="HideTWBExt"/>
        </w:rPr>
        <w:t>&lt;/NumAm&gt;</w:t>
      </w:r>
    </w:p>
    <w:p w:rsidR="00342B99" w:rsidRPr="00C97248" w:rsidRDefault="00CF3AC9">
      <w:pPr>
        <w:pStyle w:val="NormalBold"/>
      </w:pPr>
      <w:r w:rsidRPr="00C97248">
        <w:rPr>
          <w:rStyle w:val="HideTWBExt"/>
        </w:rPr>
        <w:t>&lt;RepeatB</w:t>
      </w:r>
      <w:r w:rsidRPr="00C97248">
        <w:rPr>
          <w:rStyle w:val="HideTWBExt"/>
        </w:rPr>
        <w:t>lock-By&gt;&lt;Members&gt;</w:t>
      </w:r>
      <w:r w:rsidRPr="00C97248">
        <w:t>Jarosław Duda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3 – sous-point a – tiret 5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w:t>
            </w:r>
            <w:r w:rsidRPr="00C97248">
              <w:tab/>
            </w:r>
            <w:r w:rsidRPr="00C97248">
              <w:rPr>
                <w:b/>
                <w:i/>
              </w:rPr>
              <w:t xml:space="preserve">La mention «carte </w:t>
            </w:r>
            <w:r w:rsidRPr="00C97248">
              <w:rPr>
                <w:b/>
                <w:i/>
              </w:rPr>
              <w:t>européenne du handicap» apparaît en braille en utilisant les dimensions du code Marburg.</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473</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Miriam Lexmann</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3 – sous-point b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w:t>
            </w:r>
            <w:r w:rsidRPr="00C97248">
              <w:tab/>
              <w:t>la mention «carte européenne de stationnement pour personnes handicapées» imprimée en gros caractères dans l</w:t>
            </w:r>
            <w:r w:rsidRPr="00C97248">
              <w:t>a ou les langues de l’État membre délivrant la carte de stationnement. La mention «carte de stationnement» en petits caractères, après un espace approprié, apparaît dans les autres langues de l’Union européenne;</w:t>
            </w:r>
          </w:p>
        </w:tc>
        <w:tc>
          <w:tcPr>
            <w:tcW w:w="4876" w:type="dxa"/>
          </w:tcPr>
          <w:p w:rsidR="00342B99" w:rsidRPr="00C97248" w:rsidRDefault="00CF3AC9">
            <w:pPr>
              <w:pStyle w:val="Normal6a"/>
            </w:pPr>
            <w:r w:rsidRPr="00C97248">
              <w:t>–</w:t>
            </w:r>
            <w:r w:rsidRPr="00C97248">
              <w:tab/>
              <w:t>la mention «carte européenne de stationnem</w:t>
            </w:r>
            <w:r w:rsidRPr="00C97248">
              <w:t>ent pour personnes handicapées» imprimée en gros caractères dans la ou les langues de l’État membre délivrant la carte de stationnement. La mention «carte de stationnement» en petits caractères, après un espace approprié, apparaît dans les autres langues d</w:t>
            </w:r>
            <w:r w:rsidRPr="00C97248">
              <w:t>e l’Union européenne;</w:t>
            </w:r>
            <w:r w:rsidRPr="00C97248">
              <w:rPr>
                <w:b/>
                <w:i/>
              </w:rPr>
              <w:t> la mention «carte européenne du handicap» apparaît en braille en utilisant les dimensions du code Marburg.</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474</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 xml:space="preserve">João Albuquerque, </w:t>
      </w:r>
      <w:r w:rsidRPr="00C97248">
        <w:t>Daniela Rondinelli, Marc Angel, Milan Brglez, Agnes Jongerius, Aurore Lalucq, Elisabetta Gualmini, Klára Dobrev, Marianne Vind, Vilija Blinkevičiūtė, Alex Agius Saliba, Brando Benifei, Ilan De Basso, Alicia Homs Ginel, Carina Ohlsson, Estrella Durá Ferrand</w:t>
      </w:r>
      <w:r w:rsidRPr="00C97248">
        <w:t>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3 – sous-point b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w:t>
            </w:r>
            <w:r w:rsidRPr="00C97248">
              <w:tab/>
              <w:t xml:space="preserve">la mention «carte européenne de stationnement pour personnes </w:t>
            </w:r>
            <w:r w:rsidRPr="00C97248">
              <w:t>handicapées» imprimée en gros caractères dans la ou les langues de l’État membre délivrant la carte de stationnement. La mention «carte de stationnement» en petits caractères, après un espace approprié, apparaît dans les autres langues de l’Union européenn</w:t>
            </w:r>
            <w:r w:rsidRPr="00C97248">
              <w:t>e;</w:t>
            </w:r>
          </w:p>
        </w:tc>
        <w:tc>
          <w:tcPr>
            <w:tcW w:w="4876" w:type="dxa"/>
          </w:tcPr>
          <w:p w:rsidR="00342B99" w:rsidRPr="00C97248" w:rsidRDefault="00CF3AC9">
            <w:pPr>
              <w:pStyle w:val="Normal6a"/>
            </w:pPr>
            <w:r w:rsidRPr="00C97248">
              <w:t>–</w:t>
            </w:r>
            <w:r w:rsidRPr="00C97248">
              <w:tab/>
              <w:t xml:space="preserve">la mention «carte européenne de stationnement pour personnes handicapées» imprimée en gros caractères dans la ou les langues de l’État membre délivrant la carte de stationnement </w:t>
            </w:r>
            <w:r w:rsidRPr="00C97248">
              <w:rPr>
                <w:b/>
                <w:i/>
              </w:rPr>
              <w:t>et en braille en utilisant les dimensions du code Marburg</w:t>
            </w:r>
            <w:r w:rsidRPr="00C97248">
              <w:t>; La mention «ca</w:t>
            </w:r>
            <w:r w:rsidRPr="00C97248">
              <w:t>rte de stationnement» en petits caractères, après un espace approprié, apparaît dans les autres langues de l’Union européenne;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475</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w:t>
      </w:r>
      <w:r w:rsidRPr="00C97248">
        <w:rPr>
          <w:rStyle w:val="HideTWBExt"/>
        </w:rPr>
        <w:t>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3 – sous-point b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w:t>
            </w:r>
            <w:r w:rsidRPr="00C97248">
              <w:tab/>
              <w:t xml:space="preserve">la mention «carte européenne de stationnement pour personnes handicapées» </w:t>
            </w:r>
            <w:r w:rsidRPr="00C97248">
              <w:t>imprimée en gros caractères dans la ou les langues de l’État membre délivrant la carte de stationnement. La mention «carte de stationnement» en petits caractères, après un espace approprié, apparaît dans les autres langues de l’Union européenne;</w:t>
            </w:r>
          </w:p>
        </w:tc>
        <w:tc>
          <w:tcPr>
            <w:tcW w:w="4876" w:type="dxa"/>
          </w:tcPr>
          <w:p w:rsidR="00342B99" w:rsidRPr="00C97248" w:rsidRDefault="00CF3AC9">
            <w:pPr>
              <w:pStyle w:val="Normal6a"/>
            </w:pPr>
            <w:r w:rsidRPr="00C97248">
              <w:t>–</w:t>
            </w:r>
            <w:r w:rsidRPr="00C97248">
              <w:tab/>
              <w:t>la menti</w:t>
            </w:r>
            <w:r w:rsidRPr="00C97248">
              <w:t xml:space="preserve">on «carte européenne de stationnement pour personnes handicapées </w:t>
            </w:r>
            <w:r w:rsidRPr="00C97248">
              <w:rPr>
                <w:b/>
                <w:i/>
              </w:rPr>
              <w:t>et personnes âgées</w:t>
            </w:r>
            <w:r w:rsidRPr="00C97248">
              <w:t>» imprimée en gros caractères dans la ou les langues de l’État membre délivrant la carte de stationnement. La mention «carte de stationnement» en petits caractères, après un</w:t>
            </w:r>
            <w:r w:rsidRPr="00C97248">
              <w:t xml:space="preserve"> espace approprié, apparaît dans les autres langues de l’Union européenne;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476</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Ádám Kósa</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w:t>
      </w:r>
      <w:r w:rsidRPr="00C97248">
        <w:rPr>
          <w:rStyle w:val="HideTWBExt"/>
        </w:rPr>
        <w:t>cAmend&gt;</w:t>
      </w:r>
    </w:p>
    <w:p w:rsidR="00342B99" w:rsidRPr="00C97248" w:rsidRDefault="00CF3AC9">
      <w:pPr>
        <w:pStyle w:val="NormalBold"/>
      </w:pPr>
      <w:r w:rsidRPr="00C97248">
        <w:rPr>
          <w:rStyle w:val="HideTWBExt"/>
        </w:rPr>
        <w:t>&lt;Article&gt;</w:t>
      </w:r>
      <w:r w:rsidRPr="00C97248">
        <w:t>Annexe II – point 3 – sous-point b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w:t>
            </w:r>
            <w:r w:rsidRPr="00C97248">
              <w:tab/>
              <w:t xml:space="preserve">la mention «carte européenne de stationnement pour personnes handicapées» imprimée en gros caractères dans la ou les langues de l’État </w:t>
            </w:r>
            <w:r w:rsidRPr="00C97248">
              <w:t>membre délivrant la carte de stationnement. La mention «carte de stationnement» en petits caractères, après un espace approprié, apparaît dans les autres langues de l’Union européenne;</w:t>
            </w:r>
          </w:p>
        </w:tc>
        <w:tc>
          <w:tcPr>
            <w:tcW w:w="4876" w:type="dxa"/>
          </w:tcPr>
          <w:p w:rsidR="00342B99" w:rsidRPr="00C97248" w:rsidRDefault="00CF3AC9">
            <w:pPr>
              <w:pStyle w:val="Normal6a"/>
            </w:pPr>
            <w:r w:rsidRPr="00C97248">
              <w:t>–</w:t>
            </w:r>
            <w:r w:rsidRPr="00C97248">
              <w:tab/>
              <w:t>la mention «carte européenne de stationnement pour personnes handicap</w:t>
            </w:r>
            <w:r w:rsidRPr="00C97248">
              <w:t xml:space="preserve">ées» imprimée en gros caractères dans la ou les langues de l’État membre délivrant la carte de stationnement </w:t>
            </w:r>
            <w:r w:rsidRPr="00C97248">
              <w:rPr>
                <w:b/>
                <w:i/>
              </w:rPr>
              <w:t>et en braille</w:t>
            </w:r>
            <w:r w:rsidRPr="00C97248">
              <w:t>. La mention «carte de stationnement» en petits caractères, après un espace approprié, apparaît dans les autres langues de l’Union eur</w:t>
            </w:r>
            <w:r w:rsidRPr="00C97248">
              <w:t>opéenne;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477</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w:t>
      </w:r>
      <w:r w:rsidRPr="00C97248">
        <w:t xml:space="preserve"> – point 3 – sous-point c – tiret 7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w:t>
            </w:r>
            <w:r w:rsidRPr="00C97248">
              <w:tab/>
            </w:r>
            <w:r w:rsidRPr="00C97248">
              <w:rPr>
                <w:b/>
                <w:i/>
              </w:rPr>
              <w:t>le numéro de la carte d’identité secondaire.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pPr>
        <w:pStyle w:val="AmJustTitle"/>
      </w:pPr>
      <w:r w:rsidRPr="00C97248">
        <w:rPr>
          <w:rStyle w:val="HideTWBExt"/>
        </w:rPr>
        <w:t>&lt;TitreJust&gt;</w:t>
      </w:r>
      <w:r w:rsidRPr="00C97248">
        <w:t>Justification</w:t>
      </w:r>
      <w:r w:rsidRPr="00C97248">
        <w:rPr>
          <w:rStyle w:val="HideTWBExt"/>
        </w:rPr>
        <w:t>&lt;/TitreJust&gt;</w:t>
      </w:r>
    </w:p>
    <w:p w:rsidR="00342B99" w:rsidRPr="00C97248" w:rsidRDefault="00CF3AC9">
      <w:pPr>
        <w:pStyle w:val="AmJustText"/>
      </w:pPr>
      <w:r w:rsidRPr="00C97248">
        <w:t xml:space="preserve">Nous proposons d’ajouter un </w:t>
      </w:r>
      <w:r w:rsidRPr="00C97248">
        <w:t>nouveau tiret indiquant un champ optionnel employé lorsque l’État membre utilise le numéro d’un document d’identité supplémentaire.</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478</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Antonius Manders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3 – point d – tiret 1</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CF3AC9">
            <w:pPr>
              <w:pStyle w:val="Normal6a"/>
            </w:pPr>
            <w:r w:rsidRPr="00C97248">
              <w:t>–</w:t>
            </w:r>
            <w:r w:rsidRPr="00C97248">
              <w:tab/>
              <w:t>la mention suivante: «Cette carte autorise son titulaire à bénéficier des facilités et des conditions d</w:t>
            </w:r>
            <w:r w:rsidRPr="00C97248">
              <w:t>e stationnement offertes aux personnes handicapées par l’État membre dans lequel il se trouve»;</w:t>
            </w:r>
          </w:p>
        </w:tc>
        <w:tc>
          <w:tcPr>
            <w:tcW w:w="4876" w:type="dxa"/>
          </w:tcPr>
          <w:p w:rsidR="00342B99" w:rsidRPr="00C97248" w:rsidRDefault="00CF3AC9">
            <w:pPr>
              <w:pStyle w:val="Normal6a"/>
            </w:pPr>
            <w:r w:rsidRPr="00C97248">
              <w:t>–</w:t>
            </w:r>
            <w:r w:rsidRPr="00C97248">
              <w:tab/>
              <w:t xml:space="preserve">la mention suivante: «Cette carte autorise son titulaire à bénéficier des facilités et des conditions de stationnement offertes aux personnes handicapées </w:t>
            </w:r>
            <w:r w:rsidRPr="00C97248">
              <w:rPr>
                <w:b/>
                <w:i/>
              </w:rPr>
              <w:t>et a</w:t>
            </w:r>
            <w:r w:rsidRPr="00C97248">
              <w:rPr>
                <w:b/>
                <w:i/>
              </w:rPr>
              <w:t>ux personnes âgées</w:t>
            </w:r>
            <w:r w:rsidRPr="00C97248">
              <w:t xml:space="preserve"> par l’État membre dans lequel il se trouve»;</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&lt;Amend&gt;</w:t>
      </w:r>
      <w:r w:rsidRPr="00C97248">
        <w:t>Amendement</w:t>
      </w:r>
      <w:r w:rsidRPr="00C97248">
        <w:tab/>
      </w:r>
      <w:r w:rsidRPr="00C97248">
        <w:tab/>
      </w:r>
      <w:r w:rsidRPr="00C97248">
        <w:rPr>
          <w:rStyle w:val="HideTWBExt"/>
        </w:rPr>
        <w:t>&lt;NumAm&gt;</w:t>
      </w:r>
      <w:r w:rsidRPr="00C97248">
        <w:t>479</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Elena Lizzi, Antonio Maria Rinaldi, Paola Ghidoni</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 point 5 bis (nouveau)</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5 bis.</w:t>
            </w:r>
            <w:r w:rsidRPr="00C97248">
              <w:tab/>
            </w:r>
            <w:r w:rsidRPr="00C97248">
              <w:rPr>
                <w:b/>
                <w:i/>
              </w:rPr>
              <w:t>Matériaux</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Pour garantir comme il se doit la protection des données contre les tentatives de </w:t>
            </w:r>
            <w:r w:rsidRPr="00C97248">
              <w:rPr>
                <w:b/>
                <w:i/>
              </w:rPr>
              <w:t>falsification ou d’altération frauduleuse, il est très fortement recommandé d’utiliser des matériaux de sécurité avec des éléments de sécurité anti-falsification.</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Exemple nº 1: papier de sécurité avec filigrane et fibres de sécurité. Élément holographiqu</w:t>
            </w:r>
            <w:r w:rsidRPr="00C97248">
              <w:rPr>
                <w:b/>
                <w:i/>
              </w:rPr>
              <w:t>e ou élément de sécurité équivalent. Un film de sécurité peut être ajouté pour protéger le document.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Exemple nº 2: polycarbonate ou matériau équivalent. Dans ce cas, pour garantir comme il se doit la protection des données contre les tentatives de falsif</w:t>
            </w:r>
            <w:r w:rsidRPr="00C97248">
              <w:rPr>
                <w:b/>
                <w:i/>
              </w:rPr>
              <w:t>ication ou d’altération frauduleuse, il est très fortement recommandé d’intégrer les données à caractère personnel, y compris la photographie, ainsi que les autres données essentielles dans le matériau même du document. Un élément holographique ou un éléme</w:t>
            </w:r>
            <w:r w:rsidRPr="00C97248">
              <w:rPr>
                <w:b/>
                <w:i/>
              </w:rPr>
              <w:t>nt de sécurité équivalent peuvent être intégrés dans la structure du document.</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en</w:t>
      </w:r>
      <w:r w:rsidRPr="00C97248">
        <w:rPr>
          <w:rStyle w:val="HideTWBExt"/>
        </w:rPr>
        <w:t>&lt;/Original&gt;</w:t>
      </w:r>
    </w:p>
    <w:p w:rsidR="00342B99" w:rsidRPr="00C97248" w:rsidRDefault="00CF3AC9">
      <w:pPr>
        <w:pStyle w:val="AmJustTitle"/>
      </w:pPr>
      <w:r w:rsidRPr="00C97248">
        <w:rPr>
          <w:rStyle w:val="HideTWBExt"/>
        </w:rPr>
        <w:t>&lt;TitreJust&gt;</w:t>
      </w:r>
      <w:r w:rsidRPr="00C97248">
        <w:t>Justification</w:t>
      </w:r>
      <w:r w:rsidRPr="00C97248">
        <w:rPr>
          <w:rStyle w:val="HideTWBExt"/>
        </w:rPr>
        <w:t>&lt;/TitreJust&gt;</w:t>
      </w:r>
    </w:p>
    <w:p w:rsidR="00342B99" w:rsidRPr="00C97248" w:rsidRDefault="00CF3AC9">
      <w:pPr>
        <w:pStyle w:val="AmJustText"/>
      </w:pPr>
      <w:r w:rsidRPr="00C97248">
        <w:t>Il est proposé de décrire explicitement les matériaux de sécurité dans la présente section.</w:t>
      </w:r>
    </w:p>
    <w:p w:rsidR="00342B99" w:rsidRPr="00C97248" w:rsidRDefault="00CF3AC9">
      <w:r w:rsidRPr="00C97248">
        <w:rPr>
          <w:rStyle w:val="HideTWBExt"/>
        </w:rPr>
        <w:t>&lt;/Amend&gt;</w:t>
      </w:r>
    </w:p>
    <w:p w:rsidR="00342B99" w:rsidRPr="00C97248" w:rsidRDefault="00CF3AC9">
      <w:pPr>
        <w:pStyle w:val="AmNumberTabs"/>
      </w:pPr>
      <w:r w:rsidRPr="00C97248">
        <w:rPr>
          <w:rStyle w:val="HideTWBExt"/>
        </w:rPr>
        <w:t>&lt;Amend</w:t>
      </w:r>
      <w:r w:rsidRPr="00C97248">
        <w:rPr>
          <w:rStyle w:val="HideTWBExt"/>
        </w:rPr>
        <w:t>&gt;</w:t>
      </w:r>
      <w:r w:rsidRPr="00C97248">
        <w:t>Amendement</w:t>
      </w:r>
      <w:r w:rsidRPr="00C97248">
        <w:tab/>
      </w:r>
      <w:r w:rsidRPr="00C97248">
        <w:tab/>
      </w:r>
      <w:r w:rsidRPr="00C97248">
        <w:rPr>
          <w:rStyle w:val="HideTWBExt"/>
        </w:rPr>
        <w:t>&lt;NumAm&gt;</w:t>
      </w:r>
      <w:r w:rsidRPr="00C97248">
        <w:t>480</w:t>
      </w:r>
      <w:r w:rsidRPr="00C97248">
        <w:rPr>
          <w:rStyle w:val="HideTWBExt"/>
        </w:rPr>
        <w:t>&lt;/NumAm&gt;</w:t>
      </w:r>
    </w:p>
    <w:p w:rsidR="00342B99" w:rsidRPr="00C97248" w:rsidRDefault="00CF3AC9">
      <w:pPr>
        <w:pStyle w:val="NormalBold"/>
      </w:pPr>
      <w:r w:rsidRPr="00C97248">
        <w:rPr>
          <w:rStyle w:val="HideTWBExt"/>
        </w:rPr>
        <w:t>&lt;RepeatBlock-By&gt;&lt;Members&gt;</w:t>
      </w:r>
      <w:r w:rsidRPr="00C97248">
        <w:t>João Albuquerque, Daniela Rondinelli, Marc Angel, Milan Brglez, Agnes Jongerius, Aurore Lalucq, Elisabetta Gualmini, Klára Dobrev, Marianne Vind, Vilija Blinkevičiūtė, Alex Agius Saliba, Brando Benif</w:t>
      </w:r>
      <w:r w:rsidRPr="00C97248">
        <w:t>ei, Ilan De Basso, Alicia Homs Ginel, Carina Ohlsson, Estrella Durá Ferrandis</w:t>
      </w:r>
      <w:r w:rsidRPr="00C97248">
        <w:rPr>
          <w:rStyle w:val="HideTWBExt"/>
        </w:rPr>
        <w:t>&lt;/Members&gt;</w:t>
      </w:r>
    </w:p>
    <w:p w:rsidR="00342B99" w:rsidRPr="00C97248" w:rsidRDefault="00CF3AC9">
      <w:pPr>
        <w:pStyle w:val="NormalBold"/>
      </w:pPr>
      <w:r w:rsidRPr="00C97248">
        <w:rPr>
          <w:rStyle w:val="HideTWBExt"/>
        </w:rPr>
        <w:t>&lt;/RepeatBlock-By&gt;</w:t>
      </w:r>
    </w:p>
    <w:p w:rsidR="00342B99" w:rsidRPr="00C97248" w:rsidRDefault="00CF3AC9">
      <w:pPr>
        <w:pStyle w:val="NormalBold"/>
      </w:pPr>
      <w:r w:rsidRPr="00C97248">
        <w:rPr>
          <w:rStyle w:val="HideTWBExt"/>
        </w:rPr>
        <w:t>&lt;DocAmend&gt;</w:t>
      </w:r>
      <w:r w:rsidRPr="00C97248">
        <w:t>Proposition de directive</w:t>
      </w:r>
      <w:r w:rsidRPr="00C97248">
        <w:rPr>
          <w:rStyle w:val="HideTWBExt"/>
        </w:rPr>
        <w:t>&lt;/DocAmend&gt;</w:t>
      </w:r>
    </w:p>
    <w:p w:rsidR="00342B99" w:rsidRPr="00C97248" w:rsidRDefault="00CF3AC9">
      <w:pPr>
        <w:pStyle w:val="NormalBold"/>
      </w:pPr>
      <w:r w:rsidRPr="00C97248">
        <w:rPr>
          <w:rStyle w:val="HideTWBExt"/>
        </w:rPr>
        <w:t>&lt;Article&gt;</w:t>
      </w:r>
      <w:r w:rsidRPr="00C97248">
        <w:t>Annexe II bis (nouvelle)</w:t>
      </w:r>
      <w:r w:rsidRPr="00C972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2B99" w:rsidRPr="00C97248">
        <w:trPr>
          <w:trHeight w:hRule="exact" w:val="240"/>
          <w:jc w:val="center"/>
        </w:trPr>
        <w:tc>
          <w:tcPr>
            <w:tcW w:w="9752" w:type="dxa"/>
            <w:gridSpan w:val="2"/>
          </w:tcPr>
          <w:p w:rsidR="00342B99" w:rsidRPr="00C97248" w:rsidRDefault="00342B99"/>
        </w:tc>
      </w:tr>
      <w:tr w:rsidR="00342B99" w:rsidRPr="00C97248">
        <w:trPr>
          <w:trHeight w:val="240"/>
          <w:jc w:val="center"/>
        </w:trPr>
        <w:tc>
          <w:tcPr>
            <w:tcW w:w="4876" w:type="dxa"/>
          </w:tcPr>
          <w:p w:rsidR="00342B99" w:rsidRPr="00C97248" w:rsidRDefault="00CF3AC9">
            <w:pPr>
              <w:pStyle w:val="AmColumnHeading"/>
            </w:pPr>
            <w:r w:rsidRPr="00C97248">
              <w:t>Texte proposé par la Commission</w:t>
            </w:r>
          </w:p>
        </w:tc>
        <w:tc>
          <w:tcPr>
            <w:tcW w:w="4876" w:type="dxa"/>
          </w:tcPr>
          <w:p w:rsidR="00342B99" w:rsidRPr="00C97248" w:rsidRDefault="00CF3AC9">
            <w:pPr>
              <w:pStyle w:val="AmColumnHeading"/>
            </w:pPr>
            <w:r w:rsidRPr="00C97248">
              <w:t>Amendement</w:t>
            </w:r>
          </w:p>
        </w:tc>
      </w:tr>
      <w:tr w:rsidR="00342B99" w:rsidRPr="00C97248">
        <w:trPr>
          <w:jc w:val="center"/>
        </w:trPr>
        <w:tc>
          <w:tcPr>
            <w:tcW w:w="4876" w:type="dxa"/>
          </w:tcPr>
          <w:p w:rsidR="00342B99" w:rsidRPr="00C97248" w:rsidRDefault="00342B99">
            <w:pPr>
              <w:pStyle w:val="Normal6a"/>
            </w:pPr>
          </w:p>
        </w:tc>
        <w:tc>
          <w:tcPr>
            <w:tcW w:w="4876" w:type="dxa"/>
          </w:tcPr>
          <w:p w:rsidR="00342B99" w:rsidRPr="00C97248" w:rsidRDefault="00CF3AC9">
            <w:pPr>
              <w:pStyle w:val="Normal6a"/>
            </w:pPr>
            <w:r w:rsidRPr="00C97248">
              <w:rPr>
                <w:b/>
                <w:i/>
              </w:rPr>
              <w:t xml:space="preserve">La carte </w:t>
            </w:r>
            <w:r w:rsidRPr="00C97248">
              <w:rPr>
                <w:b/>
                <w:i/>
              </w:rPr>
              <w:t>possède un code QR contenant toutes les informations figurant sur la carte dans un format accessible correctement défini et indiqué par un marquage en relief, parfaitement conforme à la législation en matière de protection des données.</w:t>
            </w:r>
          </w:p>
        </w:tc>
      </w:tr>
    </w:tbl>
    <w:p w:rsidR="00342B99" w:rsidRPr="00C97248" w:rsidRDefault="00CF3AC9">
      <w:pPr>
        <w:pStyle w:val="AmOrLang"/>
      </w:pPr>
      <w:r w:rsidRPr="00C97248">
        <w:t xml:space="preserve">Or. </w:t>
      </w:r>
      <w:r w:rsidRPr="00C97248">
        <w:rPr>
          <w:rStyle w:val="HideTWBExt"/>
        </w:rPr>
        <w:t>&lt;Original&gt;</w:t>
      </w:r>
      <w:r w:rsidRPr="00C97248">
        <w:rPr>
          <w:rStyle w:val="HideTWBInt"/>
        </w:rPr>
        <w:t>{EN}</w:t>
      </w:r>
      <w:r w:rsidRPr="00C97248">
        <w:t>e</w:t>
      </w:r>
      <w:r w:rsidRPr="00C97248">
        <w:t>n</w:t>
      </w:r>
      <w:r w:rsidRPr="00C97248">
        <w:rPr>
          <w:rStyle w:val="HideTWBExt"/>
        </w:rPr>
        <w:t>&lt;/Original&gt;</w:t>
      </w:r>
    </w:p>
    <w:p w:rsidR="00342B99" w:rsidRPr="00C97248" w:rsidRDefault="00CF3AC9">
      <w:r w:rsidRPr="00C97248">
        <w:rPr>
          <w:rStyle w:val="HideTWBExt"/>
        </w:rPr>
        <w:t>&lt;/Amend&gt;</w:t>
      </w:r>
    </w:p>
    <w:p w:rsidR="00342B99" w:rsidRPr="00C97248" w:rsidRDefault="00CF3AC9">
      <w:r w:rsidRPr="00C97248">
        <w:rPr>
          <w:rStyle w:val="HideTWBExt"/>
        </w:rPr>
        <w:t>&lt;/RepeatBlock-Amend&gt;</w:t>
      </w:r>
    </w:p>
    <w:sectPr w:rsidR="00342B99" w:rsidRPr="00C97248" w:rsidSect="006C1D3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97248" w:rsidRDefault="00CF3AC9">
      <w:r w:rsidRPr="00C97248">
        <w:separator/>
      </w:r>
    </w:p>
  </w:endnote>
  <w:endnote w:type="continuationSeparator" w:id="0">
    <w:p w:rsidR="00000000" w:rsidRPr="00C97248" w:rsidRDefault="00CF3AC9">
      <w:r w:rsidRPr="00C972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D3F" w:rsidRPr="00C97248" w:rsidRDefault="006C1D3F" w:rsidP="006C1D3F">
    <w:pPr>
      <w:pStyle w:val="EPFooter"/>
    </w:pPr>
    <w:r w:rsidRPr="00C97248">
      <w:t>PE</w:t>
    </w:r>
    <w:r w:rsidRPr="00C97248">
      <w:rPr>
        <w:rStyle w:val="HideTWBExt"/>
      </w:rPr>
      <w:t>&lt;NoPE&gt;</w:t>
    </w:r>
    <w:r w:rsidRPr="00C97248">
      <w:t>756.072</w:t>
    </w:r>
    <w:r w:rsidRPr="00C97248">
      <w:rPr>
        <w:rStyle w:val="HideTWBExt"/>
      </w:rPr>
      <w:t>&lt;/NoPE&gt;&lt;Version&gt;</w:t>
    </w:r>
    <w:r w:rsidRPr="00C97248">
      <w:t>v01-00</w:t>
    </w:r>
    <w:r w:rsidRPr="00C97248">
      <w:rPr>
        <w:rStyle w:val="HideTWBExt"/>
      </w:rPr>
      <w:t>&lt;/Version&gt;</w:t>
    </w:r>
    <w:r w:rsidRPr="00C97248">
      <w:tab/>
    </w:r>
    <w:r w:rsidRPr="00C97248">
      <w:fldChar w:fldCharType="begin"/>
    </w:r>
    <w:r w:rsidRPr="00C97248">
      <w:instrText xml:space="preserve"> PAGE  \* MERGEFORMAT </w:instrText>
    </w:r>
    <w:r w:rsidRPr="00C97248">
      <w:fldChar w:fldCharType="separate"/>
    </w:r>
    <w:r w:rsidR="00CF3AC9">
      <w:rPr>
        <w:noProof/>
      </w:rPr>
      <w:t>42</w:t>
    </w:r>
    <w:r w:rsidRPr="00C97248">
      <w:fldChar w:fldCharType="end"/>
    </w:r>
    <w:r w:rsidRPr="00C97248">
      <w:t>/</w:t>
    </w:r>
    <w:fldSimple w:instr=" NUMPAGES  \* MERGEFORMAT ">
      <w:r w:rsidR="00CF3AC9">
        <w:rPr>
          <w:noProof/>
        </w:rPr>
        <w:t>56</w:t>
      </w:r>
    </w:fldSimple>
    <w:r w:rsidRPr="00C97248">
      <w:tab/>
    </w:r>
    <w:r w:rsidRPr="00C97248">
      <w:rPr>
        <w:rStyle w:val="HideTWBExt"/>
      </w:rPr>
      <w:t>&lt;PathFdR&gt;</w:t>
    </w:r>
    <w:r w:rsidRPr="00C97248">
      <w:t>AM\1289917FR.docx</w:t>
    </w:r>
    <w:r w:rsidRPr="00C97248">
      <w:rPr>
        <w:rStyle w:val="HideTWBExt"/>
      </w:rPr>
      <w:t>&lt;/PathFdR&gt;</w:t>
    </w:r>
  </w:p>
  <w:p w:rsidR="00342B99" w:rsidRPr="00C97248" w:rsidRDefault="006C1D3F" w:rsidP="006C1D3F">
    <w:pPr>
      <w:pStyle w:val="EPFooter2"/>
    </w:pPr>
    <w:r w:rsidRPr="00C9724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D3F" w:rsidRPr="00C97248" w:rsidRDefault="006C1D3F" w:rsidP="006C1D3F">
    <w:pPr>
      <w:pStyle w:val="EPFooter"/>
    </w:pPr>
    <w:r w:rsidRPr="00C97248">
      <w:rPr>
        <w:rStyle w:val="HideTWBExt"/>
      </w:rPr>
      <w:t>&lt;PathFdR&gt;</w:t>
    </w:r>
    <w:r w:rsidRPr="00C97248">
      <w:t>AM\1289917FR.docx</w:t>
    </w:r>
    <w:r w:rsidRPr="00C97248">
      <w:rPr>
        <w:rStyle w:val="HideTWBExt"/>
      </w:rPr>
      <w:t>&lt;/PathFdR&gt;</w:t>
    </w:r>
    <w:r w:rsidRPr="00C97248">
      <w:tab/>
    </w:r>
    <w:r w:rsidRPr="00C97248">
      <w:fldChar w:fldCharType="begin"/>
    </w:r>
    <w:r w:rsidRPr="00C97248">
      <w:instrText xml:space="preserve"> PAGE  \* MERGEFORMAT </w:instrText>
    </w:r>
    <w:r w:rsidRPr="00C97248">
      <w:fldChar w:fldCharType="separate"/>
    </w:r>
    <w:r w:rsidR="00CF3AC9">
      <w:rPr>
        <w:noProof/>
      </w:rPr>
      <w:t>41</w:t>
    </w:r>
    <w:r w:rsidRPr="00C97248">
      <w:fldChar w:fldCharType="end"/>
    </w:r>
    <w:r w:rsidRPr="00C97248">
      <w:t>/</w:t>
    </w:r>
    <w:fldSimple w:instr=" NUMPAGES  \* MERGEFORMAT ">
      <w:r w:rsidR="00CF3AC9">
        <w:rPr>
          <w:noProof/>
        </w:rPr>
        <w:t>56</w:t>
      </w:r>
    </w:fldSimple>
    <w:r w:rsidRPr="00C97248">
      <w:tab/>
      <w:t>PE</w:t>
    </w:r>
    <w:r w:rsidRPr="00C97248">
      <w:rPr>
        <w:rStyle w:val="HideTWBExt"/>
      </w:rPr>
      <w:t>&lt;NoPE&gt;</w:t>
    </w:r>
    <w:r w:rsidRPr="00C97248">
      <w:t>756.072</w:t>
    </w:r>
    <w:r w:rsidRPr="00C97248">
      <w:rPr>
        <w:rStyle w:val="HideTWBExt"/>
      </w:rPr>
      <w:t>&lt;/NoPE&gt;&lt;Version&gt;</w:t>
    </w:r>
    <w:r w:rsidRPr="00C97248">
      <w:t>v01-00</w:t>
    </w:r>
    <w:r w:rsidRPr="00C97248">
      <w:rPr>
        <w:rStyle w:val="HideTWBExt"/>
      </w:rPr>
      <w:t>&lt;/Version&gt;</w:t>
    </w:r>
  </w:p>
  <w:p w:rsidR="00342B99" w:rsidRPr="00C97248" w:rsidRDefault="006C1D3F" w:rsidP="006C1D3F">
    <w:pPr>
      <w:pStyle w:val="EPFooter2"/>
    </w:pPr>
    <w:r w:rsidRPr="00C97248">
      <w:tab/>
    </w:r>
    <w:r w:rsidRPr="00C9724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D3F" w:rsidRPr="00C97248" w:rsidRDefault="006C1D3F" w:rsidP="006C1D3F">
    <w:pPr>
      <w:pStyle w:val="EPFooter"/>
    </w:pPr>
    <w:r w:rsidRPr="00C97248">
      <w:rPr>
        <w:rStyle w:val="HideTWBExt"/>
      </w:rPr>
      <w:t>&lt;PathFdR&gt;</w:t>
    </w:r>
    <w:r w:rsidRPr="00C97248">
      <w:t>AM\1289917FR.docx</w:t>
    </w:r>
    <w:r w:rsidRPr="00C97248">
      <w:rPr>
        <w:rStyle w:val="HideTWBExt"/>
      </w:rPr>
      <w:t>&lt;/PathFdR&gt;</w:t>
    </w:r>
    <w:r w:rsidRPr="00C97248">
      <w:tab/>
    </w:r>
    <w:r w:rsidRPr="00C97248">
      <w:tab/>
      <w:t>PE</w:t>
    </w:r>
    <w:r w:rsidRPr="00C97248">
      <w:rPr>
        <w:rStyle w:val="HideTWBExt"/>
      </w:rPr>
      <w:t>&lt;NoPE&gt;</w:t>
    </w:r>
    <w:r w:rsidRPr="00C97248">
      <w:t>756.072</w:t>
    </w:r>
    <w:r w:rsidRPr="00C97248">
      <w:rPr>
        <w:rStyle w:val="HideTWBExt"/>
      </w:rPr>
      <w:t>&lt;/NoPE&gt;&lt;Version&gt;</w:t>
    </w:r>
    <w:r w:rsidRPr="00C97248">
      <w:t>v01-00</w:t>
    </w:r>
    <w:r w:rsidRPr="00C97248">
      <w:rPr>
        <w:rStyle w:val="HideTWBExt"/>
      </w:rPr>
      <w:t>&lt;/Version&gt;</w:t>
    </w:r>
  </w:p>
  <w:p w:rsidR="00342B99" w:rsidRPr="00C97248" w:rsidRDefault="006C1D3F" w:rsidP="006C1D3F">
    <w:pPr>
      <w:pStyle w:val="EPFooter2"/>
    </w:pPr>
    <w:r w:rsidRPr="00C97248">
      <w:t>FR</w:t>
    </w:r>
    <w:r w:rsidRPr="00C97248">
      <w:tab/>
    </w:r>
    <w:r w:rsidRPr="00C97248">
      <w:rPr>
        <w:b w:val="0"/>
        <w:i/>
        <w:color w:val="C0C0C0"/>
        <w:sz w:val="22"/>
      </w:rPr>
      <w:t>Unie dans la diversité</w:t>
    </w:r>
    <w:r w:rsidRPr="00C9724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97248" w:rsidRDefault="00CF3AC9">
      <w:r w:rsidRPr="00C97248">
        <w:separator/>
      </w:r>
    </w:p>
  </w:footnote>
  <w:footnote w:type="continuationSeparator" w:id="0">
    <w:p w:rsidR="00000000" w:rsidRPr="00C97248" w:rsidRDefault="00CF3AC9">
      <w:r w:rsidRPr="00C972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AC9" w:rsidRDefault="00CF3A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AC9" w:rsidRDefault="00CF3A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AC9" w:rsidRDefault="00CF3A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XTLANGUE" w:val="FR"/>
    <w:docVar w:name="TXTLANGUEMIN" w:val="fr"/>
    <w:docVar w:name="TXTNRPE" w:val="756.072"/>
    <w:docVar w:name="TXTPEorAP" w:val="PE"/>
    <w:docVar w:name="TXTROUTE" w:val="AM\1289917FR.docx"/>
    <w:docVar w:name="TXTVERSION" w:val="01-00"/>
  </w:docVars>
  <w:rsids>
    <w:rsidRoot w:val="00A77B3E"/>
    <w:rsid w:val="00342B99"/>
    <w:rsid w:val="006C1D3F"/>
    <w:rsid w:val="00A77B3E"/>
    <w:rsid w:val="00C97248"/>
    <w:rsid w:val="00CA2A55"/>
    <w:rsid w:val="00CF3A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9D35C06-B29B-4DA0-A582-D1E647C2F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C1D3F"/>
    <w:pPr>
      <w:tabs>
        <w:tab w:val="center" w:pos="4513"/>
        <w:tab w:val="right" w:pos="9026"/>
      </w:tabs>
    </w:pPr>
  </w:style>
  <w:style w:type="character" w:customStyle="1" w:styleId="HeaderChar">
    <w:name w:val="Header Char"/>
    <w:basedOn w:val="DefaultParagraphFont"/>
    <w:link w:val="Header"/>
    <w:rsid w:val="006C1D3F"/>
    <w:rPr>
      <w:sz w:val="24"/>
      <w:szCs w:val="24"/>
    </w:rPr>
  </w:style>
  <w:style w:type="paragraph" w:styleId="Footer">
    <w:name w:val="footer"/>
    <w:basedOn w:val="Normal"/>
    <w:link w:val="FooterChar"/>
    <w:semiHidden/>
    <w:unhideWhenUsed/>
    <w:rsid w:val="00CF3AC9"/>
    <w:pPr>
      <w:tabs>
        <w:tab w:val="center" w:pos="4513"/>
        <w:tab w:val="right" w:pos="9026"/>
      </w:tabs>
    </w:pPr>
  </w:style>
  <w:style w:type="character" w:customStyle="1" w:styleId="FooterChar">
    <w:name w:val="Footer Char"/>
    <w:basedOn w:val="DefaultParagraphFont"/>
    <w:link w:val="Footer"/>
    <w:semiHidden/>
    <w:rsid w:val="00CF3A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11912</Words>
  <Characters>68652</Characters>
  <Application>Microsoft Office Word</Application>
  <DocSecurity>0</DocSecurity>
  <Lines>2871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2023-11-28T10:51:00Z</dcterms:created>
  <dcterms:modified xsi:type="dcterms:W3CDTF">2023-11-28T10:51:00Z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AM\1289917FR.docx</vt:lpwstr>
  </property>
  <property fmtid="{D5CDD505-2E9C-101B-9397-08002B2CF9AE}" pid="9" name="PE Number">
    <vt:lpwstr>756.072</vt:lpwstr>
  </property>
  <property fmtid="{D5CDD505-2E9C-101B-9397-08002B2CF9AE}" pid="10" name="SDLStudio">
    <vt:lpwstr/>
  </property>
  <property fmtid="{D5CDD505-2E9C-101B-9397-08002B2CF9AE}" pid="11" name="UID">
    <vt:lpwstr>eu.europa.europarl-DIN1-2023-0000149720_02.00-en-01.00_text-xml</vt:lpwstr>
  </property>
  <property fmtid="{D5CDD505-2E9C-101B-9397-08002B2CF9AE}" pid="12" name="LastEdited with">
    <vt:lpwstr>9.16.1 Build [20230915]</vt:lpwstr>
  </property>
  <property fmtid="{D5CDD505-2E9C-101B-9397-08002B2CF9AE}" pid="13" name="Bookout">
    <vt:lpwstr>OK - 2023/11/28 11:51</vt:lpwstr>
  </property>
</Properties>
</file>