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3.6.0 -->
  <w:body>
    <w:tbl>
      <w:tblPr>
        <w:tblW w:w="0" w:type="auto"/>
        <w:jc w:val="center"/>
        <w:tblLayout w:type="fixed"/>
        <w:tblCellMar>
          <w:top w:w="0" w:type="dxa"/>
          <w:left w:w="108" w:type="dxa"/>
          <w:bottom w:w="0" w:type="dxa"/>
          <w:right w:w="108" w:type="dxa"/>
        </w:tblCellMar>
      </w:tblPr>
      <w:tblGrid>
        <w:gridCol w:w="6804"/>
        <w:gridCol w:w="2268"/>
      </w:tblGrid>
      <w:tr>
        <w:tblPrEx>
          <w:tblW w:w="0" w:type="auto"/>
          <w:jc w:val="center"/>
          <w:tblLayout w:type="fixed"/>
          <w:tblCellMar>
            <w:top w:w="0" w:type="dxa"/>
            <w:left w:w="108" w:type="dxa"/>
            <w:bottom w:w="0" w:type="dxa"/>
            <w:right w:w="108" w:type="dxa"/>
          </w:tblCellMar>
        </w:tblPrEx>
        <w:trPr>
          <w:trHeight w:hRule="exact" w:val="1417"/>
          <w:jc w:val="center"/>
        </w:trPr>
        <w:tc>
          <w:tcPr>
            <w:tcW w:w="6804" w:type="dxa"/>
            <w:vAlign w:val="center"/>
          </w:tcPr>
          <w:p>
            <w:pPr>
              <w:pStyle w:val="EPName"/>
            </w:pPr>
            <w:r>
              <w:t>Európai Parlament</w:t>
            </w:r>
          </w:p>
          <w:p>
            <w:pPr>
              <w:pStyle w:val="EPTerm"/>
              <w:jc w:val="left"/>
            </w:pPr>
            <w:r>
              <w:t>2019-2024</w:t>
            </w:r>
          </w:p>
        </w:tc>
        <w:tc>
          <w:tcPr>
            <w:tcW w:w="2268" w:type="dxa"/>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{EMPL}</w:t>
      </w:r>
      <w:r>
        <w:t>Foglalkoztatási és Szociális Bizottság</w:t>
      </w:r>
      <w:r>
        <w:rPr>
          <w:rStyle w:val="HideTWBExt"/>
        </w:rPr>
        <w:t>&lt;/Commission&gt;</w:t>
      </w:r>
    </w:p>
    <w:p>
      <w:pPr>
        <w:pStyle w:val="LineBottom"/>
      </w:pPr>
      <w:r>
        <w:t xml:space="preserve"> </w:t>
      </w:r>
    </w:p>
    <w:p>
      <w:pPr>
        <w:pStyle w:val="CoverReference"/>
      </w:pPr>
      <w:r>
        <w:rPr>
          <w:rStyle w:val="HideTWBExt"/>
        </w:rPr>
        <w:t>&lt;RefProc&gt;</w:t>
      </w:r>
      <w:r>
        <w:t>2023/0311</w:t>
      </w:r>
      <w:r>
        <w:rPr>
          <w:rStyle w:val="HideTWBExt"/>
        </w:rPr>
        <w:t>&lt;/RefProc&gt;</w:t>
      </w:r>
      <w:r>
        <w:rPr>
          <w:rStyle w:val="HideTWBExt"/>
        </w:rPr>
        <w:t>&lt;RefTypeProc&gt;</w:t>
      </w:r>
      <w:r>
        <w:t>(COD)</w:t>
      </w:r>
      <w:r>
        <w:rPr>
          <w:rStyle w:val="HideTWBExt"/>
        </w:rPr>
        <w:t>&lt;/RefTypeProc&gt;</w:t>
      </w:r>
    </w:p>
    <w:p>
      <w:pPr>
        <w:pStyle w:val="CoverDate"/>
      </w:pPr>
      <w:r>
        <w:rPr>
          <w:rStyle w:val="HideTWBExt"/>
        </w:rPr>
        <w:t>&lt;Date&gt;</w:t>
      </w:r>
      <w:r>
        <w:rPr>
          <w:rStyle w:val="HideTWBInt"/>
        </w:rPr>
        <w:t>{10/11/2023}</w:t>
      </w:r>
      <w:r>
        <w:t>10.11.2023</w:t>
      </w:r>
      <w:r>
        <w:rPr>
          <w:rStyle w:val="HideTWBExt"/>
        </w:rPr>
        <w:t>&lt;/Date&gt;</w:t>
      </w:r>
    </w:p>
    <w:p>
      <w:pPr>
        <w:pStyle w:val="CoverDocType"/>
      </w:pPr>
      <w:r>
        <w:rPr>
          <w:rStyle w:val="HideTWBExt"/>
        </w:rPr>
        <w:t>&lt;TypeAM&gt;</w:t>
      </w:r>
      <w:r>
        <w:t>MÓDOSÍTÁS:</w:t>
      </w:r>
      <w:r>
        <w:rPr>
          <w:rStyle w:val="HideTWBExt"/>
        </w:rPr>
        <w:t>&lt;/TypeAM&gt;</w:t>
      </w:r>
    </w:p>
    <w:p>
      <w:pPr>
        <w:pStyle w:val="CoverDocType24a"/>
      </w:pPr>
      <w:r>
        <w:rPr>
          <w:rStyle w:val="HideTWBExt"/>
        </w:rPr>
        <w:t>&lt;RangeAM&gt;</w:t>
      </w:r>
      <w:r>
        <w:t>370</w:t>
      </w:r>
      <w:r>
        <w:t xml:space="preserve"> - </w:t>
      </w:r>
      <w:r>
        <w:t>480</w:t>
      </w:r>
      <w:r>
        <w:rPr>
          <w:rStyle w:val="HideTWBExt"/>
        </w:rPr>
        <w:t>&lt;/RangeAM&gt;</w:t>
      </w:r>
    </w:p>
    <w:p>
      <w:pPr>
        <w:pStyle w:val="CoverBold"/>
      </w:pPr>
      <w:r>
        <w:rPr>
          <w:rStyle w:val="HideTWBExt"/>
        </w:rPr>
        <w:t>&lt;TitreType&gt;</w:t>
      </w:r>
      <w:r>
        <w:t>Jelentéstervezet</w:t>
      </w:r>
      <w:r>
        <w:rPr>
          <w:rStyle w:val="HideTWBExt"/>
        </w:rPr>
        <w:t>&lt;/TitreType&gt;</w:t>
      </w:r>
    </w:p>
    <w:p>
      <w:pPr>
        <w:pStyle w:val="CoverBold"/>
      </w:pPr>
      <w:r>
        <w:rPr>
          <w:rStyle w:val="HideTWBExt"/>
        </w:rPr>
        <w:t>&lt;Rapporteur&gt;</w:t>
      </w:r>
      <w:r>
        <w:t>Lucia Ďuriš Nicholsonová</w:t>
      </w:r>
      <w:r>
        <w:rPr>
          <w:rStyle w:val="HideTWBExt"/>
        </w:rPr>
        <w:t>&lt;/Rapporteur&gt;</w:t>
      </w:r>
    </w:p>
    <w:p>
      <w:pPr>
        <w:pStyle w:val="CoverNormal24a"/>
      </w:pPr>
      <w:r>
        <w:rPr>
          <w:rStyle w:val="HideTWBExt"/>
        </w:rPr>
        <w:t>&lt;DocRefPE&gt;</w:t>
      </w:r>
      <w:r>
        <w:t>(PE754.831v01-00)</w:t>
      </w:r>
      <w:r>
        <w:rPr>
          <w:rStyle w:val="HideTWBExt"/>
        </w:rPr>
        <w:t>&lt;/DocRefPE&gt;</w:t>
      </w:r>
    </w:p>
    <w:p>
      <w:pPr>
        <w:pStyle w:val="CoverNormal24a"/>
      </w:pPr>
      <w:r>
        <w:rPr>
          <w:rStyle w:val="HideTWBExt"/>
        </w:rPr>
        <w:t>&lt;Titre&gt;</w:t>
      </w:r>
      <w:r>
        <w:t>az európai fogyatékossági kártya és a fogyatékossággal élő személyek európai parkolási kártyája létrehozásáról</w:t>
      </w:r>
      <w:r>
        <w:rPr>
          <w:rStyle w:val="HideTWBExt"/>
        </w:rPr>
        <w:t>&lt;/Titre&gt;</w:t>
      </w:r>
    </w:p>
    <w:p>
      <w:pPr>
        <w:pStyle w:val="CoverNormal"/>
      </w:pPr>
      <w:r>
        <w:rPr>
          <w:rStyle w:val="HideTWBExt"/>
        </w:rPr>
        <w:t>&lt;DocAmend&gt;</w:t>
      </w:r>
      <w:r>
        <w:t>Irányelvre irányuló javaslat</w:t>
      </w:r>
      <w:r>
        <w:rPr>
          <w:rStyle w:val="HideTWBExt"/>
        </w:rPr>
        <w:t>&lt;/DocAmend&gt;</w:t>
      </w:r>
    </w:p>
    <w:p>
      <w:pPr>
        <w:pStyle w:val="CoverNormal24a"/>
      </w:pPr>
      <w:r>
        <w:rPr>
          <w:rStyle w:val="HideTWBExt"/>
        </w:rPr>
        <w:t>&lt;DocRef&gt;</w:t>
      </w:r>
      <w:r>
        <w:t>(COM(2023)0512 – C9-0328/2023 – 2023/0311(COD))</w:t>
      </w:r>
      <w:r>
        <w:rPr>
          <w:rStyle w:val="HideTWBExt"/>
        </w:rPr>
        <w:t>&lt;/DocRef&gt;</w:t>
      </w:r>
    </w:p>
    <w:p>
      <w:r>
        <w:br w:type="page"/>
      </w:r>
      <w:r>
        <w:t>AM_Com_LegReport</w:t>
      </w:r>
    </w:p>
    <w:p>
      <w:pPr>
        <w:pStyle w:val="AmNumberTabs"/>
      </w:pPr>
      <w:r>
        <w:br w:type="page"/>
      </w:r>
      <w:r>
        <w:rPr>
          <w:rStyle w:val="HideTWBExt"/>
        </w:rPr>
        <w:t>&lt;RepeatBlock-Amend&gt;</w:t>
      </w:r>
      <w:r>
        <w:rPr>
          <w:rStyle w:val="HideTWBExt"/>
        </w:rPr>
        <w:t>&lt;Amend&gt;</w:t>
      </w:r>
      <w:r>
        <w:t>Módosítás</w:t>
      </w:r>
      <w:r>
        <w:tab/>
      </w:r>
      <w:r>
        <w:tab/>
      </w:r>
      <w:r>
        <w:rPr>
          <w:rStyle w:val="HideTWBExt"/>
        </w:rPr>
        <w:t>&lt;NumAm&gt;</w:t>
      </w:r>
      <w:r>
        <w:t>370</w:t>
      </w:r>
      <w:r>
        <w:rPr>
          <w:rStyle w:val="HideTWBExt"/>
        </w:rPr>
        <w:t>&lt;/NumAm&gt;</w:t>
      </w:r>
    </w:p>
    <w:p>
      <w:pPr>
        <w:pStyle w:val="NormalBold"/>
      </w:pPr>
      <w:r>
        <w:rPr>
          <w:rStyle w:val="HideTWBExt"/>
        </w:rPr>
        <w:t>&lt;RepeatBlock-By&gt;</w:t>
      </w:r>
      <w:r>
        <w:rPr>
          <w:rStyle w:val="HideTWBExt"/>
        </w:rPr>
        <w:t>&lt;Members&gt;</w:t>
      </w:r>
      <w:r>
        <w:t>Cindy Franssen, David Casa, 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2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(2a)</w:t>
            </w:r>
            <w:r>
              <w:tab/>
            </w:r>
            <w:r>
              <w:rPr>
                <w:b/>
                <w:i/>
              </w:rPr>
              <w:t>A Bizottság biztosítja, hogy megfelelő finanszírozást bocsássanak a tagállamok rendelkezésére az e cikk és az irányelv 15. cikke szerinti tájékoztatási és figyelemfelhívási kötelezettségekkel kapcsolatos költségek fedezésére.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371</w:t>
      </w:r>
      <w:r>
        <w:rPr>
          <w:rStyle w:val="HideTWBExt"/>
        </w:rPr>
        <w:t>&lt;/NumAm&gt;</w:t>
      </w:r>
    </w:p>
    <w:p>
      <w:pPr>
        <w:pStyle w:val="NormalBold"/>
      </w:pPr>
      <w:r>
        <w:rPr>
          <w:rStyle w:val="HideTWBExt"/>
        </w:rPr>
        <w:t>&lt;RepeatBlock-By&gt;</w:t>
      </w:r>
      <w:r>
        <w:rPr>
          <w:rStyle w:val="HideTWBExt"/>
        </w:rPr>
        <w:t>&lt;Members&gt;</w:t>
      </w:r>
      <w:r>
        <w:t>David Casa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3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A tagállamok minden szükséges lépést megtesznek a hamisítás vagy csalás kockázatának elkerülése érdekében, és aktívan küzdenek az európai fogyatékossági kártya és a fogyatékossággal élő személyeknek szóló európai parkolási kártya csalárd felhasználása és hamisítása ellen.</w:t>
            </w:r>
          </w:p>
        </w:tc>
        <w:tc>
          <w:tcPr>
            <w:tcW w:w="4876" w:type="dxa"/>
          </w:tcPr>
          <w:p>
            <w:pPr>
              <w:pStyle w:val="Normal6a"/>
            </w:pPr>
            <w:r>
              <w:t>(3)</w:t>
            </w:r>
            <w:r>
              <w:tab/>
            </w:r>
            <w:r>
              <w:t>A tagállamok minden szükséges lépést megtesznek a hamisítás vagy csalás kockázatának elkerülése érdekében, és aktívan küzdenek az európai fogyatékossági kártya és a fogyatékossággal élő személyeknek szóló európai parkolási kártya csalárd felhasználása és hamisítása ellen</w:t>
            </w:r>
            <w:r>
              <w:rPr>
                <w:b/>
                <w:i/>
              </w:rPr>
              <w:t>, ám nem akadályozzák, hogy a fogyatékossággal élők hozzájuthassanak a kártyához</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372</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3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A tagállamok minden szükséges lépést megtesznek a hamisítás vagy csalás kockázatának elkerülése érdekében, és aktívan küzdenek </w:t>
            </w:r>
            <w:r>
              <w:rPr>
                <w:b/>
                <w:i/>
              </w:rPr>
              <w:t>az európai fogyatékossági</w:t>
            </w:r>
            <w:r>
              <w:t xml:space="preserve"> kártya és a fogyatékossággal élő személyeknek szóló európai parkolási kártya csalárd felhasználása és hamisítása ellen.</w:t>
            </w:r>
          </w:p>
        </w:tc>
        <w:tc>
          <w:tcPr>
            <w:tcW w:w="4876" w:type="dxa"/>
          </w:tcPr>
          <w:p>
            <w:pPr>
              <w:pStyle w:val="Normal6a"/>
            </w:pPr>
            <w:r>
              <w:t>(3)</w:t>
            </w:r>
            <w:r>
              <w:tab/>
            </w:r>
            <w:r>
              <w:t xml:space="preserve">A tagállamok minden szükséges lépést megtesznek a hamisítás vagy csalás kockázatának elkerülése érdekében, és aktívan küzdenek </w:t>
            </w:r>
            <w:r>
              <w:rPr>
                <w:b/>
                <w:i/>
              </w:rPr>
              <w:t>a fogyatékossággal élő és idős személyeknek szóló európai</w:t>
            </w:r>
            <w:r>
              <w:t xml:space="preserve"> kártya és a fogyatékossággal élő </w:t>
            </w:r>
            <w:r>
              <w:rPr>
                <w:b/>
                <w:i/>
              </w:rPr>
              <w:t>és idős</w:t>
            </w:r>
            <w:r>
              <w:t xml:space="preserve"> személyeknek szóló európai parkolási kártya csalárd felhasználása és hamisítása ellen.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373</w:t>
      </w:r>
      <w:r>
        <w:rPr>
          <w:rStyle w:val="HideTWBExt"/>
        </w:rPr>
        <w:t>&lt;/NumAm&gt;</w:t>
      </w:r>
    </w:p>
    <w:p>
      <w:pPr>
        <w:pStyle w:val="NormalBold"/>
      </w:pPr>
      <w:r>
        <w:rPr>
          <w:rStyle w:val="HideTWBExt"/>
        </w:rPr>
        <w:t>&lt;RepeatBlock-By&gt;</w:t>
      </w:r>
      <w:r>
        <w:rPr>
          <w:rStyle w:val="HideTWBExt"/>
        </w:rPr>
        <w:t>&lt;Members&gt;</w:t>
      </w:r>
      <w:r>
        <w:t>Rosa Estaràs Ferragut</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3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(3a)</w:t>
            </w:r>
            <w:r>
              <w:tab/>
            </w:r>
            <w:r>
              <w:rPr>
                <w:b/>
                <w:i/>
              </w:rPr>
              <w:t>Emellett az európai intézményeknek folyamatosan terjeszteniük kell az európai fogyatékossági kártyával kapcsolatos információkat és képzéseket a fogyatékossággal élő személyek és képviseleti szervezeteik részvételével, az annak használatáról szóló, egymást követő képzések és figyelemfelhívó kampányok révén, olyan formátumban, amely biztosítja az egyetemes hozzáférhetőséget.</w:t>
            </w:r>
            <w:r>
              <w:t xml:space="preserve"> </w:t>
            </w:r>
            <w:r>
              <w:rPr>
                <w:b/>
                <w:i/>
              </w:rPr>
              <w:t>Ennek az információnak egyértelműen tartalmaznia kell a kártya önkéntes jellegét.</w:t>
            </w:r>
            <w:r>
              <w:t xml:space="preserve"> </w:t>
            </w:r>
            <w:r>
              <w:rPr>
                <w:b/>
                <w:i/>
              </w:rPr>
              <w:t>E célból az Unión belül külön költségvetési finanszírozási sorokat kell rendelkezésre bocsátani.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374</w:t>
      </w:r>
      <w:r>
        <w:rPr>
          <w:rStyle w:val="HideTWBExt"/>
        </w:rPr>
        <w:t>&lt;/NumAm&gt;</w:t>
      </w:r>
    </w:p>
    <w:p>
      <w:pPr>
        <w:pStyle w:val="NormalBold"/>
      </w:pPr>
      <w:r>
        <w:rPr>
          <w:rStyle w:val="HideTWBExt"/>
        </w:rPr>
        <w:t>&lt;RepeatBlock-By&gt;</w:t>
      </w:r>
      <w:r>
        <w:rPr>
          <w:rStyle w:val="HideTWBExt"/>
        </w:rPr>
        <w:t>&lt;Members&gt;</w:t>
      </w:r>
      <w:r>
        <w:t>David Casa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3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(3a)</w:t>
            </w:r>
            <w:r>
              <w:tab/>
            </w:r>
            <w:r>
              <w:rPr>
                <w:b/>
                <w:i/>
              </w:rPr>
              <w:t>A tagállamok biztosítják, hogy a – különösen a szociális ellátások területén elkövetett – csalásokat haladéktalanul és alaposan kivizsgálják, és adott esetben – ezen irányelv megfelelő működésének biztosítása érdekében – büntetőeljárás alá vonják.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375</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A tagállamok megteszik a szükséges intézkedéseket annak biztosítására, hogy </w:t>
            </w:r>
            <w:r>
              <w:rPr>
                <w:b/>
                <w:i/>
              </w:rPr>
              <w:t>az európai fogyatékossági</w:t>
            </w:r>
            <w:r>
              <w:t xml:space="preserve"> kártya </w:t>
            </w:r>
            <w:r>
              <w:rPr>
                <w:b/>
                <w:i/>
              </w:rPr>
              <w:t>vagy</w:t>
            </w:r>
            <w:r>
              <w:t xml:space="preserve"> a fogyatékossággal élő </w:t>
            </w:r>
            <w:r>
              <w:rPr>
                <w:b/>
                <w:i/>
              </w:rPr>
              <w:t>személyek</w:t>
            </w:r>
            <w:r>
              <w:t xml:space="preserve"> európai parkolási </w:t>
            </w:r>
            <w:r>
              <w:rPr>
                <w:b/>
                <w:i/>
              </w:rPr>
              <w:t>kártyája</w:t>
            </w:r>
            <w:r>
              <w:t xml:space="preserve"> birtokosai visszaszolgáltassák kártyájukat az illetékes hatósághoz, amint azok kiállításának feltételei már nem teljesülnek.</w:t>
            </w:r>
          </w:p>
        </w:tc>
        <w:tc>
          <w:tcPr>
            <w:tcW w:w="4876" w:type="dxa"/>
          </w:tcPr>
          <w:p>
            <w:pPr>
              <w:pStyle w:val="Normal6a"/>
            </w:pPr>
            <w:r>
              <w:t>(4)</w:t>
            </w:r>
            <w:r>
              <w:tab/>
            </w:r>
            <w:r>
              <w:t xml:space="preserve">A tagállamok megteszik a szükséges intézkedéseket annak biztosítására, hogy </w:t>
            </w:r>
            <w:r>
              <w:rPr>
                <w:b/>
                <w:i/>
              </w:rPr>
              <w:t>a fogyatékossággal élő és idős személyeknek szóló európai</w:t>
            </w:r>
            <w:r>
              <w:t xml:space="preserve"> kártya </w:t>
            </w:r>
            <w:r>
              <w:rPr>
                <w:b/>
                <w:i/>
              </w:rPr>
              <w:t>és</w:t>
            </w:r>
            <w:r>
              <w:t xml:space="preserve"> a fogyatékossággal élő </w:t>
            </w:r>
            <w:r>
              <w:rPr>
                <w:b/>
                <w:i/>
              </w:rPr>
              <w:t>és idős személyeknek szóló</w:t>
            </w:r>
            <w:r>
              <w:t xml:space="preserve"> európai parkolási </w:t>
            </w:r>
            <w:r>
              <w:rPr>
                <w:b/>
                <w:i/>
              </w:rPr>
              <w:t>kártya</w:t>
            </w:r>
            <w:r>
              <w:t xml:space="preserve"> birtokosai visszaszolgáltassák kártyájukat az illetékes hatósághoz, amint azok kiállításának feltételei már nem teljesülnek.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376</w:t>
      </w:r>
      <w:r>
        <w:rPr>
          <w:rStyle w:val="HideTWBExt"/>
        </w:rPr>
        <w:t>&lt;/NumAm&gt;</w:t>
      </w:r>
    </w:p>
    <w:p>
      <w:pPr>
        <w:pStyle w:val="NormalBold"/>
      </w:pPr>
      <w:r>
        <w:rPr>
          <w:rStyle w:val="HideTWBExt"/>
        </w:rPr>
        <w:t>&lt;RepeatBlock-By&gt;</w:t>
      </w:r>
      <w:r>
        <w:rPr>
          <w:rStyle w:val="HideTWBExt"/>
        </w:rPr>
        <w:t>&lt;Members&gt;</w:t>
      </w:r>
      <w:r>
        <w:t>Miriam Lexmann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5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A tagállamok megteszik a szükséges intézkedéseket annak biztosítására, hogy amennyiben a területükön egy másik tagállam által kiállított kártyákkal való visszaélés vagy helytelen használat eseteit tapasztalják, tájékoztassák az európai fogyatékossági kártyát vagy a fogyatékossággal élő személyek európai parkolási kártyáját kiállító másik tagállam illetékes hatóságait. A kiállító tagállam a nemzeti joggal vagy gyakorlattal összhangban biztosítja a megfelelő nyomon követést.</w:t>
            </w:r>
          </w:p>
        </w:tc>
        <w:tc>
          <w:tcPr>
            <w:tcW w:w="4876" w:type="dxa"/>
          </w:tcPr>
          <w:p>
            <w:pPr>
              <w:pStyle w:val="Normal6a"/>
            </w:pPr>
            <w:r>
              <w:t>(5)</w:t>
            </w:r>
            <w:r>
              <w:tab/>
            </w:r>
            <w:r>
              <w:t xml:space="preserve">A tagállamok megteszik a szükséges intézkedéseket annak biztosítására, hogy amennyiben a területükön egy másik tagállam által kiállított kártyákkal való visszaélés vagy helytelen használat eseteit tapasztalják, tájékoztassák az európai fogyatékossági kártyát vagy a fogyatékossággal élő személyek európai parkolási kártyáját kiállító másik tagállam illetékes hatóságait. A kiállító tagállam a nemzeti joggal vagy gyakorlattal összhangban biztosítja a megfelelő nyomon követést. </w:t>
            </w:r>
            <w:r>
              <w:rPr>
                <w:b/>
                <w:i/>
              </w:rPr>
              <w:t>A tagállamok információt cserélnek a kártyákkal való visszaélés vagy csalárd használat eseteiről.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377</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5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A tagállamok megteszik a szükséges intézkedéseket annak biztosítására, hogy amennyiben a területükön egy másik tagállam által kiállított kártyákkal való visszaélés vagy helytelen használat eseteit tapasztalják, tájékoztassák </w:t>
            </w:r>
            <w:r>
              <w:rPr>
                <w:b/>
                <w:i/>
              </w:rPr>
              <w:t>az európai fogyatékossági</w:t>
            </w:r>
            <w:r>
              <w:t xml:space="preserve"> kártyát </w:t>
            </w:r>
            <w:r>
              <w:rPr>
                <w:b/>
                <w:i/>
              </w:rPr>
              <w:t>vagy</w:t>
            </w:r>
            <w:r>
              <w:t xml:space="preserve"> a fogyatékossággal élő </w:t>
            </w:r>
            <w:r>
              <w:rPr>
                <w:b/>
                <w:i/>
              </w:rPr>
              <w:t>személyek</w:t>
            </w:r>
            <w:r>
              <w:t xml:space="preserve"> európai parkolási </w:t>
            </w:r>
            <w:r>
              <w:rPr>
                <w:b/>
                <w:i/>
              </w:rPr>
              <w:t>kártyáját</w:t>
            </w:r>
            <w:r>
              <w:t xml:space="preserve"> kiállító másik tagállam illetékes hatóságait. A kiállító tagállam a nemzeti joggal vagy gyakorlattal összhangban biztosítja a megfelelő nyomon követést.</w:t>
            </w:r>
          </w:p>
        </w:tc>
        <w:tc>
          <w:tcPr>
            <w:tcW w:w="4876" w:type="dxa"/>
          </w:tcPr>
          <w:p>
            <w:pPr>
              <w:pStyle w:val="Normal6a"/>
            </w:pPr>
            <w:r>
              <w:t>(5)</w:t>
            </w:r>
            <w:r>
              <w:tab/>
            </w:r>
            <w:r>
              <w:t xml:space="preserve">A tagállamok megteszik a szükséges intézkedéseket annak biztosítására, hogy amennyiben a területükön egy másik tagállam által kiállított kártyákkal való visszaélés vagy helytelen használat eseteit tapasztalják, tájékoztassák </w:t>
            </w:r>
            <w:r>
              <w:rPr>
                <w:b/>
                <w:i/>
              </w:rPr>
              <w:t>a fogyatékossággal élő és idős személyeknek szóló európai</w:t>
            </w:r>
            <w:r>
              <w:t xml:space="preserve"> kártyát </w:t>
            </w:r>
            <w:r>
              <w:rPr>
                <w:b/>
                <w:i/>
              </w:rPr>
              <w:t>és</w:t>
            </w:r>
            <w:r>
              <w:t xml:space="preserve"> a fogyatékossággal élő </w:t>
            </w:r>
            <w:r>
              <w:rPr>
                <w:b/>
                <w:i/>
              </w:rPr>
              <w:t>és idős személyeknek szóló</w:t>
            </w:r>
            <w:r>
              <w:t xml:space="preserve"> európai parkolási </w:t>
            </w:r>
            <w:r>
              <w:rPr>
                <w:b/>
                <w:i/>
              </w:rPr>
              <w:t>kártyát</w:t>
            </w:r>
            <w:r>
              <w:t xml:space="preserve"> kiállító másik tagállam illetékes hatóságait. A kiállító tagállam a nemzeti joggal vagy gyakorlattal összhangban biztosítja a megfelelő nyomon követést.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378</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6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A tagállamok ellenőrzik, hogy teljesülnek-e </w:t>
            </w:r>
            <w:r>
              <w:rPr>
                <w:b/>
                <w:i/>
              </w:rPr>
              <w:t>az európai fogyatékossági</w:t>
            </w:r>
            <w:r>
              <w:t xml:space="preserve"> kártyából </w:t>
            </w:r>
            <w:r>
              <w:rPr>
                <w:b/>
                <w:i/>
              </w:rPr>
              <w:t>vagy</w:t>
            </w:r>
            <w:r>
              <w:t xml:space="preserve"> a fogyatékossággal élő </w:t>
            </w:r>
            <w:r>
              <w:rPr>
                <w:b/>
                <w:i/>
              </w:rPr>
              <w:t>személyek</w:t>
            </w:r>
            <w:r>
              <w:t xml:space="preserve"> európai parkolási </w:t>
            </w:r>
            <w:r>
              <w:rPr>
                <w:b/>
                <w:i/>
              </w:rPr>
              <w:t>kártyájából</w:t>
            </w:r>
            <w:r>
              <w:t xml:space="preserve"> eredő kötelezettségek, valamint az e kártyával rendelkező fogyatékossággal élő személyek, valamint az őket kísérő vagy segítő személy(ek) vonatkozó jogai, beleértve a személyi asszisztens(eke)t is.</w:t>
            </w:r>
          </w:p>
        </w:tc>
        <w:tc>
          <w:tcPr>
            <w:tcW w:w="4876" w:type="dxa"/>
          </w:tcPr>
          <w:p>
            <w:pPr>
              <w:pStyle w:val="Normal6a"/>
            </w:pPr>
            <w:r>
              <w:t>(6)</w:t>
            </w:r>
            <w:r>
              <w:tab/>
            </w:r>
            <w:r>
              <w:t xml:space="preserve">A tagállamok ellenőrzik, hogy teljesülnek-e </w:t>
            </w:r>
            <w:r>
              <w:rPr>
                <w:b/>
                <w:i/>
              </w:rPr>
              <w:t>a fogyatékossággal élő és idős személyeknek szóló európai</w:t>
            </w:r>
            <w:r>
              <w:t xml:space="preserve"> kártyából </w:t>
            </w:r>
            <w:r>
              <w:rPr>
                <w:b/>
                <w:i/>
              </w:rPr>
              <w:t>és</w:t>
            </w:r>
            <w:r>
              <w:t xml:space="preserve"> a fogyatékossággal élő </w:t>
            </w:r>
            <w:r>
              <w:rPr>
                <w:b/>
                <w:i/>
              </w:rPr>
              <w:t>és idős személyeknek szóló</w:t>
            </w:r>
            <w:r>
              <w:t xml:space="preserve"> európai parkolási </w:t>
            </w:r>
            <w:r>
              <w:rPr>
                <w:b/>
                <w:i/>
              </w:rPr>
              <w:t>kártyából</w:t>
            </w:r>
            <w:r>
              <w:t xml:space="preserve"> eredő kötelezettségek, valamint az e kártyával rendelkező fogyatékossággal élő </w:t>
            </w:r>
            <w:r>
              <w:rPr>
                <w:b/>
                <w:i/>
              </w:rPr>
              <w:t>és idős</w:t>
            </w:r>
            <w:r>
              <w:t xml:space="preserve"> személyek, valamint az őket kísérő vagy segítő személy(ek) vonatkozó jogai, beleértve a személyi asszisztens(eke)t 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379</w:t>
      </w:r>
      <w:r>
        <w:rPr>
          <w:rStyle w:val="HideTWBExt"/>
        </w:rPr>
        <w:t>&lt;/NumAm&gt;</w:t>
      </w:r>
    </w:p>
    <w:p>
      <w:pPr>
        <w:pStyle w:val="NormalBold"/>
      </w:pPr>
      <w:r>
        <w:rPr>
          <w:rStyle w:val="HideTWBExt"/>
        </w:rPr>
        <w:t>&lt;RepeatBlock-By&gt;</w:t>
      </w:r>
      <w:r>
        <w:rPr>
          <w:rStyle w:val="HideTWBExt"/>
        </w:rPr>
        <w:t>&lt;Members&gt;</w:t>
      </w:r>
      <w:r>
        <w:t>Miriam Lexmann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Az e cikk (1) és (2)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(7)</w:t>
            </w:r>
            <w:r>
              <w:tab/>
            </w:r>
            <w:r>
              <w:t xml:space="preserve">Az e cikk (1) és (2) bekezdésében említett információkat díjmentesen, egyértelmű, átfogó, felhasználóbarát és könnyen hozzáférhető módon kell rendelkezésre bocsátani, többek között a magánüzemeltetők vagy hatóságok hivatalos honlapjain, ha vannak, </w:t>
            </w:r>
            <w:r>
              <w:rPr>
                <w:b/>
                <w:i/>
              </w:rPr>
              <w:t>egy uniós szintű honlapon az összes uniós nyelven,</w:t>
            </w:r>
            <w:r>
              <w:t xml:space="preserve"> vagy más megfelelő módon, a szolgáltatásokra vonatkozóan az (EU) 2019/882 irányelv I. mellékletében meghatározott releváns akadálymentességi követelményekkel összhangban. </w:t>
            </w:r>
            <w:r>
              <w:rPr>
                <w:b/>
                <w:i/>
              </w:rPr>
              <w:t>Az információk összetettsége nem haladhatja meg az Európa Tanács által kidolgozott közös európai nyelvi referenciakeret B1 (középhaladó) szintjét.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380</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Az e cikk (1) és (2)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(7)</w:t>
            </w:r>
            <w:r>
              <w:tab/>
            </w:r>
            <w:r>
              <w:t xml:space="preserve">Az e cikk (1) és (2)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 </w:t>
            </w:r>
            <w:r>
              <w:rPr>
                <w:b/>
                <w:i/>
              </w:rPr>
              <w:t>A tagállamok az e cikk (1) és (2) bekezdéséből eredő intézkedéseket a fogyatékossággal élő személyek képviseleti szervezeteivel konzultálva hozzák meg.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381</w:t>
      </w:r>
      <w:r>
        <w:rPr>
          <w:rStyle w:val="HideTWBExt"/>
        </w:rPr>
        <w:t>&lt;/NumAm&gt;</w:t>
      </w:r>
    </w:p>
    <w:p>
      <w:pPr>
        <w:pStyle w:val="NormalBold"/>
      </w:pPr>
      <w:r>
        <w:rPr>
          <w:rStyle w:val="HideTWBExt"/>
        </w:rPr>
        <w:t>&lt;RepeatBlock-By&gt;</w:t>
      </w:r>
      <w:r>
        <w:rPr>
          <w:rStyle w:val="HideTWBExt"/>
        </w:rPr>
        <w:t>&lt;Members&gt;</w:t>
      </w:r>
      <w:r>
        <w:t>Chiara Gemma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Az e cikk (1) és (2)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(7)</w:t>
            </w:r>
            <w:r>
              <w:tab/>
            </w:r>
            <w:r>
              <w:t xml:space="preserve">Az e cikk (1) és (2) bekezdésében említett információkat díjmentesen, egyértelmű, átfogó, felhasználóbarát és könnyen hozzáférhető módon kell rendelkezésre bocsátani, többek között </w:t>
            </w:r>
            <w:r>
              <w:rPr>
                <w:b/>
                <w:i/>
              </w:rPr>
              <w:t>egy uniós szintű honlapon az összes uniós nyelven,</w:t>
            </w:r>
            <w:r>
              <w:t xml:space="preserve"> a magánüzemeltetők vagy hatóságok hivatalos honlapjain, ha vannak, vagy más megfelelő módon, a szolgáltatásokra vonatkozóan az (EU) 2019/882 irányelv I. mellékletében meghatározott releváns akadálymentességi követelményekkel összhangban.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382</w:t>
      </w:r>
      <w:r>
        <w:rPr>
          <w:rStyle w:val="HideTWBExt"/>
        </w:rPr>
        <w:t>&lt;/NumAm&gt;</w:t>
      </w:r>
    </w:p>
    <w:p>
      <w:pPr>
        <w:pStyle w:val="NormalBold"/>
      </w:pPr>
      <w:r>
        <w:rPr>
          <w:rStyle w:val="HideTWBExt"/>
        </w:rPr>
        <w:t>&lt;RepeatBlock-By&gt;</w:t>
      </w:r>
      <w:r>
        <w:rPr>
          <w:rStyle w:val="HideTWBExt"/>
        </w:rPr>
        <w:t>&lt;Members&gt;</w:t>
      </w:r>
      <w:r>
        <w:t>José Gusmão</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(7)</w:t>
            </w:r>
            <w:r>
              <w:tab/>
            </w:r>
            <w:r>
              <w:t>Az e cikk (1) és (2)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(7)</w:t>
            </w:r>
            <w:r>
              <w:tab/>
            </w:r>
            <w:r>
              <w:t xml:space="preserve">Az e cikk (1) és (2) bekezdésében említett információkat díjmentesen, egyértelmű, átfogó, felhasználóbarát és könnyen hozzáférhető módon kell rendelkezésre bocsátani, többek között </w:t>
            </w:r>
            <w:r>
              <w:rPr>
                <w:b/>
                <w:i/>
              </w:rPr>
              <w:t>egy uniós szintű honlapon az összes uniós nyelven,</w:t>
            </w:r>
            <w:r>
              <w:t xml:space="preserve"> a magánüzemeltetők vagy hatóságok hivatalos honlapjain, ha vannak, vagy más megfelelő módon, a szolgáltatásokra vonatkozóan az (EU) 2019/882 irányelv I. mellékletében meghatározott releváns akadálymentességi követelményekkel összhangban.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383</w:t>
      </w:r>
      <w:r>
        <w:rPr>
          <w:rStyle w:val="HideTWBExt"/>
        </w:rPr>
        <w:t>&lt;/NumAm&gt;</w:t>
      </w:r>
    </w:p>
    <w:p>
      <w:pPr>
        <w:pStyle w:val="NormalBold"/>
      </w:pPr>
      <w:r>
        <w:rPr>
          <w:rStyle w:val="HideTWBExt"/>
        </w:rPr>
        <w:t>&lt;RepeatBlock-By&gt;</w:t>
      </w:r>
      <w:r>
        <w:rPr>
          <w:rStyle w:val="HideTWBExt"/>
        </w:rPr>
        <w:t>&lt;Members&gt;</w:t>
      </w:r>
      <w:r>
        <w:t>Rosa Estaràs Ferragut</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bekezdés – 1 pont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w:t>
            </w:r>
            <w:r>
              <w:tab/>
            </w:r>
            <w:r>
              <w:rPr>
                <w:b/>
                <w:i/>
              </w:rPr>
              <w:t>Létre kell hozni egy olyan honlapot, amely a fogyatékossággal élő személyek számára az Európai Unió valamennyi nyelvén – beleértve a jelnyelvet, a könnyen olvasható formátumokat, valamint az alternatív és augmentatív kommunikációs eszközöket is – tartalmazza az európai fogyatékossági kártyával vagy a fogyatékossággal élő személyek európai parkolási kártyájával kapcsolatos összes információt és adott esetben azok kérelmezési módját.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384</w:t>
      </w:r>
      <w:r>
        <w:rPr>
          <w:rStyle w:val="HideTWBExt"/>
        </w:rPr>
        <w:t>&lt;/NumAm&gt;</w:t>
      </w:r>
    </w:p>
    <w:p>
      <w:pPr>
        <w:pStyle w:val="NormalBold"/>
      </w:pPr>
      <w:r>
        <w:rPr>
          <w:rStyle w:val="HideTWBExt"/>
        </w:rPr>
        <w:t>&lt;RepeatBlock-By&gt;</w:t>
      </w:r>
      <w:r>
        <w:rPr>
          <w:rStyle w:val="HideTWBExt"/>
        </w:rPr>
        <w:t>&lt;Members&gt;</w:t>
      </w:r>
      <w:r>
        <w:t>Rosa Estaràs Ferragut</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bekezdés – 2 pont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w:t>
            </w:r>
            <w:r>
              <w:tab/>
            </w:r>
            <w:r>
              <w:rPr>
                <w:b/>
                <w:i/>
              </w:rPr>
              <w:t>A fogyatékossággal élő személyeket képviselő szervezeteket be kell vonni a teljes kidolgozási, tervezési, végrehajtási, nyomonkövetési és értékelési folyamatba.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385</w:t>
      </w:r>
      <w:r>
        <w:rPr>
          <w:rStyle w:val="HideTWBExt"/>
        </w:rPr>
        <w:t>&lt;/NumAm&gt;</w:t>
      </w:r>
    </w:p>
    <w:p>
      <w:pPr>
        <w:pStyle w:val="NormalBold"/>
      </w:pPr>
      <w:r>
        <w:rPr>
          <w:rStyle w:val="HideTWBExt"/>
        </w:rPr>
        <w:t>&lt;RepeatBlock-By&gt;</w:t>
      </w:r>
      <w:r>
        <w:rPr>
          <w:rStyle w:val="HideTWBExt"/>
        </w:rPr>
        <w:t>&lt;Members&gt;</w:t>
      </w:r>
      <w:r>
        <w:t>Miriam Lexmann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(7a)</w:t>
            </w:r>
            <w:r>
              <w:tab/>
            </w:r>
            <w:r>
              <w:rPr>
                <w:b/>
                <w:i/>
              </w:rPr>
              <w:t>A Bizottság biztosítja, hogy a tagállamok megfelelő finanszírozásban részesüljenek az adminisztratív eljárások, a kártyák fizikai kibocsátása, a tájékoztatás és a figyelemfelkeltő kampányok költségeinek, valamint az egyéb felmerülő költségeknek a fedezésére.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386</w:t>
      </w:r>
      <w:r>
        <w:rPr>
          <w:rStyle w:val="HideTWBExt"/>
        </w:rPr>
        <w:t>&lt;/NumAm&gt;</w:t>
      </w:r>
    </w:p>
    <w:p>
      <w:pPr>
        <w:pStyle w:val="NormalBold"/>
      </w:pPr>
      <w:r>
        <w:rPr>
          <w:rStyle w:val="HideTWBExt"/>
        </w:rPr>
        <w:t>&lt;RepeatBlock-By&gt;</w:t>
      </w:r>
      <w:r>
        <w:rPr>
          <w:rStyle w:val="HideTWBExt"/>
        </w:rPr>
        <w:t>&lt;Members&gt;</w:t>
      </w:r>
      <w:r>
        <w:t>José Gusmão</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(7a)</w:t>
            </w:r>
            <w:r>
              <w:tab/>
            </w:r>
            <w:r>
              <w:rPr>
                <w:b/>
                <w:i/>
              </w:rPr>
              <w:t>Az e cikk (1) és (2) bekezdésében említett információnak érthetőnek kell lennie, azaz összetettsége nem haladhatja meg az Európa Tanács által kidolgozott közös európai nyelvi referenciakeret B1 (középhaladó) szintjét.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387</w:t>
      </w:r>
      <w:r>
        <w:rPr>
          <w:rStyle w:val="HideTWBExt"/>
        </w:rPr>
        <w:t>&lt;/NumAm&gt;</w:t>
      </w:r>
    </w:p>
    <w:p>
      <w:pPr>
        <w:pStyle w:val="NormalBold"/>
      </w:pPr>
      <w:r>
        <w:rPr>
          <w:rStyle w:val="HideTWBExt"/>
        </w:rPr>
        <w:t>&lt;RepeatBlock-By&gt;</w:t>
      </w:r>
      <w:r>
        <w:rPr>
          <w:rStyle w:val="HideTWBExt"/>
        </w:rPr>
        <w:t>&lt;Members&gt;</w:t>
      </w:r>
      <w:r>
        <w:t>Chiara Gemma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(7a)</w:t>
            </w:r>
            <w:r>
              <w:tab/>
            </w:r>
            <w:r>
              <w:rPr>
                <w:b/>
                <w:i/>
              </w:rPr>
              <w:t>Az e cikk (1) és (2) bekezdésében említett információnak érthetőnek kell lennie, azaz összetettsége nem haladhatja meg az Európa Tanács által kidolgozott közös európai nyelvi referenciakeret B1 (középhaladó) szintjét.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388</w:t>
      </w:r>
      <w:r>
        <w:rPr>
          <w:rStyle w:val="HideTWBExt"/>
        </w:rPr>
        <w:t>&lt;/NumAm&gt;</w:t>
      </w:r>
    </w:p>
    <w:p>
      <w:pPr>
        <w:pStyle w:val="NormalBold"/>
      </w:pPr>
      <w:r>
        <w:rPr>
          <w:rStyle w:val="HideTWBExt"/>
        </w:rPr>
        <w:t>&lt;RepeatBlock-By&gt;</w:t>
      </w:r>
      <w:r>
        <w:rPr>
          <w:rStyle w:val="HideTWBExt"/>
        </w:rPr>
        <w:t>&lt;Members&gt;</w:t>
      </w:r>
      <w:r>
        <w:t>Jordi Cañas, Monica Semedo, Lucia Ďuriš Nicholsonová</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(7a)</w:t>
            </w:r>
            <w:r>
              <w:tab/>
            </w:r>
            <w:r>
              <w:rPr>
                <w:b/>
                <w:i/>
              </w:rPr>
              <w:t>A fogyatékossággal élő személyeket képviselő szervezeteknek részt kell venniük a kidolgozási, tervezési, végrehajtási, nyomonkövetési és értékelési folyamat egészében.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389</w:t>
      </w:r>
      <w:r>
        <w:rPr>
          <w:rStyle w:val="HideTWBExt"/>
        </w:rPr>
        <w:t>&lt;/NumAm&gt;</w:t>
      </w:r>
    </w:p>
    <w:p>
      <w:pPr>
        <w:pStyle w:val="NormalBold"/>
      </w:pPr>
      <w:r>
        <w:rPr>
          <w:rStyle w:val="HideTWBExt"/>
        </w:rPr>
        <w:t>&lt;RepeatBlock-By&gt;</w:t>
      </w:r>
      <w:r>
        <w:rPr>
          <w:rStyle w:val="HideTWBExt"/>
        </w:rPr>
        <w:t>&lt;Members&gt;</w:t>
      </w:r>
      <w:r>
        <w:t>Francesca Peppucci, Stelios Kympouropoulos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(7a)</w:t>
            </w:r>
            <w:r>
              <w:tab/>
            </w:r>
            <w:r>
              <w:rPr>
                <w:b/>
                <w:i/>
              </w:rPr>
              <w:t>A Bizottság biztosítja, hogy a tagállamok megfelelő finanszírozással rendelkezzenek a fenti rendelkezések végrehajtási költségeinek fedezésére.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390</w:t>
      </w:r>
      <w:r>
        <w:rPr>
          <w:rStyle w:val="HideTWBExt"/>
        </w:rPr>
        <w:t>&lt;/NumAm&gt;</w:t>
      </w:r>
    </w:p>
    <w:p>
      <w:pPr>
        <w:pStyle w:val="NormalBold"/>
      </w:pPr>
      <w:r>
        <w:rPr>
          <w:rStyle w:val="HideTWBExt"/>
        </w:rPr>
        <w:t>&lt;RepeatBlock-By&gt;</w:t>
      </w:r>
      <w:r>
        <w:rPr>
          <w:rStyle w:val="HideTWBExt"/>
        </w:rPr>
        <w:t>&lt;Members&gt;</w:t>
      </w:r>
      <w:r>
        <w:t>Miriam Lexmann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(7b)</w:t>
            </w:r>
            <w:r>
              <w:tab/>
            </w:r>
            <w:r>
              <w:rPr>
                <w:b/>
                <w:i/>
              </w:rPr>
              <w:t>A Bizottság külön uniós szintű weboldalt hoz létre, amely releváns és rendszeresen frissített információkat tartalmaz a tagállamok által az európai fogyatékossági kártya birtokosai számára kínált különleges feltételekről vagy kedvezményes bánásmódról.</w:t>
            </w:r>
            <w:r>
              <w:t xml:space="preserve"> </w:t>
            </w:r>
            <w:r>
              <w:rPr>
                <w:b/>
                <w:i/>
              </w:rPr>
              <w:t>A weboldalnak az EU valamennyi nyelvén és akadálymentes formátumban rendelkezésre kell állnia.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391</w:t>
      </w:r>
      <w:r>
        <w:rPr>
          <w:rStyle w:val="HideTWBExt"/>
        </w:rPr>
        <w:t>&lt;/NumAm&gt;</w:t>
      </w:r>
    </w:p>
    <w:p>
      <w:pPr>
        <w:pStyle w:val="NormalBold"/>
      </w:pPr>
      <w:r>
        <w:rPr>
          <w:rStyle w:val="HideTWBExt"/>
        </w:rPr>
        <w:t>&lt;RepeatBlock-By&gt;</w:t>
      </w:r>
      <w:r>
        <w:rPr>
          <w:rStyle w:val="HideTWBExt"/>
        </w:rPr>
        <w:t>&lt;Members&gt;</w:t>
      </w:r>
      <w:r>
        <w:t>José Gusmão</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(7b)</w:t>
            </w:r>
            <w:r>
              <w:tab/>
            </w:r>
            <w:r>
              <w:rPr>
                <w:b/>
                <w:i/>
              </w:rPr>
              <w:t>A Bizottság biztosítja, hogy a tagállamok megfelelő finanszírozásban részesüljenek az adminisztratív eljárások, a kártyák fizikai kibocsátása, a tájékoztatás és a figyelemfelkeltő kampányok költségeinek, valamint az egyéb felmerülő költségeknek a fedezésére.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392</w:t>
      </w:r>
      <w:r>
        <w:rPr>
          <w:rStyle w:val="HideTWBExt"/>
        </w:rPr>
        <w:t>&lt;/NumAm&gt;</w:t>
      </w:r>
    </w:p>
    <w:p>
      <w:pPr>
        <w:pStyle w:val="NormalBold"/>
      </w:pPr>
      <w:r>
        <w:rPr>
          <w:rStyle w:val="HideTWBExt"/>
        </w:rPr>
        <w:t>&lt;RepeatBlock-By&gt;</w:t>
      </w:r>
      <w:r>
        <w:rPr>
          <w:rStyle w:val="HideTWBExt"/>
        </w:rPr>
        <w:t>&lt;Members&gt;</w:t>
      </w:r>
      <w:r>
        <w:t>Chiara Gemma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9 cikk – 7 b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(7b)</w:t>
            </w:r>
            <w:r>
              <w:tab/>
            </w:r>
            <w:r>
              <w:rPr>
                <w:b/>
                <w:i/>
              </w:rPr>
              <w:t>A Bizottság biztosítja, hogy a tagállamok megfelelő finanszírozásban részesüljenek az adminisztratív eljárások, a kártyák fizikai kibocsátása, a tájékoztatás és a figyelemfelkeltő kampányok költségeinek, valamint az egyéb felmerülő költségeknek a fedezésére.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393</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10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 xml:space="preserve">A tagállamok éé.hh.nn-ig [ezen irányelv hatálybalépését követő hat hónapon belül] értesítik a Bizottságot </w:t>
            </w:r>
            <w:r>
              <w:rPr>
                <w:b/>
                <w:i/>
              </w:rPr>
              <w:t>az európai fogyatékossági</w:t>
            </w:r>
            <w:r>
              <w:t xml:space="preserve"> kártya és a fogyatékossággal élő </w:t>
            </w:r>
            <w:r>
              <w:rPr>
                <w:b/>
                <w:i/>
              </w:rPr>
              <w:t>személyek</w:t>
            </w:r>
            <w:r>
              <w:t xml:space="preserve"> európai parkolási </w:t>
            </w:r>
            <w:r>
              <w:rPr>
                <w:b/>
                <w:i/>
              </w:rPr>
              <w:t>kártyája</w:t>
            </w:r>
            <w:r>
              <w:t xml:space="preserve"> kiállítására, megújítására és visszavonására kijelölt illetékes hatóságokról.</w:t>
            </w:r>
          </w:p>
        </w:tc>
        <w:tc>
          <w:tcPr>
            <w:tcW w:w="4876" w:type="dxa"/>
          </w:tcPr>
          <w:p>
            <w:pPr>
              <w:pStyle w:val="Normal6a"/>
            </w:pPr>
            <w:r>
              <w:t xml:space="preserve">A tagállamok éé.hh.nn-ig [ezen irányelv hatálybalépését követő hat hónapon belül] értesítik a Bizottságot </w:t>
            </w:r>
            <w:r>
              <w:rPr>
                <w:b/>
                <w:i/>
              </w:rPr>
              <w:t>a fogyatékossággal élő és idős személyeknek szóló európai</w:t>
            </w:r>
            <w:r>
              <w:t xml:space="preserve"> kártya és a fogyatékossággal élő </w:t>
            </w:r>
            <w:r>
              <w:rPr>
                <w:b/>
                <w:i/>
              </w:rPr>
              <w:t>és idős személyeknek szóló</w:t>
            </w:r>
            <w:r>
              <w:t xml:space="preserve"> európai parkolási </w:t>
            </w:r>
            <w:r>
              <w:rPr>
                <w:b/>
                <w:i/>
              </w:rPr>
              <w:t>kártya</w:t>
            </w:r>
            <w:r>
              <w:t xml:space="preserve"> kiállítására, megújítására és visszavonására kijelölt illetékes hatóságokról.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394</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A Bizottságnak a 6. cikk (7) bekezdésében </w:t>
            </w:r>
            <w:r>
              <w:rPr>
                <w:b/>
                <w:i/>
              </w:rPr>
              <w:t>és a 7. cikk (7)</w:t>
            </w:r>
            <w:r>
              <w:t xml:space="preserve"> bekezdésében említett felhatalmazáson alapuló jogi aktusok elfogadására vonatkozó felhatalmazása [ezen irányelv hatálybalépésének időpontjától] kezdődő hatállyal határozatlan időre szól.</w:t>
            </w:r>
          </w:p>
        </w:tc>
        <w:tc>
          <w:tcPr>
            <w:tcW w:w="4876" w:type="dxa"/>
          </w:tcPr>
          <w:p>
            <w:pPr>
              <w:pStyle w:val="Normal6a"/>
            </w:pPr>
            <w:r>
              <w:t>(2)</w:t>
            </w:r>
            <w:r>
              <w:tab/>
            </w:r>
            <w:r>
              <w:t>A Bizottságnak a 6. cikk (7) bekezdésében</w:t>
            </w:r>
            <w:r>
              <w:rPr>
                <w:b/>
                <w:i/>
              </w:rPr>
              <w:t>, a 7. cikk (7) bekezdésében és a 15. cikk (4)</w:t>
            </w:r>
            <w:r>
              <w:t xml:space="preserve"> bekezdésében említett</w:t>
            </w:r>
            <w:r>
              <w:rPr>
                <w:b/>
                <w:i/>
              </w:rPr>
              <w:t>,</w:t>
            </w:r>
            <w:r>
              <w:t xml:space="preserve"> felhatalmazáson alapuló jogi aktusok elfogadására vonatkozó felhatalmazása [ezen irányelv hatálybalépésének időpontjától] kezdődő hatállyal határozatlan időre szól.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395</w:t>
      </w:r>
      <w:r>
        <w:rPr>
          <w:rStyle w:val="HideTWBExt"/>
        </w:rPr>
        <w:t>&lt;/NumAm&gt;</w:t>
      </w:r>
    </w:p>
    <w:p>
      <w:pPr>
        <w:pStyle w:val="NormalBold"/>
      </w:pPr>
      <w:r>
        <w:rPr>
          <w:rStyle w:val="HideTWBExt"/>
        </w:rPr>
        <w:t>&lt;RepeatBlock-By&gt;</w:t>
      </w:r>
      <w:r>
        <w:rPr>
          <w:rStyle w:val="HideTWBExt"/>
        </w:rPr>
        <w:t>&lt;Members&gt;</w:t>
      </w:r>
      <w:r>
        <w:t>José Gusmão</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pPr>
              <w:pStyle w:val="Normal6a"/>
            </w:pPr>
            <w:r>
              <w:t>(4)</w:t>
            </w:r>
            <w:r>
              <w:tab/>
            </w:r>
            <w:r>
              <w:t xml:space="preserve">A felhatalmazáson alapuló jogi aktus elfogadása előtt a Bizottság a jogalkotás minőségének javításáról szóló, 2016. április 13-i intézményközi megállapodásban foglalt elveknek megfelelően </w:t>
            </w:r>
            <w:r>
              <w:rPr>
                <w:b/>
                <w:i/>
              </w:rPr>
              <w:t>elsősorban és az együttműködési módszertan keretében</w:t>
            </w:r>
            <w:r>
              <w:t xml:space="preserve"> konzultál </w:t>
            </w:r>
            <w:r>
              <w:rPr>
                <w:b/>
                <w:i/>
              </w:rPr>
              <w:t>a fogyatékossággal élő személyekkel és képviseleti szervezeteikkel, valamint</w:t>
            </w:r>
            <w:r>
              <w:t xml:space="preserve"> az egyes tagállamok által kijelölt </w:t>
            </w:r>
            <w:r>
              <w:rPr>
                <w:b/>
                <w:i/>
              </w:rPr>
              <w:t>egyéb releváns</w:t>
            </w:r>
            <w:r>
              <w:t xml:space="preserve"> szakértőkkel. </w:t>
            </w:r>
            <w:r>
              <w:rPr>
                <w:b/>
                <w:i/>
              </w:rPr>
              <w:t>Amennyiben az érintett fogyatékossággal élő személyek nem szakmai minőségükben végzik ezt a munkát a fogyatékossággal élő személyek szervezeténél, számukra anyagi kompenzációt kell nyújtani.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396</w:t>
      </w:r>
      <w:r>
        <w:rPr>
          <w:rStyle w:val="HideTWBExt"/>
        </w:rPr>
        <w:t>&lt;/NumAm&gt;</w:t>
      </w:r>
    </w:p>
    <w:p>
      <w:pPr>
        <w:pStyle w:val="NormalBold"/>
      </w:pPr>
      <w:r>
        <w:rPr>
          <w:rStyle w:val="HideTWBExt"/>
        </w:rPr>
        <w:t>&lt;RepeatBlock-By&gt;</w:t>
      </w:r>
      <w:r>
        <w:rPr>
          <w:rStyle w:val="HideTWBExt"/>
        </w:rPr>
        <w:t>&lt;Members&gt;</w:t>
      </w:r>
      <w:r>
        <w:t>Loucas Fourlas, Stelios Kympouropoulos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r>
              <w:rPr>
                <w:b/>
                <w:i/>
              </w:rPr>
              <w:t>, a fogyatékossággal élő személyekkel és az őket képviselő szervezetekkel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397</w:t>
      </w:r>
      <w:r>
        <w:rPr>
          <w:rStyle w:val="HideTWBExt"/>
        </w:rPr>
        <w:t>&lt;/NumAm&gt;</w:t>
      </w:r>
    </w:p>
    <w:p>
      <w:pPr>
        <w:pStyle w:val="NormalBold"/>
      </w:pPr>
      <w:r>
        <w:rPr>
          <w:rStyle w:val="HideTWBExt"/>
        </w:rPr>
        <w:t>&lt;RepeatBlock-By&gt;</w:t>
      </w:r>
      <w:r>
        <w:rPr>
          <w:rStyle w:val="HideTWBExt"/>
        </w:rPr>
        <w:t>&lt;Members&gt;</w:t>
      </w:r>
      <w:r>
        <w:t>Francesca Peppucci, Rosa Estaràs Ferragut, Stelios Kympouropoulos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r>
              <w:rPr>
                <w:b/>
                <w:i/>
              </w:rPr>
              <w:t>, a fogyatékossággal élő személyekkel és az őket képviselő szervezetekkel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398</w:t>
      </w:r>
      <w:r>
        <w:rPr>
          <w:rStyle w:val="HideTWBExt"/>
        </w:rPr>
        <w:t>&lt;/NumAm&gt;</w:t>
      </w:r>
    </w:p>
    <w:p>
      <w:pPr>
        <w:pStyle w:val="NormalBold"/>
      </w:pPr>
      <w:r>
        <w:rPr>
          <w:rStyle w:val="HideTWBExt"/>
        </w:rPr>
        <w:t>&lt;RepeatBlock-By&gt;</w:t>
      </w:r>
      <w:r>
        <w:rPr>
          <w:rStyle w:val="HideTWBExt"/>
        </w:rPr>
        <w:t>&lt;Members&gt;</w:t>
      </w:r>
      <w:r>
        <w:t>Chiara Gemma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r>
              <w:rPr>
                <w:b/>
                <w:i/>
              </w:rPr>
              <w:t>, a fogyatékossággal élő személyekkel és az őket képviselő szervezetekkel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399</w:t>
      </w:r>
      <w:r>
        <w:rPr>
          <w:rStyle w:val="HideTWBExt"/>
        </w:rPr>
        <w:t>&lt;/NumAm&gt;</w:t>
      </w:r>
    </w:p>
    <w:p>
      <w:pPr>
        <w:pStyle w:val="NormalBold"/>
      </w:pPr>
      <w:r>
        <w:rPr>
          <w:rStyle w:val="HideTWBExt"/>
        </w:rPr>
        <w:t>&lt;RepeatBlock-By&gt;</w:t>
      </w:r>
      <w:r>
        <w:rPr>
          <w:rStyle w:val="HideTWBExt"/>
        </w:rPr>
        <w:t>&lt;Members&gt;</w:t>
      </w:r>
      <w:r>
        <w:t>Ádám Kósa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r>
              <w:rPr>
                <w:b/>
                <w:i/>
              </w:rPr>
              <w:t>, a fogyatékossággal élő személyekkel és az őket képviselő szervezetekkel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400</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r>
              <w:rPr>
                <w:b/>
                <w:i/>
              </w:rPr>
              <w:t>, a fogyatékossággal élő személyekkel és az őket képviselő szervezetekkel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401</w:t>
      </w:r>
      <w:r>
        <w:rPr>
          <w:rStyle w:val="HideTWBExt"/>
        </w:rPr>
        <w:t>&lt;/NumAm&gt;</w:t>
      </w:r>
    </w:p>
    <w:p>
      <w:pPr>
        <w:pStyle w:val="NormalBold"/>
      </w:pPr>
      <w:r>
        <w:rPr>
          <w:rStyle w:val="HideTWBExt"/>
        </w:rPr>
        <w:t>&lt;RepeatBlock-By&gt;</w:t>
      </w:r>
      <w:r>
        <w:rPr>
          <w:rStyle w:val="HideTWBExt"/>
        </w:rPr>
        <w:t>&lt;Members&gt;</w:t>
      </w:r>
      <w:r>
        <w:t>Miriam Lexmann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r>
              <w:rPr>
                <w:b/>
                <w:i/>
              </w:rPr>
              <w:t>, a fogyatékossággal élő személyekkel és az őket képviselő szervezetekkel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402</w:t>
      </w:r>
      <w:r>
        <w:rPr>
          <w:rStyle w:val="HideTWBExt"/>
        </w:rPr>
        <w:t>&lt;/NumAm&gt;</w:t>
      </w:r>
    </w:p>
    <w:p>
      <w:pPr>
        <w:pStyle w:val="NormalBold"/>
      </w:pPr>
      <w:r>
        <w:rPr>
          <w:rStyle w:val="HideTWBExt"/>
        </w:rPr>
        <w:t>&lt;RepeatBlock-By&gt;</w:t>
      </w:r>
      <w:r>
        <w:rPr>
          <w:rStyle w:val="HideTWBExt"/>
        </w:rPr>
        <w:t>&lt;Members&gt;</w:t>
      </w:r>
      <w:r>
        <w:t>Jarosław Duda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11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p>
        </w:tc>
        <w:tc>
          <w:tcPr>
            <w:tcW w:w="4876" w:type="dxa"/>
          </w:tcPr>
          <w:p>
            <w:pPr>
              <w:pStyle w:val="Normal6a"/>
            </w:pPr>
            <w:r>
              <w:t>(4)</w:t>
            </w:r>
            <w:r>
              <w:tab/>
            </w:r>
            <w:r>
              <w:t>A felhatalmazáson alapuló jogi aktus elfogadása előtt a Bizottság a jogalkotás minőségének javításáról szóló, 2016. április 13-i intézményközi megállapodásban foglalt elveknek megfelelően konzultál az egyes tagállamok által kijelölt szakértőkkel</w:t>
            </w:r>
            <w:r>
              <w:rPr>
                <w:b/>
                <w:i/>
              </w:rPr>
              <w:t>, a fogyatékossággal élő személyekkel és az őket képviselő szervezetekkel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403</w:t>
      </w:r>
      <w:r>
        <w:rPr>
          <w:rStyle w:val="HideTWBExt"/>
        </w:rPr>
        <w:t>&lt;/NumAm&gt;</w:t>
      </w:r>
    </w:p>
    <w:p>
      <w:pPr>
        <w:pStyle w:val="NormalBold"/>
      </w:pPr>
      <w:r>
        <w:rPr>
          <w:rStyle w:val="HideTWBExt"/>
        </w:rPr>
        <w:t>&lt;RepeatBlock-By&gt;</w:t>
      </w:r>
      <w:r>
        <w:rPr>
          <w:rStyle w:val="HideTWBExt"/>
        </w:rPr>
        <w:t>&lt;Members&gt;</w:t>
      </w:r>
      <w:r>
        <w:t>José Gusmão</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12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Bizottság munkáját egy bizottság támogatja. Ez a bizottság a 182/2011/EU rendelet </w:t>
            </w:r>
            <w:r>
              <w:rPr>
                <w:b/>
                <w:i/>
              </w:rPr>
              <w:t>szerinti bizottság</w:t>
            </w:r>
            <w:r>
              <w:t>.</w:t>
            </w:r>
          </w:p>
        </w:tc>
        <w:tc>
          <w:tcPr>
            <w:tcW w:w="4876" w:type="dxa"/>
          </w:tcPr>
          <w:p>
            <w:pPr>
              <w:pStyle w:val="Normal6a"/>
            </w:pPr>
            <w:r>
              <w:t>(1)</w:t>
            </w:r>
            <w:r>
              <w:tab/>
            </w:r>
            <w:r>
              <w:t>A Bizottság munkáját egy bizottság támogatja</w:t>
            </w:r>
            <w:r>
              <w:rPr>
                <w:b/>
                <w:i/>
              </w:rPr>
              <w:t>, és formálisan, együttműködési és részvételen alapuló módszertan keretében bevonja a fogyatékossággal élő személyek hivatalos és nem hivatalos képviseleti szervezeteit</w:t>
            </w:r>
            <w:r>
              <w:t xml:space="preserve">. Ez a bizottság a 182/2011/EU rendelet </w:t>
            </w:r>
            <w:r>
              <w:rPr>
                <w:b/>
                <w:i/>
              </w:rPr>
              <w:t>értelmében vett bizottságnak minősül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404</w:t>
      </w:r>
      <w:r>
        <w:rPr>
          <w:rStyle w:val="HideTWBExt"/>
        </w:rPr>
        <w:t>&lt;/NumAm&gt;</w:t>
      </w:r>
    </w:p>
    <w:p>
      <w:pPr>
        <w:pStyle w:val="NormalBold"/>
      </w:pPr>
      <w:r>
        <w:rPr>
          <w:rStyle w:val="HideTWBExt"/>
        </w:rPr>
        <w:t>&lt;RepeatBlock-By&gt;</w:t>
      </w:r>
      <w:r>
        <w:rPr>
          <w:rStyle w:val="HideTWBExt"/>
        </w:rPr>
        <w:t>&lt;Members&gt;</w:t>
      </w:r>
      <w:r>
        <w:t>Stelios Kympouropoulos, Loucas Fourlas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12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Bizottság munkáját egy bizottság támogatja. Ez a bizottság a 182/2011/EU rendelet </w:t>
            </w:r>
            <w:r>
              <w:rPr>
                <w:b/>
                <w:i/>
              </w:rPr>
              <w:t>szerinti bizottság</w:t>
            </w:r>
            <w:r>
              <w:t>.</w:t>
            </w:r>
          </w:p>
        </w:tc>
        <w:tc>
          <w:tcPr>
            <w:tcW w:w="4876" w:type="dxa"/>
          </w:tcPr>
          <w:p>
            <w:pPr>
              <w:pStyle w:val="Normal6a"/>
            </w:pPr>
            <w:r>
              <w:t>(1)</w:t>
            </w:r>
            <w:r>
              <w:tab/>
            </w:r>
            <w:r>
              <w:t>A Bizottság munkáját egy bizottság támogatja</w:t>
            </w:r>
            <w:r>
              <w:rPr>
                <w:b/>
                <w:i/>
              </w:rPr>
              <w:t>, és a Bizottság érdemben bevonja a fogyatékossággal élő személyeket képviselő különféle szervezeteket is</w:t>
            </w:r>
            <w:r>
              <w:t xml:space="preserve">. Ez a bizottság a 182/2011/EU rendelet </w:t>
            </w:r>
            <w:r>
              <w:rPr>
                <w:b/>
                <w:i/>
              </w:rPr>
              <w:t>értelmében vett bizottságnak minősül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405</w:t>
      </w:r>
      <w:r>
        <w:rPr>
          <w:rStyle w:val="HideTWBExt"/>
        </w:rPr>
        <w:t>&lt;/NumAm&gt;</w:t>
      </w:r>
    </w:p>
    <w:p>
      <w:pPr>
        <w:pStyle w:val="NormalBold"/>
      </w:pPr>
      <w:r>
        <w:rPr>
          <w:rStyle w:val="HideTWBExt"/>
        </w:rPr>
        <w:t>&lt;RepeatBlock-By&gt;</w:t>
      </w:r>
      <w:r>
        <w:rPr>
          <w:rStyle w:val="HideTWBExt"/>
        </w:rPr>
        <w:t>&lt;Members&gt;</w:t>
      </w:r>
      <w:r>
        <w:t>Chiara Gemma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12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Bizottság munkáját egy bizottság támogatja. Ez a bizottság a 182/2011/EU rendelet </w:t>
            </w:r>
            <w:r>
              <w:rPr>
                <w:b/>
                <w:i/>
              </w:rPr>
              <w:t>szerinti bizottság</w:t>
            </w:r>
            <w:r>
              <w:t>.</w:t>
            </w:r>
          </w:p>
        </w:tc>
        <w:tc>
          <w:tcPr>
            <w:tcW w:w="4876" w:type="dxa"/>
          </w:tcPr>
          <w:p>
            <w:pPr>
              <w:pStyle w:val="Normal6a"/>
            </w:pPr>
            <w:r>
              <w:t>(1)</w:t>
            </w:r>
            <w:r>
              <w:tab/>
            </w:r>
            <w:r>
              <w:t>A Bizottság munkáját egy bizottság támogatja</w:t>
            </w:r>
            <w:r>
              <w:rPr>
                <w:b/>
                <w:i/>
              </w:rPr>
              <w:t>, és a Bizottság érdemben bevonja a fogyatékossággal élő személyeket képviselő szervezeteket is</w:t>
            </w:r>
            <w:r>
              <w:t xml:space="preserve">. Ez a bizottság a 182/2011/EU rendelet </w:t>
            </w:r>
            <w:r>
              <w:rPr>
                <w:b/>
                <w:i/>
              </w:rPr>
              <w:t>értelmében vett bizottságnak minősül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406</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12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A Bizottság munkáját egy bizottság támogatja. Ez a bizottság a 182/2011/EU rendelet szerinti bizottság.</w:t>
            </w:r>
          </w:p>
        </w:tc>
        <w:tc>
          <w:tcPr>
            <w:tcW w:w="4876" w:type="dxa"/>
          </w:tcPr>
          <w:p>
            <w:pPr>
              <w:pStyle w:val="Normal6a"/>
            </w:pPr>
            <w:r>
              <w:t>(1)</w:t>
            </w:r>
            <w:r>
              <w:tab/>
            </w:r>
            <w:r>
              <w:t>A Bizottság munkáját egy bizottság támogatja</w:t>
            </w:r>
            <w:r>
              <w:rPr>
                <w:b/>
                <w:i/>
              </w:rPr>
              <w:t>, és a Bizottság érdemben bevonja a fogyatékossággal élő személyeket képviselő szervezeteket is</w:t>
            </w:r>
            <w:r>
              <w:t>. Ez a bizottság a 182/2011/EU rendelet szerinti bizottság.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407</w:t>
      </w:r>
      <w:r>
        <w:rPr>
          <w:rStyle w:val="HideTWBExt"/>
        </w:rPr>
        <w:t>&lt;/NumAm&gt;</w:t>
      </w:r>
    </w:p>
    <w:p>
      <w:pPr>
        <w:pStyle w:val="NormalBold"/>
      </w:pPr>
      <w:r>
        <w:rPr>
          <w:rStyle w:val="HideTWBExt"/>
        </w:rPr>
        <w:t>&lt;RepeatBlock-By&gt;</w:t>
      </w:r>
      <w:r>
        <w:rPr>
          <w:rStyle w:val="HideTWBExt"/>
        </w:rPr>
        <w:t>&lt;Members&gt;</w:t>
      </w:r>
      <w:r>
        <w:t>Miriam Lexmann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12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Bizottság munkáját egy bizottság támogatja. Ez a bizottság a 182/2011/EU rendelet </w:t>
            </w:r>
            <w:r>
              <w:rPr>
                <w:b/>
                <w:i/>
              </w:rPr>
              <w:t>szerinti bizottság</w:t>
            </w:r>
            <w:r>
              <w:t>.</w:t>
            </w:r>
          </w:p>
        </w:tc>
        <w:tc>
          <w:tcPr>
            <w:tcW w:w="4876" w:type="dxa"/>
          </w:tcPr>
          <w:p>
            <w:pPr>
              <w:pStyle w:val="Normal6a"/>
            </w:pPr>
            <w:r>
              <w:t>(1)</w:t>
            </w:r>
            <w:r>
              <w:tab/>
            </w:r>
            <w:r>
              <w:t>A Bizottság munkáját egy bizottság támogatja</w:t>
            </w:r>
            <w:r>
              <w:rPr>
                <w:b/>
                <w:i/>
              </w:rPr>
              <w:t>, és a Bizottság érdemben bevonja a fogyatékossággal élő személyeket képviselő szervezeteket is</w:t>
            </w:r>
            <w:r>
              <w:t xml:space="preserve">. Ez a bizottság a 182/2011/EU rendelet </w:t>
            </w:r>
            <w:r>
              <w:rPr>
                <w:b/>
                <w:i/>
              </w:rPr>
              <w:t>értelmében vett bizottságnak minősül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408</w:t>
      </w:r>
      <w:r>
        <w:rPr>
          <w:rStyle w:val="HideTWBExt"/>
        </w:rPr>
        <w:t>&lt;/NumAm&gt;</w:t>
      </w:r>
    </w:p>
    <w:p>
      <w:pPr>
        <w:pStyle w:val="NormalBold"/>
      </w:pPr>
      <w:r>
        <w:rPr>
          <w:rStyle w:val="HideTWBExt"/>
        </w:rPr>
        <w:t>&lt;RepeatBlock-By&gt;</w:t>
      </w:r>
      <w:r>
        <w:rPr>
          <w:rStyle w:val="HideTWBExt"/>
        </w:rPr>
        <w:t>&lt;Members&gt;</w:t>
      </w:r>
      <w:r>
        <w:t>Jarosław Duda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12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Bizottság munkáját egy bizottság támogatja. Ez a bizottság a 182/2011/EU rendelet </w:t>
            </w:r>
            <w:r>
              <w:rPr>
                <w:b/>
                <w:i/>
              </w:rPr>
              <w:t>szerinti bizottság</w:t>
            </w:r>
            <w:r>
              <w:t>.</w:t>
            </w:r>
          </w:p>
        </w:tc>
        <w:tc>
          <w:tcPr>
            <w:tcW w:w="4876" w:type="dxa"/>
          </w:tcPr>
          <w:p>
            <w:pPr>
              <w:pStyle w:val="Normal6a"/>
            </w:pPr>
            <w:r>
              <w:t>(1)</w:t>
            </w:r>
            <w:r>
              <w:tab/>
            </w:r>
            <w:r>
              <w:t>A Bizottság munkáját egy bizottság támogatja</w:t>
            </w:r>
            <w:r>
              <w:rPr>
                <w:b/>
                <w:i/>
              </w:rPr>
              <w:t>, és a Bizottság érdemben bevonja a fogyatékossággal élő személyeket képviselő szervezeteket is</w:t>
            </w:r>
            <w:r>
              <w:t xml:space="preserve">. Ez a bizottság a 182/2011/EU rendelet </w:t>
            </w:r>
            <w:r>
              <w:rPr>
                <w:b/>
                <w:i/>
              </w:rPr>
              <w:t>értelmében vett bizottságnak minősül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409</w:t>
      </w:r>
      <w:r>
        <w:rPr>
          <w:rStyle w:val="HideTWBExt"/>
        </w:rPr>
        <w:t>&lt;/NumAm&gt;</w:t>
      </w:r>
    </w:p>
    <w:p>
      <w:pPr>
        <w:pStyle w:val="NormalBold"/>
      </w:pPr>
      <w:r>
        <w:rPr>
          <w:rStyle w:val="HideTWBExt"/>
        </w:rPr>
        <w:t>&lt;RepeatBlock-By&gt;</w:t>
      </w:r>
      <w:r>
        <w:rPr>
          <w:rStyle w:val="HideTWBExt"/>
        </w:rPr>
        <w:t>&lt;Members&gt;</w:t>
      </w:r>
      <w:r>
        <w:t>Francesca Peppucci, Rosa Estaràs Ferragut</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12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Bizottság munkáját egy bizottság támogatja. Ez a bizottság a 182/2011/EU rendelet </w:t>
            </w:r>
            <w:r>
              <w:rPr>
                <w:b/>
                <w:i/>
              </w:rPr>
              <w:t>szerinti bizottság</w:t>
            </w:r>
            <w:r>
              <w:t>.</w:t>
            </w:r>
          </w:p>
        </w:tc>
        <w:tc>
          <w:tcPr>
            <w:tcW w:w="4876" w:type="dxa"/>
          </w:tcPr>
          <w:p>
            <w:pPr>
              <w:pStyle w:val="Normal6a"/>
            </w:pPr>
            <w:r>
              <w:t>(1)</w:t>
            </w:r>
            <w:r>
              <w:tab/>
            </w:r>
            <w:r>
              <w:t>A Bizottság munkáját egy bizottság támogatja</w:t>
            </w:r>
            <w:r>
              <w:rPr>
                <w:b/>
                <w:i/>
              </w:rPr>
              <w:t>, amely bevonja a fogyatékossággal élő személyeket és képviseleti szervezeteiket</w:t>
            </w:r>
            <w:r>
              <w:t xml:space="preserve">. Ez a bizottság a 182/2011/EU rendelet </w:t>
            </w:r>
            <w:r>
              <w:rPr>
                <w:b/>
                <w:i/>
              </w:rPr>
              <w:t>értelmében vett bizottságnak minősül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410</w:t>
      </w:r>
      <w:r>
        <w:rPr>
          <w:rStyle w:val="HideTWBExt"/>
        </w:rPr>
        <w:t>&lt;/NumAm&gt;</w:t>
      </w:r>
    </w:p>
    <w:p>
      <w:pPr>
        <w:pStyle w:val="NormalBold"/>
      </w:pPr>
      <w:r>
        <w:rPr>
          <w:rStyle w:val="HideTWBExt"/>
        </w:rPr>
        <w:t>&lt;RepeatBlock-By&gt;</w:t>
      </w:r>
      <w:r>
        <w:rPr>
          <w:rStyle w:val="HideTWBExt"/>
        </w:rPr>
        <w:t>&lt;Members&gt;</w:t>
      </w:r>
      <w:r>
        <w:t>Loucas Fourlas, Stelios Kympouropoulos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12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Bizottság munkáját egy bizottság támogatja. Ez a bizottság a 182/2011/EU rendelet </w:t>
            </w:r>
            <w:r>
              <w:rPr>
                <w:b/>
                <w:i/>
              </w:rPr>
              <w:t>szerinti bizottság</w:t>
            </w:r>
            <w:r>
              <w:t>.</w:t>
            </w:r>
          </w:p>
        </w:tc>
        <w:tc>
          <w:tcPr>
            <w:tcW w:w="4876" w:type="dxa"/>
          </w:tcPr>
          <w:p>
            <w:pPr>
              <w:pStyle w:val="Normal6a"/>
            </w:pPr>
            <w:r>
              <w:t>(1)</w:t>
            </w:r>
            <w:r>
              <w:tab/>
            </w:r>
            <w:r>
              <w:t xml:space="preserve">A Bizottság munkáját egy bizottság támogatja. Ez a bizottság a 182/2011/EU rendelet </w:t>
            </w:r>
            <w:r>
              <w:rPr>
                <w:b/>
                <w:i/>
              </w:rPr>
              <w:t>értelmében vett bizottságnak minősül, és magában foglalja a fogyatékossággal élő személyek képviseleti szervezeteit 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411</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13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A tagállamok biztosítják, hogy az ezen irányelvnek való megfelelés biztosításához megfelelő és hatékony eszközök álljanak rendelkezésre.</w:t>
            </w:r>
          </w:p>
        </w:tc>
        <w:tc>
          <w:tcPr>
            <w:tcW w:w="4876" w:type="dxa"/>
          </w:tcPr>
          <w:p>
            <w:pPr>
              <w:pStyle w:val="Normal6a"/>
            </w:pPr>
            <w:r>
              <w:t>(1)</w:t>
            </w:r>
            <w:r>
              <w:tab/>
            </w:r>
            <w:r>
              <w:t xml:space="preserve">A tagállamok biztosítják, hogy az ezen irányelvnek való megfelelés biztosításához megfelelő és hatékony eszközök álljanak rendelkezésre. </w:t>
            </w:r>
            <w:r>
              <w:rPr>
                <w:b/>
                <w:i/>
              </w:rPr>
              <w:t>Elő kell mozdítani a civil társadalmi szervezetek és a fogyatékossággal élő személyeket képviselő egyesületek részvételét és a velük folytatott állandó párbeszédet.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412</w:t>
      </w:r>
      <w:r>
        <w:rPr>
          <w:rStyle w:val="HideTWBExt"/>
        </w:rPr>
        <w:t>&lt;/NumAm&gt;</w:t>
      </w:r>
    </w:p>
    <w:p>
      <w:pPr>
        <w:pStyle w:val="NormalBold"/>
      </w:pPr>
      <w:r>
        <w:rPr>
          <w:rStyle w:val="HideTWBExt"/>
        </w:rPr>
        <w:t>&lt;RepeatBlock-By&gt;</w:t>
      </w:r>
      <w:r>
        <w:rPr>
          <w:rStyle w:val="HideTWBExt"/>
        </w:rPr>
        <w:t>&lt;Members&gt;</w:t>
      </w:r>
      <w:r>
        <w:t>Rosa Estaràs Ferragut</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13 cikk – 2 bekezdés – a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a)</w:t>
            </w:r>
            <w:r>
              <w:tab/>
            </w:r>
            <w:r>
              <w:t>olyan rendelkezések, amelyek lehetővé teszik a fogyatékossággal élő személyek számára, hogy az ezen irányelv és az ezen irányelvet végrehajtó nemzeti rendelkezések szerinti jogaik megsértése esetén a nemzeti jog szerint eljárást kezdeményezzenek a bíróságok vagy az illetékes közigazgatási szervek előtt;</w:t>
            </w:r>
          </w:p>
        </w:tc>
        <w:tc>
          <w:tcPr>
            <w:tcW w:w="4876" w:type="dxa"/>
          </w:tcPr>
          <w:p>
            <w:pPr>
              <w:pStyle w:val="Normal6a"/>
            </w:pPr>
            <w:r>
              <w:t>a)</w:t>
            </w:r>
            <w:r>
              <w:tab/>
            </w:r>
            <w:r>
              <w:t xml:space="preserve">olyan rendelkezések, amelyek lehetővé teszik a fogyatékossággal élő személyek </w:t>
            </w:r>
            <w:r>
              <w:rPr>
                <w:b/>
                <w:i/>
              </w:rPr>
              <w:t>és az őket képviselő szervezetek</w:t>
            </w:r>
            <w:r>
              <w:t xml:space="preserve"> számára, hogy az ezen irányelv és az ezen irányelvet végrehajtó nemzeti rendelkezések szerinti jogaik megsértése esetén a nemzeti jog szerint eljárást kezdeményezzenek a bíróságok vagy az illetékes közigazgatási szervek előtt;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413</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13 cikk – 2 bekezdés – b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b)</w:t>
            </w:r>
            <w:r>
              <w:tab/>
            </w:r>
            <w:r>
              <w:t>olyan rendelkezések, amelyek révén az olyan közjogi szervek vagy magánegyesületek, szervezetek vagy egyéb jogi személyek, amelyeknek jogos érdeke fűződik az ezen irányelvben foglalt rendelkezések betartásának biztosításához, a nemzeti jog és eljárásrend alapján a fogyatékossággal élő személy nevében vagy őt támogatva – annak jóváhagyása mellett – a bíróságok vagy az illetékes közigazgatási szervek előtt bírósági vagy közigazgatási eljárást kezdeményezhetnek az ezen irányelv szerinti kötelezettségek betartatása érdekében.</w:t>
            </w:r>
          </w:p>
        </w:tc>
        <w:tc>
          <w:tcPr>
            <w:tcW w:w="4876" w:type="dxa"/>
          </w:tcPr>
          <w:p>
            <w:pPr>
              <w:pStyle w:val="Normal6a"/>
            </w:pPr>
            <w:r>
              <w:t>b)</w:t>
            </w:r>
            <w:r>
              <w:tab/>
            </w:r>
            <w:r>
              <w:t>olyan rendelkezések, amelyek révén az olyan közjogi szervek</w:t>
            </w:r>
            <w:r>
              <w:rPr>
                <w:b/>
                <w:i/>
              </w:rPr>
              <w:t>, például esélyegyenlőségi szervek</w:t>
            </w:r>
            <w:r>
              <w:t xml:space="preserve"> vagy magánegyesületek, </w:t>
            </w:r>
            <w:r>
              <w:rPr>
                <w:b/>
                <w:i/>
              </w:rPr>
              <w:t>szervezetek, különösen a fogyatékossággal élő személyeket képviselő</w:t>
            </w:r>
            <w:r>
              <w:t xml:space="preserve"> szervezetek vagy egyéb jogi személyek, amelyeknek jogos érdeke fűződik az ezen irányelvben foglalt rendelkezések betartásának biztosításához, a nemzeti jog és eljárásrend alapján a fogyatékossággal élő személy nevében vagy őt támogatva – annak jóváhagyása mellett – a bíróságok vagy az illetékes közigazgatási szervek előtt bírósági vagy közigazgatási eljárást kezdeményezhetnek az ezen irányelv szerinti kötelezettségek betartatása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414</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13 cikk – 2 bekezdés – b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b)</w:t>
            </w:r>
            <w:r>
              <w:tab/>
            </w:r>
            <w:r>
              <w:t>olyan rendelkezések, amelyek révén az olyan közjogi szervek vagy magánegyesületek, szervezetek vagy egyéb jogi személyek, amelyeknek jogos érdeke fűződik az ezen irányelvben foglalt rendelkezések betartásának biztosításához, a nemzeti jog és eljárásrend alapján a fogyatékossággal élő személy nevében vagy őt támogatva – annak jóváhagyása mellett – a bíróságok vagy az illetékes közigazgatási szervek előtt bírósági vagy közigazgatási eljárást kezdeményezhetnek az ezen irányelv szerinti kötelezettségek betartatása érdekében.</w:t>
            </w:r>
          </w:p>
        </w:tc>
        <w:tc>
          <w:tcPr>
            <w:tcW w:w="4876" w:type="dxa"/>
          </w:tcPr>
          <w:p>
            <w:pPr>
              <w:pStyle w:val="Normal6a"/>
            </w:pPr>
            <w:r>
              <w:t>b)</w:t>
            </w:r>
            <w:r>
              <w:tab/>
            </w:r>
            <w:r>
              <w:t xml:space="preserve">olyan rendelkezések, amelyek révén az olyan közjogi szervek vagy magánegyesületek, szervezetek vagy egyéb jogi személyek, amelyeknek jogos érdeke fűződik az ezen irányelvben foglalt rendelkezések betartásának biztosításához, a nemzeti jog és eljárásrend alapján a fogyatékossággal élő </w:t>
            </w:r>
            <w:r>
              <w:rPr>
                <w:b/>
                <w:i/>
              </w:rPr>
              <w:t>vagy idős</w:t>
            </w:r>
            <w:r>
              <w:t xml:space="preserve"> személy nevében vagy őt támogatva – annak jóváhagyása mellett – a bíróságok vagy az illetékes közigazgatási szervek előtt bírósági vagy közigazgatási eljárást kezdeményezhetnek az ezen irányelv szerinti kötelezettségek betartatása érdekében.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415</w:t>
      </w:r>
      <w:r>
        <w:rPr>
          <w:rStyle w:val="HideTWBExt"/>
        </w:rPr>
        <w:t>&lt;/NumAm&gt;</w:t>
      </w:r>
    </w:p>
    <w:p>
      <w:pPr>
        <w:pStyle w:val="NormalBold"/>
      </w:pPr>
      <w:r>
        <w:rPr>
          <w:rStyle w:val="HideTWBExt"/>
        </w:rPr>
        <w:t>&lt;RepeatBlock-By&gt;</w:t>
      </w:r>
      <w:r>
        <w:rPr>
          <w:rStyle w:val="HideTWBExt"/>
        </w:rPr>
        <w:t>&lt;Members&gt;</w:t>
      </w:r>
      <w:r>
        <w:t>Rosa Estaràs Ferragut</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13 cikk – 2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(2a)</w:t>
            </w:r>
            <w:r>
              <w:tab/>
            </w:r>
            <w:r>
              <w:rPr>
                <w:b/>
                <w:i/>
              </w:rPr>
              <w:t>Létre kell hozni egy hatóságot az európai fogyatékossági kártya végrehajtásával, nyomon követésével és értékelésével kapcsolatos rendeletek betartásának nyomon követésére és ellenőrzésére szolgáló intézményi mechanizmus létrehozására.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416</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A tagállamok biztosítják, hogy a magánüzemeltetők vagy a hatóságok hozzáférhető formátumban nyilvánosan hozzáférhetővé tegyék az 5. cikk szerinti különleges feltételekre vagy kedvezményes elbánásra vonatkozó információkat.</w:t>
            </w:r>
          </w:p>
        </w:tc>
        <w:tc>
          <w:tcPr>
            <w:tcW w:w="4876" w:type="dxa"/>
          </w:tcPr>
          <w:p>
            <w:pPr>
              <w:pStyle w:val="Normal6a"/>
            </w:pPr>
            <w:r>
              <w:t>(1)</w:t>
            </w:r>
            <w:r>
              <w:tab/>
            </w:r>
            <w:r>
              <w:t xml:space="preserve">A tagállamok biztosítják, hogy a magánüzemeltetők vagy a hatóságok </w:t>
            </w:r>
            <w:r>
              <w:rPr>
                <w:b/>
                <w:i/>
              </w:rPr>
              <w:t>egyértelmű, érthető, felhasználóbarát, könnyen elérthető és</w:t>
            </w:r>
            <w:r>
              <w:t xml:space="preserve"> hozzáférhető formátumban nyilvánosan hozzáférhetővé tegyék az 5. cikk szerinti különleges feltételekre vagy kedvezményes elbánásra vonatkozó információkat. </w:t>
            </w:r>
            <w:r>
              <w:rPr>
                <w:b/>
                <w:i/>
              </w:rPr>
              <w:t>A Bizottság külön erre a célra weboldalt hoz létre, amely az EU valamennyi nyelvén – beleértve az EU valamennyi nemzeti jelnyelvét is – hozzáférhető a hang- és videotartalmakat tesz közzé, és amely összegyűjti a hatóságok által kínált különleges feltételeket vagy kedvezményes elbánást.</w:t>
            </w:r>
            <w:r>
              <w:t xml:space="preserve"> </w:t>
            </w:r>
            <w:r>
              <w:rPr>
                <w:b/>
                <w:i/>
              </w:rPr>
              <w:t>A tagállamok megkönnyítik az állami és magánszolgáltatók által kínált – amennyiben van ilyen kínálat – különleges feltételekre vagy kedvezményes elbánásra vonatkozó információk közzétételét a honlapon, és ezeket az információkat rendszeresen frissítik a nemzeti jogszabályok változásainak megfelelően.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417</w:t>
      </w:r>
      <w:r>
        <w:rPr>
          <w:rStyle w:val="HideTWBExt"/>
        </w:rPr>
        <w:t>&lt;/NumAm&gt;</w:t>
      </w:r>
    </w:p>
    <w:p>
      <w:pPr>
        <w:pStyle w:val="NormalBold"/>
      </w:pPr>
      <w:r>
        <w:rPr>
          <w:rStyle w:val="HideTWBExt"/>
        </w:rPr>
        <w:t>&lt;RepeatBlock-By&gt;</w:t>
      </w:r>
      <w:r>
        <w:rPr>
          <w:rStyle w:val="HideTWBExt"/>
        </w:rPr>
        <w:t>&lt;Members&gt;</w:t>
      </w:r>
      <w:r>
        <w:t>Lucia Ďuriš Nicholsonová, Abir Al-Sahlani, Jordi Cañas, Monica Semedo, Atidzhe Alieva-Veli, Dragoş Pîslaru, Irena Joveva, Max Orville, Sylvie Brunet, Marie-Pierre Vedrenne</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A tagállamok biztosítják, hogy a magánüzemeltetők vagy a hatóságok hozzáférhető formátumban nyilvánosan hozzáférhetővé tegyék az 5. cikk szerinti különleges feltételekre vagy kedvezményes elbánásra vonatkozó információkat.</w:t>
            </w:r>
          </w:p>
        </w:tc>
        <w:tc>
          <w:tcPr>
            <w:tcW w:w="4876" w:type="dxa"/>
          </w:tcPr>
          <w:p>
            <w:pPr>
              <w:pStyle w:val="Normal6a"/>
            </w:pPr>
            <w:r>
              <w:t>(1)</w:t>
            </w:r>
            <w:r>
              <w:tab/>
            </w:r>
            <w:r>
              <w:t xml:space="preserve">A tagállamok biztosítják, hogy a magánüzemeltetők vagy a hatóságok </w:t>
            </w:r>
            <w:r>
              <w:rPr>
                <w:b/>
                <w:i/>
              </w:rPr>
              <w:t>egyértelmű, érthető, felhasználóbarát, könnyen elérthető és</w:t>
            </w:r>
            <w:r>
              <w:t xml:space="preserve"> hozzáférhető formátumban nyilvánosan hozzáférhetővé tegyék az 5. cikk szerinti különleges feltételekre vagy kedvezményes elbánásra vonatkozó információkat. </w:t>
            </w:r>
            <w:r>
              <w:rPr>
                <w:b/>
                <w:i/>
              </w:rPr>
              <w:t>A tagállamok létrehoznak egyetlen, erre a célra szánt honlapot, amelyen összegyűjtik a közigazgatási szerveik által kínált különleges feltételeket vagy kedvezményes elbánást.</w:t>
            </w:r>
            <w:r>
              <w:t xml:space="preserve"> </w:t>
            </w:r>
            <w:r>
              <w:rPr>
                <w:b/>
                <w:i/>
              </w:rPr>
              <w:t>A tagállamok elősegíthetik a magánszereplők által kínált különleges feltételekről vagy kedvezményes elbánásról szóló tájékoztatást is a honlapon, ha ilyen különleges feltételek vagy kedvezményes elbánás léteznek.</w:t>
            </w:r>
            <w:r>
              <w:t xml:space="preserve"> </w:t>
            </w:r>
            <w:r>
              <w:rPr>
                <w:b/>
                <w:i/>
              </w:rPr>
              <w:t>A honlapot a tagállamok hivatalos nyelvén/nyelvein, nemzeti jelnyelven és angol nyelven, valamint a tagállamok által meghatározott más releváns nyelven/nyelveken kell megjeleníteni.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418</w:t>
      </w:r>
      <w:r>
        <w:rPr>
          <w:rStyle w:val="HideTWBExt"/>
        </w:rPr>
        <w:t>&lt;/NumAm&gt;</w:t>
      </w:r>
    </w:p>
    <w:p>
      <w:pPr>
        <w:pStyle w:val="NormalBold"/>
      </w:pPr>
      <w:r>
        <w:rPr>
          <w:rStyle w:val="HideTWBExt"/>
        </w:rPr>
        <w:t>&lt;RepeatBlock-By&gt;</w:t>
      </w:r>
      <w:r>
        <w:rPr>
          <w:rStyle w:val="HideTWBExt"/>
        </w:rPr>
        <w:t>&lt;Members&gt;</w:t>
      </w:r>
      <w:r>
        <w:t>Ádám Kósa, Stelios Kympouropoulos, Lucia Ďuriš Nicholsonová</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tagállamok biztosítják, hogy a magánüzemeltetők vagy a hatóságok hozzáférhető formátumban </w:t>
            </w:r>
            <w:r>
              <w:rPr>
                <w:b/>
                <w:i/>
              </w:rPr>
              <w:t>nyilvánosan hozzáférhetővé tegyék</w:t>
            </w:r>
            <w:r>
              <w:t xml:space="preserve"> az 5. cikk szerinti különleges feltételekre vagy kedvezményes elbánásra vonatkozó információkat.</w:t>
            </w:r>
          </w:p>
        </w:tc>
        <w:tc>
          <w:tcPr>
            <w:tcW w:w="4876" w:type="dxa"/>
          </w:tcPr>
          <w:p>
            <w:pPr>
              <w:pStyle w:val="Normal6a"/>
            </w:pPr>
            <w:r>
              <w:t>(1)</w:t>
            </w:r>
            <w:r>
              <w:tab/>
            </w:r>
            <w:r>
              <w:t xml:space="preserve">A tagállamok biztosítják, hogy a magánüzemeltetők vagy a hatóságok </w:t>
            </w:r>
            <w:r>
              <w:rPr>
                <w:b/>
                <w:i/>
              </w:rPr>
              <w:t>egy könnyen kereshető internetes információs platformon</w:t>
            </w:r>
            <w:r>
              <w:t xml:space="preserve"> hozzáférhető formátumban </w:t>
            </w:r>
            <w:r>
              <w:rPr>
                <w:b/>
                <w:i/>
              </w:rPr>
              <w:t>(ideértve a könnyen olvasható formátumokat és a feliratozott nemzeti és nemzetközi jelnyelvi videókat) nyilvánosan közzétegyék</w:t>
            </w:r>
            <w:r>
              <w:t xml:space="preserve"> az 5. cikk szerinti különleges feltételekre vagy kedvezményes elbánásra vonatkozó információkat.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419</w:t>
      </w:r>
      <w:r>
        <w:rPr>
          <w:rStyle w:val="HideTWBExt"/>
        </w:rPr>
        <w:t>&lt;/NumAm&gt;</w:t>
      </w:r>
    </w:p>
    <w:p>
      <w:pPr>
        <w:pStyle w:val="NormalBold"/>
      </w:pPr>
      <w:r>
        <w:rPr>
          <w:rStyle w:val="HideTWBExt"/>
        </w:rPr>
        <w:t>&lt;RepeatBlock-By&gt;</w:t>
      </w:r>
      <w:r>
        <w:rPr>
          <w:rStyle w:val="HideTWBExt"/>
        </w:rPr>
        <w:t>&lt;Members&gt;</w:t>
      </w:r>
      <w:r>
        <w:t>José Gusmão</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A tagállamok biztosítják, hogy a magánüzemeltetők vagy a hatóságok hozzáférhető formátumban nyilvánosan hozzáférhetővé tegyék az 5. cikk szerinti különleges feltételekre vagy kedvezményes elbánásra vonatkozó információkat.</w:t>
            </w:r>
          </w:p>
        </w:tc>
        <w:tc>
          <w:tcPr>
            <w:tcW w:w="4876" w:type="dxa"/>
          </w:tcPr>
          <w:p>
            <w:pPr>
              <w:pStyle w:val="Normal6a"/>
            </w:pPr>
            <w:r>
              <w:t>(1)</w:t>
            </w:r>
            <w:r>
              <w:tab/>
            </w:r>
            <w:r>
              <w:t xml:space="preserve">A tagállamok biztosítják, hogy a magánüzemeltetők vagy a hatóságok hozzáférhető formátumban nyilvánosan hozzáférhetővé tegyék az 5. cikk szerinti különleges feltételekre vagy kedvezményes elbánásra vonatkozó információkat. </w:t>
            </w:r>
            <w:r>
              <w:rPr>
                <w:b/>
                <w:i/>
              </w:rPr>
              <w:t>E célból a 9. cikkben említettek szerint elegendő uniós finanszírozást kell biztosítani.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420</w:t>
      </w:r>
      <w:r>
        <w:rPr>
          <w:rStyle w:val="HideTWBExt"/>
        </w:rPr>
        <w:t>&lt;/NumAm&gt;</w:t>
      </w:r>
    </w:p>
    <w:p>
      <w:pPr>
        <w:pStyle w:val="NormalBold"/>
      </w:pPr>
      <w:r>
        <w:rPr>
          <w:rStyle w:val="HideTWBExt"/>
        </w:rPr>
        <w:t>&lt;RepeatBlock-By&gt;</w:t>
      </w:r>
      <w:r>
        <w:rPr>
          <w:rStyle w:val="HideTWBExt"/>
        </w:rPr>
        <w:t>&lt;Members&gt;</w:t>
      </w:r>
      <w:r>
        <w:t>Chiara Gemma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A tagállamok biztosítják, hogy a magánüzemeltetők vagy a hatóságok hozzáférhető formátumban nyilvánosan hozzáférhetővé tegyék az 5. cikk szerinti különleges feltételekre vagy kedvezményes elbánásra vonatkozó információkat.</w:t>
            </w:r>
          </w:p>
        </w:tc>
        <w:tc>
          <w:tcPr>
            <w:tcW w:w="4876" w:type="dxa"/>
          </w:tcPr>
          <w:p>
            <w:pPr>
              <w:pStyle w:val="Normal6a"/>
            </w:pPr>
            <w:r>
              <w:t>(1)</w:t>
            </w:r>
            <w:r>
              <w:tab/>
            </w:r>
            <w:r>
              <w:t xml:space="preserve">A tagállamok biztosítják, hogy a magánüzemeltetők vagy a hatóságok hozzáférhető formátumban nyilvánosan hozzáférhetővé tegyék az 5. cikk szerinti különleges feltételekre vagy kedvezményes elbánásra vonatkozó információkat. </w:t>
            </w:r>
            <w:r>
              <w:rPr>
                <w:b/>
                <w:i/>
              </w:rPr>
              <w:t>E célból a 9. cikkben említettek szerint elegendő uniós finanszírozást kell biztosítani.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421</w:t>
      </w:r>
      <w:r>
        <w:rPr>
          <w:rStyle w:val="HideTWBExt"/>
        </w:rPr>
        <w:t>&lt;/NumAm&gt;</w:t>
      </w:r>
    </w:p>
    <w:p>
      <w:pPr>
        <w:pStyle w:val="NormalBold"/>
      </w:pPr>
      <w:r>
        <w:rPr>
          <w:rStyle w:val="HideTWBExt"/>
        </w:rPr>
        <w:t>&lt;RepeatBlock-By&gt;</w:t>
      </w:r>
      <w:r>
        <w:rPr>
          <w:rStyle w:val="HideTWBExt"/>
        </w:rPr>
        <w:t>&lt;Members&gt;</w:t>
      </w:r>
      <w:r>
        <w:t>Lucia Ďuriš Nicholsonová, Abir Al-Sahlani, Jordi Cañas, Monica Semedo, Atidzhe Alieva-Veli, Dragoş Pîslaru, Irena Joveva, Max Orville, Sylvie Brunet, Marie-Pierre Vedrenne</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A tagállamok arra ösztönzik a magánüzemeltetőket vagy a hatóságokat, hogy önkéntes alapon különleges feltételeket vagy kedvezményes elbánást biztosítsanak a fogyatékossággal élő személyek számára.</w:t>
            </w:r>
          </w:p>
        </w:tc>
        <w:tc>
          <w:tcPr>
            <w:tcW w:w="4876" w:type="dxa"/>
          </w:tcPr>
          <w:p>
            <w:pPr>
              <w:pStyle w:val="Normal6a"/>
            </w:pPr>
            <w:r>
              <w:t>(2)</w:t>
            </w:r>
            <w:r>
              <w:tab/>
            </w:r>
            <w:r>
              <w:t xml:space="preserve">A tagállamok </w:t>
            </w:r>
            <w:r>
              <w:rPr>
                <w:b/>
                <w:i/>
              </w:rPr>
              <w:t>támogatják és</w:t>
            </w:r>
            <w:r>
              <w:t xml:space="preserve"> arra ösztönzik a magánüzemeltetőket vagy a hatóságokat, hogy önkéntes alapon különleges feltételeket vagy kedvezményes elbánást biztosítsanak a fogyatékossággal élő személyek számára </w:t>
            </w:r>
            <w:r>
              <w:rPr>
                <w:b/>
                <w:i/>
              </w:rPr>
              <w:t>a szolgáltatások, egyéb tevékenységek és létesítmények lehető legszélesebb körét illetően</w:t>
            </w:r>
            <w:r>
              <w: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tagállamok – többek között az igénybe vehető különleges feltételekre vagy kedvezményes elbánásra vonatkozó információk és bevált gyakorlatok cseréje, valamint a fogyatékossággal élők jogainak általános érvényesítésével és a tudatosságnöveléssel kapcsolatos képzések révén – különösen támogatják és ösztönzik a magánüzemeltetőket és a hatóságokat, ezzel biztosítva a különleges feltételek vagy kedvezményes elbánás relevanciáját, hatékonyságát és inkluzivitását.</w:t>
            </w:r>
            <w:r>
              <w:t xml:space="preserve"> </w:t>
            </w:r>
            <w:r>
              <w:rPr>
                <w:b/>
                <w:i/>
              </w:rPr>
              <w:t>A tagállamok biztosítják, hogy minden ilyen intézkedést a fogyatékossággal élő személyekkel és képviseleti szervezeteikkel partnerségben hajtsanak végre.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422</w:t>
      </w:r>
      <w:r>
        <w:rPr>
          <w:rStyle w:val="HideTWBExt"/>
        </w:rPr>
        <w:t>&lt;/NumAm&gt;</w:t>
      </w:r>
    </w:p>
    <w:p>
      <w:pPr>
        <w:pStyle w:val="NormalBold"/>
      </w:pPr>
      <w:r>
        <w:rPr>
          <w:rStyle w:val="HideTWBExt"/>
        </w:rPr>
        <w:t>&lt;RepeatBlock-By&gt;</w:t>
      </w:r>
      <w:r>
        <w:rPr>
          <w:rStyle w:val="HideTWBExt"/>
        </w:rPr>
        <w:t>&lt;Members&gt;</w:t>
      </w:r>
      <w:r>
        <w:t>Ádám Kósa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A tagállamok arra ösztönzik a magánüzemeltetőket vagy a hatóságokat, hogy önkéntes alapon különleges feltételeket vagy kedvezményes elbánást biztosítsanak a fogyatékossággal élő személyek számára.</w:t>
            </w:r>
          </w:p>
        </w:tc>
        <w:tc>
          <w:tcPr>
            <w:tcW w:w="4876" w:type="dxa"/>
          </w:tcPr>
          <w:p>
            <w:pPr>
              <w:pStyle w:val="Normal6a"/>
            </w:pPr>
            <w:r>
              <w:t>(2)</w:t>
            </w:r>
            <w:r>
              <w:tab/>
            </w:r>
            <w:r>
              <w:t>A tagállamok arra ösztönzik a magánüzemeltetőket vagy a hatóságokat, hogy önkéntes alapon különleges feltételeket vagy kedvezményes elbánást biztosítsanak a fogyatékossággal élő személyek számára</w:t>
            </w:r>
            <w:r>
              <w:rPr>
                <w:b/>
                <w:i/>
              </w:rPr>
              <w:t>, és az (EU) 2019/882 irányelv I. mellékletében meghatározott szolgáltatásokra vonatkozó akadálymentességi követelmények megfelelő biztosítása érdekében az 5. cikknek megfelelően közös európai iránymutatásokat dolgoznak ki a hatóságok és a magánüzemeltetők számára</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423</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A tagállamok arra ösztönzik a magánüzemeltetőket vagy a hatóságokat, hogy önkéntes alapon különleges feltételeket vagy kedvezményes elbánást biztosítsanak a fogyatékossággal élő személyek számára.</w:t>
            </w:r>
          </w:p>
        </w:tc>
        <w:tc>
          <w:tcPr>
            <w:tcW w:w="4876" w:type="dxa"/>
          </w:tcPr>
          <w:p>
            <w:pPr>
              <w:pStyle w:val="Normal6a"/>
            </w:pPr>
            <w:r>
              <w:t>(2)</w:t>
            </w:r>
            <w:r>
              <w:tab/>
            </w:r>
            <w:r>
              <w:t xml:space="preserve">A tagállamok arra ösztönzik a magánüzemeltetőket vagy a hatóságokat, hogy önkéntes alapon különleges feltételeket vagy kedvezményes elbánást biztosítsanak a fogyatékossággal élő </w:t>
            </w:r>
            <w:r>
              <w:rPr>
                <w:b/>
                <w:i/>
              </w:rPr>
              <w:t>és idős</w:t>
            </w:r>
            <w:r>
              <w:t xml:space="preserve"> személyek számára.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424</w:t>
      </w:r>
      <w:r>
        <w:rPr>
          <w:rStyle w:val="HideTWBExt"/>
        </w:rPr>
        <w:t>&lt;/NumAm&gt;</w:t>
      </w:r>
    </w:p>
    <w:p>
      <w:pPr>
        <w:pStyle w:val="NormalBold"/>
      </w:pPr>
      <w:r>
        <w:rPr>
          <w:rStyle w:val="HideTWBExt"/>
        </w:rPr>
        <w:t>&lt;RepeatBlock-By&gt;</w:t>
      </w:r>
      <w:r>
        <w:rPr>
          <w:rStyle w:val="HideTWBExt"/>
        </w:rPr>
        <w:t>&lt;Members&gt;</w:t>
      </w:r>
      <w:r>
        <w:t>Katrin Langensiepen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3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(3)</w:t>
            </w:r>
            <w:r>
              <w:tab/>
            </w:r>
            <w:r>
              <w:t xml:space="preserve">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 </w:t>
            </w:r>
            <w:r>
              <w:rPr>
                <w:b/>
                <w:i/>
              </w:rPr>
              <w:t>A Bizottság digitális portált hoz létre, amely tartalmazza az európai fogyatékossági kártya és az európai parkolási kártya valamennyi tagállamban való birtoklásának előnyeire vonatkozó összes információt, beleértve az egyes tagállamok különböző eljárásaira vonatkozó információkat is.</w:t>
            </w:r>
            <w:r>
              <w:t xml:space="preserve"> </w:t>
            </w:r>
            <w:r>
              <w:rPr>
                <w:b/>
                <w:i/>
              </w:rPr>
              <w:t>Ezeket az információkat a tagállamok megküldik a Bizottságnak, és az ezen irányelv 16. cikkében foglalt jelentéstételi követelményeknek megfelelően aktualizálják azokat.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425</w:t>
      </w:r>
      <w:r>
        <w:rPr>
          <w:rStyle w:val="HideTWBExt"/>
        </w:rPr>
        <w:t>&lt;/NumAm&gt;</w:t>
      </w:r>
    </w:p>
    <w:p>
      <w:pPr>
        <w:pStyle w:val="NormalBold"/>
      </w:pPr>
      <w:r>
        <w:rPr>
          <w:rStyle w:val="HideTWBExt"/>
        </w:rPr>
        <w:t>&lt;RepeatBlock-By&gt;</w:t>
      </w:r>
      <w:r>
        <w:rPr>
          <w:rStyle w:val="HideTWBExt"/>
        </w:rPr>
        <w:t>&lt;Members&gt;</w:t>
      </w:r>
      <w:r>
        <w:t>Lucia Ďuriš Nicholsonová, Abir Al-Sahlani, Jordi Cañas, Monica Semedo, Atidzhe Alieva-Veli, Dragoş Pîslaru, Irena Joveva, Max Orville, Sylvie Brunet, Marie-Pierre Vedrenne</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3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r>
              <w:rPr>
                <w:b/>
                <w:i/>
              </w:rPr>
              <w:t>, úgy, hogy az információ összetettsége ne haladja meg – a nemzeti jelnyelv tekintetében sem – az Európa Tanács által kidolgozott közös európai nyelvi referenciakeret B1 (középhaladó) szintjét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426</w:t>
      </w:r>
      <w:r>
        <w:rPr>
          <w:rStyle w:val="HideTWBExt"/>
        </w:rPr>
        <w:t>&lt;/NumAm&gt;</w:t>
      </w:r>
    </w:p>
    <w:p>
      <w:pPr>
        <w:pStyle w:val="NormalBold"/>
      </w:pPr>
      <w:r>
        <w:rPr>
          <w:rStyle w:val="HideTWBExt"/>
        </w:rPr>
        <w:t>&lt;RepeatBlock-By&gt;</w:t>
      </w:r>
      <w:r>
        <w:rPr>
          <w:rStyle w:val="HideTWBExt"/>
        </w:rPr>
        <w:t>&lt;Members&gt;</w:t>
      </w:r>
      <w:r>
        <w:t>José Gusmão</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3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r>
              <w:rPr>
                <w:b/>
                <w:i/>
              </w:rPr>
              <w:t>, úgy, hogy az információ összetettsége ne haladja meg az Európa Tanács által kidolgozott közös európai nyelvi referenciakeret B1 (középhaladó) szintjét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427</w:t>
      </w:r>
      <w:r>
        <w:rPr>
          <w:rStyle w:val="HideTWBExt"/>
        </w:rPr>
        <w:t>&lt;/NumAm&gt;</w:t>
      </w:r>
    </w:p>
    <w:p>
      <w:pPr>
        <w:pStyle w:val="NormalBold"/>
      </w:pPr>
      <w:r>
        <w:rPr>
          <w:rStyle w:val="HideTWBExt"/>
        </w:rPr>
        <w:t>&lt;RepeatBlock-By&gt;</w:t>
      </w:r>
      <w:r>
        <w:rPr>
          <w:rStyle w:val="HideTWBExt"/>
        </w:rPr>
        <w:t>&lt;Members&gt;</w:t>
      </w:r>
      <w:r>
        <w:t>Chiara Gemma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3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r>
              <w:rPr>
                <w:b/>
                <w:i/>
              </w:rPr>
              <w:t>, úgy, hogy az információ összetettsége ne haladja meg az Európa Tanács által kidolgozott közös európai nyelvi referenciakeret B1 (középhaladó) szintjét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428</w:t>
      </w:r>
      <w:r>
        <w:rPr>
          <w:rStyle w:val="HideTWBExt"/>
        </w:rPr>
        <w:t>&lt;/NumAm&gt;</w:t>
      </w:r>
    </w:p>
    <w:p>
      <w:pPr>
        <w:pStyle w:val="NormalBold"/>
      </w:pPr>
      <w:r>
        <w:rPr>
          <w:rStyle w:val="HideTWBExt"/>
        </w:rPr>
        <w:t>&lt;RepeatBlock-By&gt;</w:t>
      </w:r>
      <w:r>
        <w:rPr>
          <w:rStyle w:val="HideTWBExt"/>
        </w:rPr>
        <w:t>&lt;Members&gt;</w:t>
      </w:r>
      <w:r>
        <w:t>Ádám Kósa, Stelios Kympouropoulos, Lucia Ďuriš Nicholsonová</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3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(3)</w:t>
            </w:r>
            <w:r>
              <w:tab/>
            </w:r>
            <w:r>
              <w:t xml:space="preserve">Az e cikk (1) bekezdésében említett információkat díjmentesen, egyértelmű, átfogó, felhasználóbarát és könnyen hozzáférhető módon </w:t>
            </w:r>
            <w:r>
              <w:rPr>
                <w:b/>
                <w:i/>
              </w:rPr>
              <w:t>(ideértve a könnyen olvasható formátumokat és a feliratozott nemzeti és nemzetközi jelnyelvi videókat) </w:t>
            </w:r>
            <w:r>
              <w:t xml:space="preserve">kell rendelkezésre bocsátani </w:t>
            </w:r>
            <w:r>
              <w:rPr>
                <w:b/>
                <w:i/>
              </w:rPr>
              <w:t>az összes uniós nyelven</w:t>
            </w:r>
            <w:r>
              <w:t>,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429</w:t>
      </w:r>
      <w:r>
        <w:rPr>
          <w:rStyle w:val="HideTWBExt"/>
        </w:rPr>
        <w:t>&lt;/NumAm&gt;</w:t>
      </w:r>
    </w:p>
    <w:p>
      <w:pPr>
        <w:pStyle w:val="NormalBold"/>
      </w:pPr>
      <w:r>
        <w:rPr>
          <w:rStyle w:val="HideTWBExt"/>
        </w:rPr>
        <w:t>&lt;RepeatBlock-By&gt;</w:t>
      </w:r>
      <w:r>
        <w:rPr>
          <w:rStyle w:val="HideTWBExt"/>
        </w:rPr>
        <w:t>&lt;Members&gt;</w:t>
      </w:r>
      <w:r>
        <w:t>Miriam Lexmann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3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p>
        </w:tc>
        <w:tc>
          <w:tcPr>
            <w:tcW w:w="4876" w:type="dxa"/>
          </w:tcPr>
          <w:p>
            <w:pPr>
              <w:pStyle w:val="Normal6a"/>
            </w:pPr>
            <w:r>
              <w:t>(3)</w:t>
            </w:r>
            <w:r>
              <w:tab/>
            </w:r>
            <w:r>
              <w:t>Az e cikk (1) bekezdésében említett információkat díjmentesen, egyértelmű, átfogó, felhasználóbarát és könnyen hozzáférhető módon kell rendelkezésre bocsátani, többek között a magánüzemeltetők vagy hatóságok hivatalos honlapjain, ha vannak, vagy más megfelelő módon, a szolgáltatásokra vonatkozóan az (EU) 2019/882 irányelv I. mellékletében meghatározott releváns akadálymentességi követelményekkel összhangban</w:t>
            </w:r>
            <w:r>
              <w:rPr>
                <w:b/>
                <w:i/>
              </w:rPr>
              <w:t>, úgy, hogy az információ összetettsége ne haladja meg az Európa Tanács által kidolgozott közös európai nyelvi referenciakeret B1 (középhaladó) szintjét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430</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15 cikk – 3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(3a)</w:t>
            </w:r>
            <w:r>
              <w:tab/>
            </w:r>
            <w:r>
              <w:rPr>
                <w:b/>
                <w:i/>
              </w:rPr>
              <w:t>A Bizottság felhatalmazást kap arra, hogy a 11. cikknek megfelelően felhatalmazáson alapuló jogi aktusokat fogadjon el az irányelv kiegészítése céljából annak érdekében, hogy az (EU) 2019/882 irányelv I. mellékletében a szolgáltatásokra vonatkozóan meghatározott releváns akadálymentességi követelményekkel összhangban létrehozzon egy, az e cikk (1) bekezdésében említett információkat összegyűjtő hivatalos uniós honlapot, amely az e cikk (1) bekezdésében említett információkat gyűjti, hogy megkönnyítse a kártyabirtokosok általi használatot.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Indokolás</w:t>
      </w:r>
      <w:r>
        <w:rPr>
          <w:rStyle w:val="HideTWBExt"/>
        </w:rPr>
        <w:t>&lt;/TitreJust&gt;</w:t>
      </w:r>
    </w:p>
    <w:p>
      <w:pPr>
        <w:pStyle w:val="AmJustText"/>
      </w:pPr>
      <w:r>
        <w:t>Hasznos lenne létrehozni egy uniós szintű weboldalt, amely a tagállamok által böngészhető valamennyi uniós nyelven elérhető, hogy megkönnyítse a kártyabirtokosok számára a használatot.</w:t>
      </w:r>
      <w:r>
        <w:t xml:space="preserve"> </w:t>
      </w:r>
      <w:r>
        <w:t>Ez sokkal könnyebb lenne a felhasználók számára, mint 27 különböző, eltérő elrendezésű, eltérő szerkezetű és nyelvű honlap navigálása, és költségmegtakarítást is eredményez.</w:t>
      </w:r>
    </w:p>
    <w:p>
      <w:r>
        <w:rPr>
          <w:rStyle w:val="HideTWBExt"/>
        </w:rPr>
        <w:t>&lt;/Amend&gt;</w:t>
      </w:r>
    </w:p>
    <w:p>
      <w:pPr>
        <w:pStyle w:val="AmNumberTabs"/>
      </w:pPr>
      <w:r>
        <w:rPr>
          <w:rStyle w:val="HideTWBExt"/>
        </w:rPr>
        <w:t>&lt;Amend&gt;</w:t>
      </w:r>
      <w:r>
        <w:t>Módosítás</w:t>
      </w:r>
      <w:r>
        <w:tab/>
      </w:r>
      <w:r>
        <w:tab/>
      </w:r>
      <w:r>
        <w:rPr>
          <w:rStyle w:val="HideTWBExt"/>
        </w:rPr>
        <w:t>&lt;NumAm&gt;</w:t>
      </w:r>
      <w:r>
        <w:t>431</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16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Bizottság legkésőbb éé.hh.nn-ig [ezen irányelv alkalmazásának kezdőnapját követő </w:t>
            </w:r>
            <w:r>
              <w:rPr>
                <w:b/>
                <w:i/>
              </w:rPr>
              <w:t>három</w:t>
            </w:r>
            <w:r>
              <w:t xml:space="preserve"> év elteltével], és azt követően </w:t>
            </w:r>
            <w:r>
              <w:rPr>
                <w:b/>
                <w:i/>
              </w:rPr>
              <w:t>ötévente</w:t>
            </w:r>
            <w:r>
              <w:t xml:space="preserve"> jelentést nyújt be az Európai Parlamentnek, a Tanácsnak, az Európai Gazdasági és Szociális Bizottságnak és a Régiók Bizottságának ennek az irányelvnek az alkalmazásáról.</w:t>
            </w:r>
          </w:p>
        </w:tc>
        <w:tc>
          <w:tcPr>
            <w:tcW w:w="4876" w:type="dxa"/>
          </w:tcPr>
          <w:p>
            <w:pPr>
              <w:pStyle w:val="Normal6a"/>
            </w:pPr>
            <w:r>
              <w:t>(1)</w:t>
            </w:r>
            <w:r>
              <w:tab/>
            </w:r>
            <w:r>
              <w:t xml:space="preserve">A Bizottság legkésőbb éé.hh.nn-ig [ezen irányelv alkalmazásának kezdőnapját követő </w:t>
            </w:r>
            <w:r>
              <w:rPr>
                <w:b/>
                <w:i/>
              </w:rPr>
              <w:t>két</w:t>
            </w:r>
            <w:r>
              <w:t xml:space="preserve"> év elteltével], és azt követően </w:t>
            </w:r>
            <w:r>
              <w:rPr>
                <w:b/>
                <w:i/>
              </w:rPr>
              <w:t>háromévente</w:t>
            </w:r>
            <w:r>
              <w:t xml:space="preserve"> jelentést nyújt be az Európai Parlamentnek, a Tanácsnak, az Európai Gazdasági és Szociális Bizottságnak és a Régiók Bizottságának ennek az irányelvnek az alkalmazásáról.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432</w:t>
      </w:r>
      <w:r>
        <w:rPr>
          <w:rStyle w:val="HideTWBExt"/>
        </w:rPr>
        <w:t>&lt;/NumAm&gt;</w:t>
      </w:r>
    </w:p>
    <w:p>
      <w:pPr>
        <w:pStyle w:val="NormalBold"/>
      </w:pPr>
      <w:r>
        <w:rPr>
          <w:rStyle w:val="HideTWBExt"/>
        </w:rPr>
        <w:t>&lt;RepeatBlock-By&gt;</w:t>
      </w:r>
      <w:r>
        <w:rPr>
          <w:rStyle w:val="HideTWBExt"/>
        </w:rPr>
        <w:t>&lt;Members&gt;</w:t>
      </w:r>
      <w:r>
        <w:t>Abir Al-Sahlani, Lucia Ďuriš Nicholsonová, Monica Semedo, Jordi Cañas, Dragoş Pîslaru, Irena Joveva, Sylvie Brunet, Marie-Pierre Vedrenne</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16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A jelentés többek között a társadalmi </w:t>
            </w:r>
            <w:r>
              <w:rPr>
                <w:b/>
                <w:i/>
              </w:rPr>
              <w:t>és gazdasági</w:t>
            </w:r>
            <w:r>
              <w:t xml:space="preserve"> fejlemények fényében foglalkozik az európai fogyatékossági kártya és fogyatékossággal élő személyek európai parkolási kártyája használatával, hogy felmérje, szükséges-e ezen irányelv felülvizsgálata.</w:t>
            </w:r>
          </w:p>
        </w:tc>
        <w:tc>
          <w:tcPr>
            <w:tcW w:w="4876" w:type="dxa"/>
          </w:tcPr>
          <w:p>
            <w:pPr>
              <w:pStyle w:val="Normal6a"/>
            </w:pPr>
            <w:r>
              <w:t>(2)</w:t>
            </w:r>
            <w:r>
              <w:tab/>
            </w:r>
            <w:r>
              <w:t>A jelentés többek között a társadalmi</w:t>
            </w:r>
            <w:r>
              <w:rPr>
                <w:b/>
                <w:i/>
              </w:rPr>
              <w:t>, gazdasági és egyéb releváns</w:t>
            </w:r>
            <w:r>
              <w:t xml:space="preserve"> fejlemények fényében foglalkozik az európai fogyatékossági kártya és fogyatékossággal élő személyek európai parkolási kártyája használatával, hogy felmérje, szükséges-e ezen irányelv felülvizsgálata. </w:t>
            </w:r>
            <w:r>
              <w:rPr>
                <w:b/>
                <w:i/>
              </w:rPr>
              <w:t>A jelentésnek tartalmaznia kell a nemek közötti egyenlőségi elemzését arról, hogy ezen irányelv rendelkezései hogyan befolyásolták a fogyatékossággal élő nők és lányok szabad mozgását.</w:t>
            </w:r>
            <w:r>
              <w:t xml:space="preserve"> </w:t>
            </w:r>
            <w:r>
              <w:rPr>
                <w:b/>
                <w:i/>
              </w:rPr>
              <w:t>A jelentésnek értékelnie kell a tagállamok által a szolgáltatók számára biztosított ösztönző intézkedések hatékonyságát is.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433</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16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A jelentés többek között a társadalmi </w:t>
            </w:r>
            <w:r>
              <w:rPr>
                <w:b/>
                <w:i/>
              </w:rPr>
              <w:t>és gazdasági</w:t>
            </w:r>
            <w:r>
              <w:t xml:space="preserve"> fejlemények fényében foglalkozik az európai fogyatékossági kártya és fogyatékossággal élő személyek európai parkolási kártyája használatával, hogy felmérje, szükséges-e ezen irányelv felülvizsgálata.</w:t>
            </w:r>
          </w:p>
        </w:tc>
        <w:tc>
          <w:tcPr>
            <w:tcW w:w="4876" w:type="dxa"/>
          </w:tcPr>
          <w:p>
            <w:pPr>
              <w:pStyle w:val="Normal6a"/>
            </w:pPr>
            <w:r>
              <w:t>(2)</w:t>
            </w:r>
            <w:r>
              <w:tab/>
            </w:r>
            <w:r>
              <w:t>A jelentés többek között a társadalmi</w:t>
            </w:r>
            <w:r>
              <w:rPr>
                <w:b/>
                <w:i/>
              </w:rPr>
              <w:t>, gazdasági és egyéb releváns – köztük technikai –</w:t>
            </w:r>
            <w:r>
              <w:t xml:space="preserve"> fejlemények fényében foglalkozik az európai fogyatékossági kártya és fogyatékossággal élő személyek európai parkolási kártyája használatával, hogy felmérje, szükséges-e ezen irányelv felülvizsgálata.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434</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16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A jelentés többek között a társadalmi és gazdasági fejlemények fényében foglalkozik </w:t>
            </w:r>
            <w:r>
              <w:rPr>
                <w:b/>
                <w:i/>
              </w:rPr>
              <w:t>az európai fogyatékossági</w:t>
            </w:r>
            <w:r>
              <w:t xml:space="preserve"> kártya és fogyatékossággal élő </w:t>
            </w:r>
            <w:r>
              <w:rPr>
                <w:b/>
                <w:i/>
              </w:rPr>
              <w:t>személyek</w:t>
            </w:r>
            <w:r>
              <w:t xml:space="preserve"> európai parkolási </w:t>
            </w:r>
            <w:r>
              <w:rPr>
                <w:b/>
                <w:i/>
              </w:rPr>
              <w:t>kártyája</w:t>
            </w:r>
            <w:r>
              <w:t xml:space="preserve"> használatával, hogy felmérje, szükséges-e ezen irányelv felülvizsgálata.</w:t>
            </w:r>
          </w:p>
        </w:tc>
        <w:tc>
          <w:tcPr>
            <w:tcW w:w="4876" w:type="dxa"/>
          </w:tcPr>
          <w:p>
            <w:pPr>
              <w:pStyle w:val="Normal6a"/>
            </w:pPr>
            <w:r>
              <w:t>(2)</w:t>
            </w:r>
            <w:r>
              <w:tab/>
            </w:r>
            <w:r>
              <w:t xml:space="preserve">A jelentés többek között a társadalmi és gazdasági fejlemények fényében foglalkozik </w:t>
            </w:r>
            <w:r>
              <w:rPr>
                <w:b/>
                <w:i/>
              </w:rPr>
              <w:t>a fogyatékossággal élő és idős személyeknek szóló európai</w:t>
            </w:r>
            <w:r>
              <w:t> kártya és</w:t>
            </w:r>
            <w:r>
              <w:rPr>
                <w:b/>
                <w:i/>
              </w:rPr>
              <w:t> a</w:t>
            </w:r>
            <w:r>
              <w:t xml:space="preserve"> fogyatékossággal élő </w:t>
            </w:r>
            <w:r>
              <w:rPr>
                <w:b/>
                <w:i/>
              </w:rPr>
              <w:t>és idős személyeknek szóló</w:t>
            </w:r>
            <w:r>
              <w:t> európai parkolási </w:t>
            </w:r>
            <w:r>
              <w:rPr>
                <w:b/>
                <w:i/>
              </w:rPr>
              <w:t>kártya</w:t>
            </w:r>
            <w:r>
              <w:t> használatával, hogy felmérje, szükséges-e ezen irányelv felülvizsgálata.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435</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16 cikk – 4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A Bizottság a jelentésében figyelembe veszi a fogyatékossággal élő személyek, a gazdasági szereplők és az érintett nem kormányzati szervezetek, köztük a fogyatékossággal élő személyeket képviselő szervezetek véleményét.</w:t>
            </w:r>
          </w:p>
        </w:tc>
        <w:tc>
          <w:tcPr>
            <w:tcW w:w="4876" w:type="dxa"/>
          </w:tcPr>
          <w:p>
            <w:pPr>
              <w:pStyle w:val="Normal6a"/>
            </w:pPr>
            <w:r>
              <w:t>(4)</w:t>
            </w:r>
            <w:r>
              <w:tab/>
            </w:r>
            <w:r>
              <w:t xml:space="preserve">A Bizottság a jelentésében figyelembe veszi a fogyatékossággal élő </w:t>
            </w:r>
            <w:r>
              <w:rPr>
                <w:b/>
                <w:i/>
              </w:rPr>
              <w:t>és idős</w:t>
            </w:r>
            <w:r>
              <w:t xml:space="preserve"> személyek, a gazdasági szereplők és az érintett nem kormányzati szervezetek, köztük a fogyatékossággal élő </w:t>
            </w:r>
            <w:r>
              <w:rPr>
                <w:b/>
                <w:i/>
              </w:rPr>
              <w:t>és idős</w:t>
            </w:r>
            <w:r>
              <w:t xml:space="preserve"> személyeket képviselő szervezetek véleményét.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436</w:t>
      </w:r>
      <w:r>
        <w:rPr>
          <w:rStyle w:val="HideTWBExt"/>
        </w:rPr>
        <w:t>&lt;/NumAm&gt;</w:t>
      </w:r>
    </w:p>
    <w:p>
      <w:pPr>
        <w:pStyle w:val="NormalBold"/>
      </w:pPr>
      <w:r>
        <w:rPr>
          <w:rStyle w:val="HideTWBExt"/>
        </w:rPr>
        <w:t>&lt;RepeatBlock-By&gt;</w:t>
      </w:r>
      <w:r>
        <w:rPr>
          <w:rStyle w:val="HideTWBExt"/>
        </w:rPr>
        <w:t>&lt;Members&gt;</w:t>
      </w:r>
      <w:r>
        <w:t>Katrin Langensiepen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16 cikk – 4 a 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(4a)</w:t>
            </w:r>
            <w:r>
              <w:tab/>
            </w:r>
            <w:r>
              <w:rPr>
                <w:b/>
                <w:i/>
              </w:rPr>
              <w:t>A jelentésnek hatásvizsgálatot kell tartalmaznia a kártya mint a szociális biztonság területén a 883/2004/EK és a 987/2009/EK rendelet szerinti hordozhatósági ellátások, valamint a 2004/38/EK irányelv 24. cikke (2) bekezdésének hatálya alá tartozó szociális segítségnyújtás javítására szolgáló eszköz használatáról.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437</w:t>
      </w:r>
      <w:r>
        <w:rPr>
          <w:rStyle w:val="HideTWBExt"/>
        </w:rPr>
        <w:t>&lt;/NumAm&gt;</w:t>
      </w:r>
    </w:p>
    <w:p>
      <w:pPr>
        <w:pStyle w:val="NormalBold"/>
      </w:pPr>
      <w:r>
        <w:rPr>
          <w:rStyle w:val="HideTWBExt"/>
        </w:rPr>
        <w:t>&lt;RepeatBlock-By&gt;</w:t>
      </w:r>
      <w:r>
        <w:rPr>
          <w:rStyle w:val="HideTWBExt"/>
        </w:rPr>
        <w:t>&lt;Members&gt;</w:t>
      </w:r>
      <w:r>
        <w:t>Elżbieta Rafalska, Beata Szydło, Margarita de la Pisa Carrión, Anna Zalewska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tagállamok legkésőbb </w:t>
            </w:r>
            <w:r>
              <w:rPr>
                <w:b/>
                <w:i/>
              </w:rPr>
              <w:t>éé.hh.nn-jéig</w:t>
            </w:r>
            <w:r>
              <w:t xml:space="preserve">/-ig [ezen irányelv hatálybalépését követő </w:t>
            </w:r>
            <w:r>
              <w:rPr>
                <w:b/>
                <w:i/>
              </w:rPr>
              <w:t>18</w:t>
            </w:r>
            <w:r>
              <w:t xml:space="preserve"> hónapon belül] elfogadják és kihirdetik azokat a törvényi, rendeleti és közigazgatási rendelkezéseket, amelyek szükségesek ahhoz, hogy ennek az irányelvnek megfeleljenek. E rendelkezések szövegét haladéktalanul megküldik a Bizottságnak.</w:t>
            </w:r>
          </w:p>
        </w:tc>
        <w:tc>
          <w:tcPr>
            <w:tcW w:w="4876" w:type="dxa"/>
          </w:tcPr>
          <w:p>
            <w:pPr>
              <w:pStyle w:val="Normal6a"/>
            </w:pPr>
            <w:r>
              <w:t>(1)</w:t>
            </w:r>
            <w:r>
              <w:tab/>
            </w:r>
            <w:r>
              <w:t xml:space="preserve">A tagállamok legkésőbb </w:t>
            </w:r>
            <w:r>
              <w:rPr>
                <w:b/>
                <w:i/>
              </w:rPr>
              <w:t>éééé.hh.nn-jéig</w:t>
            </w:r>
            <w:r>
              <w:t xml:space="preserve">/-ig [ezen irányelv hatálybalépését követő </w:t>
            </w:r>
            <w:r>
              <w:rPr>
                <w:b/>
                <w:i/>
              </w:rPr>
              <w:t>24</w:t>
            </w:r>
            <w:r>
              <w:t> hónapon belül] elfogadják és kihirdetik azokat a törvényi, rendeleti és közigazgatási rendelkezéseket, amelyek szükségesek ahhoz, hogy ennek az irányelvnek megfeleljenek. E rendelkezések szövegét haladéktalanul megküldik a Bizottságnak.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438</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tagállamok legkésőbb éé.hh.nn-jéig/-ig [ezen irányelv hatálybalépését követő </w:t>
            </w:r>
            <w:r>
              <w:rPr>
                <w:b/>
                <w:i/>
              </w:rPr>
              <w:t>18</w:t>
            </w:r>
            <w:r>
              <w:t xml:space="preserve"> hónapon belül] elfogadják és kihirdetik azokat a törvényi, rendeleti és közigazgatási rendelkezéseket, amelyek szükségesek ahhoz, hogy ennek az irányelvnek megfeleljenek. E rendelkezések szövegét haladéktalanul megküldik a Bizottságnak.</w:t>
            </w:r>
          </w:p>
        </w:tc>
        <w:tc>
          <w:tcPr>
            <w:tcW w:w="4876" w:type="dxa"/>
          </w:tcPr>
          <w:p>
            <w:pPr>
              <w:pStyle w:val="Normal6a"/>
            </w:pPr>
            <w:r>
              <w:t>(1)</w:t>
            </w:r>
            <w:r>
              <w:tab/>
            </w:r>
            <w:r>
              <w:t xml:space="preserve">A tagállamok legkésőbb éé.hh.nn-jéig/-ig [ezen irányelv hatálybalépését követő </w:t>
            </w:r>
            <w:r>
              <w:rPr>
                <w:b/>
                <w:i/>
              </w:rPr>
              <w:t>36</w:t>
            </w:r>
            <w:r>
              <w:t xml:space="preserve"> hónapon belül] elfogadják és kihirdetik azokat a törvényi, rendeleti és közigazgatási rendelkezéseket, amelyek szükségesek ahhoz, hogy ennek az irányelvnek megfeleljenek. E rendelkezések szövegét haladéktalanul megküldik a Bizottságnak.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439</w:t>
      </w:r>
      <w:r>
        <w:rPr>
          <w:rStyle w:val="HideTWBExt"/>
        </w:rPr>
        <w:t>&lt;/NumAm&gt;</w:t>
      </w:r>
    </w:p>
    <w:p>
      <w:pPr>
        <w:pStyle w:val="NormalBold"/>
      </w:pPr>
      <w:r>
        <w:rPr>
          <w:rStyle w:val="HideTWBExt"/>
        </w:rPr>
        <w:t>&lt;RepeatBlock-By&gt;</w:t>
      </w:r>
      <w:r>
        <w:rPr>
          <w:rStyle w:val="HideTWBExt"/>
        </w:rPr>
        <w:t>&lt;Members&gt;</w:t>
      </w:r>
      <w:r>
        <w:t>José Gusmão</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tagállamok legkésőbb éé.hh.nn-jéig/-ig [ezen irányelv hatálybalépését követő </w:t>
            </w:r>
            <w:r>
              <w:rPr>
                <w:b/>
                <w:i/>
              </w:rPr>
              <w:t>18</w:t>
            </w:r>
            <w:r>
              <w:t xml:space="preserve"> hónapon belül] elfogadják és kihirdetik azokat a törvényi, rendeleti és közigazgatási rendelkezéseket, amelyek szükségesek ahhoz, hogy ennek az irányelvnek megfeleljenek. E rendelkezések szövegét haladéktalanul megküldik a Bizottságnak.</w:t>
            </w:r>
          </w:p>
        </w:tc>
        <w:tc>
          <w:tcPr>
            <w:tcW w:w="4876" w:type="dxa"/>
          </w:tcPr>
          <w:p>
            <w:pPr>
              <w:pStyle w:val="Normal6a"/>
            </w:pPr>
            <w:r>
              <w:t>(1)</w:t>
            </w:r>
            <w:r>
              <w:tab/>
            </w:r>
            <w:r>
              <w:t xml:space="preserve">A tagállamok legkésőbb éé.hh.nn-jéig/-ig [ezen irányelv hatálybalépését követő </w:t>
            </w:r>
            <w:r>
              <w:rPr>
                <w:b/>
                <w:i/>
              </w:rPr>
              <w:t>12</w:t>
            </w:r>
            <w:r>
              <w:t> hónapon belül] elfogadják és kihirdetik azokat a törvényi, rendeleti és közigazgatási rendelkezéseket, amelyek szükségesek ahhoz, hogy ennek az irányelvnek megfeleljenek. E rendelkezések szövegét haladéktalanul megküldik a Bizottságnak.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440</w:t>
      </w:r>
      <w:r>
        <w:rPr>
          <w:rStyle w:val="HideTWBExt"/>
        </w:rPr>
        <w:t>&lt;/NumAm&gt;</w:t>
      </w:r>
    </w:p>
    <w:p>
      <w:pPr>
        <w:pStyle w:val="NormalBold"/>
      </w:pPr>
      <w:r>
        <w:rPr>
          <w:rStyle w:val="HideTWBExt"/>
        </w:rPr>
        <w:t>&lt;RepeatBlock-By&gt;</w:t>
      </w:r>
      <w:r>
        <w:rPr>
          <w:rStyle w:val="HideTWBExt"/>
        </w:rPr>
        <w:t>&lt;Members&gt;</w:t>
      </w:r>
      <w:r>
        <w:t>Katrin Langensiepen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tagállamok legkésőbb éé.hh.nn-jéig/-ig [ezen irányelv hatálybalépését követő </w:t>
            </w:r>
            <w:r>
              <w:rPr>
                <w:b/>
                <w:i/>
              </w:rPr>
              <w:t>18</w:t>
            </w:r>
            <w:r>
              <w:t xml:space="preserve"> hónapon belül] elfogadják és kihirdetik azokat a törvényi, rendeleti és közigazgatási rendelkezéseket, amelyek szükségesek ahhoz, hogy ennek az irányelvnek megfeleljenek. E rendelkezések szövegét haladéktalanul megküldik a Bizottságnak.</w:t>
            </w:r>
          </w:p>
        </w:tc>
        <w:tc>
          <w:tcPr>
            <w:tcW w:w="4876" w:type="dxa"/>
          </w:tcPr>
          <w:p>
            <w:pPr>
              <w:pStyle w:val="Normal6a"/>
            </w:pPr>
            <w:r>
              <w:t>(1)</w:t>
            </w:r>
            <w:r>
              <w:tab/>
            </w:r>
            <w:r>
              <w:t xml:space="preserve">A tagállamok legkésőbb éé.hh.nn-jéig/-ig [ezen irányelv hatálybalépését követő </w:t>
            </w:r>
            <w:r>
              <w:rPr>
                <w:b/>
                <w:i/>
              </w:rPr>
              <w:t>12</w:t>
            </w:r>
            <w:r>
              <w:t> hónapon belül] elfogadják és kihirdetik azokat a törvényi, rendeleti és közigazgatási rendelkezéseket, amelyek szükségesek ahhoz, hogy ennek az irányelvnek megfeleljenek. E rendelkezések szövegét haladéktalanul megküldik a Bizottságnak.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441</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 xml:space="preserve">A tagállamok legkésőbb éé.hh.nn-jéig/-ig [ezen irányelv hatálybalépését követő </w:t>
            </w:r>
            <w:r>
              <w:rPr>
                <w:b/>
                <w:i/>
              </w:rPr>
              <w:t>18</w:t>
            </w:r>
            <w:r>
              <w:t xml:space="preserve"> hónapon belül] elfogadják és kihirdetik azokat a törvényi, rendeleti és közigazgatási rendelkezéseket, amelyek szükségesek ahhoz, hogy ennek az irányelvnek megfeleljenek. E rendelkezések szövegét haladéktalanul megküldik a Bizottságnak.</w:t>
            </w:r>
          </w:p>
        </w:tc>
        <w:tc>
          <w:tcPr>
            <w:tcW w:w="4876" w:type="dxa"/>
          </w:tcPr>
          <w:p>
            <w:pPr>
              <w:pStyle w:val="Normal6a"/>
            </w:pPr>
            <w:r>
              <w:t>(1)</w:t>
            </w:r>
            <w:r>
              <w:tab/>
            </w:r>
            <w:r>
              <w:t xml:space="preserve">A tagállamok legkésőbb éé.hh.nn-jéig/-ig [ezen irányelv hatálybalépését követő </w:t>
            </w:r>
            <w:r>
              <w:rPr>
                <w:b/>
                <w:i/>
              </w:rPr>
              <w:t>12</w:t>
            </w:r>
            <w:r>
              <w:t> hónapon belül] elfogadják és kihirdetik azokat a törvényi, rendeleti és közigazgatási rendelkezéseket, amelyek szükségesek ahhoz, hogy ennek az irányelvnek megfeleljenek. E rendelkezések szövegét haladéktalanul megküldik a Bizottságnak.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442</w:t>
      </w:r>
      <w:r>
        <w:rPr>
          <w:rStyle w:val="HideTWBExt"/>
        </w:rPr>
        <w:t>&lt;/NumAm&gt;</w:t>
      </w:r>
    </w:p>
    <w:p>
      <w:pPr>
        <w:pStyle w:val="NormalBold"/>
      </w:pPr>
      <w:r>
        <w:rPr>
          <w:rStyle w:val="HideTWBExt"/>
        </w:rPr>
        <w:t>&lt;RepeatBlock-By&gt;</w:t>
      </w:r>
      <w:r>
        <w:rPr>
          <w:rStyle w:val="HideTWBExt"/>
        </w:rPr>
        <w:t>&lt;Members&gt;</w:t>
      </w:r>
      <w:r>
        <w:t>Katrin Langensiepen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Ezeket a rendelkezéseket éé hh.nn-tól/-től [ezen irányelv hatálybalépését követő </w:t>
            </w:r>
            <w:r>
              <w:rPr>
                <w:b/>
                <w:i/>
              </w:rPr>
              <w:t>30</w:t>
            </w:r>
            <w:r>
              <w:t xml:space="preserve"> hónap elteltével] alkalmazzák.</w:t>
            </w:r>
          </w:p>
        </w:tc>
        <w:tc>
          <w:tcPr>
            <w:tcW w:w="4876" w:type="dxa"/>
          </w:tcPr>
          <w:p>
            <w:pPr>
              <w:pStyle w:val="Normal6a"/>
            </w:pPr>
            <w:r>
              <w:t>(2)</w:t>
            </w:r>
            <w:r>
              <w:tab/>
            </w:r>
            <w:r>
              <w:t xml:space="preserve">Ezeket a rendelkezéseket éé hh.nn-tól/-től [ezen irányelv hatálybalépését követő </w:t>
            </w:r>
            <w:r>
              <w:rPr>
                <w:b/>
                <w:i/>
              </w:rPr>
              <w:t>24</w:t>
            </w:r>
            <w:r>
              <w:t> hónap elteltével] alkalmazzák.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443</w:t>
      </w:r>
      <w:r>
        <w:rPr>
          <w:rStyle w:val="HideTWBExt"/>
        </w:rPr>
        <w:t>&lt;/NumAm&gt;</w:t>
      </w:r>
    </w:p>
    <w:p>
      <w:pPr>
        <w:pStyle w:val="NormalBold"/>
      </w:pPr>
      <w:r>
        <w:rPr>
          <w:rStyle w:val="HideTWBExt"/>
        </w:rPr>
        <w:t>&lt;RepeatBlock-By&gt;</w:t>
      </w:r>
      <w:r>
        <w:rPr>
          <w:rStyle w:val="HideTWBExt"/>
        </w:rPr>
        <w:t>&lt;Members&gt;</w:t>
      </w:r>
      <w:r>
        <w:t>Elżbieta Rafalska, Beata Szydło, Margarita de la Pisa Carrión, Anna Zalewska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Ezeket a rendelkezéseket </w:t>
            </w:r>
            <w:r>
              <w:rPr>
                <w:b/>
                <w:i/>
              </w:rPr>
              <w:t>éé</w:t>
            </w:r>
            <w:r>
              <w:t xml:space="preserve"> hh.nn-tól/-től [ezen irányelv hatálybalépését követő </w:t>
            </w:r>
            <w:r>
              <w:rPr>
                <w:b/>
                <w:i/>
              </w:rPr>
              <w:t>30</w:t>
            </w:r>
            <w:r>
              <w:t xml:space="preserve"> hónap elteltével] alkalmazzák.</w:t>
            </w:r>
          </w:p>
        </w:tc>
        <w:tc>
          <w:tcPr>
            <w:tcW w:w="4876" w:type="dxa"/>
          </w:tcPr>
          <w:p>
            <w:pPr>
              <w:pStyle w:val="Normal6a"/>
            </w:pPr>
            <w:r>
              <w:t>(2)</w:t>
            </w:r>
            <w:r>
              <w:tab/>
            </w:r>
            <w:r>
              <w:t xml:space="preserve">Ezeket a rendelkezéseket </w:t>
            </w:r>
            <w:r>
              <w:rPr>
                <w:b/>
                <w:i/>
              </w:rPr>
              <w:t>éééé</w:t>
            </w:r>
            <w:r>
              <w:t xml:space="preserve"> hh.nn-tól/-től [ezen irányelv hatálybalépését követő </w:t>
            </w:r>
            <w:r>
              <w:rPr>
                <w:b/>
                <w:i/>
              </w:rPr>
              <w:t>36</w:t>
            </w:r>
            <w:r>
              <w:t> hónap elteltével] alkalmazzák.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444</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Ezeket a rendelkezéseket éé hh.nn-tól/-től [ezen irányelv hatálybalépését követő </w:t>
            </w:r>
            <w:r>
              <w:rPr>
                <w:b/>
                <w:i/>
              </w:rPr>
              <w:t>30</w:t>
            </w:r>
            <w:r>
              <w:t xml:space="preserve"> hónap elteltével] alkalmazzák.</w:t>
            </w:r>
          </w:p>
        </w:tc>
        <w:tc>
          <w:tcPr>
            <w:tcW w:w="4876" w:type="dxa"/>
          </w:tcPr>
          <w:p>
            <w:pPr>
              <w:pStyle w:val="Normal6a"/>
            </w:pPr>
            <w:r>
              <w:t>(2)</w:t>
            </w:r>
            <w:r>
              <w:tab/>
            </w:r>
            <w:r>
              <w:t xml:space="preserve">Ezeket a rendelkezéseket éé hh.nn-tól/-től [ezen irányelv hatálybalépését követő </w:t>
            </w:r>
            <w:r>
              <w:rPr>
                <w:b/>
                <w:i/>
              </w:rPr>
              <w:t>48</w:t>
            </w:r>
            <w:r>
              <w:t xml:space="preserve"> hónap elteltével] alkalmazzák.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445</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Ezeket a rendelkezéseket éé hh.nn-tól/-től [ezen irányelv hatálybalépését követő </w:t>
            </w:r>
            <w:r>
              <w:rPr>
                <w:b/>
                <w:i/>
              </w:rPr>
              <w:t>30</w:t>
            </w:r>
            <w:r>
              <w:t xml:space="preserve"> hónap elteltével] alkalmazzák.</w:t>
            </w:r>
          </w:p>
        </w:tc>
        <w:tc>
          <w:tcPr>
            <w:tcW w:w="4876" w:type="dxa"/>
          </w:tcPr>
          <w:p>
            <w:pPr>
              <w:pStyle w:val="Normal6a"/>
            </w:pPr>
            <w:r>
              <w:t>(2)</w:t>
            </w:r>
            <w:r>
              <w:tab/>
            </w:r>
            <w:r>
              <w:t xml:space="preserve">Ezeket a rendelkezéseket éé hh.nn-tól/-től [ezen irányelv hatálybalépését követő </w:t>
            </w:r>
            <w:r>
              <w:rPr>
                <w:b/>
                <w:i/>
              </w:rPr>
              <w:t>24</w:t>
            </w:r>
            <w:r>
              <w:t> hónap elteltével] alkalmazzák.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446</w:t>
      </w:r>
      <w:r>
        <w:rPr>
          <w:rStyle w:val="HideTWBExt"/>
        </w:rPr>
        <w:t>&lt;/NumAm&gt;</w:t>
      </w:r>
    </w:p>
    <w:p>
      <w:pPr>
        <w:pStyle w:val="NormalBold"/>
      </w:pPr>
      <w:r>
        <w:rPr>
          <w:rStyle w:val="HideTWBExt"/>
        </w:rPr>
        <w:t>&lt;RepeatBlock-By&gt;</w:t>
      </w:r>
      <w:r>
        <w:rPr>
          <w:rStyle w:val="HideTWBExt"/>
        </w:rPr>
        <w:t>&lt;Members&gt;</w:t>
      </w:r>
      <w:r>
        <w:t>Rosa Estaràs Ferragut</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18 cikk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Ezeket a rendelkezéseket éé hh.nn-tól/-től [ezen irányelv hatálybalépését követő </w:t>
            </w:r>
            <w:r>
              <w:rPr>
                <w:b/>
                <w:i/>
              </w:rPr>
              <w:t>30</w:t>
            </w:r>
            <w:r>
              <w:t xml:space="preserve"> hónap elteltével] alkalmazzák.</w:t>
            </w:r>
          </w:p>
        </w:tc>
        <w:tc>
          <w:tcPr>
            <w:tcW w:w="4876" w:type="dxa"/>
          </w:tcPr>
          <w:p>
            <w:pPr>
              <w:pStyle w:val="Normal6a"/>
            </w:pPr>
            <w:r>
              <w:t>(2)</w:t>
            </w:r>
            <w:r>
              <w:tab/>
            </w:r>
            <w:r>
              <w:t xml:space="preserve">Ezeket a rendelkezéseket éé hh.nn-tól/-től [ezen irányelv hatálybalépését követő </w:t>
            </w:r>
            <w:r>
              <w:rPr>
                <w:b/>
                <w:i/>
              </w:rPr>
              <w:t>20</w:t>
            </w:r>
            <w:r>
              <w:t> hónap elteltével] alkalmazzák.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447</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1 alcím</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AZ EURÓPAI FOGYATÉKOSSÁGI</w:t>
            </w:r>
            <w:r>
              <w:t xml:space="preserve"> KÁRTYA FORMÁTUMA</w:t>
            </w:r>
          </w:p>
        </w:tc>
        <w:tc>
          <w:tcPr>
            <w:tcW w:w="4876" w:type="dxa"/>
          </w:tcPr>
          <w:p>
            <w:pPr>
              <w:pStyle w:val="Normal6a"/>
            </w:pPr>
            <w:r>
              <w:rPr>
                <w:b/>
                <w:i/>
              </w:rPr>
              <w:t>A FOGYATÉKOSSÁGGAL ÉLŐ ÉS IDŐS SZEMÉLYEKNEK SZÓLÓ EURÓPAI</w:t>
            </w:r>
            <w:r>
              <w:t xml:space="preserve"> KÁRTYA FORMÁTUMA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448</w:t>
      </w:r>
      <w:r>
        <w:rPr>
          <w:rStyle w:val="HideTWBExt"/>
        </w:rPr>
        <w:t>&lt;/NumAm&gt;</w:t>
      </w:r>
    </w:p>
    <w:p>
      <w:pPr>
        <w:pStyle w:val="NormalBold"/>
      </w:pPr>
      <w:r>
        <w:rPr>
          <w:rStyle w:val="HideTWBExt"/>
        </w:rPr>
        <w:t>&lt;RepeatBlock-By&gt;</w:t>
      </w:r>
      <w:r>
        <w:rPr>
          <w:rStyle w:val="HideTWBExt"/>
        </w:rPr>
        <w:t>&lt;Members&gt;</w:t>
      </w:r>
      <w:r>
        <w:t>Ádám Kósa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ELŐLAP: a „European Disability Card” szöveg angolul</w:t>
            </w:r>
          </w:p>
        </w:tc>
        <w:tc>
          <w:tcPr>
            <w:tcW w:w="4876" w:type="dxa"/>
          </w:tcPr>
          <w:p>
            <w:pPr>
              <w:pStyle w:val="Normal6a"/>
            </w:pPr>
            <w:r>
              <w:t>ELŐLAP: a „European Disability Card” szöveg angolul</w:t>
            </w:r>
            <w:r>
              <w:rPr>
                <w:b/>
                <w:i/>
              </w:rPr>
              <w:t>, és a kártyát kiállító tagállam nyelvén (nyelvein) és Braille-írással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449</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1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ELŐLAP: a „European Disability Card” szöveg angolul</w:t>
            </w:r>
          </w:p>
        </w:tc>
        <w:tc>
          <w:tcPr>
            <w:tcW w:w="4876" w:type="dxa"/>
          </w:tcPr>
          <w:p>
            <w:pPr>
              <w:pStyle w:val="Normal6a"/>
            </w:pPr>
            <w:r>
              <w:t xml:space="preserve">ELŐLAP: a „European Disability </w:t>
            </w:r>
            <w:r>
              <w:rPr>
                <w:b/>
                <w:i/>
              </w:rPr>
              <w:t>and Elderly</w:t>
            </w:r>
            <w:r>
              <w:t xml:space="preserve"> Card” szöveg angolul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450</w:t>
      </w:r>
      <w:r>
        <w:rPr>
          <w:rStyle w:val="HideTWBExt"/>
        </w:rPr>
        <w:t>&lt;/NumAm&gt;</w:t>
      </w:r>
    </w:p>
    <w:p>
      <w:pPr>
        <w:pStyle w:val="NormalBold"/>
      </w:pPr>
      <w:r>
        <w:rPr>
          <w:rStyle w:val="HideTWBExt"/>
        </w:rPr>
        <w:t>&lt;RepeatBlock-By&gt;</w:t>
      </w:r>
      <w:r>
        <w:rPr>
          <w:rStyle w:val="HideTWBExt"/>
        </w:rPr>
        <w:t>&lt;Members&gt;</w:t>
      </w:r>
      <w:r>
        <w:t>Cindy Franssen, David Casa, 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HÁTOLDAL: Nemzeti információk a kiállító tagállam által meghatározandó nemzeti nyelven vagy nyelveken.</w:t>
            </w:r>
          </w:p>
        </w:tc>
        <w:tc>
          <w:tcPr>
            <w:tcW w:w="4876" w:type="dxa"/>
          </w:tcPr>
          <w:p>
            <w:pPr>
              <w:pStyle w:val="Normal6a"/>
            </w:pPr>
            <w:r>
              <w:t>HÁTOLDAL: Nemzeti információk a kiállító tagállam által meghatározandó nemzeti nyelven vagy nyelveken.</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Arra ösztönzi a tagállamokat, hogy az európai fogyatékossági kártya hátoldalán önkéntes alapon, a kedvezményezett kérésére és a fogyatékosság jellege felfedésének – bármifajta megbélyegzés megakadályozása érdekében való – elkerülésével illesszenek be egy olyan grafikus, digitális vagy írásbeli jelzést, például piktogramot, amely a kártyatulajdonos által igényelt segítség jellegét szemlélteti.</w:t>
            </w:r>
            <w:r>
              <w:t xml:space="preserve"> </w:t>
            </w:r>
            <w:r>
              <w:rPr>
                <w:b/>
                <w:i/>
              </w:rPr>
              <w:t>A Bizottság iránymutatásokat dolgoz ki a különböző típusú segítségnyújtás közös piktogramjaira vonatkozóan.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451</w:t>
      </w:r>
      <w:r>
        <w:rPr>
          <w:rStyle w:val="HideTWBExt"/>
        </w:rPr>
        <w:t>&lt;/NumAm&gt;</w:t>
      </w:r>
    </w:p>
    <w:p>
      <w:pPr>
        <w:pStyle w:val="NormalBold"/>
      </w:pPr>
      <w:r>
        <w:rPr>
          <w:rStyle w:val="HideTWBExt"/>
        </w:rPr>
        <w:t>&lt;RepeatBlock-By&gt;</w:t>
      </w:r>
      <w:r>
        <w:rPr>
          <w:rStyle w:val="HideTWBExt"/>
        </w:rPr>
        <w:t>&lt;Members&gt;</w:t>
      </w:r>
      <w:r>
        <w:t>Lucia Ďuriš Nicholsonová, Abir Al-Sahlani, Jordi Cañas, Monica Semedo, Dragoş Pîslaru, Irena Joveva, Max Orville, Sylvie Brunet, Marie-Pierre Vedrenne</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HÁTOLDAL: Nemzeti információk a kiállító tagállam által meghatározandó nemzeti nyelven vagy nyelveken.</w:t>
            </w:r>
          </w:p>
        </w:tc>
        <w:tc>
          <w:tcPr>
            <w:tcW w:w="4876" w:type="dxa"/>
          </w:tcPr>
          <w:p>
            <w:pPr>
              <w:pStyle w:val="Normal6a"/>
            </w:pPr>
            <w:r>
              <w:t xml:space="preserve">HÁTOLDAL: Nemzeti információk a kiállító tagállam által meghatározandó nemzeti nyelven vagy nyelveken. </w:t>
            </w:r>
            <w:r>
              <w:rPr>
                <w:b/>
                <w:i/>
              </w:rPr>
              <w:t>A tagállamoknak lehetőséget kell biztosítaniuk a fogyatékossággal élő személyek számára, hogy amikor az illetékes hatóságoknál kérelmezik a kártyát, úgy döntsenek, hogy az ésszerű alkalmazkodás iránti igényeik jelzése céljából kártya feltüntesse a megfelelő szimbólumo(ka)t.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452</w:t>
      </w:r>
      <w:r>
        <w:rPr>
          <w:rStyle w:val="HideTWBExt"/>
        </w:rPr>
        <w:t>&lt;/NumAm&gt;</w:t>
      </w:r>
    </w:p>
    <w:p>
      <w:pPr>
        <w:pStyle w:val="NormalBold"/>
      </w:pPr>
      <w:r>
        <w:rPr>
          <w:rStyle w:val="HideTWBExt"/>
        </w:rPr>
        <w:t>&lt;RepeatBlock-By&gt;</w:t>
      </w:r>
      <w:r>
        <w:rPr>
          <w:rStyle w:val="HideTWBExt"/>
        </w:rPr>
        <w:t>&lt;Members&gt;</w:t>
      </w:r>
      <w:r>
        <w:t>Elżbieta Rafalska, Beata Szydło, Margarita de la Pisa Carrión, Anna Zalewska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2 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HÁTOLDAL: Nemzeti információk a kiállító tagállam által meghatározandó nemzeti nyelven vagy nyelveken.</w:t>
            </w:r>
          </w:p>
        </w:tc>
        <w:tc>
          <w:tcPr>
            <w:tcW w:w="4876" w:type="dxa"/>
          </w:tcPr>
          <w:p>
            <w:pPr>
              <w:pStyle w:val="Normal6a"/>
            </w:pPr>
            <w:r>
              <w:t>HÁTOLDAL: Nemzeti információk a kiállító tagállam által meghatározandó nemzeti nyelven vagy nyelveken</w:t>
            </w:r>
            <w:r>
              <w:rPr>
                <w:b/>
                <w:i/>
              </w:rPr>
              <w:t>, a nemzeti joggal és gyakorlattal összhangban (pl. a fogyatékosság mértéke)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453</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1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rPr>
                <w:b/>
                <w:i/>
              </w:rPr>
              <w:t>Az európai fogyatékossági</w:t>
            </w:r>
            <w:r>
              <w:t xml:space="preserve"> kártya méretének meg kell felelnie az ISO 7810 szabványnak.</w:t>
            </w:r>
          </w:p>
        </w:tc>
        <w:tc>
          <w:tcPr>
            <w:tcW w:w="4876" w:type="dxa"/>
          </w:tcPr>
          <w:p>
            <w:pPr>
              <w:pStyle w:val="Normal6a"/>
            </w:pPr>
            <w:r>
              <w:t>1.</w:t>
            </w:r>
            <w:r>
              <w:tab/>
            </w:r>
            <w:r>
              <w:rPr>
                <w:b/>
                <w:i/>
              </w:rPr>
              <w:t>A fogyatékossággal élő és idős személyeknek szóló európai</w:t>
            </w:r>
            <w:r>
              <w:t> kártya méretének meg kell felelnie az ISO 7810 szabványnak.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454</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2 a pont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2a.</w:t>
            </w:r>
            <w:r>
              <w:tab/>
            </w:r>
            <w:r>
              <w:rPr>
                <w:b/>
                <w:i/>
              </w:rPr>
              <w:t>Annak biztosítása érdekében, hogy az adatok megfelelően védve legyenek a hamisításra vagy a csalárd módosításra irányuló kísérletek ellen, erősen ajánlott a személyazonosító adatok, köztük az igazolványkép és a főbb kibocsátási adatok beépítése a dokumentum alapanyagába.</w:t>
            </w:r>
            <w:r>
              <w:rPr>
                <w:b/>
                <w:i/>
              </w:rPr>
              <w:t>Számos technológia áll rendelkezésre a dokumentum ily módon történő személyre szabására (pl. lézergravírozás), illetve minden egyéb új technológiát is fel lehet használni vagy ki lehet fejleszteni.</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Személyre szabás: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kártyának tartalmaznia kell egy 21 x 28 mm-es fehér mezőt, amelyre a kártyabirtokos igazolványképét lehet rányomtatni.</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kártyának öt, 4 x 52 mm méretű fehér mezőt kell tartalmaznia.</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feliratokat fekete színben kell nyomtatni nemzeti nyelven és (dőlt betűkkel) angol nyelven, két külön sorban.</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betűtípus Arial félkövér 4-es, a mező bal oldalára igazítva.</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személyes adatokat Arial 12-es betűtípussal, a mező jobb oldalára igazítva kell feltüntetni.</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dokumentum hátoldalára nyomtatott adatok:</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A kizárólagos kártyabirtokos igazolványképe.</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1. mező:</w:t>
            </w:r>
            <w:r>
              <w:rPr>
                <w:b/>
                <w:i/>
              </w:rPr>
              <w:t>a kártyabirtokos utóneve.</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2. mező:</w:t>
            </w:r>
            <w:r>
              <w:rPr>
                <w:b/>
                <w:i/>
              </w:rPr>
              <w:t>a kártyabirtokos vezetékneve.</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3. mező:</w:t>
            </w:r>
            <w:r>
              <w:rPr>
                <w:b/>
                <w:i/>
              </w:rPr>
              <w:t>születési idő.</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4. mező:</w:t>
            </w:r>
            <w:r>
              <w:rPr>
                <w:b/>
                <w:i/>
              </w:rPr>
              <w:t>a dokumentum sorozatszáma.</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 5. mező:</w:t>
            </w:r>
            <w:r>
              <w:rPr>
                <w:b/>
                <w:i/>
              </w:rPr>
              <w:t>a dokumentum lejáratának dátuma.</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Megjegyzés: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Az utónévre és a vezetéknévre kinyomtatható karakterek száma legfeljebb 25 lehet.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dátumot ÉÉÉÉ.HHn.NNn formátumban kell megadni, ahol n “.” vagy üres karakter.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455</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3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3.</w:t>
            </w:r>
            <w:r>
              <w:tab/>
            </w:r>
            <w:r>
              <w:rPr>
                <w:b/>
                <w:i/>
              </w:rPr>
              <w:t>A kártyán szerepelnie kell a következőknek:</w:t>
            </w:r>
          </w:p>
        </w:tc>
        <w:tc>
          <w:tcPr>
            <w:tcW w:w="4876" w:type="dxa"/>
          </w:tcPr>
          <w:p>
            <w:pPr>
              <w:pStyle w:val="Normal6a"/>
            </w:pPr>
            <w:r>
              <w:rPr>
                <w:b/>
                <w:i/>
              </w:rPr>
              <w:t>törölve</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 a kártya birtokosának fényképe;</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 a kártya birtokosának vezetékneve és utóneve;</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 a kártya birtokosának születési ideje;</w:t>
            </w:r>
          </w:p>
        </w:tc>
        <w:tc>
          <w:tcPr>
            <w:tcW w:w="4876" w:type="dxa"/>
          </w:tcPr>
          <w:p>
            <w:pPr>
              <w:pStyle w:val="Normal6a"/>
            </w:pPr>
          </w:p>
        </w:tc>
      </w:tr>
      <w:tr>
        <w:tblPrEx>
          <w:tblW w:w="0" w:type="auto"/>
          <w:jc w:val="center"/>
          <w:tblLayout w:type="fixed"/>
          <w:tblCellMar>
            <w:left w:w="340" w:type="dxa"/>
            <w:right w:w="340" w:type="dxa"/>
          </w:tblCellMar>
        </w:tblPrEx>
        <w:trPr>
          <w:jc w:val="center"/>
        </w:trPr>
        <w:tc>
          <w:tcPr>
            <w:tcW w:w="4876" w:type="dxa"/>
          </w:tcPr>
          <w:p>
            <w:pPr>
              <w:pStyle w:val="Normal6a"/>
            </w:pPr>
            <w:r>
              <w:rPr>
                <w:b/>
                <w:i/>
              </w:rPr>
              <w:t>— a kártya sorozatszáma.</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456</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4 pont – bevezető rész</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4.</w:t>
            </w:r>
            <w:r>
              <w:tab/>
            </w:r>
            <w:r>
              <w:t xml:space="preserve">A </w:t>
            </w:r>
            <w:r>
              <w:rPr>
                <w:b/>
                <w:i/>
              </w:rPr>
              <w:t>kártya színe világoskék és sötétkék a képnek megfelelően és a következő referenciákkal:</w:t>
            </w:r>
          </w:p>
        </w:tc>
        <w:tc>
          <w:tcPr>
            <w:tcW w:w="4876" w:type="dxa"/>
          </w:tcPr>
          <w:p>
            <w:pPr>
              <w:pStyle w:val="Normal6a"/>
            </w:pPr>
            <w:r>
              <w:t>4.</w:t>
            </w:r>
            <w:r>
              <w:tab/>
            </w:r>
            <w:r>
              <w:t xml:space="preserve">A </w:t>
            </w:r>
            <w:r>
              <w:rPr>
                <w:b/>
                <w:i/>
              </w:rPr>
              <w:t>biztonsági háttérnyomatnak tartalmaznia kell egy Pantone színnel nyomtatott rácsmintát.</w:t>
            </w:r>
            <w:r>
              <w:t xml:space="preserve"> </w:t>
            </w:r>
            <w:r>
              <w:rPr>
                <w:b/>
                <w:i/>
              </w:rPr>
              <w:t>A különböző színű mezőket változó vastagságú és elrendezésű vonalakból kell összeállítani.</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háttérnek „FOGYATÉKOSSÁGI KÁRTYA” felirattal ellátott mikronyomatokat kell tartalmaznia. A háttérnyomatnak tartalmaznia kell egy láthatatlan (sárga) UV-festékkel nyomtatott grafikus elemet, amely egy 12 csillagból álló kört ábrázol, közepén „EU” feliratokkal.</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Indokolás</w:t>
      </w:r>
      <w:r>
        <w:rPr>
          <w:rStyle w:val="HideTWBExt"/>
        </w:rPr>
        <w:t>&lt;/TitreJust&gt;</w:t>
      </w:r>
    </w:p>
    <w:p>
      <w:pPr>
        <w:pStyle w:val="AmJustText"/>
      </w:pPr>
      <w:r>
        <w:t>A biztonsági háttérhez csak egy színt kell használni.</w:t>
      </w:r>
    </w:p>
    <w:p>
      <w:r>
        <w:rPr>
          <w:rStyle w:val="HideTWBExt"/>
        </w:rPr>
        <w:t>&lt;/Amend&gt;</w:t>
      </w:r>
    </w:p>
    <w:p>
      <w:pPr>
        <w:pStyle w:val="AmNumberTabs"/>
      </w:pPr>
      <w:r>
        <w:rPr>
          <w:rStyle w:val="HideTWBExt"/>
        </w:rPr>
        <w:t>&lt;Amend&gt;</w:t>
      </w:r>
      <w:r>
        <w:t>Módosítás</w:t>
      </w:r>
      <w:r>
        <w:tab/>
      </w:r>
      <w:r>
        <w:tab/>
      </w:r>
      <w:r>
        <w:rPr>
          <w:rStyle w:val="HideTWBExt"/>
        </w:rPr>
        <w:t>&lt;NumAm&gt;</w:t>
      </w:r>
      <w:r>
        <w:t>457</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4 pont – 1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rPr>
                <w:b/>
                <w:i/>
              </w:rPr>
              <w:t>sötétkék:</w:t>
            </w:r>
            <w:r>
              <w:t xml:space="preserve"> </w:t>
            </w:r>
            <w:r>
              <w:rPr>
                <w:b/>
                <w:i/>
              </w:rPr>
              <w:t>CMYK 100, 90, 10, 0</w:t>
            </w:r>
          </w:p>
        </w:tc>
        <w:tc>
          <w:tcPr>
            <w:tcW w:w="4876" w:type="dxa"/>
          </w:tcPr>
          <w:p>
            <w:pPr>
              <w:pStyle w:val="Normal6a"/>
            </w:pPr>
            <w:r>
              <w:rPr>
                <w:b/>
                <w:i/>
              </w:rPr>
              <w:t>törölve</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RGB 0, 68, 148</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458</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4 pont – 2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rPr>
                <w:b/>
                <w:i/>
              </w:rPr>
              <w:t>világosabb kék:</w:t>
            </w:r>
            <w:r>
              <w:t xml:space="preserve"> </w:t>
            </w:r>
            <w:r>
              <w:rPr>
                <w:b/>
                <w:i/>
              </w:rPr>
              <w:t>CMYK 94, 63, 7, 1</w:t>
            </w:r>
          </w:p>
        </w:tc>
        <w:tc>
          <w:tcPr>
            <w:tcW w:w="4876" w:type="dxa"/>
          </w:tcPr>
          <w:p>
            <w:pPr>
              <w:pStyle w:val="Normal6a"/>
            </w:pPr>
            <w:r>
              <w:rPr>
                <w:b/>
                <w:i/>
              </w:rPr>
              <w:t>törölve</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RGB 0, 110, 183</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459</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5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rPr>
                <w:b/>
                <w:i/>
              </w:rPr>
              <w:t>A kártyán fel kell tüntetni a lejárati időt</w:t>
            </w:r>
            <w:r>
              <w:t>.</w:t>
            </w:r>
          </w:p>
        </w:tc>
        <w:tc>
          <w:tcPr>
            <w:tcW w:w="4876" w:type="dxa"/>
          </w:tcPr>
          <w:p>
            <w:pPr>
              <w:pStyle w:val="Normal6a"/>
            </w:pPr>
            <w:r>
              <w:t>5.</w:t>
            </w:r>
            <w:r>
              <w:tab/>
            </w:r>
            <w:r>
              <w:rPr>
                <w:b/>
                <w:i/>
              </w:rPr>
              <w:t>Lásd a 3. pontban javasolt tervezetet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460</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6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6.</w:t>
            </w:r>
            <w:r>
              <w:tab/>
            </w:r>
            <w:r>
              <w:t xml:space="preserve">A </w:t>
            </w:r>
            <w:r>
              <w:rPr>
                <w:b/>
                <w:i/>
              </w:rPr>
              <w:t>kártyának tartalmaznia kell az országkódot, amelyet egy kék körnek kell körbevennie</w:t>
            </w:r>
            <w:r>
              <w:t>.</w:t>
            </w:r>
          </w:p>
        </w:tc>
        <w:tc>
          <w:tcPr>
            <w:tcW w:w="4876" w:type="dxa"/>
          </w:tcPr>
          <w:p>
            <w:pPr>
              <w:pStyle w:val="Normal6a"/>
            </w:pPr>
            <w:r>
              <w:t>6.</w:t>
            </w:r>
            <w:r>
              <w:tab/>
            </w:r>
            <w:r>
              <w:t xml:space="preserve">A </w:t>
            </w:r>
            <w:r>
              <w:rPr>
                <w:b/>
                <w:i/>
              </w:rPr>
              <w:t>kört, amelyen belül a kibocsátó ország kétbetűs ISO országkódja szerepel, Pantone Reflex Blue színben kell nyomtatni.</w:t>
            </w:r>
            <w:r>
              <w:t xml:space="preserve"> </w:t>
            </w:r>
            <w:r>
              <w:rPr>
                <w:b/>
                <w:i/>
              </w:rPr>
              <w:t>A kört 12 csillag veszi körül.</w:t>
            </w:r>
            <w:r>
              <w:t xml:space="preserve"> </w:t>
            </w:r>
            <w:r>
              <w:rPr>
                <w:b/>
                <w:i/>
              </w:rPr>
              <w:t>Az ISO országkód két betűje fehér</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Indokolás</w:t>
      </w:r>
      <w:r>
        <w:rPr>
          <w:rStyle w:val="HideTWBExt"/>
        </w:rPr>
        <w:t>&lt;/TitreJust&gt;</w:t>
      </w:r>
    </w:p>
    <w:p>
      <w:pPr>
        <w:pStyle w:val="AmJustText"/>
      </w:pPr>
      <w:r>
        <w:t>Az európai embléma grafikai ismertetője itt található:</w:t>
      </w:r>
    </w:p>
    <w:p>
      <w:pPr>
        <w:pStyle w:val="AmJustText"/>
      </w:pPr>
      <w:r>
        <w:t>https://publications.europa.eu/code/hu/hu-5000100.htm</w:t>
      </w:r>
    </w:p>
    <w:p>
      <w:r>
        <w:rPr>
          <w:rStyle w:val="HideTWBExt"/>
        </w:rPr>
        <w:t>&lt;/Amend&gt;</w:t>
      </w:r>
    </w:p>
    <w:p>
      <w:pPr>
        <w:pStyle w:val="AmNumberTabs"/>
      </w:pPr>
      <w:r>
        <w:rPr>
          <w:rStyle w:val="HideTWBExt"/>
        </w:rPr>
        <w:t>&lt;Amend&gt;</w:t>
      </w:r>
      <w:r>
        <w:t>Módosítás</w:t>
      </w:r>
      <w:r>
        <w:tab/>
      </w:r>
      <w:r>
        <w:tab/>
      </w:r>
      <w:r>
        <w:rPr>
          <w:rStyle w:val="HideTWBExt"/>
        </w:rPr>
        <w:t>&lt;NumAm&gt;</w:t>
      </w:r>
      <w:r>
        <w:t>461</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8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8.</w:t>
            </w:r>
            <w:r>
              <w:tab/>
            </w:r>
            <w:r>
              <w:t>Az „európai fogyatékossági kártya” szavakat Arial betűtípussal és Braille-írással a Marburg-szabvány szerinti méretek használatával kell megjeleníteni.</w:t>
            </w:r>
          </w:p>
        </w:tc>
        <w:tc>
          <w:tcPr>
            <w:tcW w:w="4876" w:type="dxa"/>
          </w:tcPr>
          <w:p>
            <w:pPr>
              <w:pStyle w:val="Normal6a"/>
            </w:pPr>
            <w:r>
              <w:t>8.</w:t>
            </w:r>
            <w:r>
              <w:tab/>
            </w:r>
            <w:r>
              <w:t>Az „Európai fogyatékossági kártya” szavakat Arial betűtípussal és Braille-írással a Marburg-szabvány szerinti méretek használatával kell megjeleníteni</w:t>
            </w:r>
            <w:r>
              <w:rPr>
                <w:b/>
                <w:i/>
              </w:rPr>
              <w:t>, kék visszavert (Reflex Blue) alapszínben</w:t>
            </w:r>
            <w:r>
              <w: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Marburg-szabvány:</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Egy betűn belül két pont középpontja közti távolság (vízszintesen): 2,5 mm</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Egy betűn belül két pont középpontja közti távolság</w:t>
            </w:r>
            <w:r>
              <w:rPr>
                <w:b/>
                <w:i/>
              </w:rPr>
              <w:t>(függőlegesen): 2,5 mm</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Egy szón belül két betű ugyanazon pontja közti távolság: 6 mm</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Két betű ugyanazon pontja közti távolság, ha a két betű között egy szóköz van: 12 mm</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Sortávolság (két betű ugyanazon pontja között): 10 mm</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Pontátmérő: kb. 1,3 mm (dombornyomás pozitív része), vagy 1,6 mm (dombornyomás negatív része).</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Az „EURÓPAI FOGYATÉKOSSÁGI KÁRTYA” Braille-írással, a Marburg-szabvány szerinti méretek használatával.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462</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8 pont</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8.</w:t>
            </w:r>
            <w:r>
              <w:tab/>
            </w:r>
            <w:r>
              <w:t>Az „</w:t>
            </w:r>
            <w:r>
              <w:rPr>
                <w:b/>
                <w:i/>
              </w:rPr>
              <w:t>európai fogyatékossági</w:t>
            </w:r>
            <w:r>
              <w:t xml:space="preserve"> kártya” szavakat Arial betűtípussal és Braille-írással a Marburg-szabvány szerinti méretek használatával kell megjeleníteni.</w:t>
            </w:r>
          </w:p>
        </w:tc>
        <w:tc>
          <w:tcPr>
            <w:tcW w:w="4876" w:type="dxa"/>
          </w:tcPr>
          <w:p>
            <w:pPr>
              <w:pStyle w:val="Normal6a"/>
            </w:pPr>
            <w:r>
              <w:t>8.</w:t>
            </w:r>
            <w:r>
              <w:tab/>
            </w:r>
            <w:r>
              <w:t>Az „</w:t>
            </w:r>
            <w:r>
              <w:rPr>
                <w:b/>
                <w:i/>
              </w:rPr>
              <w:t>Fogyatékossággal élő és idős személyeknek szóló európai</w:t>
            </w:r>
            <w:r>
              <w:t> kártya” szavakat Arial betűtípussal és Braille-írással a Marburg-szabvány szerinti méretek használatával kell megjeleníteni.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463</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melléklet – 10 a pont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10a.</w:t>
            </w:r>
            <w:r>
              <w:tab/>
            </w:r>
            <w:r>
              <w:rPr>
                <w:b/>
                <w:i/>
              </w:rPr>
              <w:t>Hologram A hátoldalon fémszálas hologramot kell elhelyezni.</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hologramnak az „Európai fogyatékossági kártya” szavakat és egy 12 fehér csillagból álló kört kell megjelenítenie.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464</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 a melléklet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kártyának QR-kóddal kell rendelkeznie, amely a kártyán szereplő valamennyi adatot tartalmazza, megfelelő módon meghatározott és dombornyomott bélyegzővel ellátott, az adatvédelmi jogszabályoknak teljes mértékben megfelelő formátumban.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465</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1 alcím</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A FOGYATÉKOSSÁGGAL ÉLŐ SZEMÉLYEK EURÓPAI PARKOLÁSI KÁRTYÁJÁNAK FORMÁTUMA</w:t>
            </w:r>
          </w:p>
        </w:tc>
        <w:tc>
          <w:tcPr>
            <w:tcW w:w="4876" w:type="dxa"/>
          </w:tcPr>
          <w:p>
            <w:pPr>
              <w:pStyle w:val="Normal6a"/>
            </w:pPr>
            <w:r>
              <w:t xml:space="preserve">A FOGYATÉKOSSÁGGAL ÉLŐ </w:t>
            </w:r>
            <w:r>
              <w:rPr>
                <w:b/>
                <w:i/>
              </w:rPr>
              <w:t>ÉS IDŐS</w:t>
            </w:r>
            <w:r>
              <w:t xml:space="preserve"> SZEMÉLYEK EURÓPAI PARKOLÁSI KÁRTYÁJÁNAK FORMÁTUMA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466</w:t>
      </w:r>
      <w:r>
        <w:rPr>
          <w:rStyle w:val="HideTWBExt"/>
        </w:rPr>
        <w:t>&lt;/NumAm&gt;</w:t>
      </w:r>
    </w:p>
    <w:p>
      <w:pPr>
        <w:pStyle w:val="NormalBold"/>
      </w:pPr>
      <w:r>
        <w:rPr>
          <w:rStyle w:val="HideTWBExt"/>
        </w:rPr>
        <w:t>&lt;RepeatBlock-By&gt;</w:t>
      </w:r>
      <w:r>
        <w:rPr>
          <w:rStyle w:val="HideTWBExt"/>
        </w:rPr>
        <w:t>&lt;Members&gt;</w:t>
      </w:r>
      <w:r>
        <w:t>Chiara Gemma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1a alcím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az „Európai Parkolókártya” szavakat Braille-írással a Marburg-szabvány szerinti méretek használatával kell megjeleníteni.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467</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1 pont – bevezető rész</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1.</w:t>
            </w:r>
            <w:r>
              <w:tab/>
            </w:r>
            <w:r>
              <w:t>A fogyatékossággal élő személyek európai parkolási kártyájának mérete:</w:t>
            </w:r>
          </w:p>
        </w:tc>
        <w:tc>
          <w:tcPr>
            <w:tcW w:w="4876" w:type="dxa"/>
          </w:tcPr>
          <w:p>
            <w:pPr>
              <w:pStyle w:val="Normal6a"/>
            </w:pPr>
            <w:r>
              <w:t>1.</w:t>
            </w:r>
            <w:r>
              <w:tab/>
            </w:r>
            <w:r>
              <w:t xml:space="preserve">A fogyatékossággal élő </w:t>
            </w:r>
            <w:r>
              <w:rPr>
                <w:b/>
                <w:i/>
              </w:rPr>
              <w:t>és idős</w:t>
            </w:r>
            <w:r>
              <w:t xml:space="preserve"> személyek európai parkolási kártyájának mérete: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468</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2 pont – bevezető rész</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2.</w:t>
            </w:r>
            <w:r>
              <w:tab/>
            </w:r>
            <w:r>
              <w:t xml:space="preserve">A </w:t>
            </w:r>
            <w:r>
              <w:rPr>
                <w:b/>
                <w:i/>
              </w:rPr>
              <w:t>kártya színe sötétkék és sárga a képnek megfelelően és a következő referenciákkal:</w:t>
            </w:r>
          </w:p>
        </w:tc>
        <w:tc>
          <w:tcPr>
            <w:tcW w:w="4876" w:type="dxa"/>
          </w:tcPr>
          <w:p>
            <w:pPr>
              <w:pStyle w:val="Normal6a"/>
            </w:pPr>
            <w:r>
              <w:t>2.</w:t>
            </w:r>
            <w:r>
              <w:tab/>
            </w:r>
            <w:r>
              <w:t xml:space="preserve">A </w:t>
            </w:r>
            <w:r>
              <w:rPr>
                <w:b/>
                <w:i/>
              </w:rPr>
              <w:t>dokumentum jobb oldalán Pantone Blue Reflex és Pantone Yellow Reflex színek használhatók, mivel a Bizottság ezeket a színeket javasolja az uniós zászló megjelenítésére.</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biztonsági háttérnyomatnak tartalmaznia kell egy Pantone színnel (színekkel) nyomtatott rácsmintát.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háttérnek „EURÓPAI PARKOLÓKÁRTYA” feliratú mikronyomatokat kell megjelenítenie.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469</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2 pont – 1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rPr>
                <w:b/>
                <w:i/>
              </w:rPr>
              <w:t>sötétkék:</w:t>
            </w:r>
            <w:r>
              <w:t xml:space="preserve"> </w:t>
            </w:r>
            <w:r>
              <w:rPr>
                <w:b/>
                <w:i/>
              </w:rPr>
              <w:t>CMYK 100, 90, 10, 0</w:t>
            </w:r>
          </w:p>
        </w:tc>
        <w:tc>
          <w:tcPr>
            <w:tcW w:w="4876" w:type="dxa"/>
          </w:tcPr>
          <w:p>
            <w:pPr>
              <w:pStyle w:val="Normal6a"/>
            </w:pPr>
            <w:r>
              <w:rPr>
                <w:b/>
                <w:i/>
              </w:rPr>
              <w:t>törölve</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RGB 0, 68, 148</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470</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2 pont – 2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rPr>
                <w:b/>
                <w:i/>
              </w:rPr>
              <w:t>sárga:</w:t>
            </w:r>
            <w:r>
              <w:t xml:space="preserve"> </w:t>
            </w:r>
            <w:r>
              <w:rPr>
                <w:b/>
                <w:i/>
              </w:rPr>
              <w:t>CMYK 94, 63, 7, 1</w:t>
            </w:r>
          </w:p>
        </w:tc>
        <w:tc>
          <w:tcPr>
            <w:tcW w:w="4876" w:type="dxa"/>
          </w:tcPr>
          <w:p>
            <w:pPr>
              <w:pStyle w:val="Normal6a"/>
            </w:pPr>
            <w:r>
              <w:rPr>
                <w:b/>
                <w:i/>
              </w:rPr>
              <w:t>törölve</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RGB 255, 237, 0</w:t>
            </w:r>
          </w:p>
        </w:tc>
        <w:tc>
          <w:tcPr>
            <w:tcW w:w="4876" w:type="dxa"/>
          </w:tcPr>
          <w:p>
            <w:pPr>
              <w:pStyle w:val="Normal6a"/>
            </w:pP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471</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3 pont – bevezető rész</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t>3.</w:t>
            </w:r>
            <w:r>
              <w:tab/>
            </w:r>
            <w:r>
              <w:t xml:space="preserve">A fogyatékossággal élő </w:t>
            </w:r>
            <w:r>
              <w:rPr>
                <w:b/>
                <w:i/>
              </w:rPr>
              <w:t>személyek</w:t>
            </w:r>
            <w:r>
              <w:t xml:space="preserve"> európai parkolási </w:t>
            </w:r>
            <w:r>
              <w:rPr>
                <w:b/>
                <w:i/>
              </w:rPr>
              <w:t>kártyáját</w:t>
            </w:r>
            <w:r>
              <w:t xml:space="preserve"> függőlegesen két részre kell osztani mind az előlapon, mind a hátoldalon.</w:t>
            </w:r>
          </w:p>
        </w:tc>
        <w:tc>
          <w:tcPr>
            <w:tcW w:w="4876" w:type="dxa"/>
          </w:tcPr>
          <w:p>
            <w:pPr>
              <w:pStyle w:val="Normal6a"/>
            </w:pPr>
            <w:r>
              <w:t>3.</w:t>
            </w:r>
            <w:r>
              <w:tab/>
            </w:r>
            <w:r>
              <w:t xml:space="preserve">A fogyatékossággal élő </w:t>
            </w:r>
            <w:r>
              <w:rPr>
                <w:b/>
                <w:i/>
              </w:rPr>
              <w:t>és idős személyeknek szóló</w:t>
            </w:r>
            <w:r>
              <w:t xml:space="preserve"> európai parkolási </w:t>
            </w:r>
            <w:r>
              <w:rPr>
                <w:b/>
                <w:i/>
              </w:rPr>
              <w:t>kártyát</w:t>
            </w:r>
            <w:r>
              <w:t> függőlegesen két részre kell osztani mind az előlapon, mind a hátoldalon.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472</w:t>
      </w:r>
      <w:r>
        <w:rPr>
          <w:rStyle w:val="HideTWBExt"/>
        </w:rPr>
        <w:t>&lt;/NumAm&gt;</w:t>
      </w:r>
    </w:p>
    <w:p>
      <w:pPr>
        <w:pStyle w:val="NormalBold"/>
      </w:pPr>
      <w:r>
        <w:rPr>
          <w:rStyle w:val="HideTWBExt"/>
        </w:rPr>
        <w:t>&lt;RepeatBlock-By&gt;</w:t>
      </w:r>
      <w:r>
        <w:rPr>
          <w:rStyle w:val="HideTWBExt"/>
        </w:rPr>
        <w:t>&lt;Members&gt;</w:t>
      </w:r>
      <w:r>
        <w:t>Jarosław Duda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3 pont – a pont – 5a francialbekezdés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w:t>
            </w:r>
            <w:r>
              <w:tab/>
            </w:r>
            <w:r>
              <w:rPr>
                <w:b/>
                <w:i/>
              </w:rPr>
              <w:t>az „Európai Parkolókártya” szavakat Braille-írással a Marburg-szabvány szerinti méretek használatával kell megjeleníteni.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473</w:t>
      </w:r>
      <w:r>
        <w:rPr>
          <w:rStyle w:val="HideTWBExt"/>
        </w:rPr>
        <w:t>&lt;/NumAm&gt;</w:t>
      </w:r>
    </w:p>
    <w:p>
      <w:pPr>
        <w:pStyle w:val="NormalBold"/>
      </w:pPr>
      <w:r>
        <w:rPr>
          <w:rStyle w:val="HideTWBExt"/>
        </w:rPr>
        <w:t>&lt;RepeatBlock-By&gt;</w:t>
      </w:r>
      <w:r>
        <w:rPr>
          <w:rStyle w:val="HideTWBExt"/>
        </w:rPr>
        <w:t>&lt;Members&gt;</w:t>
      </w:r>
      <w:r>
        <w:t>Miriam Lexmann</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3 pont – b pont – 1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nagybetűkkel a „fogyatékossággal élő személyek európai parkolási kártyája” szavak a kártyát kiállító tagállam nyelvén/nyelvein; megfelelő hely kihagyását követően kis méretű betűkkel a kártya neve az Európai Unió többi nyelvén;</w:t>
            </w:r>
          </w:p>
        </w:tc>
        <w:tc>
          <w:tcPr>
            <w:tcW w:w="4876" w:type="dxa"/>
          </w:tcPr>
          <w:p>
            <w:pPr>
              <w:pStyle w:val="Normal6a"/>
            </w:pPr>
            <w:r>
              <w:rPr>
                <w:b/>
                <w:i/>
              </w:rPr>
              <w:t>–</w:t>
            </w:r>
            <w:r>
              <w:tab/>
            </w:r>
            <w:r>
              <w:t xml:space="preserve">nagybetűkkel a „fogyatékossággal élő személyek európai parkolási kártyája” szavak a kártyát kiállító tagállam nyelvén/nyelvein; megfelelő hely kihagyását követően kis méretű betűkkel a kártya neve az Európai Unió többi nyelvén; </w:t>
            </w:r>
            <w:r>
              <w:rPr>
                <w:b/>
                <w:i/>
              </w:rPr>
              <w:t>az „Európai Parkolókártya” szavakat Braille-írással a Marburg-szabvány szerinti méretek használatával kell megjeleníteni.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474</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3 pont – b pont – 1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nagybetűkkel a „fogyatékossággal élő személyek európai parkolási kártyája” szavak a kártyát kiállító tagállam nyelvén/nyelvein; megfelelő hely kihagyását követően kis méretű betűkkel a kártya neve az Európai Unió többi nyelvén;</w:t>
            </w:r>
          </w:p>
        </w:tc>
        <w:tc>
          <w:tcPr>
            <w:tcW w:w="4876" w:type="dxa"/>
          </w:tcPr>
          <w:p>
            <w:pPr>
              <w:pStyle w:val="Normal6a"/>
            </w:pPr>
            <w:r>
              <w:rPr>
                <w:b/>
                <w:i/>
              </w:rPr>
              <w:t>–</w:t>
            </w:r>
            <w:r>
              <w:tab/>
            </w:r>
            <w:r>
              <w:t>nagybetűkkel a „fogyatékossággal élő személyek európai parkolási kártyája” szavak a kártyát kiállító tagállam nyelvén/nyelvein</w:t>
            </w:r>
            <w:r>
              <w:rPr>
                <w:b/>
                <w:i/>
              </w:rPr>
              <w:t>, valamint Braille-írással a Marburg-szabvány szerinti méretek használatával</w:t>
            </w:r>
            <w:r>
              <w:t>; megfelelő hely kihagyását követően kis méretű betűkkel a kártya neve az Európai Unió többi nyelvén;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475</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3 pont – b pont – 1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nagybetűkkel a „fogyatékossággal élő személyek európai parkolási kártyája” szavak a kártyát kiállító tagállam nyelvén/nyelvein; megfelelő hely kihagyását követően kis méretű betűkkel a kártya neve az Európai Unió többi nyelvén;</w:t>
            </w:r>
          </w:p>
        </w:tc>
        <w:tc>
          <w:tcPr>
            <w:tcW w:w="4876" w:type="dxa"/>
          </w:tcPr>
          <w:p>
            <w:pPr>
              <w:pStyle w:val="Normal6a"/>
            </w:pPr>
            <w:r>
              <w:rPr>
                <w:b/>
                <w:i/>
              </w:rPr>
              <w:t>–</w:t>
            </w:r>
            <w:r>
              <w:tab/>
            </w:r>
            <w:r>
              <w:t xml:space="preserve">nagybetűkkel a „fogyatékossággal élő </w:t>
            </w:r>
            <w:r>
              <w:rPr>
                <w:b/>
                <w:i/>
              </w:rPr>
              <w:t>és idős</w:t>
            </w:r>
            <w:r>
              <w:t xml:space="preserve"> személyek európai parkolási kártyája” szavak a kártyát kiállító tagállam nyelvén/nyelvein; megfelelő hely kihagyását követően kis méretű betűkkel a kártya neve az Európai Unió többi nyelvén;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476</w:t>
      </w:r>
      <w:r>
        <w:rPr>
          <w:rStyle w:val="HideTWBExt"/>
        </w:rPr>
        <w:t>&lt;/NumAm&gt;</w:t>
      </w:r>
    </w:p>
    <w:p>
      <w:pPr>
        <w:pStyle w:val="NormalBold"/>
      </w:pPr>
      <w:r>
        <w:rPr>
          <w:rStyle w:val="HideTWBExt"/>
        </w:rPr>
        <w:t>&lt;RepeatBlock-By&gt;</w:t>
      </w:r>
      <w:r>
        <w:rPr>
          <w:rStyle w:val="HideTWBExt"/>
        </w:rPr>
        <w:t>&lt;Members&gt;</w:t>
      </w:r>
      <w:r>
        <w:t>Ádám Kósa</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3 pont – b pont – 1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nagybetűkkel a „fogyatékossággal élő személyek európai parkolási kártyája” szavak a kártyát kiállító tagállam nyelvén/nyelvein; megfelelő hely kihagyását követően kis méretű betűkkel a kártya neve az Európai Unió többi nyelvén;</w:t>
            </w:r>
          </w:p>
        </w:tc>
        <w:tc>
          <w:tcPr>
            <w:tcW w:w="4876" w:type="dxa"/>
          </w:tcPr>
          <w:p>
            <w:pPr>
              <w:pStyle w:val="Normal6a"/>
            </w:pPr>
            <w:r>
              <w:rPr>
                <w:b/>
                <w:i/>
              </w:rPr>
              <w:t>–</w:t>
            </w:r>
            <w:r>
              <w:tab/>
            </w:r>
            <w:r>
              <w:t xml:space="preserve">nagybetűkkel a „fogyatékossággal élő személyek európai parkolási kártyája” szavak a kártyát kiállító tagállam nyelvén/nyelvein </w:t>
            </w:r>
            <w:r>
              <w:rPr>
                <w:b/>
                <w:i/>
              </w:rPr>
              <w:t>és Braille-írással</w:t>
            </w:r>
            <w:r>
              <w:t>; megfelelő hely kihagyását követően kis méretű betűkkel a kártya neve az Európai Unió többi nyelvén;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477</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3 pont – c pont – 7a francialbekezdés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w:t>
            </w:r>
            <w:r>
              <w:tab/>
            </w:r>
            <w:r>
              <w:rPr>
                <w:b/>
                <w:i/>
              </w:rPr>
              <w:t>Másodlagos személyazonosító igazolvány száma</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Indokolás</w:t>
      </w:r>
      <w:r>
        <w:rPr>
          <w:rStyle w:val="HideTWBExt"/>
        </w:rPr>
        <w:t>&lt;/TitreJust&gt;</w:t>
      </w:r>
    </w:p>
    <w:p>
      <w:pPr>
        <w:pStyle w:val="AmJustText"/>
      </w:pPr>
      <w:r>
        <w:t>Javasoljuk egy új pont beillesztését, amely egy opcionális mezőt tesz lehetővé arra az esetre, ha egy tagállam további dokumentumazonosító számot használ.</w:t>
      </w:r>
    </w:p>
    <w:p>
      <w:r>
        <w:rPr>
          <w:rStyle w:val="HideTWBExt"/>
        </w:rPr>
        <w:t>&lt;/Amend&gt;</w:t>
      </w:r>
    </w:p>
    <w:p>
      <w:pPr>
        <w:pStyle w:val="AmNumberTabs"/>
      </w:pPr>
      <w:r>
        <w:rPr>
          <w:rStyle w:val="HideTWBExt"/>
        </w:rPr>
        <w:t>&lt;Amend&gt;</w:t>
      </w:r>
      <w:r>
        <w:t>Módosítás</w:t>
      </w:r>
      <w:r>
        <w:tab/>
      </w:r>
      <w:r>
        <w:tab/>
      </w:r>
      <w:r>
        <w:rPr>
          <w:rStyle w:val="HideTWBExt"/>
        </w:rPr>
        <w:t>&lt;NumAm&gt;</w:t>
      </w:r>
      <w:r>
        <w:t>478</w:t>
      </w:r>
      <w:r>
        <w:rPr>
          <w:rStyle w:val="HideTWBExt"/>
        </w:rPr>
        <w:t>&lt;/NumAm&gt;</w:t>
      </w:r>
    </w:p>
    <w:p>
      <w:pPr>
        <w:pStyle w:val="NormalBold"/>
      </w:pPr>
      <w:r>
        <w:rPr>
          <w:rStyle w:val="HideTWBExt"/>
        </w:rPr>
        <w:t>&lt;RepeatBlock-By&gt;</w:t>
      </w:r>
      <w:r>
        <w:rPr>
          <w:rStyle w:val="HideTWBExt"/>
        </w:rPr>
        <w:t>&lt;Members&gt;</w:t>
      </w:r>
      <w:r>
        <w:t>Antonius Manders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3 pont – d pont – 1 franciabekezdés</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r>
              <w:rPr>
                <w:b/>
                <w:i/>
              </w:rPr>
              <w:t>—</w:t>
            </w:r>
            <w:r>
              <w:tab/>
            </w:r>
            <w:r>
              <w:t>a következő kijelentés: „Ez a kártya feljogosítja birtokosát az érintett tagállamban rendelkezésre álló, a fogyatékossággal élő személyek számára fenntartott helyi parkolási feltételek és létesítmények igénybevételére”;</w:t>
            </w:r>
          </w:p>
        </w:tc>
        <w:tc>
          <w:tcPr>
            <w:tcW w:w="4876" w:type="dxa"/>
          </w:tcPr>
          <w:p>
            <w:pPr>
              <w:pStyle w:val="Normal6a"/>
            </w:pPr>
            <w:r>
              <w:rPr>
                <w:b/>
                <w:i/>
              </w:rPr>
              <w:t>–</w:t>
            </w:r>
            <w:r>
              <w:tab/>
            </w:r>
            <w:r>
              <w:t xml:space="preserve">a következő kijelentés: „Ez a kártya feljogosítja birtokosát az érintett tagállamban rendelkezésre álló, a fogyatékossággal élő </w:t>
            </w:r>
            <w:r>
              <w:rPr>
                <w:b/>
                <w:i/>
              </w:rPr>
              <w:t>és idős</w:t>
            </w:r>
            <w:r>
              <w:t xml:space="preserve"> személyek számára fenntartott helyi parkolási feltételek és létesítmények igénybevételére”;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Módosítás</w:t>
      </w:r>
      <w:r>
        <w:tab/>
      </w:r>
      <w:r>
        <w:tab/>
      </w:r>
      <w:r>
        <w:rPr>
          <w:rStyle w:val="HideTWBExt"/>
        </w:rPr>
        <w:t>&lt;NumAm&gt;</w:t>
      </w:r>
      <w:r>
        <w:t>479</w:t>
      </w:r>
      <w:r>
        <w:rPr>
          <w:rStyle w:val="HideTWBExt"/>
        </w:rPr>
        <w:t>&lt;/NumAm&gt;</w:t>
      </w:r>
    </w:p>
    <w:p>
      <w:pPr>
        <w:pStyle w:val="NormalBold"/>
      </w:pPr>
      <w:r>
        <w:rPr>
          <w:rStyle w:val="HideTWBExt"/>
        </w:rPr>
        <w:t>&lt;RepeatBlock-By&gt;</w:t>
      </w:r>
      <w:r>
        <w:rPr>
          <w:rStyle w:val="HideTWBExt"/>
        </w:rPr>
        <w:t>&lt;Members&gt;</w:t>
      </w:r>
      <w:r>
        <w:t>Elena Lizzi, Antonio Maria Rinaldi, Paola Ghidoni</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melléklet – 5 a pont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5a.</w:t>
            </w:r>
            <w:r>
              <w:tab/>
            </w:r>
            <w:r>
              <w:rPr>
                <w:b/>
                <w:i/>
              </w:rPr>
              <w:t>Anyagok</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Annak biztosítása érdekében, hogy az adatok megfelelően védve legyenek a hamisításra vagy a csalárd módosításra irányuló kísérletek ellen, nagyon erősen ajánlott a hamisítás elleni biztonsági elemeket tartalmazó biztonsági anyagok használata.</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1. példa:</w:t>
            </w:r>
            <w:r>
              <w:rPr>
                <w:b/>
                <w:i/>
              </w:rPr>
              <w:t>Vízjellel és biztonsági rostokkal ellátott biztonsági papír.</w:t>
            </w:r>
            <w:r>
              <w:rPr>
                <w:b/>
                <w:i/>
              </w:rPr>
              <w:t>Holografikus vagy azzal egyenértékű biztonsági jellemző.</w:t>
            </w:r>
            <w:r>
              <w:rPr>
                <w:b/>
                <w:i/>
              </w:rPr>
              <w:t>A dokumentumot védelmi célokból laminálni lehet.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2. példa:</w:t>
            </w:r>
            <w:r>
              <w:t xml:space="preserve"> </w:t>
            </w:r>
            <w:r>
              <w:rPr>
                <w:b/>
                <w:i/>
              </w:rPr>
              <w:t>Polikarbonát vagy azzal egyenértékű anyag.</w:t>
            </w:r>
            <w:r>
              <w:t xml:space="preserve"> </w:t>
            </w:r>
            <w:r>
              <w:rPr>
                <w:b/>
                <w:i/>
              </w:rPr>
              <w:t>Ebben az esetben annak biztosítása érdekében, hogy az adatok megfelelően védve legyenek a hamisításra vagy a csalárd módosításra irányuló kísérletek ellen, erősen ajánlott a személyazonosító adatok, köztük az igazolványkép és a főbb kibocsátási adatok beépítése a dokumentum alapanyagába.</w:t>
            </w:r>
            <w:r>
              <w:t xml:space="preserve"> </w:t>
            </w:r>
            <w:r>
              <w:rPr>
                <w:b/>
                <w:i/>
              </w:rPr>
              <w:t>A dokumentum szerkezetébe hologram vagy azzal egyenértékű biztonsági elem építhető be.</w:t>
            </w:r>
          </w:p>
        </w:tc>
      </w:tr>
    </w:tbl>
    <w:p>
      <w:pPr>
        <w:pStyle w:val="AmOrLang"/>
      </w:pPr>
      <w:r>
        <w:t xml:space="preserve">Or. </w:t>
      </w:r>
      <w:r>
        <w:rPr>
          <w:rStyle w:val="HideTWBExt"/>
        </w:rPr>
        <w:t>&lt;Original&gt;</w:t>
      </w:r>
      <w:r>
        <w:rPr>
          <w:rStyle w:val="HideTWBInt"/>
        </w:rPr>
        <w:t>{EN}</w:t>
      </w:r>
      <w:r>
        <w:t>en</w:t>
      </w:r>
      <w:r>
        <w:rPr>
          <w:rStyle w:val="HideTWBExt"/>
        </w:rPr>
        <w:t>&lt;/Original&gt;</w:t>
      </w:r>
    </w:p>
    <w:p>
      <w:pPr>
        <w:pStyle w:val="AmJustTitle"/>
      </w:pPr>
      <w:r>
        <w:rPr>
          <w:rStyle w:val="HideTWBExt"/>
        </w:rPr>
        <w:t>&lt;TitreJust&gt;</w:t>
      </w:r>
      <w:r>
        <w:t>Indokolás</w:t>
      </w:r>
      <w:r>
        <w:rPr>
          <w:rStyle w:val="HideTWBExt"/>
        </w:rPr>
        <w:t>&lt;/TitreJust&gt;</w:t>
      </w:r>
    </w:p>
    <w:p>
      <w:pPr>
        <w:pStyle w:val="AmJustText"/>
      </w:pPr>
      <w:r>
        <w:t>A biztonsági elemek konkrét leírása.</w:t>
      </w:r>
    </w:p>
    <w:p>
      <w:r>
        <w:rPr>
          <w:rStyle w:val="HideTWBExt"/>
        </w:rPr>
        <w:t>&lt;/Amend&gt;</w:t>
      </w:r>
    </w:p>
    <w:p>
      <w:pPr>
        <w:pStyle w:val="AmNumberTabs"/>
      </w:pPr>
      <w:r>
        <w:rPr>
          <w:rStyle w:val="HideTWBExt"/>
        </w:rPr>
        <w:t>&lt;Amend&gt;</w:t>
      </w:r>
      <w:r>
        <w:t>Módosítás</w:t>
      </w:r>
      <w:r>
        <w:tab/>
      </w:r>
      <w:r>
        <w:tab/>
      </w:r>
      <w:r>
        <w:rPr>
          <w:rStyle w:val="HideTWBExt"/>
        </w:rPr>
        <w:t>&lt;NumAm&gt;</w:t>
      </w:r>
      <w:r>
        <w:t>480</w:t>
      </w:r>
      <w:r>
        <w:rPr>
          <w:rStyle w:val="HideTWBExt"/>
        </w:rPr>
        <w:t>&lt;/NumAm&gt;</w:t>
      </w:r>
    </w:p>
    <w:p>
      <w:pPr>
        <w:pStyle w:val="NormalBold"/>
      </w:pPr>
      <w:r>
        <w:rPr>
          <w:rStyle w:val="HideTWBExt"/>
        </w:rPr>
        <w:t>&lt;RepeatBlock-By&gt;</w:t>
      </w:r>
      <w:r>
        <w:rPr>
          <w:rStyle w:val="HideTWBExt"/>
        </w:rPr>
        <w:t>&lt;Members&gt;</w:t>
      </w:r>
      <w:r>
        <w:t>João Albuquerque, Daniela Rondinelli, Marc Angel, Milan Brglez, Agnes Jongerius, Aurore Lalucq, Elisabetta Gualmini, Klára Dobrev, Marianne Vind, Vilija Blinkevičiūtė, Alex Agius Saliba, Brando Benifei, Ilan De Basso, Alicia Homs Ginel, Carina Ohlsson, Estrella Durá Ferrandis</w:t>
      </w:r>
      <w:r>
        <w:rPr>
          <w:rStyle w:val="HideTWBExt"/>
        </w:rPr>
        <w:t>&lt;/Members&gt;</w:t>
      </w:r>
    </w:p>
    <w:p>
      <w:pPr>
        <w:pStyle w:val="NormalBold"/>
      </w:pPr>
      <w:r>
        <w:rPr>
          <w:rStyle w:val="HideTWBExt"/>
        </w:rPr>
        <w:t>&lt;/RepeatBlock-By&gt;</w:t>
      </w:r>
    </w:p>
    <w:p>
      <w:pPr>
        <w:pStyle w:val="NormalBold"/>
      </w:pPr>
      <w:r>
        <w:rPr>
          <w:rStyle w:val="HideTWBExt"/>
        </w:rPr>
        <w:t>&lt;DocAmend&gt;</w:t>
      </w:r>
      <w:r>
        <w:t>Irányelvre irányuló javaslat</w:t>
      </w:r>
      <w:r>
        <w:rPr>
          <w:rStyle w:val="HideTWBExt"/>
        </w:rPr>
        <w:t>&lt;/DocAmend&gt;</w:t>
      </w:r>
    </w:p>
    <w:p>
      <w:pPr>
        <w:pStyle w:val="NormalBold"/>
      </w:pPr>
      <w:r>
        <w:rPr>
          <w:rStyle w:val="HideTWBExt"/>
        </w:rPr>
        <w:t>&lt;Article&gt;</w:t>
      </w:r>
      <w:r>
        <w:t>II a melléklet (új)</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A Bizottság által javasolt szöveg</w:t>
            </w:r>
          </w:p>
        </w:tc>
        <w:tc>
          <w:tcPr>
            <w:tcW w:w="4876" w:type="dxa"/>
          </w:tcPr>
          <w:p>
            <w:pPr>
              <w:pStyle w:val="AmColumnHeading"/>
            </w:pPr>
            <w:r>
              <w:t>Módosítás</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kártyának QR-kóddal kell rendelkeznie, amely a kártyán szereplő valamennyi adatot tartalmazza, megfelelő módon meghatározott és dombornyomott bélyegzővel ellátott, az adatvédelmi jogszabályoknak teljes mértékben megfelelő formátumban.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756.072</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54</w:t>
    </w:r>
    <w:r>
      <w:fldChar w:fldCharType="end"/>
    </w:r>
    <w:r>
      <w:t>/</w:t>
    </w:r>
    <w:r>
      <w:fldChar w:fldCharType="begin"/>
    </w:r>
    <w:r>
      <w:instrText xml:space="preserve"> NUMPAGES </w:instrText>
    </w:r>
    <w:r>
      <w:fldChar w:fldCharType="separate"/>
    </w:r>
    <w:r>
      <w:t>54</w:t>
    </w:r>
    <w:r>
      <w:fldChar w:fldCharType="end"/>
    </w:r>
    <w:r>
      <w:tab/>
    </w:r>
    <w:r>
      <w:rPr>
        <w:rStyle w:val="HideTWBExt"/>
      </w:rPr>
      <w:t>&lt;PathFdR&gt;</w:t>
    </w:r>
    <w:r>
      <w:t>AM\1289917HU.docx</w:t>
    </w:r>
    <w:r>
      <w:rPr>
        <w:rStyle w:val="HideTWBExt"/>
      </w:rPr>
      <w:t>&lt;/PathFdR&gt;</w:t>
    </w:r>
  </w:p>
  <w:p>
    <w:pPr>
      <w:pStyle w:val="EPFooter2"/>
    </w:pPr>
    <w:r>
      <w:t>HU</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AM\1289917HU.docx</w:t>
    </w:r>
    <w:r>
      <w:rPr>
        <w:rStyle w:val="HideTWBExt"/>
      </w:rPr>
      <w:t>&lt;/PathFdR&gt;</w:t>
    </w:r>
    <w:r>
      <w:tab/>
    </w:r>
    <w:r>
      <w:fldChar w:fldCharType="begin"/>
    </w:r>
    <w:r>
      <w:instrText xml:space="preserve"> PAGE </w:instrText>
    </w:r>
    <w:r>
      <w:fldChar w:fldCharType="separate"/>
    </w:r>
    <w:r>
      <w:t>53</w:t>
    </w:r>
    <w:r>
      <w:fldChar w:fldCharType="end"/>
    </w:r>
    <w:r>
      <w:t>/</w:t>
    </w:r>
    <w:r>
      <w:fldChar w:fldCharType="begin"/>
    </w:r>
    <w:r>
      <w:instrText xml:space="preserve"> NUMPAGES </w:instrText>
    </w:r>
    <w:r>
      <w:fldChar w:fldCharType="separate"/>
    </w:r>
    <w:r>
      <w:t>54</w:t>
    </w:r>
    <w:r>
      <w:fldChar w:fldCharType="end"/>
    </w:r>
    <w:r>
      <w:tab/>
    </w:r>
    <w:r>
      <w:t>PE</w:t>
    </w:r>
    <w:r>
      <w:rPr>
        <w:rStyle w:val="HideTWBExt"/>
      </w:rPr>
      <w:t>&lt;NoPE&gt;</w:t>
    </w:r>
    <w:r>
      <w:t>756.072</w:t>
    </w:r>
    <w:r>
      <w:rPr>
        <w:rStyle w:val="HideTWBExt"/>
      </w:rPr>
      <w:t>&lt;/NoPE&gt;</w:t>
    </w:r>
    <w:r>
      <w:rPr>
        <w:rStyle w:val="HideTWBExt"/>
      </w:rPr>
      <w:t>&lt;Version&gt;</w:t>
    </w:r>
    <w:r>
      <w:t>v01-00</w:t>
    </w:r>
    <w:r>
      <w:rPr>
        <w:rStyle w:val="HideTWBExt"/>
      </w:rPr>
      <w:t>&lt;/Version&gt;</w:t>
    </w:r>
  </w:p>
  <w:p>
    <w:pPr>
      <w:pStyle w:val="EPFooter2"/>
    </w:pPr>
    <w:r>
      <w:tab/>
    </w:r>
    <w:r>
      <w:tab/>
    </w:r>
    <w:r>
      <w:t>HU</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AM\1289917HU.docx</w:t>
    </w:r>
    <w:r>
      <w:rPr>
        <w:rStyle w:val="HideTWBExt"/>
      </w:rPr>
      <w:t>&lt;/PathFdR&gt;</w:t>
    </w:r>
    <w:r>
      <w:tab/>
    </w:r>
    <w:r>
      <w:tab/>
    </w:r>
    <w:r>
      <w:t>PE</w:t>
    </w:r>
    <w:r>
      <w:rPr>
        <w:rStyle w:val="HideTWBExt"/>
      </w:rPr>
      <w:t>&lt;NoPE&gt;</w:t>
    </w:r>
    <w:r>
      <w:t>756.072</w:t>
    </w:r>
    <w:r>
      <w:rPr>
        <w:rStyle w:val="HideTWBExt"/>
      </w:rPr>
      <w:t>&lt;/NoPE&gt;</w:t>
    </w:r>
    <w:r>
      <w:rPr>
        <w:rStyle w:val="HideTWBExt"/>
      </w:rPr>
      <w:t>&lt;Version&gt;</w:t>
    </w:r>
    <w:r>
      <w:t>v01-00</w:t>
    </w:r>
    <w:r>
      <w:rPr>
        <w:rStyle w:val="HideTWBExt"/>
      </w:rPr>
      <w:t>&lt;/Version&gt;</w:t>
    </w:r>
  </w:p>
  <w:p>
    <w:pPr>
      <w:pStyle w:val="EPFooter2"/>
    </w:pPr>
    <w:r>
      <w:t>HU</w:t>
    </w:r>
    <w:r>
      <w:tab/>
    </w:r>
    <w:r>
      <w:rPr>
        <w:rStyle w:val="EPFooter2Motto"/>
      </w:rPr>
      <w:t>Egyesülve a sokféleségben</w:t>
    </w:r>
    <w:r>
      <w:tab/>
    </w:r>
    <w:r>
      <w:t>HU</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EPBody">
    <w:name w:val="EPBody"/>
    <w:basedOn w:val="Normal"/>
    <w:pPr>
      <w:widowControl w:val="0"/>
      <w:jc w:val="center"/>
    </w:pPr>
    <w:rPr>
      <w:rFonts w:ascii="Arial" w:eastAsia="Arial" w:hAnsi="Arial" w:cs="Arial"/>
      <w:i/>
      <w:sz w:val="22"/>
    </w:rPr>
  </w:style>
  <w:style w:type="paragraph" w:customStyle="1" w:styleId="CoverBold">
    <w:name w:val="CoverBold"/>
    <w:basedOn w:val="Normal"/>
    <w:pPr>
      <w:widowControl w:val="0"/>
      <w:ind w:left="1416"/>
    </w:pPr>
    <w:rPr>
      <w:b/>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rossRef">
    <w:name w:val="AmCrossRef"/>
    <w:basedOn w:val="Normal"/>
    <w:pPr>
      <w:widowControl w:val="0"/>
      <w:spacing w:before="240" w:after="240"/>
      <w:jc w:val="center"/>
    </w:pPr>
    <w:rPr>
      <w:i/>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54</Pages>
  <Words>9830</Words>
  <Characters>67554</Characters>
  <Application>Microsoft Office Word</Application>
  <DocSecurity>0</DocSecurity>
  <Lines>1</Lines>
  <Paragraphs>1041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1289917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35613</vt:lpwstr>
  </property>
  <property fmtid="{D5CDD505-2E9C-101B-9397-08002B2CF9AE}" pid="7" name="dmxml.render.traceId">
    <vt:lpwstr>6564cc3efe5883f2ae979aa4c5596658</vt:lpwstr>
  </property>
  <property fmtid="{D5CDD505-2E9C-101B-9397-08002B2CF9AE}" pid="8" name="FooterPath">
    <vt:lpwstr>AM\1289917HU.docx</vt:lpwstr>
  </property>
  <property fmtid="{D5CDD505-2E9C-101B-9397-08002B2CF9AE}" pid="9" name="PE Number">
    <vt:lpwstr>756.072</vt:lpwstr>
  </property>
  <property fmtid="{D5CDD505-2E9C-101B-9397-08002B2CF9AE}" pid="10" name="UID">
    <vt:lpwstr>eu.europa.europarl-DIN1-2023-0000149720_02.00-hu-01.00_text-xml</vt:lpwstr>
  </property>
</Properties>
</file>