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Europees Parlement</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Commissie werkgelegenheid en sociale zaken</w:t>
      </w:r>
      <w:r>
        <w:rPr>
          <w:rStyle w:val="HideTWBExt"/>
        </w:rPr>
        <w:t>&lt;/Commission&gt;</w:t>
      </w:r>
    </w:p>
    <w:p>
      <w:pPr>
        <w:pStyle w:val="LineBottom"/>
      </w:pPr>
      <w:r>
        <w:t xml:space="preserve"> </w:t>
      </w:r>
    </w:p>
    <w:p>
      <w:pPr>
        <w:pStyle w:val="CoverReference"/>
      </w:pPr>
      <w:r>
        <w:rPr>
          <w:rStyle w:val="HideTWBExt"/>
        </w:rPr>
        <w:t>&lt;RefProc&gt;</w:t>
      </w:r>
      <w:r>
        <w:t>2023/0311</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{10/11/2023}</w:t>
      </w:r>
      <w:r>
        <w:t>10.11.2023</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370</w:t>
      </w:r>
      <w:r>
        <w:t xml:space="preserve"> - </w:t>
      </w:r>
      <w:r>
        <w:t>480</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Lucia Ďuriš Nicholsonová</w:t>
      </w:r>
      <w:r>
        <w:rPr>
          <w:rStyle w:val="HideTWBExt"/>
        </w:rPr>
        <w:t>&lt;/Rapporteur&gt;</w:t>
      </w:r>
    </w:p>
    <w:p>
      <w:pPr>
        <w:pStyle w:val="CoverNormal24a"/>
      </w:pPr>
      <w:r>
        <w:rPr>
          <w:rStyle w:val="HideTWBExt"/>
        </w:rPr>
        <w:t>&lt;DocRefPE&gt;</w:t>
      </w:r>
      <w:r>
        <w:t>(PE754.831v01-00)</w:t>
      </w:r>
      <w:r>
        <w:rPr>
          <w:rStyle w:val="HideTWBExt"/>
        </w:rPr>
        <w:t>&lt;/DocRefPE&gt;</w:t>
      </w:r>
    </w:p>
    <w:p>
      <w:pPr>
        <w:pStyle w:val="CoverNormal24a"/>
      </w:pPr>
      <w:r>
        <w:rPr>
          <w:rStyle w:val="HideTWBExt"/>
        </w:rPr>
        <w:t>&lt;Titre&gt;</w:t>
      </w:r>
      <w:r>
        <w:t>Invoering van de Europese gehandicaptenkaart en de Europese parkeerkaart voor personen met een handicap</w:t>
      </w:r>
      <w:r>
        <w:rPr>
          <w:rStyle w:val="HideTWBExt"/>
        </w:rPr>
        <w:t>&lt;/Titre&gt;</w:t>
      </w:r>
    </w:p>
    <w:p>
      <w:pPr>
        <w:pStyle w:val="CoverNormal"/>
      </w:pPr>
      <w:r>
        <w:rPr>
          <w:rStyle w:val="HideTWBExt"/>
        </w:rPr>
        <w:t>&lt;DocAmend&gt;</w:t>
      </w:r>
      <w:r>
        <w:t>Voorstel voor een richtlijn</w:t>
      </w:r>
      <w:r>
        <w:rPr>
          <w:rStyle w:val="HideTWBExt"/>
        </w:rPr>
        <w:t>&lt;/DocAmend&gt;</w:t>
      </w:r>
    </w:p>
    <w:p>
      <w:pPr>
        <w:pStyle w:val="CoverNormal24a"/>
      </w:pPr>
      <w:r>
        <w:rPr>
          <w:rStyle w:val="HideTWBExt"/>
        </w:rPr>
        <w:t>&lt;DocRef&gt;</w:t>
      </w:r>
      <w:r>
        <w:t>(COM(2023)0512 – C9-0328/2023 – 2023/0311(COD))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370</w:t>
      </w:r>
      <w:r>
        <w:rPr>
          <w:rStyle w:val="HideTWBExt"/>
        </w:rPr>
        <w:t>&lt;/NumAm&gt;</w:t>
      </w:r>
    </w:p>
    <w:p>
      <w:pPr>
        <w:pStyle w:val="NormalBold"/>
      </w:pPr>
      <w:r>
        <w:rPr>
          <w:rStyle w:val="HideTWBExt"/>
        </w:rPr>
        <w:t>&lt;RepeatBlock-By&gt;</w:t>
      </w:r>
      <w:r>
        <w:rPr>
          <w:rStyle w:val="HideTWBExt"/>
        </w:rPr>
        <w:t>&lt;Members&gt;</w:t>
      </w:r>
      <w:r>
        <w:t>Cindy Franssen, David Casa, 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2 bis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bis.</w:t>
            </w:r>
            <w:r>
              <w:tab/>
            </w:r>
            <w:r>
              <w:rPr>
                <w:b/>
                <w:i/>
              </w:rPr>
              <w:t>De Commissie ziet erop toe dat er passende financiële middelen beschikbaar worden gesteld aan de lidstaten om de kosten in verband met de verplichtingen inzake informatieverstrekking en voorlichting krachtens dit artikel en artikel 15 van de richtlijn te dekken.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371</w:t>
      </w:r>
      <w:r>
        <w:rPr>
          <w:rStyle w:val="HideTWBExt"/>
        </w:rPr>
        <w:t>&lt;/NumAm&gt;</w:t>
      </w:r>
    </w:p>
    <w:p>
      <w:pPr>
        <w:pStyle w:val="NormalBold"/>
      </w:pPr>
      <w:r>
        <w:rPr>
          <w:rStyle w:val="HideTWBExt"/>
        </w:rPr>
        <w:t>&lt;RepeatBlock-By&gt;</w:t>
      </w:r>
      <w:r>
        <w:rPr>
          <w:rStyle w:val="HideTWBExt"/>
        </w:rPr>
        <w:t>&lt;Members&gt;</w:t>
      </w:r>
      <w:r>
        <w:t>David Casa</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De lidstaten nemen alle nodige maatregelen om het risico van vervalsing of fraude te voorkomen en ze bestrijden actief het frauduleuze gebruik en de vervalsing van de Europese gehandicaptenkaart en de Europese parkeerkaart voor personen met een handicap.</w:t>
            </w:r>
          </w:p>
        </w:tc>
        <w:tc>
          <w:tcPr>
            <w:tcW w:w="4876" w:type="dxa"/>
          </w:tcPr>
          <w:p>
            <w:pPr>
              <w:pStyle w:val="Normal6a"/>
            </w:pPr>
            <w:r>
              <w:t>3.</w:t>
            </w:r>
            <w:r>
              <w:tab/>
            </w:r>
            <w:r>
              <w:t>De lidstaten nemen alle nodige maatregelen om het risico van vervalsing of fraude te voorkomen en ze bestrijden actief het frauduleuze gebruik en de vervalsing van de Europese gehandicaptenkaart en de Europese parkeerkaart voor personen met een handicap</w:t>
            </w:r>
            <w:r>
              <w:rPr>
                <w:b/>
                <w:i/>
              </w:rPr>
              <w:t>, zonder de toegang tot de kaart voor personen met een handicap in het gedrang te brengen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372</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De lidstaten nemen alle nodige maatregelen om het risico van vervalsing of fraude te voorkomen en ze bestrijden actief het frauduleuze gebruik en de vervalsing van de Europese </w:t>
            </w:r>
            <w:r>
              <w:rPr>
                <w:b/>
                <w:i/>
              </w:rPr>
              <w:t>gehandicaptenkaart</w:t>
            </w:r>
            <w:r>
              <w:t xml:space="preserve"> en de Europese parkeerkaart voor personen met een handicap.</w:t>
            </w:r>
          </w:p>
        </w:tc>
        <w:tc>
          <w:tcPr>
            <w:tcW w:w="4876" w:type="dxa"/>
          </w:tcPr>
          <w:p>
            <w:pPr>
              <w:pStyle w:val="Normal6a"/>
            </w:pPr>
            <w:r>
              <w:t>3.</w:t>
            </w:r>
            <w:r>
              <w:tab/>
            </w:r>
            <w:r>
              <w:t xml:space="preserve">De lidstaten nemen alle nodige maatregelen om het risico van vervalsing of fraude te voorkomen en ze bestrijden actief het frauduleuze gebruik en de vervalsing van de Europese </w:t>
            </w:r>
            <w:r>
              <w:rPr>
                <w:b/>
                <w:i/>
              </w:rPr>
              <w:t>gehandicapten- en ouderenkaart</w:t>
            </w:r>
            <w:r>
              <w:t xml:space="preserve"> en de Europese parkeerkaart voor personen met een handicap </w:t>
            </w:r>
            <w:r>
              <w:rPr>
                <w:b/>
                <w:i/>
              </w:rPr>
              <w:t>en ouderen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373</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3 bis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bis.</w:t>
            </w:r>
            <w:r>
              <w:tab/>
            </w:r>
            <w:r>
              <w:rPr>
                <w:b/>
                <w:i/>
              </w:rPr>
              <w:t>Voorts moeten de Europese instellingen voortdurend informatie en opleiding over de Europese gehandicaptenkaart verspreiden, door middel van opeenvolgende opleidingen en voorlichtingscampagnes over het gebruik ervan, in een vorm die universele toegankelijkheid waarborgt, met deelname van personen met een handicap en organisaties die hen vertegenwoordigen.</w:t>
            </w:r>
            <w:r>
              <w:t xml:space="preserve"> </w:t>
            </w:r>
            <w:r>
              <w:rPr>
                <w:b/>
                <w:i/>
              </w:rPr>
              <w:t>Deze informatie moet duidelijk het vrijwillige karakter van de kaart omvatten.</w:t>
            </w:r>
            <w:r>
              <w:t xml:space="preserve"> </w:t>
            </w:r>
            <w:r>
              <w:rPr>
                <w:b/>
                <w:i/>
              </w:rPr>
              <w:t>Binnen de Unie moeten hiervoor specifieke financieringslijnen beschikbaar worden gesteld.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374</w:t>
      </w:r>
      <w:r>
        <w:rPr>
          <w:rStyle w:val="HideTWBExt"/>
        </w:rPr>
        <w:t>&lt;/NumAm&gt;</w:t>
      </w:r>
    </w:p>
    <w:p>
      <w:pPr>
        <w:pStyle w:val="NormalBold"/>
      </w:pPr>
      <w:r>
        <w:rPr>
          <w:rStyle w:val="HideTWBExt"/>
        </w:rPr>
        <w:t>&lt;RepeatBlock-By&gt;</w:t>
      </w:r>
      <w:r>
        <w:rPr>
          <w:rStyle w:val="HideTWBExt"/>
        </w:rPr>
        <w:t>&lt;Members&gt;</w:t>
      </w:r>
      <w:r>
        <w:t>David Casa</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3 bis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bis.</w:t>
            </w:r>
            <w:r>
              <w:tab/>
            </w:r>
            <w:r>
              <w:rPr>
                <w:b/>
                <w:i/>
              </w:rPr>
              <w:t>De lidstaten zorgen ervoor dat publieke fraude, met name op het gebied van sociale uitkeringen, onverwijld en grondig wordt onderzocht en, in voorkomend geval, wordt vervolgd, teneinde de goede werking van deze richtlijn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De lidstaten nemen de nodige maatregelen om ervoor te zorgen dat houders van een Europese </w:t>
            </w:r>
            <w:r>
              <w:rPr>
                <w:b/>
                <w:i/>
              </w:rPr>
              <w:t>gehandicaptenkaart</w:t>
            </w:r>
            <w:r>
              <w:t xml:space="preserve"> of een Europese parkeerkaart voor personen met een handicap hun kaart bij de bevoegde autoriteit inleveren zodra niet langer aan de voorwaarden voor de afgifte ervan wordt voldaan.</w:t>
            </w:r>
          </w:p>
        </w:tc>
        <w:tc>
          <w:tcPr>
            <w:tcW w:w="4876" w:type="dxa"/>
          </w:tcPr>
          <w:p>
            <w:pPr>
              <w:pStyle w:val="Normal6a"/>
            </w:pPr>
            <w:r>
              <w:t>4.</w:t>
            </w:r>
            <w:r>
              <w:tab/>
            </w:r>
            <w:r>
              <w:t xml:space="preserve">De lidstaten nemen de nodige maatregelen om ervoor te zorgen dat houders van een Europese </w:t>
            </w:r>
            <w:r>
              <w:rPr>
                <w:b/>
                <w:i/>
              </w:rPr>
              <w:t>gehandicapten- en ouderenkaart</w:t>
            </w:r>
            <w:r>
              <w:t xml:space="preserve"> of een Europese parkeerkaart voor personen met een handicap </w:t>
            </w:r>
            <w:r>
              <w:rPr>
                <w:b/>
                <w:i/>
              </w:rPr>
              <w:t>en ouderen</w:t>
            </w:r>
            <w:r>
              <w:t xml:space="preserve"> hun kaart bij de bevoegde autoriteit inleveren zodra niet langer aan de voorwaarden voor de afgifte ervan wordt voldaan.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376</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De lidstaten nemen de nodige maatregelen om ervoor te zorgen dat de bevoegde autoriteiten van de lidstaat die de Europese gehandicaptenkaart of de Europese parkeerkaart voor personen met een handicap heeft afgegeven, in kennis worden gesteld van gevallen van misbruik of verkeerd gebruik van de kaarten die door een andere lidstaat op hun grondgebied zijn afgegeven. De lidstaat van afgifte zorgt voor een passende follow-up overeenkomstig het nationale recht of de nationale praktijk.</w:t>
            </w:r>
          </w:p>
        </w:tc>
        <w:tc>
          <w:tcPr>
            <w:tcW w:w="4876" w:type="dxa"/>
          </w:tcPr>
          <w:p>
            <w:pPr>
              <w:pStyle w:val="Normal6a"/>
            </w:pPr>
            <w:r>
              <w:t>5.</w:t>
            </w:r>
            <w:r>
              <w:tab/>
            </w:r>
            <w:r>
              <w:t xml:space="preserve">De lidstaten nemen de nodige maatregelen om ervoor te zorgen dat de bevoegde autoriteiten van de lidstaat die de Europese gehandicaptenkaart of de Europese parkeerkaart voor personen met een handicap heeft afgegeven, in kennis worden gesteld van gevallen van misbruik of verkeerd gebruik van de kaarten die door een andere lidstaat op hun grondgebied zijn afgegeven. De lidstaat van afgifte zorgt voor een passende follow-up overeenkomstig het nationale recht of de nationale praktijk. </w:t>
            </w:r>
            <w:r>
              <w:rPr>
                <w:b/>
                <w:i/>
              </w:rPr>
              <w:t>De lidstaten wisselen informatie uit over gevallen van misbruik of misbruik van de kaarten.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De lidstaten nemen de nodige maatregelen om ervoor te zorgen dat de bevoegde autoriteiten van de lidstaat die de Europese </w:t>
            </w:r>
            <w:r>
              <w:rPr>
                <w:b/>
                <w:i/>
              </w:rPr>
              <w:t>gehandicaptenkaart</w:t>
            </w:r>
            <w:r>
              <w:t xml:space="preserve"> of de Europese parkeerkaart voor personen met een handicap heeft afgegeven, in kennis worden gesteld van gevallen van misbruik of verkeerd gebruik van de kaarten die door een andere lidstaat op hun grondgebied zijn afgegeven. De lidstaat van afgifte zorgt voor een passende follow-up overeenkomstig het nationale recht of de nationale praktijk.</w:t>
            </w:r>
          </w:p>
        </w:tc>
        <w:tc>
          <w:tcPr>
            <w:tcW w:w="4876" w:type="dxa"/>
          </w:tcPr>
          <w:p>
            <w:pPr>
              <w:pStyle w:val="Normal6a"/>
            </w:pPr>
            <w:r>
              <w:t>5.</w:t>
            </w:r>
            <w:r>
              <w:tab/>
            </w:r>
            <w:r>
              <w:t xml:space="preserve">De lidstaten nemen de nodige maatregelen om ervoor te zorgen dat de bevoegde autoriteiten van de lidstaat die de Europese </w:t>
            </w:r>
            <w:r>
              <w:rPr>
                <w:b/>
                <w:i/>
              </w:rPr>
              <w:t>gehandicapten- en ouderenkaart</w:t>
            </w:r>
            <w:r>
              <w:t xml:space="preserve"> of de Europese parkeerkaart voor personen met een handicap </w:t>
            </w:r>
            <w:r>
              <w:rPr>
                <w:b/>
                <w:i/>
              </w:rPr>
              <w:t>en ouderen</w:t>
            </w:r>
            <w:r>
              <w:t xml:space="preserve"> heeft afgegeven, in kennis worden gesteld van gevallen van misbruik of verkeerd gebruik van de kaarten die door een andere lidstaat op hun grondgebied zijn afgegeven. De lidstaat van afgifte zorgt voor een passende follow-up overeenkomstig het nationale recht of de nationale praktijk.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De lidstaten controleren of de verplichtingen die aan de Europese </w:t>
            </w:r>
            <w:r>
              <w:rPr>
                <w:b/>
                <w:i/>
              </w:rPr>
              <w:t>gehandicaptenkaart</w:t>
            </w:r>
            <w:r>
              <w:t xml:space="preserve"> of de Europese parkeerkaart voor personen met een handicap verbonden zijn, en de overeenkomstige rechten van personen met een handicap die in het bezit van die kaarten zijn , en van personen die hen begeleiden of bijstaan, met inbegrip van hun persoonlijke assistent(en), worden nageleefd.</w:t>
            </w:r>
          </w:p>
        </w:tc>
        <w:tc>
          <w:tcPr>
            <w:tcW w:w="4876" w:type="dxa"/>
          </w:tcPr>
          <w:p>
            <w:pPr>
              <w:pStyle w:val="Normal6a"/>
            </w:pPr>
            <w:r>
              <w:t>6.</w:t>
            </w:r>
            <w:r>
              <w:tab/>
            </w:r>
            <w:r>
              <w:t xml:space="preserve">De lidstaten controleren of de verplichtingen die aan de Europese </w:t>
            </w:r>
            <w:r>
              <w:rPr>
                <w:b/>
                <w:i/>
              </w:rPr>
              <w:t>gehandicapten- en ouderenkaart</w:t>
            </w:r>
            <w:r>
              <w:t xml:space="preserve"> of de Europese parkeerkaart voor personen met een handicap </w:t>
            </w:r>
            <w:r>
              <w:rPr>
                <w:b/>
                <w:i/>
              </w:rPr>
              <w:t>en ouderen</w:t>
            </w:r>
            <w:r>
              <w:t xml:space="preserve"> verbonden zijn, en de overeenkomstige rechten van personen met een handicap </w:t>
            </w:r>
            <w:r>
              <w:rPr>
                <w:b/>
                <w:i/>
              </w:rPr>
              <w:t>en ouderen</w:t>
            </w:r>
            <w:r>
              <w:t xml:space="preserve"> die in het bezit van die kaarten zijn, en van personen die hen begeleiden of bijstaan, met inbegrip van hun persoonlijke assistent(en), worden nageleefd.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379</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De in de leden 1 en 2 van dit artikel bedoelde informatie wordt gratis en op een duidelijke, volledige, gebruikersvriendelijke en gemakkelijk toegankelijke wijze beschikbaar gesteld, onder meer via de officiële website van particulieren of overheidsinstanties </w:t>
            </w:r>
            <w:r>
              <w:rPr>
                <w:b/>
                <w:i/>
              </w:rPr>
              <w:t>–</w:t>
            </w:r>
            <w:r>
              <w:t xml:space="preserve"> indien beschikbaar </w:t>
            </w:r>
            <w:r>
              <w:rPr>
                <w:b/>
                <w:i/>
              </w:rPr>
              <w:t>–</w:t>
            </w:r>
            <w:r>
              <w:t xml:space="preserve"> of via andere geschikte middelen, overeenkomstig de betreffende toegankelijkheidsvoorschriften voor diensten in bijlage I bij Richtlijn (EU) 2019/882.</w:t>
            </w:r>
          </w:p>
        </w:tc>
        <w:tc>
          <w:tcPr>
            <w:tcW w:w="4876" w:type="dxa"/>
          </w:tcPr>
          <w:p>
            <w:pPr>
              <w:pStyle w:val="Normal6a"/>
            </w:pPr>
            <w:r>
              <w:t>7.</w:t>
            </w:r>
            <w:r>
              <w:tab/>
            </w:r>
            <w:r>
              <w:t>De in de leden 1 en 2 van dit artikel bedoelde informatie wordt gratis en op een duidelijke, volledige, gebruikersvriendelijke en gemakkelijk toegankelijke wijze beschikbaar gesteld, onder meer via de officiële website van particulieren of overheidsinstanties</w:t>
            </w:r>
            <w:r>
              <w:rPr>
                <w:b/>
                <w:i/>
              </w:rPr>
              <w:t>,</w:t>
            </w:r>
            <w:r>
              <w:t xml:space="preserve"> indien beschikbaar</w:t>
            </w:r>
            <w:r>
              <w:rPr>
                <w:b/>
                <w:i/>
              </w:rPr>
              <w:t>, een website op EU-niveau in alle EU-talen,</w:t>
            </w:r>
            <w:r>
              <w:t xml:space="preserve"> of via andere geschikte middelen, overeenkomstig de betreffende toegankelijkheidsvoorschriften voor diensten in bijlage I bij Richtlijn (EU) 2019/882. </w:t>
            </w:r>
            <w:r>
              <w:rPr>
                <w:b/>
                <w:i/>
              </w:rPr>
              <w:t>Deze informatie mag het complexiteitsniveau B1 (intermediair) van het gemeenschappelijk Europees referentiekader voor talen van de Raad van Europa niet overschrijden.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De in de leden 1 en 2 van dit artikel bedoelde informatie wordt gratis en op een duidelijke, volledige, gebruikersvriendelijke en gemakkelijk toegankelijke wijze beschikbaar gesteld, onder meer via de officiële website van particulieren of overheidsinstanties – indien beschikbaar – of via andere geschikte middelen, overeenkomstig de betreffende toegankelijkheidsvoorschriften voor diensten in bijlage I bij Richtlijn (EU) 2019/882.</w:t>
            </w:r>
          </w:p>
        </w:tc>
        <w:tc>
          <w:tcPr>
            <w:tcW w:w="4876" w:type="dxa"/>
          </w:tcPr>
          <w:p>
            <w:pPr>
              <w:pStyle w:val="Normal6a"/>
            </w:pPr>
            <w:r>
              <w:t>7.</w:t>
            </w:r>
            <w:r>
              <w:tab/>
            </w:r>
            <w:r>
              <w:t xml:space="preserve">De in de leden 1 en 2 van dit artikel bedoelde informatie wordt gratis en op een duidelijke, volledige, gebruikersvriendelijke en gemakkelijk toegankelijke wijze beschikbaar gesteld, onder meer via de officiële website van particulieren of overheidsinstanties – indien beschikbaar – of via andere geschikte middelen, overeenkomstig de betreffende toegankelijkheidsvoorschriften voor diensten in bijlage I bij Richtlijn (EU) 2019/882. </w:t>
            </w:r>
            <w:r>
              <w:rPr>
                <w:b/>
                <w:i/>
              </w:rPr>
              <w:t>De lidstaten nemen de uit de leden 1 en 2 van dit artikel voortvloeiende maatregelen in overleg met organisaties die personen met een handicap vertegenwoordigen.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381</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De in de leden 1 en 2 van dit artikel bedoelde informatie wordt gratis en op een duidelijke, volledige, gebruikersvriendelijke en gemakkelijk toegankelijke wijze beschikbaar gesteld, onder meer via de officiële website van particulieren of overheidsinstanties – indien beschikbaar – of via andere geschikte middelen, overeenkomstig de betreffende toegankelijkheidsvoorschriften voor diensten in bijlage I bij Richtlijn (EU) 2019/882.</w:t>
            </w:r>
          </w:p>
        </w:tc>
        <w:tc>
          <w:tcPr>
            <w:tcW w:w="4876" w:type="dxa"/>
          </w:tcPr>
          <w:p>
            <w:pPr>
              <w:pStyle w:val="Normal6a"/>
            </w:pPr>
            <w:r>
              <w:t>7.</w:t>
            </w:r>
            <w:r>
              <w:tab/>
            </w:r>
            <w:r>
              <w:t xml:space="preserve">De in de leden 1 en 2 van dit artikel bedoelde informatie wordt gratis en op een duidelijke, volledige, gebruikersvriendelijke en gemakkelijk toegankelijke wijze beschikbaar gesteld, onder meer via </w:t>
            </w:r>
            <w:r>
              <w:rPr>
                <w:b/>
                <w:i/>
              </w:rPr>
              <w:t>een website op EU-niveau in alle EU-talen,</w:t>
            </w:r>
            <w:r>
              <w:t xml:space="preserve"> de officiële website van particulieren of overheidsinstanties – indien beschikbaar – of via andere geschikte middelen, overeenkomstig de betreffende toegankelijkheidsvoorschriften voor diensten in bijlage I bij Richtlijn (EU)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382</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De in de leden 1 en 2 van dit artikel bedoelde informatie wordt gratis en op een duidelijke, volledige, gebruikersvriendelijke en gemakkelijk toegankelijke wijze beschikbaar gesteld, onder meer via de officiële website van particulieren of overheidsinstanties – indien beschikbaar – of via andere geschikte middelen, overeenkomstig de betreffende toegankelijkheidsvoorschriften voor diensten in bijlage I bij Richtlijn (EU) 2019/882.</w:t>
            </w:r>
          </w:p>
        </w:tc>
        <w:tc>
          <w:tcPr>
            <w:tcW w:w="4876" w:type="dxa"/>
          </w:tcPr>
          <w:p>
            <w:pPr>
              <w:pStyle w:val="Normal6a"/>
            </w:pPr>
            <w:r>
              <w:t>7.</w:t>
            </w:r>
            <w:r>
              <w:tab/>
            </w:r>
            <w:r>
              <w:t xml:space="preserve">De in de leden 1 en 2 van dit artikel bedoelde informatie wordt gratis en op een duidelijke, volledige, gebruikersvriendelijke en gemakkelijk toegankelijke wijze beschikbaar gesteld, onder meer via </w:t>
            </w:r>
            <w:r>
              <w:rPr>
                <w:b/>
                <w:i/>
              </w:rPr>
              <w:t>een website op EU-niveau in alle EU-talen,</w:t>
            </w:r>
            <w:r>
              <w:t xml:space="preserve"> de officiële website van particulieren of overheidsinstanties – indien beschikbaar – of via andere geschikte middelen, overeenkomstig de betreffende toegankelijkheidsvoorschriften voor diensten in bijlage I bij Richtlijn (EU)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383</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7 – punt 1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ab/>
            </w:r>
            <w:r>
              <w:rPr>
                <w:b/>
                <w:i/>
              </w:rPr>
              <w:t>Er moet een website worden opgezet met alle informatie over de Europese gehandicaptenkaart of de Europese parkeerkaart voor personen met een handicap en, in voorkomend geval, informatie over de wijze waarop deze kan worden aangevraagd, in een universeel toegankelijke vorm, in alle talen van de Europese Unie, met inbegrip van gebarentaal, gemakkelijk te lezen en alternatieve en ondersteunende communicatiemiddelen.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384</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7 – punt 2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ab/>
            </w:r>
            <w:r>
              <w:rPr>
                <w:b/>
                <w:i/>
              </w:rPr>
              <w:t>Organisaties die personen met een handicap vertegenwoordigen moeten worden betrokken bij het gehele proces van ontwikkeling, planning, uitvoering, monitoring en evaluatie.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385</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7 bis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bis.</w:t>
            </w:r>
            <w:r>
              <w:tab/>
            </w:r>
            <w:r>
              <w:rPr>
                <w:b/>
                <w:i/>
              </w:rPr>
              <w:t>De Commissie zorgt ervoor dat aan de lidstaten voldoende financiële middelen ter beschikking worden gesteld om de kosten van de administratieve procedures, de fysieke afgifte van de kaarten, de informatieverstrekking, de voorlichtingscampagnes en andere noodzakelijke daarmee verband houdende kosten, te dekken.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386</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7 bis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bis.</w:t>
            </w:r>
            <w:r>
              <w:tab/>
            </w:r>
            <w:r>
              <w:rPr>
                <w:b/>
                <w:i/>
              </w:rPr>
              <w:t>De in de leden 1 en 2 van dit artikel bedoelde informatie is begrijpelijk, zonder een niveau van complexiteit te overschrijden dat hoger is dan niveau B1 (gemiddeld) van het gemeenschappelijk Europees referentiekader voor talen van de Raad van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387</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7 bis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bis.</w:t>
            </w:r>
            <w:r>
              <w:tab/>
            </w:r>
            <w:r>
              <w:rPr>
                <w:b/>
                <w:i/>
              </w:rPr>
              <w:t>De in de leden 1 en 2 van dit artikel bedoelde informatie is begrijpelijk, zonder een niveau van complexiteit te overschrijden dat hoger is dan niveau B1 (gemiddeld) van het gemeenschappelijk Europees referentiekader voor talen van de Raad van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388</w:t>
      </w:r>
      <w:r>
        <w:rPr>
          <w:rStyle w:val="HideTWBExt"/>
        </w:rPr>
        <w:t>&lt;/NumAm&gt;</w:t>
      </w:r>
    </w:p>
    <w:p>
      <w:pPr>
        <w:pStyle w:val="NormalBold"/>
      </w:pPr>
      <w:r>
        <w:rPr>
          <w:rStyle w:val="HideTWBExt"/>
        </w:rPr>
        <w:t>&lt;RepeatBlock-By&gt;</w:t>
      </w:r>
      <w:r>
        <w:rPr>
          <w:rStyle w:val="HideTWBExt"/>
        </w:rPr>
        <w:t>&lt;Members&gt;</w:t>
      </w:r>
      <w:r>
        <w:t>Jordi Cañas, Monica Semedo,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7 bis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bis.</w:t>
            </w:r>
            <w:r>
              <w:tab/>
            </w:r>
            <w:r>
              <w:rPr>
                <w:b/>
                <w:i/>
              </w:rPr>
              <w:t>Organisaties die personen met een handicap vertegenwoordigen, nemen deel aan het gehele proces van ontwikkeling, planning, uitvoering, monitoring en evaluatie.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389</w:t>
      </w:r>
      <w:r>
        <w:rPr>
          <w:rStyle w:val="HideTWBExt"/>
        </w:rPr>
        <w:t>&lt;/NumAm&gt;</w:t>
      </w:r>
    </w:p>
    <w:p>
      <w:pPr>
        <w:pStyle w:val="NormalBold"/>
      </w:pPr>
      <w:r>
        <w:rPr>
          <w:rStyle w:val="HideTWBExt"/>
        </w:rPr>
        <w:t>&lt;RepeatBlock-By&gt;</w:t>
      </w:r>
      <w:r>
        <w:rPr>
          <w:rStyle w:val="HideTWBExt"/>
        </w:rPr>
        <w:t>&lt;Members&gt;</w:t>
      </w:r>
      <w:r>
        <w:t>Francesca Peppucci,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7 bis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bis.</w:t>
            </w:r>
            <w:r>
              <w:tab/>
            </w:r>
            <w:r>
              <w:rPr>
                <w:b/>
                <w:i/>
              </w:rPr>
              <w:t>De Commissie zorgt ervoor dat de lidstaten over voldoende financiële middelen beschikken om de kosten van de uitvoering van bovengenoemde bepalingen te dekken.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390</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7 ter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ter.</w:t>
            </w:r>
            <w:r>
              <w:tab/>
            </w:r>
            <w:r>
              <w:rPr>
                <w:b/>
                <w:i/>
              </w:rPr>
              <w:t>De Commissie zet een speciale website op EU-niveau op met relevante en regelmatig bijgewerkte informatie over de bijzondere voorwaarden of de preferentiële behandeling die de lidstaten aan houders van de Europese gehandicaptenkaart bieden.</w:t>
            </w:r>
            <w:r>
              <w:t xml:space="preserve"> </w:t>
            </w:r>
            <w:r>
              <w:rPr>
                <w:b/>
                <w:i/>
              </w:rPr>
              <w:t>De website is beschikbaar in alle talen van de EU en in toegankelijke formaten.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391</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7 ter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ter.</w:t>
            </w:r>
            <w:r>
              <w:tab/>
            </w:r>
            <w:r>
              <w:rPr>
                <w:b/>
                <w:i/>
              </w:rPr>
              <w:t>De Commissie zorgt ervoor dat aan de lidstaten voldoende financiële middelen ter beschikking worden gesteld om de kosten van de administratieve procedures, de fysieke afgifte van de kaart, de informatieverstrekking en de voorlichtingscampagne, en andere daarmee verband houdende kosten te dekken.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392</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9 – lid 7 ter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ter.</w:t>
            </w:r>
            <w:r>
              <w:tab/>
            </w:r>
            <w:r>
              <w:rPr>
                <w:b/>
                <w:i/>
              </w:rPr>
              <w:t>De Commissie zorgt ervoor dat aan de lidstaten voldoende financiële middelen ter beschikking worden gesteld om de kosten van de administratieve procedures, de fysieke afgifte van de kaarten, de informatieverstrekking, de voorlichtingscampagne en andere daarmee verband houdende kosten te dekken.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10 – alinea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Uiterlijk dd/mm/jj [binnen zes maanden na de inwerkingtreding van deze richtlijn] stellen de lidstaten de Commissie in kennis van de bevoegde autoriteiten die zijn aangewezen om de Europese </w:t>
            </w:r>
            <w:r>
              <w:rPr>
                <w:b/>
                <w:i/>
              </w:rPr>
              <w:t>gehandicaptenkaart</w:t>
            </w:r>
            <w:r>
              <w:t xml:space="preserve"> en de Europese parkeerkaart voor personen met een handicap af te geven, te verlengen en in te trekken.</w:t>
            </w:r>
          </w:p>
        </w:tc>
        <w:tc>
          <w:tcPr>
            <w:tcW w:w="4876" w:type="dxa"/>
          </w:tcPr>
          <w:p>
            <w:pPr>
              <w:pStyle w:val="Normal6a"/>
            </w:pPr>
            <w:r>
              <w:t xml:space="preserve">Uiterlijk dd/mm/jj [binnen zes maanden na de inwerkingtreding van deze richtlijn] stellen de lidstaten de Commissie in kennis van de bevoegde autoriteiten die zijn aangewezen om de Europese </w:t>
            </w:r>
            <w:r>
              <w:rPr>
                <w:b/>
                <w:i/>
              </w:rPr>
              <w:t>gehandicapten- en ouderenkaart</w:t>
            </w:r>
            <w:r>
              <w:t xml:space="preserve"> en de Europese parkeerkaart voor personen met een handicap </w:t>
            </w:r>
            <w:r>
              <w:rPr>
                <w:b/>
                <w:i/>
              </w:rPr>
              <w:t>en ouderen</w:t>
            </w:r>
            <w:r>
              <w:t xml:space="preserve"> af te geven, te verlengen en in te trekken.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394</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11 – lid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De in artikel 6, lid 7, </w:t>
            </w:r>
            <w:r>
              <w:rPr>
                <w:b/>
                <w:i/>
              </w:rPr>
              <w:t>en</w:t>
            </w:r>
            <w:r>
              <w:t xml:space="preserve"> artikel 7, lid 7, </w:t>
            </w:r>
            <w:r>
              <w:rPr>
                <w:b/>
                <w:i/>
              </w:rPr>
              <w:t>bedoelde bevoegdheid om gedelegeerde handelingen vast te stellen</w:t>
            </w:r>
            <w:r>
              <w:t xml:space="preserve">, wordt </w:t>
            </w:r>
            <w:r>
              <w:rPr>
                <w:b/>
                <w:i/>
              </w:rPr>
              <w:t>aan de Commissie voor onbepaalde tijd toegekend</w:t>
            </w:r>
            <w:r>
              <w:t xml:space="preserve"> met ingang van [</w:t>
            </w:r>
            <w:r>
              <w:rPr>
                <w:b/>
                <w:i/>
              </w:rPr>
              <w:t>de</w:t>
            </w:r>
            <w:r>
              <w:t xml:space="preserve"> datum van inwerkingtreding van deze richtlijn].</w:t>
            </w:r>
          </w:p>
        </w:tc>
        <w:tc>
          <w:tcPr>
            <w:tcW w:w="4876" w:type="dxa"/>
          </w:tcPr>
          <w:p>
            <w:pPr>
              <w:pStyle w:val="Normal6a"/>
            </w:pPr>
            <w:r>
              <w:t>2.</w:t>
            </w:r>
            <w:r>
              <w:tab/>
            </w:r>
            <w:r>
              <w:t xml:space="preserve">De </w:t>
            </w:r>
            <w:r>
              <w:rPr>
                <w:b/>
                <w:i/>
              </w:rPr>
              <w:t>bevoegdheid tot vaststelling van gedelegeerde handelingen als bedoeld</w:t>
            </w:r>
            <w:r>
              <w:t xml:space="preserve"> in artikel 6, lid 7, artikel 7, lid 7, </w:t>
            </w:r>
            <w:r>
              <w:rPr>
                <w:b/>
                <w:i/>
              </w:rPr>
              <w:t>en artikel 15, lid 4</w:t>
            </w:r>
            <w:r>
              <w:t xml:space="preserve">, wordt met ingang van [datum van inwerkingtreding van deze richtlijn] </w:t>
            </w:r>
            <w:r>
              <w:rPr>
                <w:b/>
                <w:i/>
              </w:rPr>
              <w:t>voor onbepaalde tijd aan de Commissie toegekend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395</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11 – lid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Vóór de vaststelling van een gedelegeerde handeling raadpleegt de Commissie </w:t>
            </w:r>
            <w:r>
              <w:rPr>
                <w:b/>
                <w:i/>
              </w:rPr>
              <w:t>de door elke lidstaat aangewezen</w:t>
            </w:r>
            <w:r>
              <w:t xml:space="preserve"> deskundigen overeenkomstig de beginselen die zijn neergelegd in het Interinstitutioneel Akkoord van 13 april 2016 over beter wetgeven.</w:t>
            </w:r>
          </w:p>
        </w:tc>
        <w:tc>
          <w:tcPr>
            <w:tcW w:w="4876" w:type="dxa"/>
          </w:tcPr>
          <w:p>
            <w:pPr>
              <w:pStyle w:val="Normal6a"/>
            </w:pPr>
            <w:r>
              <w:t>4.</w:t>
            </w:r>
            <w:r>
              <w:tab/>
            </w:r>
            <w:r>
              <w:t xml:space="preserve">Vóór de vaststelling van een gedelegeerde handeling raadpleegt de Commissie </w:t>
            </w:r>
            <w:r>
              <w:rPr>
                <w:b/>
                <w:i/>
              </w:rPr>
              <w:t>in de eerste plaats, en in het kader van een coproductiemethode, personen met een handicap en hun vertegenwoordigende organisaties, alsook andere relevante</w:t>
            </w:r>
            <w:r>
              <w:t xml:space="preserve"> deskundigen</w:t>
            </w:r>
            <w:r>
              <w:rPr>
                <w:b/>
                <w:i/>
              </w:rPr>
              <w:t>, aangewezen door elke lidstaat</w:t>
            </w:r>
            <w:r>
              <w:t xml:space="preserve"> overeenkomstig de beginselen die zijn neergelegd in het Interinstitutioneel Akkoord van 13 april 2016 over beter wetgeven. </w:t>
            </w:r>
            <w:r>
              <w:rPr>
                <w:b/>
                <w:i/>
              </w:rPr>
              <w:t>Indien de betrokken personen met een handicap deze werkzaamheden niet in een professionele hoedanigheid bij een organisatie van personen met een handicap verrichten, wordt een financiële vergoeding verstrekt.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396</w:t>
      </w:r>
      <w:r>
        <w:rPr>
          <w:rStyle w:val="HideTWBExt"/>
        </w:rPr>
        <w:t>&lt;/NumAm&gt;</w:t>
      </w:r>
    </w:p>
    <w:p>
      <w:pPr>
        <w:pStyle w:val="NormalBold"/>
      </w:pPr>
      <w:r>
        <w:rPr>
          <w:rStyle w:val="HideTWBExt"/>
        </w:rPr>
        <w:t>&lt;RepeatBlock-By&gt;</w:t>
      </w:r>
      <w:r>
        <w:rPr>
          <w:rStyle w:val="HideTWBExt"/>
        </w:rPr>
        <w:t>&lt;Members&gt;</w:t>
      </w:r>
      <w:r>
        <w:t>Loucas Fourlas,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11 – lid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Vóór de vaststelling van een gedelegeerde handeling raadpleegt de Commissie de door elke lidstaat aangewezen deskundigen overeenkomstig de beginselen die zijn neergelegd in het Interinstitutioneel Akkoord van 13 april 2016 over beter wetgeven.</w:t>
            </w:r>
          </w:p>
        </w:tc>
        <w:tc>
          <w:tcPr>
            <w:tcW w:w="4876" w:type="dxa"/>
          </w:tcPr>
          <w:p>
            <w:pPr>
              <w:pStyle w:val="Normal6a"/>
            </w:pPr>
            <w:r>
              <w:t>4.</w:t>
            </w:r>
            <w:r>
              <w:tab/>
            </w:r>
            <w:r>
              <w:t xml:space="preserve">Vóór de vaststelling van een gedelegeerde handeling raadpleegt de Commissie de door elke lidstaat aangewezen deskundigen overeenkomstig de beginselen die zijn neergelegd in het Interinstitutioneel Akkoord van 13 april 2016 over beter wetgeven </w:t>
            </w:r>
            <w:r>
              <w:rPr>
                <w:b/>
                <w:i/>
              </w:rPr>
              <w:t>alsmede personen met een handicap en organisaties die hen vertegenwoordigen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397</w:t>
      </w:r>
      <w:r>
        <w:rPr>
          <w:rStyle w:val="HideTWBExt"/>
        </w:rPr>
        <w:t>&lt;/NumAm&gt;</w:t>
      </w:r>
    </w:p>
    <w:p>
      <w:pPr>
        <w:pStyle w:val="NormalBold"/>
      </w:pPr>
      <w:r>
        <w:rPr>
          <w:rStyle w:val="HideTWBExt"/>
        </w:rPr>
        <w:t>&lt;RepeatBlock-By&gt;</w:t>
      </w:r>
      <w:r>
        <w:rPr>
          <w:rStyle w:val="HideTWBExt"/>
        </w:rPr>
        <w:t>&lt;Members&gt;</w:t>
      </w:r>
      <w:r>
        <w:t>Francesca Peppucci, Rosa Estaràs Ferragut,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11 – lid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Vóór de vaststelling van een gedelegeerde handeling raadpleegt de Commissie de door elke lidstaat aangewezen deskundigen overeenkomstig de beginselen die zijn neergelegd in het Interinstitutioneel Akkoord van 13 april 2016 over beter wetgeven.</w:t>
            </w:r>
          </w:p>
        </w:tc>
        <w:tc>
          <w:tcPr>
            <w:tcW w:w="4876" w:type="dxa"/>
          </w:tcPr>
          <w:p>
            <w:pPr>
              <w:pStyle w:val="Normal6a"/>
            </w:pPr>
            <w:r>
              <w:t>4.</w:t>
            </w:r>
            <w:r>
              <w:tab/>
            </w:r>
            <w:r>
              <w:t>Vóór de vaststelling van een gedelegeerde handeling raadpleegt de Commissie de door elke lidstaat aangewezen deskundigen overeenkomstig de beginselen die zijn neergelegd in het Interinstitutioneel Akkoord van 13 april 2016 over beter wetgeven</w:t>
            </w:r>
            <w:r>
              <w:rPr>
                <w:b/>
                <w:i/>
              </w:rPr>
              <w:t>, alsmede personen met een handicap en organisaties die hen vertegenwoordigen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398</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11 – lid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Vóór de vaststelling van een gedelegeerde handeling raadpleegt de Commissie de door elke lidstaat aangewezen deskundigen overeenkomstig de beginselen die zijn neergelegd in het Interinstitutioneel Akkoord van 13 april 2016 over beter wetgeven.</w:t>
            </w:r>
          </w:p>
        </w:tc>
        <w:tc>
          <w:tcPr>
            <w:tcW w:w="4876" w:type="dxa"/>
          </w:tcPr>
          <w:p>
            <w:pPr>
              <w:pStyle w:val="Normal6a"/>
            </w:pPr>
            <w:r>
              <w:t>4.</w:t>
            </w:r>
            <w:r>
              <w:tab/>
            </w:r>
            <w:r>
              <w:t>Vóór de vaststelling van een gedelegeerde handeling raadpleegt de Commissie de door elke lidstaat aangewezen deskundigen overeenkomstig de beginselen die zijn neergelegd in het Interinstitutioneel Akkoord van 13 april 2016 over beter wetgeven</w:t>
            </w:r>
            <w:r>
              <w:rPr>
                <w:b/>
                <w:i/>
              </w:rPr>
              <w:t>, alsmede personen met een handicap en organisaties die hen vertegenwoordigen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399</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11 – lid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Vóór de vaststelling van een gedelegeerde handeling raadpleegt de Commissie de door elke lidstaat aangewezen deskundigen overeenkomstig de beginselen die zijn neergelegd in het Interinstitutioneel Akkoord van 13 april 2016 over beter wetgeven.</w:t>
            </w:r>
          </w:p>
        </w:tc>
        <w:tc>
          <w:tcPr>
            <w:tcW w:w="4876" w:type="dxa"/>
          </w:tcPr>
          <w:p>
            <w:pPr>
              <w:pStyle w:val="Normal6a"/>
            </w:pPr>
            <w:r>
              <w:t>4.</w:t>
            </w:r>
            <w:r>
              <w:tab/>
            </w:r>
            <w:r>
              <w:t>Vóór de vaststelling van een gedelegeerde handeling raadpleegt de Commissie de door elke lidstaat aangewezen deskundigen overeenkomstig de beginselen die zijn neergelegd in het Interinstitutioneel Akkoord van 13 april 2016 over beter wetgeven</w:t>
            </w:r>
            <w:r>
              <w:rPr>
                <w:b/>
                <w:i/>
              </w:rPr>
              <w:t>, alsmede personen met een handicap en organisaties die hen vertegenwoordigen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400</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11 – lid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Vóór de vaststelling van een gedelegeerde handeling raadpleegt de Commissie de door elke lidstaat aangewezen deskundigen overeenkomstig de beginselen die zijn neergelegd in het Interinstitutioneel Akkoord van 13 april 2016 over beter wetgeven.</w:t>
            </w:r>
          </w:p>
        </w:tc>
        <w:tc>
          <w:tcPr>
            <w:tcW w:w="4876" w:type="dxa"/>
          </w:tcPr>
          <w:p>
            <w:pPr>
              <w:pStyle w:val="Normal6a"/>
            </w:pPr>
            <w:r>
              <w:t>4.</w:t>
            </w:r>
            <w:r>
              <w:tab/>
            </w:r>
            <w:r>
              <w:t>Vóór de vaststelling van een gedelegeerde handeling raadpleegt de Commissie de door elke lidstaat aangewezen deskundigen overeenkomstig de beginselen die zijn neergelegd in het Interinstitutioneel Akkoord van 13 april 2016 over beter wetgeven</w:t>
            </w:r>
            <w:r>
              <w:rPr>
                <w:b/>
                <w:i/>
              </w:rPr>
              <w:t>, alsmede personen met een handicap en organisaties die hen vertegenwoordigen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401</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11 – lid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Vóór de vaststelling van een gedelegeerde handeling raadpleegt de Commissie de door elke lidstaat aangewezen deskundigen overeenkomstig de beginselen die zijn neergelegd in het Interinstitutioneel Akkoord van 13 april 2016 over beter wetgeven.</w:t>
            </w:r>
          </w:p>
        </w:tc>
        <w:tc>
          <w:tcPr>
            <w:tcW w:w="4876" w:type="dxa"/>
          </w:tcPr>
          <w:p>
            <w:pPr>
              <w:pStyle w:val="Normal6a"/>
            </w:pPr>
            <w:r>
              <w:t>4.</w:t>
            </w:r>
            <w:r>
              <w:tab/>
            </w:r>
            <w:r>
              <w:t>Vóór de vaststelling van een gedelegeerde handeling raadpleegt de Commissie de door elke lidstaat aangewezen deskundigen overeenkomstig de beginselen die zijn neergelegd in het Interinstitutioneel Akkoord van 13 april 2016 over beter wetgeven</w:t>
            </w:r>
            <w:r>
              <w:rPr>
                <w:b/>
                <w:i/>
              </w:rPr>
              <w:t>, alsmede personen met een handicap en organisaties die hen vertegenwoordigen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402</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11 – lid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Vóór de vaststelling van een gedelegeerde handeling raadpleegt de Commissie de door elke lidstaat aangewezen deskundigen overeenkomstig de beginselen die zijn neergelegd in het Interinstitutioneel Akkoord van 13 april 2016 over beter wetgeven.</w:t>
            </w:r>
          </w:p>
        </w:tc>
        <w:tc>
          <w:tcPr>
            <w:tcW w:w="4876" w:type="dxa"/>
          </w:tcPr>
          <w:p>
            <w:pPr>
              <w:pStyle w:val="Normal6a"/>
            </w:pPr>
            <w:r>
              <w:t>4.</w:t>
            </w:r>
            <w:r>
              <w:tab/>
            </w:r>
            <w:r>
              <w:t>Vóór de vaststelling van een gedelegeerde handeling raadpleegt de Commissie de door elke lidstaat aangewezen deskundigen overeenkomstig de beginselen die zijn neergelegd in het Interinstitutioneel Akkoord van 13 april 2016 over beter wetgeven</w:t>
            </w:r>
            <w:r>
              <w:rPr>
                <w:b/>
                <w:i/>
              </w:rPr>
              <w:t>, alsmede personen met een handicap en organisaties die hen vertegenwoordigen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403</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12 – lid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 Commissie wordt bijgestaan door een comité. Dat comité is een comité in de zin van Verordening (EU) nr. 182/2011.</w:t>
            </w:r>
          </w:p>
        </w:tc>
        <w:tc>
          <w:tcPr>
            <w:tcW w:w="4876" w:type="dxa"/>
          </w:tcPr>
          <w:p>
            <w:pPr>
              <w:pStyle w:val="Normal6a"/>
            </w:pPr>
            <w:r>
              <w:t>1.</w:t>
            </w:r>
            <w:r>
              <w:tab/>
            </w:r>
            <w:r>
              <w:t xml:space="preserve">De Commissie wordt bijgestaan door een comité </w:t>
            </w:r>
            <w:r>
              <w:rPr>
                <w:b/>
                <w:i/>
              </w:rPr>
              <w:t>en betrekt formeel en in het kader van een coproductie- en participatieve methode formele en informele organisaties die personen met een handicap vertegenwoordigen</w:t>
            </w:r>
            <w:r>
              <w:t>. Dat comité is een comité in de zin van Verordening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404</w:t>
      </w:r>
      <w:r>
        <w:rPr>
          <w:rStyle w:val="HideTWBExt"/>
        </w:rPr>
        <w:t>&lt;/NumAm&gt;</w:t>
      </w:r>
    </w:p>
    <w:p>
      <w:pPr>
        <w:pStyle w:val="NormalBold"/>
      </w:pPr>
      <w:r>
        <w:rPr>
          <w:rStyle w:val="HideTWBExt"/>
        </w:rPr>
        <w:t>&lt;RepeatBlock-By&gt;</w:t>
      </w:r>
      <w:r>
        <w:rPr>
          <w:rStyle w:val="HideTWBExt"/>
        </w:rPr>
        <w:t>&lt;Members&gt;</w:t>
      </w:r>
      <w:r>
        <w:t>Stelios Kympouropoulos, Loucas Fourlas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12 – lid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 Commissie wordt bijgestaan door een comité. Dat comité is een comité in de zin van Verordening (EU) nr. 182/2011.</w:t>
            </w:r>
          </w:p>
        </w:tc>
        <w:tc>
          <w:tcPr>
            <w:tcW w:w="4876" w:type="dxa"/>
          </w:tcPr>
          <w:p>
            <w:pPr>
              <w:pStyle w:val="Normal6a"/>
            </w:pPr>
            <w:r>
              <w:t>1.</w:t>
            </w:r>
            <w:r>
              <w:tab/>
            </w:r>
            <w:r>
              <w:t xml:space="preserve">De Commissie wordt bijgestaan door een comité </w:t>
            </w:r>
            <w:r>
              <w:rPr>
                <w:b/>
                <w:i/>
              </w:rPr>
              <w:t>en betrekt verschillende organisaties die personen met een handicap vertegenwoordigen hierbij op zinvolle wijze</w:t>
            </w:r>
            <w:r>
              <w:t>. Dat comité is een comité in de zin van Verordening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405</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12 – lid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 Commissie wordt bijgestaan door een comité. Dat comité is een comité in de zin van Verordening (EU) nr. 182/2011.</w:t>
            </w:r>
          </w:p>
        </w:tc>
        <w:tc>
          <w:tcPr>
            <w:tcW w:w="4876" w:type="dxa"/>
          </w:tcPr>
          <w:p>
            <w:pPr>
              <w:pStyle w:val="Normal6a"/>
            </w:pPr>
            <w:r>
              <w:t>1.</w:t>
            </w:r>
            <w:r>
              <w:tab/>
            </w:r>
            <w:r>
              <w:t xml:space="preserve">De Commissie wordt bijgestaan door een comité </w:t>
            </w:r>
            <w:r>
              <w:rPr>
                <w:b/>
                <w:i/>
              </w:rPr>
              <w:t>en betrekt organisaties die personen met een handicap vertegenwoordigen hierbij op zinvolle wijze</w:t>
            </w:r>
            <w:r>
              <w:t>. Dat comité is een comité in de zin van Verordening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406</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12 – lid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 Commissie wordt bijgestaan door een comité. Dat comité is een comité in de zin van Verordening (EU) nr. 182/2011.</w:t>
            </w:r>
          </w:p>
        </w:tc>
        <w:tc>
          <w:tcPr>
            <w:tcW w:w="4876" w:type="dxa"/>
          </w:tcPr>
          <w:p>
            <w:pPr>
              <w:pStyle w:val="Normal6a"/>
            </w:pPr>
            <w:r>
              <w:t>1.</w:t>
            </w:r>
            <w:r>
              <w:tab/>
            </w:r>
            <w:r>
              <w:t xml:space="preserve">De Commissie wordt bijgestaan door een comité </w:t>
            </w:r>
            <w:r>
              <w:rPr>
                <w:b/>
                <w:i/>
              </w:rPr>
              <w:t>en betrekt organisaties die personen met een handicap vertegenwoordigen hierbij op zinvolle wijze</w:t>
            </w:r>
            <w:r>
              <w:t>. Dat comité is een comité in de zin van Verordening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407</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12 – lid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 Commissie wordt bijgestaan door een comité. Dat comité is een comité in de zin van Verordening (EU) nr. 182/2011.</w:t>
            </w:r>
          </w:p>
        </w:tc>
        <w:tc>
          <w:tcPr>
            <w:tcW w:w="4876" w:type="dxa"/>
          </w:tcPr>
          <w:p>
            <w:pPr>
              <w:pStyle w:val="Normal6a"/>
            </w:pPr>
            <w:r>
              <w:t>1.</w:t>
            </w:r>
            <w:r>
              <w:tab/>
            </w:r>
            <w:r>
              <w:t xml:space="preserve">De Commissie wordt bijgestaan door een comité </w:t>
            </w:r>
            <w:r>
              <w:rPr>
                <w:b/>
                <w:i/>
              </w:rPr>
              <w:t>en betrekt organisaties die personen met een handicap vertegenwoordigen hierbij op zinvolle wijze</w:t>
            </w:r>
            <w:r>
              <w:t>. Dat comité is een comité in de zin van Verordening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408</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12 – lid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 Commissie wordt bijgestaan door een comité. Dat comité is een comité in de zin van Verordening (EU) nr. 182/2011.</w:t>
            </w:r>
          </w:p>
        </w:tc>
        <w:tc>
          <w:tcPr>
            <w:tcW w:w="4876" w:type="dxa"/>
          </w:tcPr>
          <w:p>
            <w:pPr>
              <w:pStyle w:val="Normal6a"/>
            </w:pPr>
            <w:r>
              <w:t>1.</w:t>
            </w:r>
            <w:r>
              <w:tab/>
            </w:r>
            <w:r>
              <w:t xml:space="preserve">De Commissie wordt bijgestaan door een comité </w:t>
            </w:r>
            <w:r>
              <w:rPr>
                <w:b/>
                <w:i/>
              </w:rPr>
              <w:t>en betrekt organisaties die personen met een handicap vertegenwoordigen hierbij op zinvolle wijze</w:t>
            </w:r>
            <w:r>
              <w:t>. Dat comité is een comité in de zin van Verordening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409</w:t>
      </w:r>
      <w:r>
        <w:rPr>
          <w:rStyle w:val="HideTWBExt"/>
        </w:rPr>
        <w:t>&lt;/NumAm&gt;</w:t>
      </w:r>
    </w:p>
    <w:p>
      <w:pPr>
        <w:pStyle w:val="NormalBold"/>
      </w:pPr>
      <w:r>
        <w:rPr>
          <w:rStyle w:val="HideTWBExt"/>
        </w:rPr>
        <w:t>&lt;RepeatBlock-By&gt;</w:t>
      </w:r>
      <w:r>
        <w:rPr>
          <w:rStyle w:val="HideTWBExt"/>
        </w:rPr>
        <w:t>&lt;Members&gt;</w:t>
      </w:r>
      <w:r>
        <w:t>Francesca Peppucci, 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12 – lid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 Commissie wordt bijgestaan door een comité. Dat comité is een comité in de zin van Verordening (EU) nr. 182/2011.</w:t>
            </w:r>
          </w:p>
        </w:tc>
        <w:tc>
          <w:tcPr>
            <w:tcW w:w="4876" w:type="dxa"/>
          </w:tcPr>
          <w:p>
            <w:pPr>
              <w:pStyle w:val="Normal6a"/>
            </w:pPr>
            <w:r>
              <w:t>1.</w:t>
            </w:r>
            <w:r>
              <w:tab/>
            </w:r>
            <w:r>
              <w:t xml:space="preserve">De Commissie wordt bijgestaan door een comité </w:t>
            </w:r>
            <w:r>
              <w:rPr>
                <w:b/>
                <w:i/>
              </w:rPr>
              <w:t>en betrekt personen met een handicap en hun vertegenwoordigende organisaties bij de werkzaamheden</w:t>
            </w:r>
            <w:r>
              <w:t>. Dat comité is een comité in de zin van Verordening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410</w:t>
      </w:r>
      <w:r>
        <w:rPr>
          <w:rStyle w:val="HideTWBExt"/>
        </w:rPr>
        <w:t>&lt;/NumAm&gt;</w:t>
      </w:r>
    </w:p>
    <w:p>
      <w:pPr>
        <w:pStyle w:val="NormalBold"/>
      </w:pPr>
      <w:r>
        <w:rPr>
          <w:rStyle w:val="HideTWBExt"/>
        </w:rPr>
        <w:t>&lt;RepeatBlock-By&gt;</w:t>
      </w:r>
      <w:r>
        <w:rPr>
          <w:rStyle w:val="HideTWBExt"/>
        </w:rPr>
        <w:t>&lt;Members&gt;</w:t>
      </w:r>
      <w:r>
        <w:t>Loucas Fourlas,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12 – lid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 Commissie wordt bijgestaan door een comité. Dat comité is een comité in de zin van Verordening (EU) nr. 182/2011.</w:t>
            </w:r>
          </w:p>
        </w:tc>
        <w:tc>
          <w:tcPr>
            <w:tcW w:w="4876" w:type="dxa"/>
          </w:tcPr>
          <w:p>
            <w:pPr>
              <w:pStyle w:val="Normal6a"/>
            </w:pPr>
            <w:r>
              <w:t>1.</w:t>
            </w:r>
            <w:r>
              <w:tab/>
            </w:r>
            <w:r>
              <w:t xml:space="preserve">De Commissie wordt bijgestaan door een comité. Dat comité is een comité in de zin van Verordening (EU) nr. 182/2011 </w:t>
            </w:r>
            <w:r>
              <w:rPr>
                <w:b/>
                <w:i/>
              </w:rPr>
              <w:t>en betrekt organisaties die personen met een handicap vertegenwoordigen bij de werkzaamheden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13 – lid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 lidstaten zorgen ervoor dat er passende en doeltreffende middelen beschikbaar zijn om de naleving van deze richtlijn te waarborgen.</w:t>
            </w:r>
          </w:p>
        </w:tc>
        <w:tc>
          <w:tcPr>
            <w:tcW w:w="4876" w:type="dxa"/>
          </w:tcPr>
          <w:p>
            <w:pPr>
              <w:pStyle w:val="Normal6a"/>
            </w:pPr>
            <w:r>
              <w:t>1.</w:t>
            </w:r>
            <w:r>
              <w:tab/>
            </w:r>
            <w:r>
              <w:t xml:space="preserve">De lidstaten zorgen ervoor dat er passende en doeltreffende middelen beschikbaar zijn om de naleving van deze richtlijn te waarborgen. </w:t>
            </w:r>
            <w:r>
              <w:rPr>
                <w:b/>
                <w:i/>
              </w:rPr>
              <w:t>Participatie en permanente dialoog met maatschappelijke organisaties en verenigingen die personen met een handicap vertegenwoordigen, worden bevorderd.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412</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13 – lid 2 – punt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bepalingen op grond waarvan personen met een handicap zich krachtens het nationale recht tot de rechter of de bevoegde administratieve instanties kunnen wenden wanneer hun rechten uit hoofde van deze richtlijn en in nationale bepalingen ter uitvoering van deze richtlijn worden geschonden;</w:t>
            </w:r>
          </w:p>
        </w:tc>
        <w:tc>
          <w:tcPr>
            <w:tcW w:w="4876" w:type="dxa"/>
          </w:tcPr>
          <w:p>
            <w:pPr>
              <w:pStyle w:val="Normal6a"/>
            </w:pPr>
            <w:r>
              <w:t>a)</w:t>
            </w:r>
            <w:r>
              <w:tab/>
            </w:r>
            <w:r>
              <w:t xml:space="preserve">bepalingen op grond waarvan personen met een handicap </w:t>
            </w:r>
            <w:r>
              <w:rPr>
                <w:b/>
                <w:i/>
              </w:rPr>
              <w:t>en hun vertegenwoordigende organisaties</w:t>
            </w:r>
            <w:r>
              <w:t xml:space="preserve"> zich krachtens het nationale recht tot de rechter of de bevoegde administratieve instanties kunnen wenden wanneer hun rechten uit hoofde van deze richtlijn en in nationale bepalingen ter uitvoering van deze richtlijn worden geschonden;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413</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13 – lid 2 – punt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bepalingen op grond waarvan overheidsorganen of particuliere verenigingen, organisaties of andere juridische entiteiten die er een legitiem belang bij hebben dat de bepalingen van deze richtlijn worden nageleefd, zich krachtens het nationale recht en de nationale procedures namens of ter ondersteuning van een persoon met een handicap en met diens toestemming tot de rechter of de bevoegde administratieve instanties kunnen wenden in het kader van gerechtelijke of administratieve procedures die voor de handhaving van de verplichtingen uit hoofde van deze richtlijn beschikbaar zijn</w:t>
            </w:r>
            <w:r>
              <w:rPr>
                <w:b/>
                <w:i/>
              </w:rPr>
              <w:t>.</w:t>
            </w:r>
          </w:p>
        </w:tc>
        <w:tc>
          <w:tcPr>
            <w:tcW w:w="4876" w:type="dxa"/>
          </w:tcPr>
          <w:p>
            <w:pPr>
              <w:pStyle w:val="Normal6a"/>
            </w:pPr>
            <w:r>
              <w:t>b)</w:t>
            </w:r>
            <w:r>
              <w:tab/>
            </w:r>
            <w:r>
              <w:t xml:space="preserve">bepalingen op grond waarvan overheidsorganen </w:t>
            </w:r>
            <w:r>
              <w:rPr>
                <w:b/>
                <w:i/>
              </w:rPr>
              <w:t>zoals gelijkheidsorganen</w:t>
            </w:r>
            <w:r>
              <w:t xml:space="preserve"> of particuliere verenigingen, organisaties </w:t>
            </w:r>
            <w:r>
              <w:rPr>
                <w:b/>
                <w:i/>
              </w:rPr>
              <w:t>zoals organisaties die personen met een handicap vertegenwoordigen</w:t>
            </w:r>
            <w:r>
              <w:t xml:space="preserve"> of andere juridische entiteiten die er een legitiem belang bij hebben dat de bepalingen van deze richtlijn worden nageleefd, zich krachtens het nationale recht en de nationale procedures namens of ter ondersteuning van een persoon met een handicap en met diens toestemming tot de rechter of de bevoegde administratieve instanties kunnen wenden in het kader van gerechtelijke of administratieve procedures die voor de handhaving van de verplichtingen uit hoofde van deze richtlijn beschikbaar zijn</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13 – lid 2 – punt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bepalingen op grond waarvan overheidsorganen of particuliere verenigingen, organisaties of andere juridische entiteiten die er een legitiem belang bij hebben dat de bepalingen van deze richtlijn worden nageleefd, zich krachtens het nationale recht en de nationale procedures namens of ter ondersteuning van een persoon met een handicap en met diens toestemming tot de rechter of de bevoegde administratieve instanties kunnen wenden in het kader van gerechtelijke of administratieve procedures die voor de handhaving van de verplichtingen uit hoofde van deze richtlijn beschikbaar zijn.</w:t>
            </w:r>
          </w:p>
        </w:tc>
        <w:tc>
          <w:tcPr>
            <w:tcW w:w="4876" w:type="dxa"/>
          </w:tcPr>
          <w:p>
            <w:pPr>
              <w:pStyle w:val="Normal6a"/>
            </w:pPr>
            <w:r>
              <w:t>b)</w:t>
            </w:r>
            <w:r>
              <w:tab/>
            </w:r>
            <w:r>
              <w:t xml:space="preserve">bepalingen op grond waarvan overheidsorganen of particuliere verenigingen, organisaties of andere juridische entiteiten die er een legitiem belang bij hebben dat de bepalingen van deze richtlijn worden nageleefd, zich krachtens het nationale recht en de nationale procedures namens of ter ondersteuning van een persoon met een handicap </w:t>
            </w:r>
            <w:r>
              <w:rPr>
                <w:b/>
                <w:i/>
              </w:rPr>
              <w:t>of ouderen</w:t>
            </w:r>
            <w:r>
              <w:t xml:space="preserve"> en met diens toestemming tot de rechter of de bevoegde administratieve instanties kunnen wenden in het kader van gerechtelijke of administratieve procedures die voor de handhaving van de verplichtingen uit hoofde van deze richtlijn beschikbaar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415</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13 – lid 2 bis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bis.</w:t>
            </w:r>
            <w:r>
              <w:tab/>
            </w:r>
            <w:r>
              <w:rPr>
                <w:b/>
                <w:i/>
              </w:rPr>
              <w:t>Er moet een autoriteit worden opgericht om een institutioneel mechanisme op te zetten voor het toezicht op en de controle op de naleving van de regelgeving met betrekking tot de tenuitvoerlegging, monitoring en evaluatie van de Europese gehandicaptenkaart.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416</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15 – lid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 lidstaten zorgen ervoor dat particulieren of overheidsinstanties informatie over bijzondere voorwaarden of voorkeursbehandelingen uit hoofde van artikel 5 in toegankelijke formaten openbaar maken.</w:t>
            </w:r>
          </w:p>
        </w:tc>
        <w:tc>
          <w:tcPr>
            <w:tcW w:w="4876" w:type="dxa"/>
          </w:tcPr>
          <w:p>
            <w:pPr>
              <w:pStyle w:val="Normal6a"/>
            </w:pPr>
            <w:r>
              <w:t>1.</w:t>
            </w:r>
            <w:r>
              <w:tab/>
            </w:r>
            <w:r>
              <w:t xml:space="preserve">De lidstaten zorgen ervoor dat particulieren of overheidsinstanties informatie over bijzondere voorwaarden of voorkeursbehandelingen uit hoofde van artikel 5 </w:t>
            </w:r>
            <w:r>
              <w:rPr>
                <w:b/>
                <w:i/>
              </w:rPr>
              <w:t>op duidelijke, volledige, gebruikersvriendelijke en gemakkelijk toegankelijke wijze en</w:t>
            </w:r>
            <w:r>
              <w:t xml:space="preserve"> in toegankelijke formaten openbaar maken. </w:t>
            </w:r>
            <w:r>
              <w:rPr>
                <w:b/>
                <w:i/>
              </w:rPr>
              <w:t>De Commissie zet één specifieke website op die beschikbaar is in alle EU-talen, met inbegrip van alle nationale gebarentalen van de EU voor audio- en videoinhoud, en in toegankelijke formaten, waarop de bijzondere voorwaarden of de voorkeursbehandeling die door hun overheidsinstanties worden geboden, wordt verzameld.</w:t>
            </w:r>
            <w:r>
              <w:t xml:space="preserve"> </w:t>
            </w:r>
            <w:r>
              <w:rPr>
                <w:b/>
                <w:i/>
              </w:rPr>
              <w:t>De lidstaten zorgen ervoor dat informatie over de bijzondere voorwaarden of voorkeursbehandelingen die door particulieren of overheidsinstanties worden geboden, gemakkelijker op de website kan worden geraadpleegd en dat deze informatie regelmatig wordt bijgewerkt overeenkomstig eventuele wijzigingen in de nationale wetgeving.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417</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15 – lid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 lidstaten zorgen ervoor dat particulieren of overheidsinstanties informatie over bijzondere voorwaarden of voorkeursbehandelingen uit hoofde van artikel 5 in toegankelijke formaten openbaar maken.</w:t>
            </w:r>
          </w:p>
        </w:tc>
        <w:tc>
          <w:tcPr>
            <w:tcW w:w="4876" w:type="dxa"/>
          </w:tcPr>
          <w:p>
            <w:pPr>
              <w:pStyle w:val="Normal6a"/>
            </w:pPr>
            <w:r>
              <w:t>1.</w:t>
            </w:r>
            <w:r>
              <w:tab/>
            </w:r>
            <w:r>
              <w:t xml:space="preserve">De lidstaten zorgen ervoor dat particulieren of overheidsinstanties informatie over bijzondere voorwaarden of voorkeursbehandelingen uit hoofde van artikel 5 </w:t>
            </w:r>
            <w:r>
              <w:rPr>
                <w:b/>
                <w:i/>
              </w:rPr>
              <w:t>op duidelijke, volledige, gebruikersvriendelijke en gemakkelijk toegankelijke wijze en</w:t>
            </w:r>
            <w:r>
              <w:t xml:space="preserve"> in toegankelijke formaten openbaar maken. </w:t>
            </w:r>
            <w:r>
              <w:rPr>
                <w:b/>
                <w:i/>
              </w:rPr>
              <w:t>De lidstaten zetten speciaal voor dat doel één website op waarop informatie over de door hun overheidsinstanties geboden bijzondere voorwaarden of voorkeursbehandelingen wordt verzameld.</w:t>
            </w:r>
            <w:r>
              <w:t xml:space="preserve"> </w:t>
            </w:r>
            <w:r>
              <w:rPr>
                <w:b/>
                <w:i/>
              </w:rPr>
              <w:t>De lidstaten kunnen op de website tevens informatie verstrekken over de door particulieren geboden bijzondere voorwaarden of voorkeursbehandelingen, voor zover beschikbaar.</w:t>
            </w:r>
            <w:r>
              <w:t xml:space="preserve"> </w:t>
            </w:r>
            <w:r>
              <w:rPr>
                <w:b/>
                <w:i/>
              </w:rPr>
              <w:t>De website is gesteld in de officiële taal of talen van de lidstaten, in nationale gebarentalen en in het Engels alsmede in een of meer andere relevante talen als bepaald door de lidstaat.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418</w:t>
      </w:r>
      <w:r>
        <w:rPr>
          <w:rStyle w:val="HideTWBExt"/>
        </w:rPr>
        <w:t>&lt;/NumAm&gt;</w:t>
      </w:r>
    </w:p>
    <w:p>
      <w:pPr>
        <w:pStyle w:val="NormalBold"/>
      </w:pPr>
      <w:r>
        <w:rPr>
          <w:rStyle w:val="HideTWBExt"/>
        </w:rPr>
        <w:t>&lt;RepeatBlock-By&gt;</w:t>
      </w:r>
      <w:r>
        <w:rPr>
          <w:rStyle w:val="HideTWBExt"/>
        </w:rPr>
        <w:t>&lt;Members&gt;</w:t>
      </w:r>
      <w:r>
        <w:t>Ádám Kósa, Stelios Kympouropoulos,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15 – lid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 lidstaten zorgen ervoor dat particulieren of overheidsinstanties informatie over bijzondere voorwaarden of voorkeursbehandelingen uit hoofde van artikel 5 in toegankelijke formaten openbaar maken.</w:t>
            </w:r>
          </w:p>
        </w:tc>
        <w:tc>
          <w:tcPr>
            <w:tcW w:w="4876" w:type="dxa"/>
          </w:tcPr>
          <w:p>
            <w:pPr>
              <w:pStyle w:val="Normal6a"/>
            </w:pPr>
            <w:r>
              <w:t>1.</w:t>
            </w:r>
            <w:r>
              <w:tab/>
            </w:r>
            <w:r>
              <w:t>De lidstaten zorgen ervoor dat particulieren of overheidsinstanties informatie over bijzondere voorwaarden of voorkeursbehandelingen uit hoofde van artikel 5 in toegankelijke formaten openbaar maken</w:t>
            </w:r>
            <w:r>
              <w:rPr>
                <w:b/>
                <w:i/>
              </w:rPr>
              <w:t> (met inbegrip van gemakkelijk leesbare formaten en ondertitelde video’s in de nationale gebarentaal en internationale gebarenvideo’s) op een toegankelijk onlineplatform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419</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15 – lid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 lidstaten zorgen ervoor dat particulieren of overheidsinstanties informatie over bijzondere voorwaarden of voorkeursbehandelingen uit hoofde van artikel 5 in toegankelijke formaten openbaar maken.</w:t>
            </w:r>
          </w:p>
        </w:tc>
        <w:tc>
          <w:tcPr>
            <w:tcW w:w="4876" w:type="dxa"/>
          </w:tcPr>
          <w:p>
            <w:pPr>
              <w:pStyle w:val="Normal6a"/>
            </w:pPr>
            <w:r>
              <w:t>1.</w:t>
            </w:r>
            <w:r>
              <w:tab/>
            </w:r>
            <w:r>
              <w:t xml:space="preserve">De lidstaten zorgen ervoor dat particulieren of overheidsinstanties informatie over bijzondere voorwaarden of voorkeursbehandelingen uit hoofde van artikel 5 in toegankelijke formaten openbaar maken. </w:t>
            </w:r>
            <w:r>
              <w:rPr>
                <w:b/>
                <w:i/>
              </w:rPr>
              <w:t>Daartoe wordt voldoende EU-financiering verstrekt zoals vermeld in artikel 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420</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15 – lid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 lidstaten zorgen ervoor dat particulieren of overheidsinstanties informatie over bijzondere voorwaarden of voorkeursbehandelingen uit hoofde van artikel 5 in toegankelijke formaten openbaar maken.</w:t>
            </w:r>
          </w:p>
        </w:tc>
        <w:tc>
          <w:tcPr>
            <w:tcW w:w="4876" w:type="dxa"/>
          </w:tcPr>
          <w:p>
            <w:pPr>
              <w:pStyle w:val="Normal6a"/>
            </w:pPr>
            <w:r>
              <w:t>1.</w:t>
            </w:r>
            <w:r>
              <w:tab/>
            </w:r>
            <w:r>
              <w:t xml:space="preserve">De lidstaten zorgen ervoor dat particulieren of overheidsinstanties informatie over bijzondere voorwaarden of voorkeursbehandelingen uit hoofde van artikel 5 in toegankelijke formaten openbaar maken. </w:t>
            </w:r>
            <w:r>
              <w:rPr>
                <w:b/>
                <w:i/>
              </w:rPr>
              <w:t>Daartoe wordt voldoende EU-financiering verstrekt zoals vermeld in artikel 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421</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15 – lid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De lidstaten moedigen particulieren of overheidsinstanties aan vrijwillig in bijzondere voorwaarden of voorkeursbehandelingen voor personen met een handicap te voorzien.</w:t>
            </w:r>
          </w:p>
        </w:tc>
        <w:tc>
          <w:tcPr>
            <w:tcW w:w="4876" w:type="dxa"/>
          </w:tcPr>
          <w:p>
            <w:pPr>
              <w:pStyle w:val="Normal6a"/>
            </w:pPr>
            <w:r>
              <w:t>2.</w:t>
            </w:r>
            <w:r>
              <w:tab/>
            </w:r>
            <w:r>
              <w:t xml:space="preserve">De lidstaten </w:t>
            </w:r>
            <w:r>
              <w:rPr>
                <w:b/>
                <w:i/>
              </w:rPr>
              <w:t>ondersteunen en</w:t>
            </w:r>
            <w:r>
              <w:t xml:space="preserve"> moedigen particulieren of overheidsinstanties aan vrijwillig in bijzondere voorwaarden of voorkeursbehandelingen voor personen met een handicap te voorzien </w:t>
            </w:r>
            <w:r>
              <w:rPr>
                <w:b/>
                <w:i/>
              </w:rPr>
              <w:t>met betrekking tot zoveel mogelijk verschillende diensten, andere activiteiten en faciliteiten</w:t>
            </w:r>
            <w:r>
              <w: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In het bijzonder ondersteunen en stimuleren de lidstaten particulieren en overheidsinstanties, onder meer door het verstrekken van informatie en de uitwisseling van beste praktijken over mogelijke bijzondere voorwaarden of voorkeursbehandelingen die moeten worden aangeboden, en door het aanbieden van opleidingen op het gebied van de integratie van de gehandicaptenproblematiek en bewustmaking, teneinde de relevantie, doeltreffendheid en inclusiviteit van eventuele bijzondere voorwaarden of voorkeursbehandelingen te waarborgen.</w:t>
            </w:r>
            <w:r>
              <w:t xml:space="preserve"> </w:t>
            </w:r>
            <w:r>
              <w:rPr>
                <w:b/>
                <w:i/>
              </w:rPr>
              <w:t>De lidstaten zorgen ervoor dat al deze maatregelen worden uitgevoerd in partnerschap met personen met een handicap en organisaties die hen vertegenwoordigen.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422</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15 – lid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De lidstaten moedigen </w:t>
            </w:r>
            <w:r>
              <w:rPr>
                <w:b/>
                <w:i/>
              </w:rPr>
              <w:t>particulieren</w:t>
            </w:r>
            <w:r>
              <w:t xml:space="preserve"> of overheidsinstanties aan vrijwillig in bijzondere voorwaarden of voorkeursbehandelingen voor personen met een handicap te voorzien.</w:t>
            </w:r>
          </w:p>
        </w:tc>
        <w:tc>
          <w:tcPr>
            <w:tcW w:w="4876" w:type="dxa"/>
          </w:tcPr>
          <w:p>
            <w:pPr>
              <w:pStyle w:val="Normal6a"/>
            </w:pPr>
            <w:r>
              <w:t>2.</w:t>
            </w:r>
            <w:r>
              <w:tab/>
            </w:r>
            <w:r>
              <w:t xml:space="preserve">De lidstaten moedigen </w:t>
            </w:r>
            <w:r>
              <w:rPr>
                <w:b/>
                <w:i/>
              </w:rPr>
              <w:t>particuliere exploitanten</w:t>
            </w:r>
            <w:r>
              <w:t xml:space="preserve"> of overheidsinstanties aan vrijwillig in bijzondere voorwaarden of voorkeursbehandelingen voor personen met een handicap te voorzien </w:t>
            </w:r>
            <w:r>
              <w:rPr>
                <w:b/>
                <w:i/>
              </w:rPr>
              <w:t>en stellen gemeenschappelijke Europese richtsnoeren op voor overheidsinstanties en particulieren overeenkomstig artikel 5, om op passende wijze te voorzien in de toegankelijkheidseisen voor diensten als vastgesteld in bijlage I bij Richtlijn (EU) 2019/882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15 – lid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De lidstaten moedigen particulieren of overheidsinstanties aan vrijwillig in bijzondere voorwaarden of voorkeursbehandelingen voor personen met een handicap te voorzien.</w:t>
            </w:r>
          </w:p>
        </w:tc>
        <w:tc>
          <w:tcPr>
            <w:tcW w:w="4876" w:type="dxa"/>
          </w:tcPr>
          <w:p>
            <w:pPr>
              <w:pStyle w:val="Normal6a"/>
            </w:pPr>
            <w:r>
              <w:t>2.</w:t>
            </w:r>
            <w:r>
              <w:tab/>
            </w:r>
            <w:r>
              <w:t xml:space="preserve">De lidstaten moedigen particulieren of overheidsinstanties aan vrijwillig in bijzondere voorwaarden of voorkeursbehandelingen voor personen met een handicap </w:t>
            </w:r>
            <w:r>
              <w:rPr>
                <w:b/>
                <w:i/>
              </w:rPr>
              <w:t>en ouderen</w:t>
            </w:r>
            <w:r>
              <w:t xml:space="preserve"> te voorzien.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424</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15 – lid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De in lid 1 van dit artikel bedoelde informatie wordt gratis en op een duidelijke, volledige, gebruikersvriendelijke en gemakkelijk toegankelijke wijze beschikbaar gesteld, onder meer via de officiële website van particulieren of overheidsinstanties – indien beschikbaar – of via andere geschikte middelen, overeenkomstig de betreffende toegankelijkheidsvoorschriften voor diensten in bijlage I bij Richtlijn (EU) 2019/882.</w:t>
            </w:r>
          </w:p>
        </w:tc>
        <w:tc>
          <w:tcPr>
            <w:tcW w:w="4876" w:type="dxa"/>
          </w:tcPr>
          <w:p>
            <w:pPr>
              <w:pStyle w:val="Normal6a"/>
            </w:pPr>
            <w:r>
              <w:t>3.</w:t>
            </w:r>
            <w:r>
              <w:tab/>
            </w:r>
            <w:r>
              <w:t xml:space="preserve">De in lid 1 van dit artikel bedoelde informatie wordt gratis en op een duidelijke, volledige, gebruikersvriendelijke en gemakkelijk toegankelijke wijze beschikbaar gesteld, onder meer via de officiële website van particulieren of overheidsinstanties – indien beschikbaar – of via andere geschikte middelen, overeenkomstig de betreffende toegankelijkheidsvoorschriften voor diensten in bijlage I bij Richtlijn (EU) 2019/882. </w:t>
            </w:r>
            <w:r>
              <w:rPr>
                <w:b/>
                <w:i/>
              </w:rPr>
              <w:t>De Commissie zet een digitaal portaal op met alle informatie over de voordelen van het bezit van de Europese gehandicaptenkaart en de Europese parkeerkaart in alle lidstaten, waaronder informatie over de verschillende procedures in de afzonderlijke lidstaten.</w:t>
            </w:r>
            <w:r>
              <w:t xml:space="preserve"> </w:t>
            </w:r>
            <w:r>
              <w:rPr>
                <w:b/>
                <w:i/>
              </w:rPr>
              <w:t>Deze informatie wordt door de lidstaten aan de Commissie toegezonden en bijgewerkt overeenkomstig de rapportagevereisten van artikel 16 van deze richtlijn.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425</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15 – lid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De in lid 1 van dit artikel bedoelde informatie wordt gratis en op een duidelijke, volledige, gebruikersvriendelijke en gemakkelijk toegankelijke wijze beschikbaar gesteld, onder meer via de officiële website van particulieren of overheidsinstanties – indien beschikbaar – of via andere geschikte middelen, overeenkomstig de betreffende toegankelijkheidsvoorschriften voor diensten in bijlage I bij Richtlijn (EU) 2019/882.</w:t>
            </w:r>
          </w:p>
        </w:tc>
        <w:tc>
          <w:tcPr>
            <w:tcW w:w="4876" w:type="dxa"/>
          </w:tcPr>
          <w:p>
            <w:pPr>
              <w:pStyle w:val="Normal6a"/>
            </w:pPr>
            <w:r>
              <w:t>3.</w:t>
            </w:r>
            <w:r>
              <w:tab/>
            </w:r>
            <w:r>
              <w:t>De in lid 1 van dit artikel bedoelde informatie wordt gratis en op een duidelijke, volledige, gebruikersvriendelijke en gemakkelijk toegankelijke wijze beschikbaar gesteld, onder meer via de officiële website van particulieren of overheidsinstanties – indien beschikbaar – of via andere geschikte middelen, overeenkomstig de betreffende toegankelijkheidsvoorschriften voor diensten in bijlage I bij Richtlijn (EU) 2019/882</w:t>
            </w:r>
            <w:r>
              <w:rPr>
                <w:b/>
                <w:i/>
              </w:rPr>
              <w:t>, zonder een niveau van complexiteit te overschrijden dat hoger is dan niveau B1 (gemiddeld) van het gemeenschappelijk Europees referentiekader voor talen van de Raad van Europa, waaronder in de nationale gebarentalen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426</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15 – lid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De in lid 1 van dit artikel bedoelde informatie wordt gratis en op een duidelijke, volledige, gebruikersvriendelijke en gemakkelijk toegankelijke wijze beschikbaar gesteld, onder meer via de officiële website van particulieren of overheidsinstanties – indien beschikbaar – of via andere geschikte middelen, overeenkomstig de betreffende toegankelijkheidsvoorschriften voor diensten in bijlage I bij Richtlijn (EU) 2019/882.</w:t>
            </w:r>
          </w:p>
        </w:tc>
        <w:tc>
          <w:tcPr>
            <w:tcW w:w="4876" w:type="dxa"/>
          </w:tcPr>
          <w:p>
            <w:pPr>
              <w:pStyle w:val="Normal6a"/>
            </w:pPr>
            <w:r>
              <w:t>3.</w:t>
            </w:r>
            <w:r>
              <w:tab/>
            </w:r>
            <w:r>
              <w:t xml:space="preserve">De in lid 1 van dit artikel bedoelde informatie wordt gratis en op een duidelijke, volledige, gebruikersvriendelijke en gemakkelijk toegankelijke wijze beschikbaar gesteld, onder meer via de officiële website van particulieren of overheidsinstanties – indien beschikbaar – of via andere geschikte middelen, overeenkomstig de betreffende toegankelijkheidsvoorschriften voor diensten in bijlage I bij Richtlijn (EU) 2019/882 </w:t>
            </w:r>
            <w:r>
              <w:rPr>
                <w:b/>
                <w:i/>
              </w:rPr>
              <w:t>zonder een niveau van complexiteit te overschrijden dat hoger is dan niveau B1 (gemiddeld) van het gemeenschappelijk Europees referentiekader voor talen van de Raad van 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427</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15 – lid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De in lid 1 van dit artikel bedoelde informatie wordt gratis en op een duidelijke, volledige, gebruikersvriendelijke en gemakkelijk toegankelijke wijze beschikbaar gesteld, onder meer via de officiële website van particulieren of overheidsinstanties – indien beschikbaar – of via andere geschikte middelen, overeenkomstig de betreffende toegankelijkheidsvoorschriften voor diensten in bijlage I bij Richtlijn (EU) 2019/882.</w:t>
            </w:r>
          </w:p>
        </w:tc>
        <w:tc>
          <w:tcPr>
            <w:tcW w:w="4876" w:type="dxa"/>
          </w:tcPr>
          <w:p>
            <w:pPr>
              <w:pStyle w:val="Normal6a"/>
            </w:pPr>
            <w:r>
              <w:t>3.</w:t>
            </w:r>
            <w:r>
              <w:tab/>
            </w:r>
            <w:r>
              <w:t xml:space="preserve">De in lid 1 van dit artikel bedoelde informatie wordt gratis en op een duidelijke, volledige, gebruikersvriendelijke en gemakkelijk toegankelijke wijze beschikbaar gesteld, onder meer via de officiële website van particulieren of overheidsinstanties – indien beschikbaar – of via andere geschikte middelen, overeenkomstig de betreffende toegankelijkheidsvoorschriften voor diensten in bijlage I bij Richtlijn (EU) 2019/882 </w:t>
            </w:r>
            <w:r>
              <w:rPr>
                <w:b/>
                <w:i/>
              </w:rPr>
              <w:t>zonder een niveau van complexiteit te overschrijden dat hoger is dan niveau B1 (gemiddeld) van het gemeenschappelijk Europees referentiekader voor talen van de Raad van 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428</w:t>
      </w:r>
      <w:r>
        <w:rPr>
          <w:rStyle w:val="HideTWBExt"/>
        </w:rPr>
        <w:t>&lt;/NumAm&gt;</w:t>
      </w:r>
    </w:p>
    <w:p>
      <w:pPr>
        <w:pStyle w:val="NormalBold"/>
      </w:pPr>
      <w:r>
        <w:rPr>
          <w:rStyle w:val="HideTWBExt"/>
        </w:rPr>
        <w:t>&lt;RepeatBlock-By&gt;</w:t>
      </w:r>
      <w:r>
        <w:rPr>
          <w:rStyle w:val="HideTWBExt"/>
        </w:rPr>
        <w:t>&lt;Members&gt;</w:t>
      </w:r>
      <w:r>
        <w:t>Ádám Kósa, Stelios Kympouropoulos,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15 – lid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De in lid 1 van dit artikel bedoelde informatie wordt gratis en op een duidelijke, volledige, gebruikersvriendelijke en gemakkelijk toegankelijke wijze beschikbaar gesteld, </w:t>
            </w:r>
            <w:r>
              <w:rPr>
                <w:b/>
                <w:i/>
              </w:rPr>
              <w:t>onder meer via</w:t>
            </w:r>
            <w:r>
              <w:t xml:space="preserve"> de officiële website van particulieren of overheidsinstanties – indien beschikbaar – of via andere geschikte middelen, overeenkomstig de betreffende toegankelijkheidsvoorschriften voor diensten in bijlage I bij Richtlijn (EU) 2019/882.</w:t>
            </w:r>
          </w:p>
        </w:tc>
        <w:tc>
          <w:tcPr>
            <w:tcW w:w="4876" w:type="dxa"/>
          </w:tcPr>
          <w:p>
            <w:pPr>
              <w:pStyle w:val="Normal6a"/>
            </w:pPr>
            <w:r>
              <w:t>3.</w:t>
            </w:r>
            <w:r>
              <w:tab/>
            </w:r>
            <w:r>
              <w:t xml:space="preserve">De in </w:t>
            </w:r>
            <w:r>
              <w:rPr>
                <w:b/>
                <w:i/>
              </w:rPr>
              <w:t>de</w:t>
            </w:r>
            <w:r>
              <w:t xml:space="preserve"> lid 1 van dit artikel bedoelde informatie wordt gratis en op een duidelijke, volledige, gebruikersvriendelijke en gemakkelijk toegankelijke wijze </w:t>
            </w:r>
            <w:r>
              <w:rPr>
                <w:b/>
                <w:i/>
              </w:rPr>
              <w:t>in alle EU-talen</w:t>
            </w:r>
            <w:r>
              <w:t xml:space="preserve"> beschikbaar gesteld, </w:t>
            </w:r>
            <w:r>
              <w:rPr>
                <w:b/>
                <w:i/>
              </w:rPr>
              <w:t>in toegankelijke vorm (met inbegrip van gemakkelijk leesbare formaten en ondertitelde video’s in de nationale gebarentaal en internationale gebarenvideo’s), zoals</w:t>
            </w:r>
            <w:r>
              <w:t xml:space="preserve"> de officiële website van particulieren of overheidsinstanties – indien beschikbaar – of via andere geschikte middelen, overeenkomstig de betreffende toegankelijkheidsvoorschriften voor diensten in bijlage I bij Richtlijn (EU)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429</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15 – lid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De in lid 1 van dit artikel bedoelde informatie wordt gratis en op een duidelijke, volledige, gebruikersvriendelijke en gemakkelijk toegankelijke wijze beschikbaar gesteld, onder meer via de officiële website van particulieren of overheidsinstanties – indien beschikbaar – of via andere geschikte middelen, overeenkomstig de betreffende toegankelijkheidsvoorschriften voor diensten in bijlage I bij Richtlijn (EU) 2019/882.</w:t>
            </w:r>
          </w:p>
        </w:tc>
        <w:tc>
          <w:tcPr>
            <w:tcW w:w="4876" w:type="dxa"/>
          </w:tcPr>
          <w:p>
            <w:pPr>
              <w:pStyle w:val="Normal6a"/>
            </w:pPr>
            <w:r>
              <w:t>3.</w:t>
            </w:r>
            <w:r>
              <w:tab/>
            </w:r>
            <w:r>
              <w:t xml:space="preserve">De in lid 1 van dit artikel bedoelde informatie wordt gratis en op een duidelijke, volledige, gebruikersvriendelijke en gemakkelijk toegankelijke wijze beschikbaar gesteld, onder meer via de officiële website van particulieren of overheidsinstanties – indien beschikbaar – of via andere geschikte middelen, overeenkomstig de betreffende toegankelijkheidsvoorschriften voor diensten in bijlage I bij Richtlijn (EU) 2019/882 </w:t>
            </w:r>
            <w:r>
              <w:rPr>
                <w:b/>
                <w:i/>
              </w:rPr>
              <w:t>zonder een niveau van complexiteit te overschrijden dat hoger is dan niveau B1 (gemiddeld) van het gemeenschappelijk Europees referentiekader voor talen van de Raad van 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15 – lid 3 bis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bis.</w:t>
            </w:r>
            <w:r>
              <w:tab/>
            </w:r>
            <w:r>
              <w:rPr>
                <w:b/>
                <w:i/>
              </w:rPr>
              <w:t>De Commissie is bevoegd overeenkomstig artikel 11 gedelegeerde handelingen vast te stellen tot aanvulling van de richtlijn met het oog op het opzetten van een in alle EU-talen beschikbare officiële EU-website, om de in lid 1 van dit artikel bedoelde informatie te verzamelen, teneinde het gebruik voor kaarthouders te vergemakkelijken, overeenkomstig de relevante toegankelijkheidsvoorschriften voor diensten die zijn vastgesteld in bijlage I bij Richtlijn (EU) 2019/882.</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zou nuttig zijn om een website op EU-niveau op te zetten die in alle EU-talen beschikbaar is en per lidstaat kan worden doorzocht, om het gebruik voor kaarthouders te vergemakkelijken.</w:t>
      </w:r>
      <w:r>
        <w:t xml:space="preserve"> </w:t>
      </w:r>
      <w:r>
        <w:t>Dit zou voor gebruikers veel gemakkelijker zijn om te navigeren dan 27 verschillende websites met verschillende lay-outs, structuren en talen, en zal ook kosten besparen.</w:t>
      </w:r>
    </w:p>
    <w:p>
      <w:r>
        <w:rPr>
          <w:rStyle w:val="HideTWBExt"/>
        </w:rPr>
        <w:t>&lt;/Amend&gt;</w:t>
      </w:r>
    </w:p>
    <w:p>
      <w:pPr>
        <w:pStyle w:val="AmNumberTabs"/>
      </w:pPr>
      <w:r>
        <w:rPr>
          <w:rStyle w:val="HideTWBExt"/>
        </w:rPr>
        <w:t>&lt;Amend&gt;</w:t>
      </w:r>
      <w:r>
        <w:t>Amendement</w:t>
      </w:r>
      <w:r>
        <w:tab/>
      </w:r>
      <w:r>
        <w:tab/>
      </w:r>
      <w:r>
        <w:rPr>
          <w:rStyle w:val="HideTWBExt"/>
        </w:rPr>
        <w:t>&lt;NumAm&gt;</w:t>
      </w:r>
      <w:r>
        <w:t>431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16 – lid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Uiterlijk dd/mm/jj [</w:t>
            </w:r>
            <w:r>
              <w:rPr>
                <w:b/>
                <w:i/>
              </w:rPr>
              <w:t>drie</w:t>
            </w:r>
            <w:r>
              <w:t xml:space="preserve"> jaar na de datum van toepassing van deze richtlijn] en vervolgens om de </w:t>
            </w:r>
            <w:r>
              <w:rPr>
                <w:b/>
                <w:i/>
              </w:rPr>
              <w:t>vijf</w:t>
            </w:r>
            <w:r>
              <w:t xml:space="preserve"> jaar legt de Commissie aan het Europees Parlement, de Raad, het Economisch en Sociaal Comité en het Comité van de Regio's een verslag voor over de toepassing van deze richtlijn.</w:t>
            </w:r>
          </w:p>
        </w:tc>
        <w:tc>
          <w:tcPr>
            <w:tcW w:w="4876" w:type="dxa"/>
          </w:tcPr>
          <w:p>
            <w:pPr>
              <w:pStyle w:val="Normal6a"/>
            </w:pPr>
            <w:r>
              <w:t>1.</w:t>
            </w:r>
            <w:r>
              <w:tab/>
            </w:r>
            <w:r>
              <w:t>Uiterlijk dd/mm/jj [</w:t>
            </w:r>
            <w:r>
              <w:rPr>
                <w:b/>
                <w:i/>
              </w:rPr>
              <w:t>twee</w:t>
            </w:r>
            <w:r>
              <w:t xml:space="preserve"> jaar na de datum van toepassing van deze richtlijn] en vervolgens om de </w:t>
            </w:r>
            <w:r>
              <w:rPr>
                <w:b/>
                <w:i/>
              </w:rPr>
              <w:t>drie</w:t>
            </w:r>
            <w:r>
              <w:t xml:space="preserve"> jaar legt de Commissie aan het Europees Parlement, de Raad, het Economisch en Sociaal Comité en het Comité van de Regio’s een verslag voor over de toepassing van deze richtlijn.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432</w:t>
      </w:r>
      <w:r>
        <w:rPr>
          <w:rStyle w:val="HideTWBExt"/>
        </w:rPr>
        <w:t>&lt;/NumAm&gt;</w:t>
      </w:r>
    </w:p>
    <w:p>
      <w:pPr>
        <w:pStyle w:val="NormalBold"/>
      </w:pPr>
      <w:r>
        <w:rPr>
          <w:rStyle w:val="HideTWBExt"/>
        </w:rPr>
        <w:t>&lt;RepeatBlock-By&gt;</w:t>
      </w:r>
      <w:r>
        <w:rPr>
          <w:rStyle w:val="HideTWBExt"/>
        </w:rPr>
        <w:t>&lt;Members&gt;</w:t>
      </w:r>
      <w:r>
        <w:t>Abir Al-Sahlani, Lucia Ďuriš Nicholsonová, Monica Semedo, Jordi Cañas, Dragoş Pîslaru, Irena Joveva,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16 – lid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In het verslag wordt onder meer aandacht besteed aan het gebruik van de Europese gehandicaptenkaart en de Europese parkeerkaart voor personen met een handicap in het licht van sociale en economische ontwikkelingen, teneinde na te gaan of deze richtlijn moet worden herzien.</w:t>
            </w:r>
          </w:p>
        </w:tc>
        <w:tc>
          <w:tcPr>
            <w:tcW w:w="4876" w:type="dxa"/>
          </w:tcPr>
          <w:p>
            <w:pPr>
              <w:pStyle w:val="Normal6a"/>
            </w:pPr>
            <w:r>
              <w:t>2.</w:t>
            </w:r>
            <w:r>
              <w:tab/>
            </w:r>
            <w:r>
              <w:t xml:space="preserve">In het verslag wordt onder meer aandacht besteed aan het gebruik van de Europese gehandicaptenkaart en de Europese parkeerkaart voor personen met een handicap in het licht van sociale en economische </w:t>
            </w:r>
            <w:r>
              <w:rPr>
                <w:b/>
                <w:i/>
              </w:rPr>
              <w:t>en andere ter zake doende</w:t>
            </w:r>
            <w:r>
              <w:t xml:space="preserve"> ontwikkelingen, teneinde na te gaan of deze richtlijn moet worden herzien. </w:t>
            </w:r>
            <w:r>
              <w:rPr>
                <w:b/>
                <w:i/>
              </w:rPr>
              <w:t>Het verslag bevat een gendergelijkheidsanalyse van de wijze waarop de bepalingen van deze richtlijn van invloed zijn geweest op het vrije verkeer van vrouwen en meisjes met een handicap.</w:t>
            </w:r>
            <w:r>
              <w:t xml:space="preserve"> </w:t>
            </w:r>
            <w:r>
              <w:rPr>
                <w:b/>
                <w:i/>
              </w:rPr>
              <w:t>In het verslag wordt ook de doeltreffendheid van de stimuleringsmaatregelen van de lidstaten voor dienstverleners geëvalueerd.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433</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16 – lid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In het verslag wordt onder meer aandacht besteed aan het gebruik van de Europese gehandicaptenkaart en de Europese parkeerkaart voor personen met een handicap in het licht van sociale en economische ontwikkelingen, teneinde na te gaan of deze richtlijn moet worden herzien.</w:t>
            </w:r>
          </w:p>
        </w:tc>
        <w:tc>
          <w:tcPr>
            <w:tcW w:w="4876" w:type="dxa"/>
          </w:tcPr>
          <w:p>
            <w:pPr>
              <w:pStyle w:val="Normal6a"/>
            </w:pPr>
            <w:r>
              <w:t>2.</w:t>
            </w:r>
            <w:r>
              <w:tab/>
            </w:r>
            <w:r>
              <w:t xml:space="preserve">In het verslag wordt onder meer aandacht besteed aan het gebruik van de Europese gehandicaptenkaart en de Europese parkeerkaart voor personen met een handicap in het licht van sociale en economische </w:t>
            </w:r>
            <w:r>
              <w:rPr>
                <w:b/>
                <w:i/>
              </w:rPr>
              <w:t>en andere ter zake doende ontwikkelingen, zoals technologische</w:t>
            </w:r>
            <w:r>
              <w:t xml:space="preserve"> ontwikkelingen, teneinde na te gaan of deze richtlijn moet worden herzien.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16 – lid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In het verslag wordt onder meer aandacht besteed aan het gebruik van de Europese </w:t>
            </w:r>
            <w:r>
              <w:rPr>
                <w:b/>
                <w:i/>
              </w:rPr>
              <w:t>gehandicaptenkaart</w:t>
            </w:r>
            <w:r>
              <w:t xml:space="preserve"> en de Europese parkeerkaart voor personen met een handicap in het licht van sociale en economische ontwikkelingen, teneinde na te gaan of deze richtlijn moet worden herzien.</w:t>
            </w:r>
          </w:p>
        </w:tc>
        <w:tc>
          <w:tcPr>
            <w:tcW w:w="4876" w:type="dxa"/>
          </w:tcPr>
          <w:p>
            <w:pPr>
              <w:pStyle w:val="Normal6a"/>
            </w:pPr>
            <w:r>
              <w:t>2.</w:t>
            </w:r>
            <w:r>
              <w:tab/>
            </w:r>
            <w:r>
              <w:t xml:space="preserve">In het verslag wordt onder meer aandacht besteed aan het gebruik van de Europese </w:t>
            </w:r>
            <w:r>
              <w:rPr>
                <w:b/>
                <w:i/>
              </w:rPr>
              <w:t>gehandicapten- en ouderenkaart</w:t>
            </w:r>
            <w:r>
              <w:t xml:space="preserve"> en de Europese parkeerkaart voor personen met een handicap </w:t>
            </w:r>
            <w:r>
              <w:rPr>
                <w:b/>
                <w:i/>
              </w:rPr>
              <w:t>en ouderen,</w:t>
            </w:r>
            <w:r>
              <w:t xml:space="preserve"> in het licht van sociale en economische ontwikkelingen, teneinde na te gaan of deze richtlijn moet worden herzien.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16 – lid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De Commissie houdt in haar verslag rekening met de standpunten van personen met een handicap, economisch belanghebbenden en betrokken niet-gouvernementele organisaties, waaronder organisaties die personen met een handicap vertegenwoordigen.</w:t>
            </w:r>
          </w:p>
        </w:tc>
        <w:tc>
          <w:tcPr>
            <w:tcW w:w="4876" w:type="dxa"/>
          </w:tcPr>
          <w:p>
            <w:pPr>
              <w:pStyle w:val="Normal6a"/>
            </w:pPr>
            <w:r>
              <w:t>4.</w:t>
            </w:r>
            <w:r>
              <w:tab/>
            </w:r>
            <w:r>
              <w:t xml:space="preserve">De Commissie houdt in haar verslag rekening met de standpunten van personen met een handicap </w:t>
            </w:r>
            <w:r>
              <w:rPr>
                <w:b/>
                <w:i/>
              </w:rPr>
              <w:t>en ouderen</w:t>
            </w:r>
            <w:r>
              <w:t xml:space="preserve">, economisch belanghebbenden en betrokken niet-gouvernementele organisaties, waaronder organisaties die personen met een handicap </w:t>
            </w:r>
            <w:r>
              <w:rPr>
                <w:b/>
                <w:i/>
              </w:rPr>
              <w:t>en ouderen</w:t>
            </w:r>
            <w:r>
              <w:t xml:space="preserve"> vertegenwoordigen.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436</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16 – lid 4 bis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bis.</w:t>
            </w:r>
            <w:r>
              <w:tab/>
            </w:r>
            <w:r>
              <w:rPr>
                <w:b/>
                <w:i/>
              </w:rPr>
              <w:t>Het verslag bevat een effectbeoordeling van het gebruik van de kaart als instrument ter verbetering van de meeneembaarheid van voordelen op het gebied van de sociale zekerheid uit hoofde van Verordening (EG) nr. 883/2004 en Verordening (EG) nr. 987/2009 en sociale bijstand uit hoofde van artikel 24, lid 2, van Richtlijn 2004/38/EG.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437</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18 – lid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 lidstaten zorgen ervoor dat de wettelijke en bestuursrechtelijke bepalingen die nodig zijn om aan deze richtlijn te voldoen, uiterlijk dd/mm/jj [</w:t>
            </w:r>
            <w:r>
              <w:rPr>
                <w:b/>
                <w:i/>
              </w:rPr>
              <w:t>18</w:t>
            </w:r>
            <w:r>
              <w:t xml:space="preserve"> maanden na de inwerkingtreding van deze richtlijn] worden vastgesteld en bekendgemaakt. Zij delen de Commissie de tekst van die bepalingen onmiddellijk mee.</w:t>
            </w:r>
          </w:p>
        </w:tc>
        <w:tc>
          <w:tcPr>
            <w:tcW w:w="4876" w:type="dxa"/>
          </w:tcPr>
          <w:p>
            <w:pPr>
              <w:pStyle w:val="Normal6a"/>
            </w:pPr>
            <w:r>
              <w:t>1.</w:t>
            </w:r>
            <w:r>
              <w:tab/>
            </w:r>
            <w:r>
              <w:t>De lidstaten zorgen ervoor dat de wettelijke en bestuursrechtelijke bepalingen die nodig zijn om aan deze richtlijn te voldoen, uiterlijk dd/mm/jj [</w:t>
            </w:r>
            <w:r>
              <w:rPr>
                <w:b/>
                <w:i/>
              </w:rPr>
              <w:t>24</w:t>
            </w:r>
            <w:r>
              <w:t> maanden na de inwerkingtreding van deze richtlijn] worden vastgesteld en bekendgemaakt. Zij delen de Commissie de tekst van die bepalingen onmiddellijk mee.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18 – lid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 lidstaten zorgen ervoor dat de wettelijke en bestuursrechtelijke bepalingen die nodig zijn om aan deze richtlijn te voldoen, uiterlijk dd/mm/jj [</w:t>
            </w:r>
            <w:r>
              <w:rPr>
                <w:b/>
                <w:i/>
              </w:rPr>
              <w:t>18</w:t>
            </w:r>
            <w:r>
              <w:t xml:space="preserve"> maanden na de inwerkingtreding van deze richtlijn] worden vastgesteld en bekendgemaakt. Zij delen de Commissie de tekst van die bepalingen onmiddellijk mee.</w:t>
            </w:r>
          </w:p>
        </w:tc>
        <w:tc>
          <w:tcPr>
            <w:tcW w:w="4876" w:type="dxa"/>
          </w:tcPr>
          <w:p>
            <w:pPr>
              <w:pStyle w:val="Normal6a"/>
            </w:pPr>
            <w:r>
              <w:t>1.</w:t>
            </w:r>
            <w:r>
              <w:tab/>
            </w:r>
            <w:r>
              <w:t>De lidstaten zorgen ervoor dat de wettelijke en bestuursrechtelijke bepalingen die nodig zijn om aan deze richtlijn te voldoen, uiterlijk dd/mm/jj [</w:t>
            </w:r>
            <w:r>
              <w:rPr>
                <w:b/>
                <w:i/>
              </w:rPr>
              <w:t>36</w:t>
            </w:r>
            <w:r>
              <w:t xml:space="preserve"> maanden na de inwerkingtreding van deze richtlijn] worden vastgesteld en bekendgemaakt. Zij delen de Commissie de tekst van die bepalingen onmiddellijk mee.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439</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18 – lid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 lidstaten zorgen ervoor dat de wettelijke en bestuursrechtelijke bepalingen die nodig zijn om aan deze richtlijn te voldoen, uiterlijk dd/mm/jj [</w:t>
            </w:r>
            <w:r>
              <w:rPr>
                <w:b/>
                <w:i/>
              </w:rPr>
              <w:t>18</w:t>
            </w:r>
            <w:r>
              <w:t xml:space="preserve"> maanden na de inwerkingtreding van deze richtlijn] worden vastgesteld en bekendgemaakt. Zij delen de Commissie de tekst van die bepalingen onmiddellijk mee.</w:t>
            </w:r>
          </w:p>
        </w:tc>
        <w:tc>
          <w:tcPr>
            <w:tcW w:w="4876" w:type="dxa"/>
          </w:tcPr>
          <w:p>
            <w:pPr>
              <w:pStyle w:val="Normal6a"/>
            </w:pPr>
            <w:r>
              <w:t>1.</w:t>
            </w:r>
            <w:r>
              <w:tab/>
            </w:r>
            <w:r>
              <w:t>De lidstaten zorgen ervoor dat de wettelijke en bestuursrechtelijke bepalingen die nodig zijn om aan deze richtlijn te voldoen, uiterlijk dd/mm/jj [</w:t>
            </w:r>
            <w:r>
              <w:rPr>
                <w:b/>
                <w:i/>
              </w:rPr>
              <w:t>twaalf</w:t>
            </w:r>
            <w:r>
              <w:t xml:space="preserve"> maanden na de inwerkingtreding van deze richtlijn] worden vastgesteld en bekendgemaakt. Zij delen de Commissie de tekst van die bepalingen onmiddellijk mee.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440</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18 – lid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 lidstaten zorgen ervoor dat de wettelijke en bestuursrechtelijke bepalingen die nodig zijn om aan deze richtlijn te voldoen, uiterlijk dd/mm/jj [</w:t>
            </w:r>
            <w:r>
              <w:rPr>
                <w:b/>
                <w:i/>
              </w:rPr>
              <w:t>18</w:t>
            </w:r>
            <w:r>
              <w:t xml:space="preserve"> maanden na de inwerkingtreding van deze richtlijn] worden vastgesteld en bekendgemaakt. Zij delen de Commissie de tekst van die bepalingen onmiddellijk mee.</w:t>
            </w:r>
          </w:p>
        </w:tc>
        <w:tc>
          <w:tcPr>
            <w:tcW w:w="4876" w:type="dxa"/>
          </w:tcPr>
          <w:p>
            <w:pPr>
              <w:pStyle w:val="Normal6a"/>
            </w:pPr>
            <w:r>
              <w:t>1.</w:t>
            </w:r>
            <w:r>
              <w:tab/>
            </w:r>
            <w:r>
              <w:t>De lidstaten zorgen ervoor dat de wettelijke en bestuursrechtelijke bepalingen die nodig zijn om aan deze richtlijn te voldoen, uiterlijk dd/mm/jj [</w:t>
            </w:r>
            <w:r>
              <w:rPr>
                <w:b/>
                <w:i/>
              </w:rPr>
              <w:t>twaalf</w:t>
            </w:r>
            <w:r>
              <w:t xml:space="preserve"> maanden na de inwerkingtreding van deze richtlijn] worden vastgesteld en bekendgemaakt. Zij delen de Commissie de tekst van die bepalingen onmiddellijk mee.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18 – lid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 lidstaten zorgen ervoor dat de wettelijke en bestuursrechtelijke bepalingen die nodig zijn om aan deze richtlijn te voldoen, uiterlijk dd/mm/jj [</w:t>
            </w:r>
            <w:r>
              <w:rPr>
                <w:b/>
                <w:i/>
              </w:rPr>
              <w:t>18</w:t>
            </w:r>
            <w:r>
              <w:t xml:space="preserve"> maanden na de inwerkingtreding van deze richtlijn] worden vastgesteld en bekendgemaakt. Zij delen de Commissie de tekst van die bepalingen onmiddellijk mee.</w:t>
            </w:r>
          </w:p>
        </w:tc>
        <w:tc>
          <w:tcPr>
            <w:tcW w:w="4876" w:type="dxa"/>
          </w:tcPr>
          <w:p>
            <w:pPr>
              <w:pStyle w:val="Normal6a"/>
            </w:pPr>
            <w:r>
              <w:t>1.</w:t>
            </w:r>
            <w:r>
              <w:tab/>
            </w:r>
            <w:r>
              <w:t>De lidstaten zorgen ervoor dat de wettelijke en bestuursrechtelijke bepalingen die nodig zijn om aan deze richtlijn te voldoen, uiterlijk dd/mm/jj [</w:t>
            </w:r>
            <w:r>
              <w:rPr>
                <w:b/>
                <w:i/>
              </w:rPr>
              <w:t>twaalf</w:t>
            </w:r>
            <w:r>
              <w:t xml:space="preserve"> maanden na de inwerkingtreding van deze richtlijn] worden vastgesteld en bekendgemaakt. Zij delen de Commissie de tekst van die bepalingen onmiddellijk mee.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442</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18 – lid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Zij passen die bepalingen toe vanaf dd/mm/jj [</w:t>
            </w:r>
            <w:r>
              <w:rPr>
                <w:b/>
                <w:i/>
              </w:rPr>
              <w:t>30</w:t>
            </w:r>
            <w:r>
              <w:t xml:space="preserve"> maanden na de datum van inwerkingtreding van deze richtlijn].</w:t>
            </w:r>
          </w:p>
        </w:tc>
        <w:tc>
          <w:tcPr>
            <w:tcW w:w="4876" w:type="dxa"/>
          </w:tcPr>
          <w:p>
            <w:pPr>
              <w:pStyle w:val="Normal6a"/>
            </w:pPr>
            <w:r>
              <w:t>2.</w:t>
            </w:r>
            <w:r>
              <w:tab/>
            </w:r>
            <w:r>
              <w:t>Zij passen die bepalingen toe vanaf dd/mm/jj [</w:t>
            </w:r>
            <w:r>
              <w:rPr>
                <w:b/>
                <w:i/>
              </w:rPr>
              <w:t>24</w:t>
            </w:r>
            <w:r>
              <w:t> maanden na de datum van inwerkingtreding van deze richtlijn].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443</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18 – lid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Zij passen die bepalingen toe vanaf dd/mm/jj [</w:t>
            </w:r>
            <w:r>
              <w:rPr>
                <w:b/>
                <w:i/>
              </w:rPr>
              <w:t>30</w:t>
            </w:r>
            <w:r>
              <w:t xml:space="preserve"> maanden na de datum van inwerkingtreding van deze richtlijn].</w:t>
            </w:r>
          </w:p>
        </w:tc>
        <w:tc>
          <w:tcPr>
            <w:tcW w:w="4876" w:type="dxa"/>
          </w:tcPr>
          <w:p>
            <w:pPr>
              <w:pStyle w:val="Normal6a"/>
            </w:pPr>
            <w:r>
              <w:t>2.</w:t>
            </w:r>
            <w:r>
              <w:tab/>
            </w:r>
            <w:r>
              <w:t>Zij passen die bepalingen toe vanaf dd/mm/jj [</w:t>
            </w:r>
            <w:r>
              <w:rPr>
                <w:b/>
                <w:i/>
              </w:rPr>
              <w:t>36</w:t>
            </w:r>
            <w:r>
              <w:t> maanden na de datum van inwerkingtreding van deze richtlijn].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18 – lid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Zij passen die bepalingen toe vanaf dd/mm/jj [</w:t>
            </w:r>
            <w:r>
              <w:rPr>
                <w:b/>
                <w:i/>
              </w:rPr>
              <w:t>30</w:t>
            </w:r>
            <w:r>
              <w:t xml:space="preserve"> maanden na de datum van inwerkingtreding van deze richtlijn].</w:t>
            </w:r>
          </w:p>
        </w:tc>
        <w:tc>
          <w:tcPr>
            <w:tcW w:w="4876" w:type="dxa"/>
          </w:tcPr>
          <w:p>
            <w:pPr>
              <w:pStyle w:val="Normal6a"/>
            </w:pPr>
            <w:r>
              <w:t>2.</w:t>
            </w:r>
            <w:r>
              <w:tab/>
            </w:r>
            <w:r>
              <w:t>Zij passen die bepalingen toe vanaf dd/mm/jj [</w:t>
            </w:r>
            <w:r>
              <w:rPr>
                <w:b/>
                <w:i/>
              </w:rPr>
              <w:t>48</w:t>
            </w:r>
            <w:r>
              <w:t xml:space="preserve"> maanden na de datum van inwerkingtreding van deze richtlijn].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445</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18 – lid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Zij passen die bepalingen toe vanaf dd/mm/jj [</w:t>
            </w:r>
            <w:r>
              <w:rPr>
                <w:b/>
                <w:i/>
              </w:rPr>
              <w:t>30</w:t>
            </w:r>
            <w:r>
              <w:t xml:space="preserve"> maanden na de datum van inwerkingtreding van deze richtlijn].</w:t>
            </w:r>
          </w:p>
        </w:tc>
        <w:tc>
          <w:tcPr>
            <w:tcW w:w="4876" w:type="dxa"/>
          </w:tcPr>
          <w:p>
            <w:pPr>
              <w:pStyle w:val="Normal6a"/>
            </w:pPr>
            <w:r>
              <w:t>2.</w:t>
            </w:r>
            <w:r>
              <w:tab/>
            </w:r>
            <w:r>
              <w:t>Zij passen die bepalingen toe vanaf dd/mm/jj [</w:t>
            </w:r>
            <w:r>
              <w:rPr>
                <w:b/>
                <w:i/>
              </w:rPr>
              <w:t>24</w:t>
            </w:r>
            <w:r>
              <w:t> maanden na de datum van inwerkingtreding van deze richtlijn].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446</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18 – lid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Zij passen die bepalingen toe vanaf dd/mm/jj [</w:t>
            </w:r>
            <w:r>
              <w:rPr>
                <w:b/>
                <w:i/>
              </w:rPr>
              <w:t>30</w:t>
            </w:r>
            <w:r>
              <w:t xml:space="preserve"> maanden na de datum van inwerkingtreding van deze richtlijn].</w:t>
            </w:r>
          </w:p>
        </w:tc>
        <w:tc>
          <w:tcPr>
            <w:tcW w:w="4876" w:type="dxa"/>
          </w:tcPr>
          <w:p>
            <w:pPr>
              <w:pStyle w:val="Normal6a"/>
            </w:pPr>
            <w:r>
              <w:t>2.</w:t>
            </w:r>
            <w:r>
              <w:tab/>
            </w:r>
            <w:r>
              <w:t>Zij passen die bepalingen toe vanaf dd/mm/jj [</w:t>
            </w:r>
            <w:r>
              <w:rPr>
                <w:b/>
                <w:i/>
              </w:rPr>
              <w:t>20</w:t>
            </w:r>
            <w:r>
              <w:t> maanden na de datum van inwerkingtreding van deze richtlijn].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 – kopje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FORMAAT VAN DE EUROPESE </w:t>
            </w:r>
            <w:r>
              <w:rPr>
                <w:b/>
                <w:i/>
              </w:rPr>
              <w:t>GEHANDICAPTENKAART</w:t>
            </w:r>
          </w:p>
        </w:tc>
        <w:tc>
          <w:tcPr>
            <w:tcW w:w="4876" w:type="dxa"/>
          </w:tcPr>
          <w:p>
            <w:pPr>
              <w:pStyle w:val="Normal6a"/>
            </w:pPr>
            <w:r>
              <w:t xml:space="preserve">FORMAAT VAN DE EUROPESE </w:t>
            </w:r>
            <w:r>
              <w:rPr>
                <w:b/>
                <w:i/>
              </w:rPr>
              <w:t>GEHANDICAPTEN- EN OUDERENKAART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448</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 – alinea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VOORKANT Tekst van de Europese gehandicaptenkaart in het Engels</w:t>
            </w:r>
          </w:p>
        </w:tc>
        <w:tc>
          <w:tcPr>
            <w:tcW w:w="4876" w:type="dxa"/>
          </w:tcPr>
          <w:p>
            <w:pPr>
              <w:pStyle w:val="Normal6a"/>
            </w:pPr>
            <w:r>
              <w:t xml:space="preserve">VOORKANT Tekst van de Europese gehandicaptenkaart in het Engels </w:t>
            </w:r>
            <w:r>
              <w:rPr>
                <w:b/>
                <w:i/>
              </w:rPr>
              <w:t>en in de taal/talen van de lidstaat die de kaart afgeeft en in braille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449</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 – alinea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VOORKANT Tekst van de Europese </w:t>
            </w:r>
            <w:r>
              <w:rPr>
                <w:b/>
                <w:i/>
              </w:rPr>
              <w:t>gehandicaptenkaart</w:t>
            </w:r>
            <w:r>
              <w:t xml:space="preserve"> in het Engels</w:t>
            </w:r>
          </w:p>
        </w:tc>
        <w:tc>
          <w:tcPr>
            <w:tcW w:w="4876" w:type="dxa"/>
          </w:tcPr>
          <w:p>
            <w:pPr>
              <w:pStyle w:val="Normal6a"/>
            </w:pPr>
            <w:r>
              <w:t xml:space="preserve">VOORKANT Tekst van de Europese </w:t>
            </w:r>
            <w:r>
              <w:rPr>
                <w:b/>
                <w:i/>
              </w:rPr>
              <w:t>gehandicapten- en ouderenkaart</w:t>
            </w:r>
            <w:r>
              <w:t xml:space="preserve"> in het Engels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450</w:t>
      </w:r>
      <w:r>
        <w:rPr>
          <w:rStyle w:val="HideTWBExt"/>
        </w:rPr>
        <w:t>&lt;/NumAm&gt;</w:t>
      </w:r>
    </w:p>
    <w:p>
      <w:pPr>
        <w:pStyle w:val="NormalBold"/>
      </w:pPr>
      <w:r>
        <w:rPr>
          <w:rStyle w:val="HideTWBExt"/>
        </w:rPr>
        <w:t>&lt;RepeatBlock-By&gt;</w:t>
      </w:r>
      <w:r>
        <w:rPr>
          <w:rStyle w:val="HideTWBExt"/>
        </w:rPr>
        <w:t>&lt;Members&gt;</w:t>
      </w:r>
      <w:r>
        <w:t>Cindy Franssen, David Casa, 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 – alinea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ACHTERKANT Nationale informatie in de door de lidstaat die de kaart afgeeft, te bepalen landstaal of landstalen.</w:t>
            </w:r>
          </w:p>
        </w:tc>
        <w:tc>
          <w:tcPr>
            <w:tcW w:w="4876" w:type="dxa"/>
          </w:tcPr>
          <w:p>
            <w:pPr>
              <w:pStyle w:val="Normal6a"/>
            </w:pPr>
            <w:r>
              <w:t>ACHTERKANT Nationale informatie in de door de lidstaat die de kaart afgeeft, te bepalen landstaal of landstalen.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Moedigt de lidstaten aan een grafische, digitale of schriftelijke indicatie op te nemen, zoals een pictogram ter illustratie van de aard van de door de kaarthouder gevraagde bijstand, op vrijwillige basis op verzoek van de begunstigde en zonder de aard van zijn handicap te onthullen, om stigmatisering van welke aard dan ook te voorkomen op de Europese gehandicaptenkaart.</w:t>
            </w:r>
            <w:r>
              <w:t xml:space="preserve"> </w:t>
            </w:r>
            <w:r>
              <w:rPr>
                <w:b/>
                <w:i/>
              </w:rPr>
              <w:t>De Commissie ontwikkelt richtsnoeren voor gemeenschappelijke pictogrammen voor verschillende soorten bijstand.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451</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 – alinea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ACHTERKANT Nationale informatie in de door de lidstaat die de kaart afgeeft, te bepalen landstaal of landstalen.</w:t>
            </w:r>
          </w:p>
        </w:tc>
        <w:tc>
          <w:tcPr>
            <w:tcW w:w="4876" w:type="dxa"/>
          </w:tcPr>
          <w:p>
            <w:pPr>
              <w:pStyle w:val="Normal6a"/>
            </w:pPr>
            <w:r>
              <w:t xml:space="preserve">ACHTERKANT Nationale informatie in de door de lidstaat die de kaart afgeeft, te bepalen landstaal of landstalen. </w:t>
            </w:r>
            <w:r>
              <w:rPr>
                <w:b/>
                <w:i/>
              </w:rPr>
              <w:t>De lidstaten bieden personen met een handicap de mogelijkheid om, wanneer zij bij de bevoegde autoriteiten een kaart aanvragen, relevante symbolen op de kaart aan te brengen om aan te geven welke redelijke aanpassingen zij nodig hebben.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452</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 – alinea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ACHTERKANT Nationale informatie in de door de lidstaat die de kaart afgeeft, te bepalen landstaal of landstalen.</w:t>
            </w:r>
          </w:p>
        </w:tc>
        <w:tc>
          <w:tcPr>
            <w:tcW w:w="4876" w:type="dxa"/>
          </w:tcPr>
          <w:p>
            <w:pPr>
              <w:pStyle w:val="Normal6a"/>
            </w:pPr>
            <w:r>
              <w:t>ACHTERKANT Nationale informatie in de door de lidstaat die de kaart afgeeft, te bepalen landstaal of landstalen</w:t>
            </w:r>
            <w:r>
              <w:rPr>
                <w:b/>
                <w:i/>
              </w:rPr>
              <w:t>, in overeenstemming met het nationale recht en de nationale praktijk, bv. de mate van handicap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 – punt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De afmetingen van de Europese </w:t>
            </w:r>
            <w:r>
              <w:rPr>
                <w:b/>
                <w:i/>
              </w:rPr>
              <w:t>gehandicaptenkaart</w:t>
            </w:r>
            <w:r>
              <w:t xml:space="preserve"> moeten in overeenstemming zijn met ISO 7810.</w:t>
            </w:r>
          </w:p>
        </w:tc>
        <w:tc>
          <w:tcPr>
            <w:tcW w:w="4876" w:type="dxa"/>
          </w:tcPr>
          <w:p>
            <w:pPr>
              <w:pStyle w:val="Normal6a"/>
            </w:pPr>
            <w:r>
              <w:t>1.</w:t>
            </w:r>
            <w:r>
              <w:tab/>
            </w:r>
            <w:r>
              <w:t xml:space="preserve">De afmetingen van de Europese </w:t>
            </w:r>
            <w:r>
              <w:rPr>
                <w:b/>
                <w:i/>
              </w:rPr>
              <w:t>gehandicapten- en ouderenkaart</w:t>
            </w:r>
            <w:r>
              <w:t xml:space="preserve"> moeten in overeenstemming zijn met ISO 7810.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454</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 – punt 2 bis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bis.</w:t>
            </w:r>
            <w:r>
              <w:tab/>
            </w:r>
            <w:r>
              <w:rPr>
                <w:b/>
                <w:i/>
              </w:rPr>
              <w:t>Om ervoor te zorgen dat de gegevens naar behoren worden beveiligd tegen pogingen tot vervalsing of frauduleuze wijziging, wordt ten zeerste aanbevolen de biografische gegevens, met inbegrip van het portret, en de belangrijkste afgiftegegevens in het basismateriaal van het document op te nemen.</w:t>
            </w:r>
            <w:r>
              <w:rPr>
                <w:b/>
                <w:i/>
              </w:rPr>
              <w:t>Er zijn verschillende technologieën beschikbaar om het document op deze manier te personaliseren (bv. lasergravering), waarbij het gebruik en de ontwikkeling van nieuwe technologieën niet worden uitgesloten.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Personaliseringsvelden: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De lay-out van de kaart moet één wit veld van 21 x 28 mm bevatten dat wordt gebruikt om het portret van de houder af te drukken.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De lay-out van de kaart bevat vijf witte velden van 4 x 52 mm.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Bijschriften, in zwart gedrukt, worden in de landstaal en in het Engels (cursief) op twee regels geplaatst.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Het lettertype is Arial vetgedrukt 4pt links van het veld uitgelijnd.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Personaliseringsgegevens worden in Arial 12pt weergegeven, rechts van het veld uitgelijnd.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Gegevens gedrukt op de voorzijde van het document: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Het portret van de enige houder.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Veld 1:</w:t>
            </w:r>
            <w:r>
              <w:rPr>
                <w:b/>
                <w:i/>
              </w:rPr>
              <w:t>voornaam van de houder.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Veld 2:</w:t>
            </w:r>
            <w:r>
              <w:rPr>
                <w:b/>
                <w:i/>
              </w:rPr>
              <w:t>achternaam van de houder.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Veld 3:</w:t>
            </w:r>
            <w:r>
              <w:rPr>
                <w:b/>
                <w:i/>
              </w:rPr>
              <w:t>geboortedatum.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Veld 4:</w:t>
            </w:r>
            <w:r>
              <w:rPr>
                <w:b/>
                <w:i/>
              </w:rPr>
              <w:t>serienummer van het document.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Veld 5:</w:t>
            </w:r>
            <w:r>
              <w:rPr>
                <w:b/>
                <w:i/>
              </w:rPr>
              <w:t>geldigheidsdatum van het document.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Opmerking: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Het maximumaantal tekens voor de voornaam en voor de achternaam dat kan worden bedrukt, bedraagt 25.</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Datum is in het formaat DDnMMnJJJJ hebben, waarbij n".” is of spatie.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455</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 – punt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Op de kaart moeten de volgende zaken worden aangebracht/vermeld:</w:t>
            </w:r>
          </w:p>
        </w:tc>
        <w:tc>
          <w:tcPr>
            <w:tcW w:w="4876" w:type="dxa"/>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 een foto van de kaarthouder;</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de naam en voornaam van de kaarthouder;</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de geboortedatum van de kaarthouder;</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het serienummer van de kaart.</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456</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 – punt 4 – inleidende formule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De </w:t>
            </w:r>
            <w:r>
              <w:rPr>
                <w:b/>
                <w:i/>
              </w:rPr>
              <w:t>kleur van de kaart moet licht- en donkerblauw zijn conform de afbeelding en met als referenties:</w:t>
            </w:r>
          </w:p>
        </w:tc>
        <w:tc>
          <w:tcPr>
            <w:tcW w:w="4876" w:type="dxa"/>
          </w:tcPr>
          <w:p>
            <w:pPr>
              <w:pStyle w:val="Normal6a"/>
            </w:pPr>
            <w:r>
              <w:t>4.</w:t>
            </w:r>
            <w:r>
              <w:tab/>
            </w:r>
            <w:r>
              <w:t xml:space="preserve">De </w:t>
            </w:r>
            <w:r>
              <w:rPr>
                <w:b/>
                <w:i/>
              </w:rPr>
              <w:t>achtergrondbeveiligingsprint bevat een rasterpatroon met één pantone kleur.</w:t>
            </w:r>
            <w:r>
              <w:t xml:space="preserve"> </w:t>
            </w:r>
            <w:r>
              <w:rPr>
                <w:b/>
                <w:i/>
              </w:rPr>
              <w:t>Gebieden met verschillende kleuren worden verwezenlijkt met en moeten bestaan uit lijnen met variabele dikte en niveau.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De achtergrond bevat microprints met de woorden "GEHANDICAPTENKAART". De achtergrondprint moet een grafisch element bevatten dat wordt gedrukt met onzichtbare UV-inkt (geel) en dat een cirkel van 12 sterren voorstelt met herhalingen van de letters "EU" in het midden.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Voor de beveiligingsachtergrond wordt slechts één kleur gebruikt.</w:t>
      </w:r>
    </w:p>
    <w:p>
      <w:r>
        <w:rPr>
          <w:rStyle w:val="HideTWBExt"/>
        </w:rPr>
        <w:t>&lt;/Amend&gt;</w:t>
      </w:r>
    </w:p>
    <w:p>
      <w:pPr>
        <w:pStyle w:val="AmNumberTabs"/>
      </w:pPr>
      <w:r>
        <w:rPr>
          <w:rStyle w:val="HideTWBExt"/>
        </w:rPr>
        <w:t>&lt;Amend&gt;</w:t>
      </w:r>
      <w:r>
        <w:t>Amendement</w:t>
      </w:r>
      <w:r>
        <w:tab/>
      </w:r>
      <w:r>
        <w:tab/>
      </w:r>
      <w:r>
        <w:rPr>
          <w:rStyle w:val="HideTWBExt"/>
        </w:rPr>
        <w:t>&lt;NumAm&gt;</w:t>
      </w:r>
      <w:r>
        <w:t>457</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 – punt 2 – streepje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Donkerblauw:</w:t>
            </w:r>
            <w:r>
              <w:t xml:space="preserve"> </w:t>
            </w:r>
            <w:r>
              <w:rPr>
                <w:b/>
                <w:i/>
              </w:rPr>
              <w:t>CMYK 100, 90, 10, 0</w:t>
            </w:r>
          </w:p>
        </w:tc>
        <w:tc>
          <w:tcPr>
            <w:tcW w:w="4876" w:type="dxa"/>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68, 148</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458</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 – punt 4 – streepje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Lichtblauw:</w:t>
            </w:r>
            <w:r>
              <w:t xml:space="preserve"> </w:t>
            </w:r>
            <w:r>
              <w:rPr>
                <w:b/>
                <w:i/>
              </w:rPr>
              <w:t>CMYK 94, 63, 7, 1</w:t>
            </w:r>
          </w:p>
        </w:tc>
        <w:tc>
          <w:tcPr>
            <w:tcW w:w="4876" w:type="dxa"/>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110, 183</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 – punt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rPr>
                <w:b/>
                <w:i/>
              </w:rPr>
              <w:t>Op de kaart moet de vervaldatum worden vermeld</w:t>
            </w:r>
            <w:r>
              <w:t>.</w:t>
            </w:r>
          </w:p>
        </w:tc>
        <w:tc>
          <w:tcPr>
            <w:tcW w:w="4876" w:type="dxa"/>
          </w:tcPr>
          <w:p>
            <w:pPr>
              <w:pStyle w:val="Normal6a"/>
            </w:pPr>
            <w:r>
              <w:t>5.</w:t>
            </w:r>
            <w:r>
              <w:tab/>
            </w:r>
            <w:r>
              <w:rPr>
                <w:b/>
                <w:i/>
              </w:rPr>
              <w:t>Zie het in punt 3 voorgestelde ontwerp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 – punt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rPr>
                <w:b/>
                <w:i/>
              </w:rPr>
              <w:t>Op de kaart moet een landcode staan met de blauwe</w:t>
            </w:r>
            <w:r>
              <w:t xml:space="preserve"> cirkel </w:t>
            </w:r>
            <w:r>
              <w:rPr>
                <w:b/>
                <w:i/>
              </w:rPr>
              <w:t>eromheen</w:t>
            </w:r>
            <w:r>
              <w:t>.</w:t>
            </w:r>
          </w:p>
        </w:tc>
        <w:tc>
          <w:tcPr>
            <w:tcW w:w="4876" w:type="dxa"/>
          </w:tcPr>
          <w:p>
            <w:pPr>
              <w:pStyle w:val="Normal6a"/>
            </w:pPr>
            <w:r>
              <w:t>6.</w:t>
            </w:r>
            <w:r>
              <w:tab/>
            </w:r>
            <w:r>
              <w:rPr>
                <w:b/>
                <w:i/>
              </w:rPr>
              <w:t>De cirkel met de tweeletterige ISO-landcode van het land van afgifte wordt gedrukt met Pantone Reflex Blue.</w:t>
            </w:r>
            <w:r>
              <w:t xml:space="preserve"> </w:t>
            </w:r>
            <w:r>
              <w:rPr>
                <w:b/>
                <w:i/>
              </w:rPr>
              <w:t>De</w:t>
            </w:r>
            <w:r>
              <w:t xml:space="preserve"> cirkel </w:t>
            </w:r>
            <w:r>
              <w:rPr>
                <w:b/>
                <w:i/>
              </w:rPr>
              <w:t>wordt gevormd door twaalf sterren.</w:t>
            </w:r>
            <w:r>
              <w:t xml:space="preserve"> </w:t>
            </w:r>
            <w:r>
              <w:rPr>
                <w:b/>
                <w:i/>
              </w:rPr>
              <w:t>De twee letters van de ISO-landcode zijn wit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grafische gids voor het Europese embleem is hier te vinden:</w:t>
      </w:r>
    </w:p>
    <w:p>
      <w:pPr>
        <w:pStyle w:val="AmJustText"/>
      </w:pPr>
      <w:r>
        <w:t>http://publications.europa.eu/code/nl/nl-5000100.htm</w:t>
      </w:r>
    </w:p>
    <w:p>
      <w:r>
        <w:rPr>
          <w:rStyle w:val="HideTWBExt"/>
        </w:rPr>
        <w:t>&lt;/Amend&gt;</w:t>
      </w:r>
    </w:p>
    <w:p>
      <w:pPr>
        <w:pStyle w:val="AmNumberTabs"/>
      </w:pPr>
      <w:r>
        <w:rPr>
          <w:rStyle w:val="HideTWBExt"/>
        </w:rPr>
        <w:t>&lt;Amend&gt;</w:t>
      </w:r>
      <w:r>
        <w:t>Amendement</w:t>
      </w:r>
      <w:r>
        <w:tab/>
      </w:r>
      <w:r>
        <w:tab/>
      </w:r>
      <w:r>
        <w:rPr>
          <w:rStyle w:val="HideTWBExt"/>
        </w:rPr>
        <w:t>&lt;NumAm&gt;</w:t>
      </w:r>
      <w:r>
        <w:t>461</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 – punt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De woorden “Europese gehandicaptenkaart” moeten worden weergegeven in Arial en in braille met de afmetingen van de Marburg-code.</w:t>
            </w:r>
          </w:p>
        </w:tc>
        <w:tc>
          <w:tcPr>
            <w:tcW w:w="4876" w:type="dxa"/>
          </w:tcPr>
          <w:p>
            <w:pPr>
              <w:pStyle w:val="Normal6a"/>
            </w:pPr>
            <w:r>
              <w:t>8.</w:t>
            </w:r>
            <w:r>
              <w:tab/>
            </w:r>
            <w:r>
              <w:t xml:space="preserve">De woorden "Europese gehandicaptenkaart" moeten worden weergegeven in Arial en in braille met de afmetingen van de Marburg-code </w:t>
            </w:r>
            <w:r>
              <w:rPr>
                <w:b/>
                <w:i/>
              </w:rPr>
              <w:t>en gedrukt in Reflex Blue</w:t>
            </w:r>
            <w:r>
              <w: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Marburg Medium: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Puntverschil x-as (a):</w:t>
            </w:r>
            <w:r>
              <w:rPr>
                <w:b/>
                <w:i/>
              </w:rPr>
              <w:t>2,5 mm (puntmidden tot puntmidden).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Puntverschil x-as (b):</w:t>
            </w:r>
            <w:r>
              <w:rPr>
                <w:b/>
                <w:i/>
              </w:rPr>
              <w:t>2,5 mm (puntmidden tot puntmidden).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Tekenbreedte (c):</w:t>
            </w:r>
            <w:r>
              <w:rPr>
                <w:b/>
                <w:i/>
              </w:rPr>
              <w:t>6,0 mm (puntmidden punt 1 van het eerste teken tot puntmidden punt 1 van het volgende teken).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De maat (d) tussen het puntmidden van het eindteken en het puntmidden van het beginteken van een volgend woord is 2 x c, 6,0 mm. x 2 = 12,0 mm.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Regelafstand (e):</w:t>
            </w:r>
            <w:r>
              <w:rPr>
                <w:b/>
                <w:i/>
              </w:rPr>
              <w:t>10,0 mm (puntmidden punt 1 tot puntmidden punt 1 van de volgende regel).</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Diameter punt:</w:t>
            </w:r>
            <w:r>
              <w:rPr>
                <w:b/>
                <w:i/>
              </w:rPr>
              <w:t>ongeveer 1,3 mm (puntdiameter van de basis van een reliëfstempel) of 1,6 mm (puntdiameter van een vrouwelijke reliëfstempel).</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Braille-code voor "Europese gehandicaptenkaart”, met gebruikmaking van de Marburg Mediumdimensie.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462</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 – punt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 xml:space="preserve">De woorden “Europese </w:t>
            </w:r>
            <w:r>
              <w:rPr>
                <w:b/>
                <w:i/>
              </w:rPr>
              <w:t>gehandicaptenkaart</w:t>
            </w:r>
            <w:r>
              <w:t xml:space="preserve">” </w:t>
            </w:r>
            <w:r>
              <w:rPr>
                <w:b/>
                <w:i/>
              </w:rPr>
              <w:t>moeten</w:t>
            </w:r>
            <w:r>
              <w:t xml:space="preserve"> worden weergegeven in Arial en in braille met de afmetingen van de Marburg-code.</w:t>
            </w:r>
          </w:p>
        </w:tc>
        <w:tc>
          <w:tcPr>
            <w:tcW w:w="4876" w:type="dxa"/>
          </w:tcPr>
          <w:p>
            <w:pPr>
              <w:pStyle w:val="Normal6a"/>
            </w:pPr>
            <w:r>
              <w:t>8.</w:t>
            </w:r>
            <w:r>
              <w:tab/>
            </w:r>
            <w:r>
              <w:t xml:space="preserve">De woorden "Europese </w:t>
            </w:r>
            <w:r>
              <w:rPr>
                <w:b/>
                <w:i/>
              </w:rPr>
              <w:t>gehandicapten- en ouderenkaart</w:t>
            </w:r>
            <w:r>
              <w:t>" worden weergegeven in Arial en in braille met de afmetingen van de Marburg-code.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463</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 – punt 10 bis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 bis.</w:t>
            </w:r>
            <w:r>
              <w:tab/>
            </w:r>
            <w:r>
              <w:rPr>
                <w:b/>
                <w:i/>
              </w:rPr>
              <w:t>Hologram A hologram met metallisatie wordt aan de achterzijde aangebracht.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Het hologram bevat de woorden "EU-gehandicaptenkaart” en een cirkel bestaande uit 12 witte sterren.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464</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 bis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De kaart heeft een QR-code met alle gegevens op de kaart in een toegankelijk formaat dat naar behoren is gedefinieerd en aangegeven met een reliëfstempel, dat volledig in overeenstemming is met de wetgeving inzake gegevensbescherming.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II – kopje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FORMAAT VAN DE EUROPESE PARKEERKAART VOOR PERSONEN MET EEN HANDICAP</w:t>
            </w:r>
          </w:p>
        </w:tc>
        <w:tc>
          <w:tcPr>
            <w:tcW w:w="4876" w:type="dxa"/>
          </w:tcPr>
          <w:p>
            <w:pPr>
              <w:pStyle w:val="Normal6a"/>
            </w:pPr>
            <w:r>
              <w:t xml:space="preserve">FORMAAT VAN DE EUROPESE PARKEERKAART VOOR PERSONEN MET EEN HANDICAP </w:t>
            </w:r>
            <w:r>
              <w:rPr>
                <w:b/>
                <w:i/>
              </w:rPr>
              <w:t>EN OUDEREN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466</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II – kopje 1 bis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De woorden "Europese parkeerkaart" worden weergegeven in Arial en in braille met de afmetingen van de Marburg-code.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II – punt 1 – inleidende formule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 Europese parkeerkaart voor personen met een handicap moet aan de volgende afmetingen voldoen:</w:t>
            </w:r>
          </w:p>
        </w:tc>
        <w:tc>
          <w:tcPr>
            <w:tcW w:w="4876" w:type="dxa"/>
          </w:tcPr>
          <w:p>
            <w:pPr>
              <w:pStyle w:val="Normal6a"/>
            </w:pPr>
            <w:r>
              <w:t>1.</w:t>
            </w:r>
            <w:r>
              <w:tab/>
            </w:r>
            <w:r>
              <w:t xml:space="preserve">De Europese parkeerkaart voor personen met een handicap </w:t>
            </w:r>
            <w:r>
              <w:rPr>
                <w:b/>
                <w:i/>
              </w:rPr>
              <w:t>en ouderen</w:t>
            </w:r>
            <w:r>
              <w:t xml:space="preserve"> moet aan de volgende afmetingen voldoen: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468</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II – punt 2 – inleidende formule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De kleur van de kaart moet donkerblauw en geel zijn conform de bovenstaande afbeelding en met als referenties:</w:t>
            </w:r>
          </w:p>
        </w:tc>
        <w:tc>
          <w:tcPr>
            <w:tcW w:w="4876" w:type="dxa"/>
          </w:tcPr>
          <w:p>
            <w:pPr>
              <w:pStyle w:val="Normal6a"/>
            </w:pPr>
            <w:r>
              <w:t>2.</w:t>
            </w:r>
            <w:r>
              <w:tab/>
            </w:r>
            <w:r>
              <w:rPr>
                <w:b/>
                <w:i/>
              </w:rPr>
              <w:t>Pantone Blue Reflex reflex en Pantone Yellow kunnen worden gebruikt voor de rechterkant van het document, aangezien deze kleuren door de Commissie worden voorgesteld voor de weergave van de EU-vlag.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De achtergrondbeveiligingsprint bevat een rasterpatroon met de pantone kleur(en).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De achtergrond bevat microprints met de woorden "EUROPESE PARKEERKAART”.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II – punt 2 – streepje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Donkerblauw:</w:t>
            </w:r>
            <w:r>
              <w:t xml:space="preserve"> </w:t>
            </w:r>
            <w:r>
              <w:rPr>
                <w:b/>
                <w:i/>
              </w:rPr>
              <w:t>CMYK 100, 90, 10, 0</w:t>
            </w:r>
          </w:p>
        </w:tc>
        <w:tc>
          <w:tcPr>
            <w:tcW w:w="4876" w:type="dxa"/>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68, 148</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II – punt 2 – streepje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Geel:</w:t>
            </w:r>
            <w:r>
              <w:t xml:space="preserve"> </w:t>
            </w:r>
            <w:r>
              <w:rPr>
                <w:b/>
                <w:i/>
              </w:rPr>
              <w:t>CMYK 94, 63, 7, 1</w:t>
            </w:r>
          </w:p>
        </w:tc>
        <w:tc>
          <w:tcPr>
            <w:tcW w:w="4876" w:type="dxa"/>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255, 237, 0</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471</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II – punt 3 – inleidende formule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De voor- en de achterkant van de Europese parkeerkaart voor personen met een handicap </w:t>
            </w:r>
            <w:r>
              <w:rPr>
                <w:b/>
                <w:i/>
              </w:rPr>
              <w:t>moeten</w:t>
            </w:r>
            <w:r>
              <w:t xml:space="preserve"> verticaal in twee helften verdeeld </w:t>
            </w:r>
            <w:r>
              <w:rPr>
                <w:b/>
                <w:i/>
              </w:rPr>
              <w:t>zijn</w:t>
            </w:r>
            <w:r>
              <w:t>.</w:t>
            </w:r>
          </w:p>
        </w:tc>
        <w:tc>
          <w:tcPr>
            <w:tcW w:w="4876" w:type="dxa"/>
          </w:tcPr>
          <w:p>
            <w:pPr>
              <w:pStyle w:val="Normal6a"/>
            </w:pPr>
            <w:r>
              <w:t>3.</w:t>
            </w:r>
            <w:r>
              <w:tab/>
            </w:r>
            <w:r>
              <w:t xml:space="preserve">De voor- en de achterkant van de Europese parkeerkaart voor personen met een handicap </w:t>
            </w:r>
            <w:r>
              <w:rPr>
                <w:b/>
                <w:i/>
              </w:rPr>
              <w:t>en ouderen zijn</w:t>
            </w:r>
            <w:r>
              <w:t xml:space="preserve"> verticaal in twee helften verdeeld.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472</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II – punt 3 – a – streepje 5 bis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t>
            </w:r>
            <w:r>
              <w:tab/>
            </w:r>
            <w:r>
              <w:rPr>
                <w:b/>
                <w:i/>
              </w:rPr>
              <w:t>de woorden "Europese parkeerkaart" worden weergegeven in Arial en in braille met de afmetingen van de Marburg-code.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473</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II – punt 3 – b – streepje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in hoofdletters de woorden “Europese parkeerkaart voor personen met een handicap” in de taal/talen van de lidstaat die de kaart afgeeft; na een passende tussenruimte worden de woorden in kleine letters vermeld in de overige talen van de Europese Unie;</w:t>
            </w:r>
          </w:p>
        </w:tc>
        <w:tc>
          <w:tcPr>
            <w:tcW w:w="4876" w:type="dxa"/>
          </w:tcPr>
          <w:p>
            <w:pPr>
              <w:pStyle w:val="Normal6a"/>
            </w:pPr>
            <w:r>
              <w:rPr>
                <w:b/>
                <w:i/>
              </w:rPr>
              <w:t>-</w:t>
            </w:r>
            <w:r>
              <w:tab/>
            </w:r>
            <w:r>
              <w:t xml:space="preserve">in hoofdletters de woorden "Europese parkeerkaart voor personen met een handicap" in de taal/talen van de lidstaat die de kaart afgeeft; na een passende tussenruimte worden de woorden in kleine letters vermeld in de overige talen van de Europese Unie; </w:t>
            </w:r>
            <w:r>
              <w:rPr>
                <w:b/>
                <w:i/>
              </w:rPr>
              <w:t>De woorden "Europese parkeerkaart" worden weergegeven in Arial en in braille met de afmetingen van de Marburg-code.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474</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II – punt 3 – b – streepje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w:t>
            </w:r>
            <w:r>
              <w:tab/>
            </w:r>
            <w:r>
              <w:t>in hoofdletters de woorden “Europese parkeerkaart voor personen met een handicap” in de taal/talen van de lidstaat die de kaart afgeeft; na een passende tussenruimte worden de woorden in kleine letters vermeld in de overige talen van de Europese Unie;</w:t>
            </w:r>
          </w:p>
        </w:tc>
        <w:tc>
          <w:tcPr>
            <w:tcW w:w="4876" w:type="dxa"/>
          </w:tcPr>
          <w:p>
            <w:pPr>
              <w:pStyle w:val="Normal6a"/>
            </w:pPr>
            <w:r>
              <w:t>—</w:t>
            </w:r>
            <w:r>
              <w:tab/>
            </w:r>
            <w:r>
              <w:t xml:space="preserve">in hoofdletters de woorden “Europese parkeerkaart voor personen met een handicap” in de taal/talen van de lidstaat die de kaart afgeeft </w:t>
            </w:r>
            <w:r>
              <w:rPr>
                <w:b/>
                <w:i/>
              </w:rPr>
              <w:t>en in braille met de afmetingen van de Marburg-code</w:t>
            </w:r>
            <w:r>
              <w:t>; na een passende tussenruimte worden de woorden in kleine letters vermeld in de overige talen van de Europese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II – punt 3 – b – streepje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w:t>
            </w:r>
            <w:r>
              <w:tab/>
            </w:r>
            <w:r>
              <w:t>in hoofdletters de woorden “Europese parkeerkaart voor personen met een handicap” in de taal/talen van de lidstaat die de kaart afgeeft; na een passende tussenruimte worden de woorden in kleine letters vermeld in de overige talen van de Europese Unie;</w:t>
            </w:r>
          </w:p>
        </w:tc>
        <w:tc>
          <w:tcPr>
            <w:tcW w:w="4876" w:type="dxa"/>
          </w:tcPr>
          <w:p>
            <w:pPr>
              <w:pStyle w:val="Normal6a"/>
            </w:pPr>
            <w:r>
              <w:t>—</w:t>
            </w:r>
            <w:r>
              <w:tab/>
            </w:r>
            <w:r>
              <w:t xml:space="preserve">in hoofdletters de woorden "Europese parkeerkaart voor personen met een handicap </w:t>
            </w:r>
            <w:r>
              <w:rPr>
                <w:b/>
                <w:i/>
              </w:rPr>
              <w:t>en ouderen</w:t>
            </w:r>
            <w:r>
              <w:t>" in de taal/talen van de lidstaat die de kaart afgeeft; na een passende tussenruimte worden de woorden in kleine letters vermeld in de overige talen van de Europese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476</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II – punt 3 – b – streepje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t>—</w:t>
            </w:r>
            <w:r>
              <w:tab/>
            </w:r>
            <w:r>
              <w:t>in hoofdletters de woorden “Europese parkeerkaart voor personen met een handicap” in de taal/talen van de lidstaat die de kaart afgeeft; na een passende tussenruimte worden de woorden in kleine letters vermeld in de overige talen van de Europese Unie;</w:t>
            </w:r>
          </w:p>
        </w:tc>
        <w:tc>
          <w:tcPr>
            <w:tcW w:w="4876" w:type="dxa"/>
          </w:tcPr>
          <w:p>
            <w:pPr>
              <w:pStyle w:val="Normal6a"/>
            </w:pPr>
            <w:r>
              <w:t>—</w:t>
            </w:r>
            <w:r>
              <w:tab/>
            </w:r>
            <w:r>
              <w:t xml:space="preserve">in hoofdletters de woorden "Europese parkeerkaart voor personen met een handicap" in de taal/talen van de lidstaat die de kaart afgeeft </w:t>
            </w:r>
            <w:r>
              <w:rPr>
                <w:b/>
                <w:i/>
              </w:rPr>
              <w:t>en in braille</w:t>
            </w:r>
            <w:r>
              <w:t>; na een passende tussenruimte worden de woorden in kleine letters vermeld in de overige talen van de Europese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477</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II – punt 3 – c – streepje 7 bis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t>
            </w:r>
            <w:r>
              <w:tab/>
            </w:r>
            <w:r>
              <w:rPr>
                <w:b/>
                <w:i/>
              </w:rPr>
              <w:t>secundair nummer van de identiteitskaart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Wij stellen voor een nieuw punt toe te voegen met een facultatief veld dat wordt gebruikt wanneer een ander documentnummer door de lidstaat wordt gebruikt.</w:t>
      </w:r>
    </w:p>
    <w:p>
      <w:r>
        <w:rPr>
          <w:rStyle w:val="HideTWBExt"/>
        </w:rPr>
        <w:t>&lt;/Amend&gt;</w:t>
      </w:r>
    </w:p>
    <w:p>
      <w:pPr>
        <w:pStyle w:val="AmNumberTabs"/>
      </w:pPr>
      <w:r>
        <w:rPr>
          <w:rStyle w:val="HideTWBExt"/>
        </w:rPr>
        <w:t>&lt;Amend&gt;</w:t>
      </w:r>
      <w:r>
        <w:t>Amendement</w:t>
      </w:r>
      <w:r>
        <w:tab/>
      </w:r>
      <w:r>
        <w:tab/>
      </w:r>
      <w:r>
        <w:rPr>
          <w:rStyle w:val="HideTWBExt"/>
        </w:rPr>
        <w:t>&lt;NumAm&gt;</w:t>
      </w:r>
      <w:r>
        <w:t>478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II – punt 3 – d – streepje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de vermelding: “Deze kaart geeft de houder recht op de plaatselijke parkeervoorwaarden en -faciliteiten voor personen met een handicap in de betrokken lidstaat”;</w:t>
            </w:r>
          </w:p>
        </w:tc>
        <w:tc>
          <w:tcPr>
            <w:tcW w:w="4876" w:type="dxa"/>
          </w:tcPr>
          <w:p>
            <w:pPr>
              <w:pStyle w:val="Normal6a"/>
            </w:pPr>
            <w:r>
              <w:rPr>
                <w:b/>
                <w:i/>
              </w:rPr>
              <w:t>-</w:t>
            </w:r>
            <w:r>
              <w:tab/>
            </w:r>
            <w:r>
              <w:t xml:space="preserve">de vermelding: “Deze kaart geeft de houder recht op de plaatselijke parkeervoorwaarden en -faciliteiten voor personen met een handicap </w:t>
            </w:r>
            <w:r>
              <w:rPr>
                <w:b/>
                <w:i/>
              </w:rPr>
              <w:t>en ouderen</w:t>
            </w:r>
            <w:r>
              <w:t xml:space="preserve"> in de betrokken lidstaat”;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II – punt 5 bis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 bis.</w:t>
            </w:r>
            <w:r>
              <w:tab/>
            </w:r>
            <w:r>
              <w:rPr>
                <w:b/>
                <w:i/>
              </w:rPr>
              <w:t>Materialen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Om ervoor te zorgen dat gegevens naar behoren worden beveiligd tegen pogingen tot vervalsing of frauduleuze wijziging, wordt ten zeerste aanbevolen om beveiligingsmateriaal met beveiligingselementen tegen vervalsing te gebruiken.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Voorbeeld 1:</w:t>
            </w:r>
            <w:r>
              <w:rPr>
                <w:b/>
                <w:i/>
              </w:rPr>
              <w:t>Veiligheidspapier met watermerk en veiligheidsvezels.</w:t>
            </w:r>
            <w:r>
              <w:rPr>
                <w:b/>
                <w:i/>
              </w:rPr>
              <w:t>Holografisch kenmerk of gelijkwaardig beveiligingskenmerk.</w:t>
            </w:r>
            <w:r>
              <w:rPr>
                <w:b/>
                <w:i/>
              </w:rPr>
              <w:t>Laminering kan worden toegevoegd om het document te beschermen.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Voorbeeld 2:</w:t>
            </w:r>
            <w:r>
              <w:t xml:space="preserve"> </w:t>
            </w:r>
            <w:r>
              <w:rPr>
                <w:b/>
                <w:i/>
              </w:rPr>
              <w:t>Polycarbonaat of gelijkwaardig materiaal.</w:t>
            </w:r>
            <w:r>
              <w:t xml:space="preserve"> </w:t>
            </w:r>
            <w:r>
              <w:rPr>
                <w:b/>
                <w:i/>
              </w:rPr>
              <w:t>Om in dit geval ervoor te zorgen dat de gegevens naar behoren worden beveiligd tegen pogingen tot vervalsing of frauduleuze wijziging, wordt ten zeerste aanbevolen de biografische gegevens, met inbegrip van het portret, en de belangrijkste afgiftegegevens in het basismateriaal van het document op te nemen.</w:t>
            </w:r>
            <w:r>
              <w:t xml:space="preserve"> </w:t>
            </w:r>
            <w:r>
              <w:rPr>
                <w:b/>
                <w:i/>
              </w:rPr>
              <w:t>Holografische kenmerken of gelijkwaardige beveiligingskenmerken kunnen in de structuur van het document worden geïntegreerd.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Voorgesteld wordt om het veiligheidsmateriaal in dit deel expliciet te beschrijven.</w:t>
      </w:r>
    </w:p>
    <w:p>
      <w:r>
        <w:rPr>
          <w:rStyle w:val="HideTWBExt"/>
        </w:rPr>
        <w:t>&lt;/Amend&gt;</w:t>
      </w:r>
    </w:p>
    <w:p>
      <w:pPr>
        <w:pStyle w:val="AmNumberTabs"/>
      </w:pPr>
      <w:r>
        <w:rPr>
          <w:rStyle w:val="HideTWBExt"/>
        </w:rPr>
        <w:t>&lt;Amend&gt;</w:t>
      </w:r>
      <w:r>
        <w:t>Amendement</w:t>
      </w:r>
      <w:r>
        <w:tab/>
      </w:r>
      <w:r>
        <w:tab/>
      </w:r>
      <w:r>
        <w:rPr>
          <w:rStyle w:val="HideTWBExt"/>
        </w:rPr>
        <w:t>&lt;NumAm&gt;</w:t>
      </w:r>
      <w:r>
        <w:t>480</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Bijlage II bis (nieuw)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Door de Commissie voorgestelde tekst</w:t>
            </w:r>
          </w:p>
        </w:tc>
        <w:tc>
          <w:tcPr>
            <w:tcW w:w="4876" w:type="dxa"/>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De kaart heeft een QR-code met alle gegevens op de kaart in een toegankelijk formaat dat naar behoren is gedefinieerd en aangegeven met een reliëfstempel, dat volledig in overeenstemming is met de wetgeving inzake gegevensbescherming.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756.072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54</w:t>
    </w:r>
    <w:r>
      <w:fldChar w:fldCharType="end"/>
    </w:r>
    <w:r>
      <w:t>/</w:t>
    </w:r>
    <w:r>
      <w:fldChar w:fldCharType="begin"/>
    </w:r>
    <w:r>
      <w:instrText xml:space="preserve"> NUMPAGES </w:instrText>
    </w:r>
    <w:r>
      <w:fldChar w:fldCharType="separate"/>
    </w:r>
    <w:r>
      <w:t>55</w:t>
    </w:r>
    <w:r>
      <w:fldChar w:fldCharType="end"/>
    </w:r>
    <w:r>
      <w:tab/>
    </w:r>
    <w:r>
      <w:rPr>
        <w:rStyle w:val="HideTWBExt"/>
      </w:rPr>
      <w:t>&lt;PathFdR&gt;</w:t>
    </w:r>
    <w:r>
      <w:t>AM\1289917NL.docx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AM\1289917NL.docx</w:t>
    </w:r>
    <w:r>
      <w:rPr>
        <w:rStyle w:val="HideTWBExt"/>
      </w:rPr>
      <w:t>&lt;/PathFdR&gt;</w:t>
    </w:r>
    <w:r>
      <w:tab/>
    </w:r>
    <w:r>
      <w:fldChar w:fldCharType="begin"/>
    </w:r>
    <w:r>
      <w:instrText xml:space="preserve"> PAGE </w:instrText>
    </w:r>
    <w:r>
      <w:fldChar w:fldCharType="separate"/>
    </w:r>
    <w:r>
      <w:t>55</w:t>
    </w:r>
    <w:r>
      <w:fldChar w:fldCharType="end"/>
    </w:r>
    <w:r>
      <w:t>/</w:t>
    </w:r>
    <w:r>
      <w:fldChar w:fldCharType="begin"/>
    </w:r>
    <w:r>
      <w:instrText xml:space="preserve"> NUMPAGES </w:instrText>
    </w:r>
    <w:r>
      <w:fldChar w:fldCharType="separate"/>
    </w:r>
    <w:r>
      <w:t>55</w:t>
    </w:r>
    <w:r>
      <w:fldChar w:fldCharType="end"/>
    </w:r>
    <w:r>
      <w:tab/>
    </w:r>
    <w:r>
      <w:t>PE</w:t>
    </w:r>
    <w:r>
      <w:rPr>
        <w:rStyle w:val="HideTWBExt"/>
      </w:rPr>
      <w:t>&lt;NoPE&gt;</w:t>
    </w:r>
    <w:r>
      <w:t>756.072</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AM\1289917NL.docx</w:t>
    </w:r>
    <w:r>
      <w:rPr>
        <w:rStyle w:val="HideTWBExt"/>
      </w:rPr>
      <w:t>&lt;/PathFdR&gt;</w:t>
    </w:r>
    <w:r>
      <w:tab/>
    </w:r>
    <w:r>
      <w:tab/>
    </w:r>
    <w:r>
      <w:t>PE</w:t>
    </w:r>
    <w:r>
      <w:rPr>
        <w:rStyle w:val="HideTWBExt"/>
      </w:rPr>
      <w:t>&lt;NoPE&gt;</w:t>
    </w:r>
    <w:r>
      <w:t>756.072</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EPBody">
    <w:name w:val="EPBody"/>
    <w:basedOn w:val="Normal"/>
    <w:pPr>
      <w:widowControl w:val="0"/>
      <w:jc w:val="center"/>
    </w:pPr>
    <w:rPr>
      <w:rFonts w:ascii="Arial" w:eastAsia="Arial" w:hAnsi="Arial" w:cs="Arial"/>
      <w:i/>
      <w:sz w:val="22"/>
    </w:rPr>
  </w:style>
  <w:style w:type="paragraph" w:customStyle="1" w:styleId="CoverBold">
    <w:name w:val="CoverBold"/>
    <w:basedOn w:val="Normal"/>
    <w:pPr>
      <w:widowControl w:val="0"/>
      <w:ind w:left="1416"/>
    </w:pPr>
    <w:rPr>
      <w:b/>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55</Pages>
  <Words>11278</Words>
  <Characters>67172</Characters>
  <Application>Microsoft Office Word</Application>
  <DocSecurity>0</DocSecurity>
  <Lines>1</Lines>
  <Paragraphs>1041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1289917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35564</vt:lpwstr>
  </property>
  <property fmtid="{D5CDD505-2E9C-101B-9397-08002B2CF9AE}" pid="7" name="dmxml.render.traceId">
    <vt:lpwstr>6564b3a2d41f8dfa8473ee50050f87b5</vt:lpwstr>
  </property>
  <property fmtid="{D5CDD505-2E9C-101B-9397-08002B2CF9AE}" pid="8" name="FooterPath">
    <vt:lpwstr>AM\1289917NL.docx</vt:lpwstr>
  </property>
  <property fmtid="{D5CDD505-2E9C-101B-9397-08002B2CF9AE}" pid="9" name="PE Number">
    <vt:lpwstr>756.072</vt:lpwstr>
  </property>
  <property fmtid="{D5CDD505-2E9C-101B-9397-08002B2CF9AE}" pid="10" name="UID">
    <vt:lpwstr>eu.europa.europarl-DIN1-2023-0000149720_02.00-nl-01.00_text-xml</vt:lpwstr>
  </property>
</Properties>
</file>