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 Europejski</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Komisja Zatrudnienia i Spraw Socjalnych</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Ustanowienie europejskiej karty osoby z niepełnosprawnością i europejskiej karty parkingowej dla osób z niepełnosprawnościami</w:t>
      </w:r>
      <w:r>
        <w:rPr>
          <w:rStyle w:val="HideTWBExt"/>
        </w:rPr>
        <w:t>&lt;/Titre&gt;</w:t>
      </w:r>
    </w:p>
    <w:p>
      <w:pPr>
        <w:pStyle w:val="CoverNormal"/>
      </w:pPr>
      <w:r>
        <w:rPr>
          <w:rStyle w:val="HideTWBExt"/>
        </w:rPr>
        <w:t>&lt;DocAmend&gt;</w:t>
      </w:r>
      <w:r>
        <w:t>Wniosek dotyczący dyrektywy</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2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Komisja zapewnia udostępnienie państwom członkowskim odpowiednich środków finansowych na pokrycie kosztów związanych z dostarczaniem informacji i obowiązkami w zakresie podnoszenia świadomości na podstawie niniejszego artykułu i art. 15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Państwa członkowskie podejmują wszystkie niezbędne działania w celu zapobieżenia ryzyku fałszerstwa lub nadużycia i aktywnie zwalczają przypadki nieuczciwego użycia i fałszowania europejskiej karty osoby z niepełnosprawnością i europejskiej karty parkingowej dla osób z niepełnosprawnościami.</w:t>
            </w:r>
          </w:p>
        </w:tc>
        <w:tc>
          <w:tcPr>
            <w:tcW w:w="4876" w:type="dxa"/>
          </w:tcPr>
          <w:p>
            <w:pPr>
              <w:pStyle w:val="Normal6a"/>
            </w:pPr>
            <w:r>
              <w:t>3.</w:t>
            </w:r>
            <w:r>
              <w:tab/>
            </w:r>
            <w:r>
              <w:t>Państwa członkowskie podejmują wszystkie niezbędne działania w celu zapobieżenia ryzyku fałszerstwa lub nadużycia i aktywnie zwalczają przypadki nieuczciwego użycia i fałszowania europejskiej karty osoby z niepełnosprawnością i europejskiej karty parkingowej dla osób z niepełnosprawnościami</w:t>
            </w:r>
            <w:r>
              <w:rPr>
                <w:b/>
                <w:i/>
              </w:rPr>
              <w:t>, a przy tym nie utrudniają dostępu do karty dla osób z niepełnosprawnościami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Państwa członkowskie podejmują wszystkie niezbędne działania w celu zapobieżenia ryzyku fałszerstwa lub nadużycia i aktywnie zwalczają przypadki nieuczciwego użycia i fałszowania europejskiej karty osoby z niepełnosprawnością i europejskiej karty parkingowej dla osób z niepełnosprawnościami.</w:t>
            </w:r>
          </w:p>
        </w:tc>
        <w:tc>
          <w:tcPr>
            <w:tcW w:w="4876" w:type="dxa"/>
          </w:tcPr>
          <w:p>
            <w:pPr>
              <w:pStyle w:val="Normal6a"/>
            </w:pPr>
            <w:r>
              <w:t>3.</w:t>
            </w:r>
            <w:r>
              <w:tab/>
            </w:r>
            <w:r>
              <w:t xml:space="preserve">Państwa członkowskie podejmują wszystkie niezbędne działania w celu zapobieżenia ryzyku fałszerstwa lub nadużycia i aktywnie zwalczają przypadki nieuczciwego użycia i fałszowania europejskiej karty osoby z niepełnosprawnością i </w:t>
            </w:r>
            <w:r>
              <w:rPr>
                <w:b/>
                <w:i/>
              </w:rPr>
              <w:t>osoby starszej oraz</w:t>
            </w:r>
            <w:r>
              <w:t xml:space="preserve"> europejskiej karty parkingowej dla osób z niepełnosprawnościami </w:t>
            </w:r>
            <w:r>
              <w:rPr>
                <w:b/>
                <w:i/>
              </w:rPr>
              <w:t>i osób starszych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Ponadto instytucje europejskie powinny na bieżąco rozpowszechniać informacje i organizować szkolenia na temat europejskiej karty osoby z niepełnosprawnością za pośrednictwem kolejnych szkoleń i kampanii uświadamiających na temat jej wykorzystania, w formatach zapewniających powszechną dostępność i z udziałem osób z niepełnosprawnościami i reprezentujących je organizacji.</w:t>
            </w:r>
            <w:r>
              <w:t xml:space="preserve"> </w:t>
            </w:r>
            <w:r>
              <w:rPr>
                <w:b/>
                <w:i/>
              </w:rPr>
              <w:t>Informacje te powinny wyraźnie uwzględniać dobrowolny charakter karty.</w:t>
            </w:r>
            <w:r>
              <w:t xml:space="preserve"> </w:t>
            </w:r>
            <w:r>
              <w:rPr>
                <w:b/>
                <w:i/>
              </w:rPr>
              <w:t>W tym celu w Unii należy udostępnić specjalne linie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Państwa członkowskie dopilnowują, aby nadużycia publiczne, zwłaszcza w dziedzinie świadczeń społecznych, były niezwłocznie i dokładnie badane oraz w stosownych przypadkach ścigane, aby zapewnić prawidłowe funkcjonowanie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Państwa członkowskie wdrażają niezbędne środki w celu zapewnienia, aby posiadacze europejskiej karty osoby z niepełnosprawnością lub europejskiej karty parkingowej dla osób z niepełnosprawnościami zwracali swoje karty właściwym organom, kiedy przestaną spełniać warunki stanowiące podstawę wydania im tych kart.</w:t>
            </w:r>
          </w:p>
        </w:tc>
        <w:tc>
          <w:tcPr>
            <w:tcW w:w="4876" w:type="dxa"/>
          </w:tcPr>
          <w:p>
            <w:pPr>
              <w:pStyle w:val="Normal6a"/>
            </w:pPr>
            <w:r>
              <w:t>4.</w:t>
            </w:r>
            <w:r>
              <w:tab/>
            </w:r>
            <w:r>
              <w:t xml:space="preserve">Państwa członkowskie wdrażają niezbędne środki w celu zapewnienia, aby posiadacze europejskiej karty osoby z niepełnosprawnością </w:t>
            </w:r>
            <w:r>
              <w:rPr>
                <w:b/>
                <w:i/>
              </w:rPr>
              <w:t>i osoby starszej</w:t>
            </w:r>
            <w:r>
              <w:t xml:space="preserve"> lub europejskiej karty parkingowej dla osób z niepełnosprawnościami </w:t>
            </w:r>
            <w:r>
              <w:rPr>
                <w:b/>
                <w:i/>
              </w:rPr>
              <w:t>i osób starszych</w:t>
            </w:r>
            <w:r>
              <w:t xml:space="preserve"> zwracali swoje karty właściwym organom, kiedy przestaną spełniać warunki stanowiące podstawę wydania im tych kart.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Państwa członkowskie wdrażają niezbędne środki w celu zapewnienia, aby w przypadku powzięcia informacji o przypadkach nadużycia lub niewłaściwego użycia na ich terytorium kart wydanych przez inne państwo członkowskie poinformowano właściwe organy w państwie członkowskim, w którym wydano europejską kartę osoby z niepełnosprawnością lub europejską kartę parkingową dla osób z niepełnosprawnościami. Państwo członkowskie, w którym wydano kartę, zapewnia odpowiednie działania następcze zgodnie z przepisami lub praktykami krajowymi.</w:t>
            </w:r>
          </w:p>
        </w:tc>
        <w:tc>
          <w:tcPr>
            <w:tcW w:w="4876" w:type="dxa"/>
          </w:tcPr>
          <w:p>
            <w:pPr>
              <w:pStyle w:val="Normal6a"/>
            </w:pPr>
            <w:r>
              <w:t>5.</w:t>
            </w:r>
            <w:r>
              <w:tab/>
            </w:r>
            <w:r>
              <w:t xml:space="preserve">Państwa członkowskie wdrażają niezbędne środki w celu zapewnienia, aby w przypadku powzięcia informacji o przypadkach nadużycia lub niewłaściwego użycia na ich terytorium kart wydanych przez inne państwo członkowskie poinformowano właściwe organy w państwie członkowskim, w którym wydano europejską kartę osoby z niepełnosprawnością lub europejską kartę parkingową dla osób z niepełnosprawnościami. Państwo członkowskie, w którym wydano kartę, zapewnia odpowiednie działania następcze zgodnie z przepisami lub praktykami krajowymi. </w:t>
            </w:r>
            <w:r>
              <w:rPr>
                <w:b/>
                <w:i/>
              </w:rPr>
              <w:t>Państwa członkowskie wymieniają się informacjami o przypadkach nadużywania lub niewłaściwego wykorzystania kart.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Państwa członkowskie wdrażają niezbędne środki w celu zapewnienia, aby w przypadku powzięcia informacji o przypadkach nadużycia lub niewłaściwego użycia na ich terytorium kart wydanych przez inne państwo członkowskie poinformowano właściwe organy w państwie członkowskim, w którym wydano europejską kartę osoby z niepełnosprawnością lub europejską kartę parkingową dla osób z niepełnosprawnościami. Państwo członkowskie, w którym wydano kartę, zapewnia odpowiednie działania następcze zgodnie z przepisami lub praktykami krajowymi.</w:t>
            </w:r>
          </w:p>
        </w:tc>
        <w:tc>
          <w:tcPr>
            <w:tcW w:w="4876" w:type="dxa"/>
          </w:tcPr>
          <w:p>
            <w:pPr>
              <w:pStyle w:val="Normal6a"/>
            </w:pPr>
            <w:r>
              <w:t>5.</w:t>
            </w:r>
            <w:r>
              <w:tab/>
            </w:r>
            <w:r>
              <w:t xml:space="preserve">Państwa członkowskie wdrażają niezbędne środki w celu zapewnienia, aby w przypadku powzięcia informacji o przypadkach nadużycia lub niewłaściwego użycia na ich terytorium kart wydanych przez inne państwo członkowskie poinformowano właściwe organy w państwie członkowskim, w którym wydano europejską kartę osoby z niepełnosprawnością </w:t>
            </w:r>
            <w:r>
              <w:rPr>
                <w:b/>
                <w:i/>
              </w:rPr>
              <w:t>i osoby starszej</w:t>
            </w:r>
            <w:r>
              <w:t xml:space="preserve"> lub europejską kartę parkingową dla osób z niepełnosprawnościami </w:t>
            </w:r>
            <w:r>
              <w:rPr>
                <w:b/>
                <w:i/>
              </w:rPr>
              <w:t>i osób starszych</w:t>
            </w:r>
            <w:r>
              <w:t>. Państwo członkowskie, w którym wydano kartę, zapewnia odpowiednie działania następcze zgodnie z przepisami lub praktykami krajowymi.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Państwa członkowskie przeprowadzają kontrole zgodności z obowiązkami wynikającymi z europejskiej karty osoby z niepełnosprawnością lub europejskiej karty parkingowej dla osób z niepełnosprawnościami oraz z odpowiednimi prawami osób z niepełnosprawnościami posiadających te karty i osób im towarzyszących lub pomagających, w tym ich asystentów osobistych.</w:t>
            </w:r>
          </w:p>
        </w:tc>
        <w:tc>
          <w:tcPr>
            <w:tcW w:w="4876" w:type="dxa"/>
          </w:tcPr>
          <w:p>
            <w:pPr>
              <w:pStyle w:val="Normal6a"/>
            </w:pPr>
            <w:r>
              <w:t>6.</w:t>
            </w:r>
            <w:r>
              <w:tab/>
            </w:r>
            <w:r>
              <w:t xml:space="preserve">Państwa członkowskie przeprowadzają kontrole zgodności z obowiązkami wynikającymi z europejskiej karty osoby z niepełnosprawnością </w:t>
            </w:r>
            <w:r>
              <w:rPr>
                <w:b/>
                <w:i/>
              </w:rPr>
              <w:t>i osoby starszej</w:t>
            </w:r>
            <w:r>
              <w:t xml:space="preserve"> lub europejskiej karty parkingowej dla osób z niepełnosprawnościami </w:t>
            </w:r>
            <w:r>
              <w:rPr>
                <w:b/>
                <w:i/>
              </w:rPr>
              <w:t>i osób starszych</w:t>
            </w:r>
            <w:r>
              <w:t xml:space="preserve"> oraz z odpowiednimi prawami osób z niepełnosprawnościami posiadających te karty i osób im towarzyszących lub pomagających, w tym ich asystentów osobistych.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Informacje, o których mowa w ust. 1 i 2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7.</w:t>
            </w:r>
            <w:r>
              <w:tab/>
            </w:r>
            <w:r>
              <w:t xml:space="preserve">Informacje, o których mowa w ust. 1 i 2 niniejszego artykułu, udostępnia się nieodpłatnie w jasny, wyczerpujący, przyjazny dla użytkownika i łatwo dostępny sposób, w tym za pośrednictwem oficjalnych stron internetowych podmiotów prywatnych lub organów publicznych, o ile takie strony są dostępne, </w:t>
            </w:r>
            <w:r>
              <w:rPr>
                <w:b/>
                <w:i/>
              </w:rPr>
              <w:t>na unijnej stronie internetowej dostępnej we wszystkich językach UE</w:t>
            </w:r>
            <w:r>
              <w:t xml:space="preserve"> lub za pomocą innych odpowiednich środków, zgodnie z odpowiednimi wymogami dostępności usług określonymi w załączniku I do dyrektywy (UE) 2019/882. </w:t>
            </w:r>
            <w:r>
              <w:rPr>
                <w:b/>
                <w:i/>
              </w:rPr>
              <w:t>Informacje te nie mogą przekraczać poziomu złożoności B1 (niższego średniozaawansowanego) według europejskiego systemu opisu kształcenia językowego Rady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Informacje, o których mowa w ust. 1 i 2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7.</w:t>
            </w:r>
            <w:r>
              <w:tab/>
            </w:r>
            <w:r>
              <w:t xml:space="preserve">Informacje, o których mowa w ust. 1 i 2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 </w:t>
            </w:r>
            <w:r>
              <w:rPr>
                <w:b/>
                <w:i/>
              </w:rPr>
              <w:t>Państwa członkowskie podejmują środki wynikające z ust. 1 i 2 niniejszego artykułu w porozumieniu z organizacjami reprezentującymi osoby z niepełnosprawnościami.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Informacje, o których mowa w ust. 1 i 2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7.</w:t>
            </w:r>
            <w:r>
              <w:tab/>
            </w:r>
            <w:r>
              <w:t xml:space="preserve">Informacje, o których mowa w ust. 1 i 2 niniejszego artykułu, udostępnia się nieodpłatnie w jasny, wyczerpujący, przyjazny dla użytkownika i łatwo dostępny sposób, w tym za pośrednictwem </w:t>
            </w:r>
            <w:r>
              <w:rPr>
                <w:b/>
                <w:i/>
              </w:rPr>
              <w:t>unijnej strony internetowej dostępnej we wszystkich językach UE,</w:t>
            </w:r>
            <w:r>
              <w:t xml:space="preserve"> oficjalnych stron internetowych podmiotów prywatnych lub organów publicznych, o ile takie strony są dostępne, lub za pomocą innych odpowiednich środków, zgodnie z odpowiednimi wymogami dostępności usług określonymi w załączniku I do dyrektywy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Informacje, o których mowa w ust. 1 i 2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7.</w:t>
            </w:r>
            <w:r>
              <w:tab/>
            </w:r>
            <w:r>
              <w:t xml:space="preserve">Informacje, o których mowa w ust. 1 i 2 niniejszego artykułu, udostępnia się nieodpłatnie w jasny, wyczerpujący, przyjazny dla użytkownika i łatwo dostępny sposób, w tym za pośrednictwem </w:t>
            </w:r>
            <w:r>
              <w:rPr>
                <w:b/>
                <w:i/>
              </w:rPr>
              <w:t>unijnej strony internetowej dostępnej we wszystkich językach UE,</w:t>
            </w:r>
            <w:r>
              <w:t xml:space="preserve"> oficjalnych stron internetowych podmiotów prywatnych lub organów publicznych, o ile takie strony są dostępne, lub za pomocą innych odpowiednich środków, zgodnie z odpowiednimi wymogami dostępności usług określonymi w załączniku I do dyrektywy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 punkt 1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Należy utworzyć stronę internetową z wszystkimi informacjami o europejskiej karcie osoby z niepełnosprawnością lub europejskiej karty parkingowej dla osób z niepełnosprawnościami oraz w stosownych przypadkach sposób ubiegania się o nie, w powszechnie dostępnym formacie, we wszystkich językach Unii Europejskiej, w tym w języku migowym, łatwą do czytania oraz z wykorzystaniem alternatywnych i wspomagających środków komunikacji.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 punkt 2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ab/>
            </w:r>
            <w:r>
              <w:rPr>
                <w:b/>
                <w:i/>
              </w:rPr>
              <w:t>Organizacje reprezentujące osoby z niepełnosprawnościami powinny uczestniczyć w całym procesie opracowywania, planowania, wdrażania, monitorowania i oceny.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Komisja zapewnia udostępnienie państwom członkowskim odpowiednich środków finansowych na pokrycie kosztów procedur administracyjnych, fizycznego wydania kart, dostarczania informacji i kampanii informacyjnych, a także innych niezbędnych powiązanych kosztów.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Informacje, o których mowa w ust. 1 i 2 niniejszego artykułu, muszą być zrozumiałe i nie mogą przekraczać poziomu złożoności odpowiadającego poziomowi B1 (niższemu średniozaawansowanemu) według europejskiego systemu opisu kształcenia językowego Rady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Informacje, o których mowa w ust. 1 i 2 niniejszego artykułu, muszą być zrozumiałe i nie mogą przekraczać poziomu złożoności odpowiadającego poziomowi B1 (niższemu średniozaawansowanemu) według europejskiego systemu opisu kształcenia językowego Rady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Organizacje reprezentujące osoby z niepełnosprawnościami uczestniczą w całym procesie opracowywania, planowania, realizacji, monitorowania i oceny.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Komisja dopilnowuje, aby państwa członkowskie dysponowały odpowiednimi środkami finansowymi na pokrycie kosztów wdrożenia powyższych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b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Komisja tworzy specjalną unijną stronę internetową z istotnymi i regularnie aktualizowanymi informacjami na temat specjalnych warunków lub preferencyjnego traktowania, oferowanych przez państwa członkowskie posiadaczom europejskiej karty osoby z niepełnosprawnością.</w:t>
            </w:r>
            <w:r>
              <w:t xml:space="preserve"> </w:t>
            </w:r>
            <w:r>
              <w:rPr>
                <w:b/>
                <w:i/>
              </w:rPr>
              <w:t>Strona internetowa jest dostępna we wszystkich językach UE i w przystępnych formatach.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b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Komisja zapewnia udostępnienie państwom członkowskim wystarczających środków finansowych na pokrycie kosztów procedur administracyjnych, fizycznego wydania karty, dostarczania informacji i kampanii informacyjnej, a także innych powiązanych kosztów.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9 – ustęp 7 b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Komisja zapewnia udostępnienie państwom członkowskim odpowiednich środków finansowych na pokrycie kosztów procedur administracyjnych, fizycznego wydania karty, dostarczania informacji i kampanii informacyjnej, a także innych powiązanych kosztów.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10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Do dnia dd.mm.rr r. [w terminie sześciu miesięcy od wejścia w życie niniejszej dyrektywy] państwa członkowskie powiadamiają Komisję o właściwych organach wyznaczonych do wydawania, odnawiania i cofania europejskiej karty osoby z niepełnosprawnością i europejskiej karty parkingowej dla osób z niepełnosprawnościami.</w:t>
            </w:r>
          </w:p>
        </w:tc>
        <w:tc>
          <w:tcPr>
            <w:tcW w:w="4876" w:type="dxa"/>
          </w:tcPr>
          <w:p>
            <w:pPr>
              <w:pStyle w:val="Normal6a"/>
            </w:pPr>
            <w:r>
              <w:t xml:space="preserve">Do dnia dd.mm.rr r. [w terminie sześciu miesięcy od wejścia w życie niniejszej dyrektywy] państwa członkowskie powiadamiają Komisję o właściwych organach wyznaczonych do wydawania, odnawiania i cofania europejskiej karty osoby z niepełnosprawnością i </w:t>
            </w:r>
            <w:r>
              <w:rPr>
                <w:b/>
                <w:i/>
              </w:rPr>
              <w:t>osoby starszej i </w:t>
            </w:r>
            <w:r>
              <w:t xml:space="preserve">europejskiej karty parkingowej dla osób z niepełnosprawnościami </w:t>
            </w:r>
            <w:r>
              <w:rPr>
                <w:b/>
                <w:i/>
              </w:rPr>
              <w:t>i osób starszych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Uprawnienia do przyjmowania aktów delegowanych, o których mowa w art. 6 ust. 7 i art. </w:t>
            </w:r>
            <w:r>
              <w:rPr>
                <w:b/>
                <w:i/>
              </w:rPr>
              <w:t>7 ust. 7</w:t>
            </w:r>
            <w:r>
              <w:t>, powierza się Komisji na czas nieokreślony od dnia [data wejścia w życie niniejszej dyrektywy] r.</w:t>
            </w:r>
          </w:p>
        </w:tc>
        <w:tc>
          <w:tcPr>
            <w:tcW w:w="4876" w:type="dxa"/>
          </w:tcPr>
          <w:p>
            <w:pPr>
              <w:pStyle w:val="Normal6a"/>
            </w:pPr>
            <w:r>
              <w:t>2.</w:t>
            </w:r>
            <w:r>
              <w:tab/>
            </w:r>
            <w:r>
              <w:t>Uprawnienia do przyjmowania aktów delegowanych, o których mowa w art. 6 ust. 7</w:t>
            </w:r>
            <w:r>
              <w:rPr>
                <w:b/>
                <w:i/>
              </w:rPr>
              <w:t>, art. 7 ust. 7</w:t>
            </w:r>
            <w:r>
              <w:t xml:space="preserve"> i art. </w:t>
            </w:r>
            <w:r>
              <w:rPr>
                <w:b/>
                <w:i/>
              </w:rPr>
              <w:t>15 ust. 4</w:t>
            </w:r>
            <w:r>
              <w:t>, powierza się Komisji na czas nieokreślony od dnia [data wejścia w życie niniejszej dyrektywy]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Przed przyjęciem aktu delegowanego Komisja konsultuje się </w:t>
            </w:r>
            <w:r>
              <w:rPr>
                <w:b/>
                <w:i/>
              </w:rPr>
              <w:t>z</w:t>
            </w:r>
            <w:r>
              <w:t xml:space="preserve">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 xml:space="preserve">Przed przyjęciem aktu delegowanego Komisja konsultuje się </w:t>
            </w:r>
            <w:r>
              <w:rPr>
                <w:b/>
                <w:i/>
              </w:rPr>
              <w:t>przede wszystkim i w ramach metod koprodukcji z osobami z niepełnosprawnościami i reprezentującymi je organizacjami, a także z innymi odpowiednimi</w:t>
            </w:r>
            <w:r>
              <w:t xml:space="preserve"> ekspertami wyznaczonymi przez każde państwo członkowskie zgodnie z zasadami określonymi w Porozumieniu międzyinstytucjonalnym z dnia 13 kwietnia 2016 r. w sprawie lepszego stanowienia prawa. </w:t>
            </w:r>
            <w:r>
              <w:rPr>
                <w:b/>
                <w:i/>
              </w:rPr>
              <w:t>Jeżeli zaangażowane osoby z niepełnosprawnościami nie wykonują tej pracy w ramach działalności zawodowej w organizacji osób z niepełnosprawnościami, zapewnia się rekompensatę pieniężną.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11 −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Przed przyjęciem aktu delegowanego Komisja konsultuje się z ekspertami wyznaczonymi przez każde państwo członkowskie zgodnie z zasadami określonymi w Porozumieniu międzyinstytucjonalnym z dnia 13 kwietnia 2016 r. w sprawie lepszego stanowienia prawa.</w:t>
            </w:r>
          </w:p>
        </w:tc>
        <w:tc>
          <w:tcPr>
            <w:tcW w:w="4876" w:type="dxa"/>
          </w:tcPr>
          <w:p>
            <w:pPr>
              <w:pStyle w:val="Normal6a"/>
            </w:pPr>
            <w:r>
              <w:t>4.</w:t>
            </w:r>
            <w:r>
              <w:tab/>
            </w:r>
            <w:r>
              <w:t>Przed przyjęciem aktu delegowanego Komisja konsultuje się z ekspertami wyznaczonymi przez każde państwo członkowskie</w:t>
            </w:r>
            <w:r>
              <w:rPr>
                <w:b/>
                <w:i/>
              </w:rPr>
              <w:t>, a także z osobami z niepełnosprawnościami i reprezentującymi je organizacjami,</w:t>
            </w:r>
            <w:r>
              <w:t xml:space="preserve"> zgodnie z zasadami określonymi w Porozumieniu międzyinstytucjonalnym z dnia 13 kwietnia 2016 r. w sprawie lepszego stanowienia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formalnie oraz w ramach metod koprodukcji i partycypacji zapewnia ona formalny i nieformalny udział organizacji reprezentujących osoby z niepełnosprawnościami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zapewnia ona konstruktywny udział różnych organizacji reprezentujących osoby z niepełnosprawnościami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zapewnia ona konstruktywny udział organizacji reprezentujących osoby z niepełnosprawnościami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zapewnia ona konstruktywny udział organizacji reprezentujących osoby z niepełnosprawnościami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zapewnia ona konstruktywny udział organizacji reprezentujących osoby z niepełnosprawnościami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zapewnia ona konstruktywny udział organizacji reprezentujących osoby z niepełnosprawnościami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Komisję wspomaga komitet</w:t>
            </w:r>
            <w:r>
              <w:rPr>
                <w:b/>
                <w:i/>
              </w:rPr>
              <w:t>, a ponadto zapewnia ona udział osób z niepełnosprawnościami i reprezentujących je organizacji</w:t>
            </w:r>
            <w:r>
              <w:t>. Komitet ten jest komitetem w rozumieniu rozporządzenia (UE)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Komisję wspomaga komitet. Komitet ten jest komitetem w rozumieniu rozporządzenia (UE) nr 182/2011.</w:t>
            </w:r>
          </w:p>
        </w:tc>
        <w:tc>
          <w:tcPr>
            <w:tcW w:w="4876" w:type="dxa"/>
          </w:tcPr>
          <w:p>
            <w:pPr>
              <w:pStyle w:val="Normal6a"/>
            </w:pPr>
            <w:r>
              <w:t>1.</w:t>
            </w:r>
            <w:r>
              <w:tab/>
            </w:r>
            <w:r>
              <w:t xml:space="preserve">Komisję wspomaga komitet. Komitet ten jest komitetem w rozumieniu rozporządzenia (UE) nr 182/2011 </w:t>
            </w:r>
            <w:r>
              <w:rPr>
                <w:b/>
                <w:i/>
              </w:rPr>
              <w:t>i obejmuje organizacje reprezentujące osoby z niepełnosprawnościami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13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Państwa członkowskie zapewniają istnienie odpowiednich i skutecznych środków zapewniających przestrzeganie niniejszej dyrektywy.</w:t>
            </w:r>
          </w:p>
        </w:tc>
        <w:tc>
          <w:tcPr>
            <w:tcW w:w="4876" w:type="dxa"/>
          </w:tcPr>
          <w:p>
            <w:pPr>
              <w:pStyle w:val="Normal6a"/>
            </w:pPr>
            <w:r>
              <w:t>1.</w:t>
            </w:r>
            <w:r>
              <w:tab/>
            </w:r>
            <w:r>
              <w:t xml:space="preserve">Państwa członkowskie zapewniają istnienie odpowiednich i skutecznych środków zapewniających przestrzeganie niniejszej dyrektywy. </w:t>
            </w:r>
            <w:r>
              <w:rPr>
                <w:b/>
                <w:i/>
              </w:rPr>
              <w:t>Należy wspierać udział organizacji społeczeństwa obywatelskiego i stowarzyszeń reprezentujących osoby z niepełnosprawnościami oraz stały dialog z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13 – ustęp 2 – litera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przepisy, na podstawie których osoby z niepełnosprawnościami mogą wnieść skargę na mocy prawa krajowego do sądu lub właściwego organu administracyjnego w przypadku naruszenia ich praw wynikających z niniejszej dyrektywy i określonych w przepisach krajowych wdrażających niniejszą dyrektywę;</w:t>
            </w:r>
          </w:p>
        </w:tc>
        <w:tc>
          <w:tcPr>
            <w:tcW w:w="4876" w:type="dxa"/>
          </w:tcPr>
          <w:p>
            <w:pPr>
              <w:pStyle w:val="Normal6a"/>
            </w:pPr>
            <w:r>
              <w:t>a)</w:t>
            </w:r>
            <w:r>
              <w:tab/>
            </w:r>
            <w:r>
              <w:t xml:space="preserve">przepisy, na podstawie których osoby z niepełnosprawnościami </w:t>
            </w:r>
            <w:r>
              <w:rPr>
                <w:b/>
                <w:i/>
              </w:rPr>
              <w:t>i reprezentujące je organizacje</w:t>
            </w:r>
            <w:r>
              <w:t xml:space="preserve"> mogą wnieść skargę na mocy prawa krajowego do sądu lub właściwego organu administracyjnego w przypadku naruszenia ich praw wynikających z niniejszej dyrektywy i określonych w przepisach krajowych wdrażających niniejszą dyrektywę;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13 – ustęp 2 – litera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przepisy, na podstawie których organy publiczne lub prywatne stowarzyszenia, organizacje lub inne podmioty prawne, które mają uzasadniony interes w zapewnieniu zgodności z przepisami niniejszej dyrektywy, mogą podejmować działania zgodnie z prawem i procedurami krajowymi przed sądem lub właściwym organem administracyjnym w imieniu osoby z niepełnosprawnościami lub w celu jej wsparcia, za jej zgodą, w ramach dowolnego postępowania sądowego lub administracyjnego dotyczącego egzekwowania obowiązków określonych w niniejszej dyrektywie.</w:t>
            </w:r>
          </w:p>
        </w:tc>
        <w:tc>
          <w:tcPr>
            <w:tcW w:w="4876" w:type="dxa"/>
          </w:tcPr>
          <w:p>
            <w:pPr>
              <w:pStyle w:val="Normal6a"/>
            </w:pPr>
            <w:r>
              <w:t>b)</w:t>
            </w:r>
            <w:r>
              <w:tab/>
            </w:r>
            <w:r>
              <w:t>przepisy, na podstawie których organy publiczne</w:t>
            </w:r>
            <w:r>
              <w:rPr>
                <w:b/>
                <w:i/>
              </w:rPr>
              <w:t>, np. organy ds. równości,</w:t>
            </w:r>
            <w:r>
              <w:t xml:space="preserve"> lub prywatne stowarzyszenia, organizacje</w:t>
            </w:r>
            <w:r>
              <w:rPr>
                <w:b/>
                <w:i/>
              </w:rPr>
              <w:t>, w szczególności organizacje reprezentujące osoby z niepełnosprawnościami,</w:t>
            </w:r>
            <w:r>
              <w:t xml:space="preserve"> lub inne podmioty prawne, które mają uzasadniony interes w zapewnieniu zgodności z przepisami niniejszej dyrektywy, mogą podejmować działania zgodnie z prawem i procedurami krajowymi przed sądem lub właściwym organem administracyjnym w imieniu osoby z niepełnosprawnościami lub w celu jej wsparcia, za jej zgodą, w ramach dowolnego postępowania sądowego lub administracyjnego dotyczącego egzekwowania obowiązków określonych w niniejszej dyrektywie.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13 – ustęp 2 – litera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przepisy, na podstawie których organy publiczne lub prywatne stowarzyszenia, organizacje lub inne podmioty prawne, które mają uzasadniony interes w zapewnieniu zgodności z przepisami niniejszej dyrektywy, mogą podejmować działania zgodnie z prawem i procedurami krajowymi przed sądem lub właściwym organem administracyjnym w imieniu osoby z niepełnosprawnościami lub w celu jej wsparcia, za jej zgodą, w ramach dowolnego postępowania sądowego lub administracyjnego dotyczącego egzekwowania obowiązków określonych w niniejszej dyrektywie.</w:t>
            </w:r>
          </w:p>
        </w:tc>
        <w:tc>
          <w:tcPr>
            <w:tcW w:w="4876" w:type="dxa"/>
          </w:tcPr>
          <w:p>
            <w:pPr>
              <w:pStyle w:val="Normal6a"/>
            </w:pPr>
            <w:r>
              <w:t>b)</w:t>
            </w:r>
            <w:r>
              <w:tab/>
            </w:r>
            <w:r>
              <w:t>przepisy, na podstawie których organy publiczne lub prywatne stowarzyszenia, organizacje lub inne podmioty prawne, które mają uzasadniony interes w zapewnieniu zgodności z przepisami niniejszej dyrektywy, mogą podejmować działania zgodnie z prawem i procedurami krajowymi przed sądem lub właściwym organem administracyjnym w imieniu osoby z niepełnosprawnościami lub </w:t>
            </w:r>
            <w:r>
              <w:rPr>
                <w:b/>
                <w:i/>
              </w:rPr>
              <w:t>osoby starszej lub</w:t>
            </w:r>
            <w:r>
              <w:t xml:space="preserve"> w celu jej wsparcia, za jej zgodą, w ramach dowolnego postępowania sądowego lub administracyjnego dotyczącego egzekwowania obowiązków określonych w niniejszej dyrektywie.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13 – ustęp 2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Należy powołać organ, który stworzy mechanizm instytucjonalny służący monitorowaniu i kontroli zgodności z przepisami dotyczącymi wdrażania, monitorowania i oceny europejskiej karty osoby z niepełnosprawnością.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Państwa członkowskie zapewniają, aby podmioty prywatne lub organy publiczne podawały do wiadomości publicznej w dostępnych formatach informacje na temat wszelkich warunków specjalnych lub preferencyjnego traktowania zgodnie z art. 5.</w:t>
            </w:r>
          </w:p>
        </w:tc>
        <w:tc>
          <w:tcPr>
            <w:tcW w:w="4876" w:type="dxa"/>
          </w:tcPr>
          <w:p>
            <w:pPr>
              <w:pStyle w:val="Normal6a"/>
            </w:pPr>
            <w:r>
              <w:t>1.</w:t>
            </w:r>
            <w:r>
              <w:tab/>
            </w:r>
            <w:r>
              <w:t>Państwa członkowskie zapewniają, aby podmioty prywatne lub organy publiczne podawały do wiadomości publicznej w </w:t>
            </w:r>
            <w:r>
              <w:rPr>
                <w:b/>
                <w:i/>
              </w:rPr>
              <w:t>jasny, wyczerpujący, przyjazny dla użytkownika i łatwo dostępny sposób i w </w:t>
            </w:r>
            <w:r>
              <w:t xml:space="preserve">dostępnych formatach informacje na temat wszelkich warunków specjalnych lub preferencyjnego traktowania zgodnie z art. 5. </w:t>
            </w:r>
            <w:r>
              <w:rPr>
                <w:b/>
                <w:i/>
              </w:rPr>
              <w:t>Komisja tworzy specjalną stronę internetową, dostępną we wszystkich językach UE, w tym we wszystkich krajowych językach migowych UE, z treściami audio i wideo oraz w przystępnych formatach, zestawiającą specjalne warunki lub preferencyjne traktowanie, oferowane przez ich organy publiczne.</w:t>
            </w:r>
            <w:r>
              <w:t xml:space="preserve"> </w:t>
            </w:r>
            <w:r>
              <w:rPr>
                <w:b/>
                <w:i/>
              </w:rPr>
              <w:t>Państwa członkowskie ułatwiają za pomocą strony internetowej dostęp do informacji dotyczących ewentualnie dostępnych specjalnych warunków lub preferencyjnego traktowania, oferowanych przez podmioty publiczne i prywatne oraz regularnie aktualizują te informacje zgodnie ze zmianami w ustawodawstwie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Państwa członkowskie zapewniają, aby podmioty prywatne lub organy publiczne podawały do wiadomości publicznej w dostępnych formatach informacje na temat wszelkich warunków specjalnych lub preferencyjnego traktowania zgodnie z art. 5.</w:t>
            </w:r>
          </w:p>
        </w:tc>
        <w:tc>
          <w:tcPr>
            <w:tcW w:w="4876" w:type="dxa"/>
          </w:tcPr>
          <w:p>
            <w:pPr>
              <w:pStyle w:val="Normal6a"/>
            </w:pPr>
            <w:r>
              <w:t>1.</w:t>
            </w:r>
            <w:r>
              <w:tab/>
            </w:r>
            <w:r>
              <w:t>Państwa członkowskie zapewniają, aby podmioty prywatne lub organy publiczne podawały do wiadomości publicznej w </w:t>
            </w:r>
            <w:r>
              <w:rPr>
                <w:b/>
                <w:i/>
              </w:rPr>
              <w:t>jasny, wyczerpujący, przyjazny dla użytkownika i łatwo dostępny sposób i w </w:t>
            </w:r>
            <w:r>
              <w:t xml:space="preserve">dostępnych formatach informacje na temat wszelkich warunków specjalnych lub preferencyjnego traktowania zgodnie z art. 5. </w:t>
            </w:r>
            <w:r>
              <w:rPr>
                <w:b/>
                <w:i/>
              </w:rPr>
              <w:t>Państwa członkowskie tworzą specjalną stronę internetową zawierającą informacje dotyczące warunków specjalnych lub preferencyjnego traktowania, oferowanych przez ich organy publiczne.</w:t>
            </w:r>
            <w:r>
              <w:t xml:space="preserve"> </w:t>
            </w:r>
            <w:r>
              <w:rPr>
                <w:b/>
                <w:i/>
              </w:rPr>
              <w:t>Państwa członkowskie mogą też ułatwiać na tej stronie internetowej przekazywanie informacji dotyczących ewentualnie dostępnych warunków specjalnych lub preferencyjnego traktowania oferowanych przez podmioty prywatne.</w:t>
            </w:r>
            <w:r>
              <w:t xml:space="preserve"> </w:t>
            </w:r>
            <w:r>
              <w:rPr>
                <w:b/>
                <w:i/>
              </w:rPr>
              <w:t>Strona internetowa jest sporządzona w języku(-ach) urzędowym(-ych) państw członkowskich, w krajowym języku migowym i w języku angielskim, a także w każdym innym odpowiednim języku(-ach) określonym(-ych) przez państwo członkowskie.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Państwa członkowskie zapewniają, aby podmioty prywatne lub organy publiczne podawały do wiadomości publicznej </w:t>
            </w:r>
            <w:r>
              <w:rPr>
                <w:b/>
                <w:i/>
              </w:rPr>
              <w:t>w dostępnych formatach</w:t>
            </w:r>
            <w:r>
              <w:t xml:space="preserve"> informacje na temat wszelkich warunków specjalnych lub preferencyjnego traktowania zgodnie z art. 5.</w:t>
            </w:r>
          </w:p>
        </w:tc>
        <w:tc>
          <w:tcPr>
            <w:tcW w:w="4876" w:type="dxa"/>
          </w:tcPr>
          <w:p>
            <w:pPr>
              <w:pStyle w:val="Normal6a"/>
            </w:pPr>
            <w:r>
              <w:t>1.</w:t>
            </w:r>
            <w:r>
              <w:tab/>
            </w:r>
            <w:r>
              <w:t>Państwa członkowskie zapewniają, aby podmioty prywatne lub organy publiczne podawały do wiadomości publicznej informacje na temat wszelkich warunków specjalnych lub preferencyjnego traktowania zgodnie z art. 5</w:t>
            </w:r>
            <w:r>
              <w:rPr>
                <w:b/>
                <w:i/>
              </w:rPr>
              <w:t> w dostępnych formatach (w tym w formatach łatwych do czytania i z nagraniami wideo w krajowym i międzynarodowym języku migowym) na dostępnej internetowej platformie informacyjnej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Państwa członkowskie zapewniają, aby podmioty prywatne lub organy publiczne podawały do wiadomości publicznej w dostępnych formatach informacje na temat wszelkich warunków specjalnych lub preferencyjnego traktowania zgodnie z art. 5.</w:t>
            </w:r>
          </w:p>
        </w:tc>
        <w:tc>
          <w:tcPr>
            <w:tcW w:w="4876" w:type="dxa"/>
          </w:tcPr>
          <w:p>
            <w:pPr>
              <w:pStyle w:val="Normal6a"/>
            </w:pPr>
            <w:r>
              <w:t>1.</w:t>
            </w:r>
            <w:r>
              <w:tab/>
            </w:r>
            <w:r>
              <w:t xml:space="preserve">Państwa członkowskie zapewniają, aby podmioty prywatne lub organy publiczne podawały do wiadomości publicznej w dostępnych formatach informacje na temat wszelkich warunków specjalnych lub preferencyjnego traktowania zgodnie z art. 5. </w:t>
            </w:r>
            <w:r>
              <w:rPr>
                <w:b/>
                <w:i/>
              </w:rPr>
              <w:t>W tym celu należy zapewnić wystarczające finansowanie UE, jak określono w art.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Państwa członkowskie zapewniają, aby podmioty prywatne lub organy publiczne podawały do wiadomości publicznej w dostępnych formatach informacje na temat wszelkich warunków specjalnych lub preferencyjnego traktowania zgodnie z art. 5.</w:t>
            </w:r>
          </w:p>
        </w:tc>
        <w:tc>
          <w:tcPr>
            <w:tcW w:w="4876" w:type="dxa"/>
          </w:tcPr>
          <w:p>
            <w:pPr>
              <w:pStyle w:val="Normal6a"/>
            </w:pPr>
            <w:r>
              <w:t>1.</w:t>
            </w:r>
            <w:r>
              <w:tab/>
            </w:r>
            <w:r>
              <w:t xml:space="preserve">Państwa członkowskie zapewniają, aby podmioty prywatne lub organy publiczne podawały do wiadomości publicznej w dostępnych formatach informacje na temat wszelkich warunków specjalnych lub preferencyjnego traktowania zgodnie z art. 5. </w:t>
            </w:r>
            <w:r>
              <w:rPr>
                <w:b/>
                <w:i/>
              </w:rPr>
              <w:t>W tym celu należy zapewnić finansowanie UE, jak określono w art.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zachęcają podmioty prywatne lub organy publiczne do dobrowolnego zapewniania osobom z niepełnosprawnościami warunków specjalnych lub preferencyjnego traktowania.</w:t>
            </w:r>
          </w:p>
        </w:tc>
        <w:tc>
          <w:tcPr>
            <w:tcW w:w="4876" w:type="dxa"/>
          </w:tcPr>
          <w:p>
            <w:pPr>
              <w:pStyle w:val="Normal6a"/>
            </w:pPr>
            <w:r>
              <w:t>2.</w:t>
            </w:r>
            <w:r>
              <w:tab/>
            </w:r>
            <w:r>
              <w:t xml:space="preserve">Państwa członkowskie </w:t>
            </w:r>
            <w:r>
              <w:rPr>
                <w:b/>
                <w:i/>
              </w:rPr>
              <w:t>wspierają i</w:t>
            </w:r>
            <w:r>
              <w:t xml:space="preserve"> zachęcają podmioty prywatne lub organy publiczne do dobrowolnego zapewniania osobom z niepełnosprawnościami warunków specjalnych lub preferencyjnego traktowania </w:t>
            </w:r>
            <w:r>
              <w:rPr>
                <w:b/>
                <w:i/>
              </w:rPr>
              <w:t>w jak najszerszym zakresie usług, innych działań i udogodnień</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 szczególności państwa członkowskie wspierają i zachęcają podmioty prywatne i organy publiczne m.in. dzięki przekazywaniu informacji i wymianie najlepszych praktyk dotyczących ewentualnych specjalnych warunków lub preferencyjnego traktowania, które mają być oferowane, oraz dzięki uwzględnianiu problematyki niepełnosprawności i organizowaniu szkoleń uświadamiających, aby zapewnić adekwatność, skuteczność i inkluzywność wszelkich oferowanych specjalnych warunków lub preferencyjnego traktowania.</w:t>
            </w:r>
            <w:r>
              <w:t xml:space="preserve"> </w:t>
            </w:r>
            <w:r>
              <w:rPr>
                <w:b/>
                <w:i/>
              </w:rPr>
              <w:t>Państwa członkowskie dopilnowują, aby wszystkie takie środki były realizowane we współpracy z osobami z niepełnosprawnościami i reprezentującymi je organizacjami.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zachęcają podmioty prywatne lub organy publiczne do dobrowolnego zapewniania osobom z niepełnosprawnościami warunków specjalnych lub preferencyjnego traktowania.</w:t>
            </w:r>
          </w:p>
        </w:tc>
        <w:tc>
          <w:tcPr>
            <w:tcW w:w="4876" w:type="dxa"/>
          </w:tcPr>
          <w:p>
            <w:pPr>
              <w:pStyle w:val="Normal6a"/>
            </w:pPr>
            <w:r>
              <w:t>2.</w:t>
            </w:r>
            <w:r>
              <w:tab/>
            </w:r>
            <w:r>
              <w:t xml:space="preserve">Państwa członkowskie zachęcają podmioty prywatne lub organy publiczne do dobrowolnego zapewniania osobom z niepełnosprawnościami warunków specjalnych lub preferencyjnego traktowania </w:t>
            </w:r>
            <w:r>
              <w:rPr>
                <w:b/>
                <w:i/>
              </w:rPr>
              <w:t>oraz do opracowania wspólnych europejskich wytycznych dla organów publicznych i podmiotów prywatnych zgodnie z art. 5, aby odpowiednio zapewnić spełnienie wymogów dostępności usług określonych w załączniku I do dyrektywy (UE) 2019/882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zachęcają podmioty prywatne lub organy publiczne do dobrowolnego zapewniania osobom z niepełnosprawnościami warunków specjalnych lub preferencyjnego traktowania.</w:t>
            </w:r>
          </w:p>
        </w:tc>
        <w:tc>
          <w:tcPr>
            <w:tcW w:w="4876" w:type="dxa"/>
          </w:tcPr>
          <w:p>
            <w:pPr>
              <w:pStyle w:val="Normal6a"/>
            </w:pPr>
            <w:r>
              <w:t>2.</w:t>
            </w:r>
            <w:r>
              <w:tab/>
            </w:r>
            <w:r>
              <w:t xml:space="preserve">Państwa członkowskie zachęcają podmioty prywatne lub organy publiczne do dobrowolnego zapewniania osobom z niepełnosprawnościami </w:t>
            </w:r>
            <w:r>
              <w:rPr>
                <w:b/>
                <w:i/>
              </w:rPr>
              <w:t>i osobom starszym</w:t>
            </w:r>
            <w:r>
              <w:t xml:space="preserve"> warunków specjalnych lub preferencyjnego traktowania.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3.</w:t>
            </w:r>
            <w:r>
              <w:tab/>
            </w:r>
            <w:r>
              <w:t xml:space="preserve">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 </w:t>
            </w:r>
            <w:r>
              <w:rPr>
                <w:b/>
                <w:i/>
              </w:rPr>
              <w:t>Komisja tworzy portal cyfrowy z wszystkimi informacjami dotyczącymi korzyści wynikających z posiadania europejskiej karty osoby z niepełnosprawnością i europejskiej karty parkingowej we wszystkich państwach członkowskich, w tym informacje na temat poszczególnych procedur w każdym państwie członkowskim.</w:t>
            </w:r>
            <w:r>
              <w:t xml:space="preserve"> </w:t>
            </w:r>
            <w:r>
              <w:rPr>
                <w:b/>
                <w:i/>
              </w:rPr>
              <w:t>Państwa członkowskie przesyłają takie informacje Komisji i aktualizują je zgodnie z wymogami sprawozdawczości określonymi w art. 16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r>
              <w:rPr>
                <w:b/>
                <w:i/>
              </w:rPr>
              <w:t>, i nie przekraczają one poziomu złożoności odpowiadającego poziomowi B1 (niższemu średniozaawansowanemu) według europejskiego systemu opisu kształcenia językowego Rady Europy, włącznie z krajowym językiem migowym lub krajowymi językami migowymi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r>
              <w:rPr>
                <w:b/>
                <w:i/>
              </w:rPr>
              <w:t>, i nie przekraczają one poziomu złożoności odpowiadającego poziomowi B1 (niższemu średniozaawansowanemu) według europejskiego systemu opisu kształcenia językowego Rady Europy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r>
              <w:rPr>
                <w:b/>
                <w:i/>
              </w:rPr>
              <w:t>, i nie przekraczają one poziomu złożoności odpowiadającego poziomowi B1 (niższemu średniozaawansowanemu) według europejskiego systemu opisu kształcenia językowego Rady Europy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3.</w:t>
            </w:r>
            <w:r>
              <w:tab/>
            </w:r>
            <w:r>
              <w:t xml:space="preserve">Informacje, o których mowa w ust. 1 niniejszego artykułu, udostępnia się nieodpłatnie </w:t>
            </w:r>
            <w:r>
              <w:rPr>
                <w:b/>
                <w:i/>
              </w:rPr>
              <w:t>we wszystkich językach UE,</w:t>
            </w:r>
            <w:r>
              <w:t xml:space="preserve"> w jasny, wyczerpujący, przyjazny dla użytkownika i łatwo dostępny sposób</w:t>
            </w:r>
            <w:r>
              <w:rPr>
                <w:b/>
                <w:i/>
              </w:rPr>
              <w:t>, w dostępnych formatach (w tym w formatach łatwych do czytania i z nagraniami wideo w krajowym i międzynarodowym języku migowym)</w:t>
            </w:r>
            <w:r>
              <w:t>,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p>
        </w:tc>
        <w:tc>
          <w:tcPr>
            <w:tcW w:w="4876" w:type="dxa"/>
          </w:tcPr>
          <w:p>
            <w:pPr>
              <w:pStyle w:val="Normal6a"/>
            </w:pPr>
            <w:r>
              <w:t>3.</w:t>
            </w:r>
            <w:r>
              <w:tab/>
            </w:r>
            <w:r>
              <w:t>Informacje, o których mowa w ust. 1 niniejszego artykułu, udostępnia się nieodpłatnie w jasny, wyczerpujący, przyjazny dla użytkownika i łatwo dostępny sposób, w tym za pośrednictwem oficjalnych stron internetowych podmiotów prywatnych lub organów publicznych, o ile takie strony są dostępne, lub za pomocą innych odpowiednich środków, zgodnie z odpowiednimi wymogami dostępności usług określonymi w załączniku I do dyrektywy (UE) 2019/882</w:t>
            </w:r>
            <w:r>
              <w:rPr>
                <w:b/>
                <w:i/>
              </w:rPr>
              <w:t>, i nie przekraczają one poziomu złożoności poziomu B1 (niższemu średniozaawansowanemu) według europejskiego systemu opisu kształcenia językowego Rady Europy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15 – ustęp 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Komisja jest uprawniona do przyjmowania aktów delegowanych zgodnie z art. 11 w celu uzupełnienia dyrektywy w odniesieniu do stworzenia oficjalnej strony internetowej UE, dostępnej we wszystkich językach UE, służącej gromadzeniu informacji, o których mowa w ust. 1 niniejszego artykułu, aby ułatwić posiadaczom karty korzystanie z nich, zgodnie z odpowiednimi wymogami dostępności usług określonymi w załączniku I do dyrektywy (UE) 2019/882.</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Przydatne byłoby stworzenie na szczeblu UE strony internetowej dostępnej we wszystkich językach UE, którą można przeglądać w podziale na państwa członkowskie, aby ułatwić korzystanie z niej posiadaczom karty.</w:t>
      </w:r>
      <w:r>
        <w:t xml:space="preserve"> </w:t>
      </w:r>
      <w:r>
        <w:t>Byłoby to znacznie łatwiejsze dla użytkowników niż 27 indywidualnych stron internetowych o różnych układach, strukturach i językach, a ponadto pozwoli zaoszczędzić koszty.</w:t>
      </w:r>
    </w:p>
    <w:p>
      <w:r>
        <w:rPr>
          <w:rStyle w:val="HideTWBExt"/>
        </w:rPr>
        <w:t>&lt;/Amend&gt;</w:t>
      </w:r>
    </w:p>
    <w:p>
      <w:pPr>
        <w:pStyle w:val="AmNumberTabs"/>
      </w:pPr>
      <w:r>
        <w:rPr>
          <w:rStyle w:val="HideTWBExt"/>
        </w:rPr>
        <w:t>&lt;Amend&gt;</w:t>
      </w:r>
      <w:r>
        <w:t>Poprawka</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16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 dnia dd.mm.rr r. [</w:t>
            </w:r>
            <w:r>
              <w:rPr>
                <w:b/>
                <w:i/>
              </w:rPr>
              <w:t>trzy</w:t>
            </w:r>
            <w:r>
              <w:t xml:space="preserve"> lata po dacie rozpoczęcia stosowania niniejszej dyrektywy], a następnie co </w:t>
            </w:r>
            <w:r>
              <w:rPr>
                <w:b/>
                <w:i/>
              </w:rPr>
              <w:t>pięć lat</w:t>
            </w:r>
            <w:r>
              <w:t>, Komisja przedkłada Parlamentowi Europejskiemu, Radzie, Europejskiemu Komitetowi Ekonomiczno-Społecznemu i Komitetowi Regionów sprawozdanie ze stosowania niniejszej dyrektywy.</w:t>
            </w:r>
          </w:p>
        </w:tc>
        <w:tc>
          <w:tcPr>
            <w:tcW w:w="4876" w:type="dxa"/>
          </w:tcPr>
          <w:p>
            <w:pPr>
              <w:pStyle w:val="Normal6a"/>
            </w:pPr>
            <w:r>
              <w:t>1.</w:t>
            </w:r>
            <w:r>
              <w:tab/>
            </w:r>
            <w:r>
              <w:t>Do dnia dd.mm.rr r. [</w:t>
            </w:r>
            <w:r>
              <w:rPr>
                <w:b/>
                <w:i/>
              </w:rPr>
              <w:t>dwa</w:t>
            </w:r>
            <w:r>
              <w:t xml:space="preserve"> lata po dacie rozpoczęcia stosowania niniejszej dyrektywy], a następnie co </w:t>
            </w:r>
            <w:r>
              <w:rPr>
                <w:b/>
                <w:i/>
              </w:rPr>
              <w:t>trzy lata</w:t>
            </w:r>
            <w:r>
              <w:t>, Komisja przedkłada Parlamentowi Europejskiemu, Radzie, Europejskiemu Komitetowi Ekonomiczno-Społecznemu i Komitetowi Regionów sprawozdanie ze stosowania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16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W sprawozdaniu tym uwzględnia się między innymi stosowanie europejskiej karty osoby z niepełnosprawnością i europejskiej karty parkingowej dla osób z niepełnosprawnościami w świetle rozwoju społecznego i gospodarczego, aby ocenić konieczność zmiany niniejszej dyrektywy.</w:t>
            </w:r>
          </w:p>
        </w:tc>
        <w:tc>
          <w:tcPr>
            <w:tcW w:w="4876" w:type="dxa"/>
          </w:tcPr>
          <w:p>
            <w:pPr>
              <w:pStyle w:val="Normal6a"/>
            </w:pPr>
            <w:r>
              <w:t>2.</w:t>
            </w:r>
            <w:r>
              <w:tab/>
            </w:r>
            <w:r>
              <w:t xml:space="preserve">W sprawozdaniu tym uwzględnia się między innymi stosowanie europejskiej karty osoby z niepełnosprawnością i europejskiej karty parkingowej dla osób z niepełnosprawnościami w świetle rozwoju społecznego i gospodarczego </w:t>
            </w:r>
            <w:r>
              <w:rPr>
                <w:b/>
                <w:i/>
              </w:rPr>
              <w:t>i innych istotnych zmian</w:t>
            </w:r>
            <w:r>
              <w:t xml:space="preserve">, aby ocenić konieczność zmiany niniejszej dyrektywy. </w:t>
            </w:r>
            <w:r>
              <w:rPr>
                <w:b/>
                <w:i/>
              </w:rPr>
              <w:t>Sprawozdanie zawiera analizę równouprawnienia płci dotyczącą wpływu przepisów niniejszej dyrektywy na swobodę przemieszczania się kobiet i dziewcząt z niepełnosprawnościami.</w:t>
            </w:r>
            <w:r>
              <w:t xml:space="preserve"> </w:t>
            </w:r>
            <w:r>
              <w:rPr>
                <w:b/>
                <w:i/>
              </w:rPr>
              <w:t>W sprawozdaniu ocenia się również skuteczność środków zachęcających, które państwa członkowskie zapewniają usługodawcom.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16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W sprawozdaniu tym uwzględnia się między innymi stosowanie europejskiej karty osoby z niepełnosprawnością i europejskiej karty parkingowej dla osób z niepełnosprawnościami w świetle rozwoju społecznego </w:t>
            </w:r>
            <w:r>
              <w:rPr>
                <w:b/>
                <w:i/>
              </w:rPr>
              <w:t>i gospodarczego</w:t>
            </w:r>
            <w:r>
              <w:t>, aby ocenić konieczność zmiany niniejszej dyrektywy.</w:t>
            </w:r>
          </w:p>
        </w:tc>
        <w:tc>
          <w:tcPr>
            <w:tcW w:w="4876" w:type="dxa"/>
          </w:tcPr>
          <w:p>
            <w:pPr>
              <w:pStyle w:val="Normal6a"/>
            </w:pPr>
            <w:r>
              <w:t>2.</w:t>
            </w:r>
            <w:r>
              <w:tab/>
            </w:r>
            <w:r>
              <w:t>W sprawozdaniu tym uwzględnia się między innymi stosowanie europejskiej karty osoby z niepełnosprawnością i europejskiej karty parkingowej dla osób z niepełnosprawnościami w świetle rozwoju społecznego</w:t>
            </w:r>
            <w:r>
              <w:rPr>
                <w:b/>
                <w:i/>
              </w:rPr>
              <w:t>, gospodarczego i innych istotnych zmian, w tym technologicznych</w:t>
            </w:r>
            <w:r>
              <w:t>, aby ocenić konieczność zmiany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16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W sprawozdaniu tym uwzględnia się między innymi stosowanie europejskiej karty osoby z niepełnosprawnością i europejskiej karty parkingowej dla osób z niepełnosprawnościami w świetle rozwoju społecznego i gospodarczego, aby ocenić konieczność zmiany niniejszej dyrektywy.</w:t>
            </w:r>
          </w:p>
        </w:tc>
        <w:tc>
          <w:tcPr>
            <w:tcW w:w="4876" w:type="dxa"/>
          </w:tcPr>
          <w:p>
            <w:pPr>
              <w:pStyle w:val="Normal6a"/>
            </w:pPr>
            <w:r>
              <w:t>2.</w:t>
            </w:r>
            <w:r>
              <w:tab/>
            </w:r>
            <w:r>
              <w:t xml:space="preserve">W sprawozdaniu tym uwzględnia się między innymi stosowanie europejskiej karty osoby z niepełnosprawnością i </w:t>
            </w:r>
            <w:r>
              <w:rPr>
                <w:b/>
                <w:i/>
              </w:rPr>
              <w:t>osoby starszej oraz</w:t>
            </w:r>
            <w:r>
              <w:t xml:space="preserve"> europejskiej karty parkingowej dla osób z niepełnosprawnościami </w:t>
            </w:r>
            <w:r>
              <w:rPr>
                <w:b/>
                <w:i/>
              </w:rPr>
              <w:t>i osób starszych</w:t>
            </w:r>
            <w:r>
              <w:t xml:space="preserve"> w świetle rozwoju społecznego i gospodarczego, aby ocenić konieczność zmiany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16 −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W sprawozdaniu Komisji uwzględnia się opinie osób z niepełnosprawnościami, zainteresowanych podmiotów gospodarczych i odpowiednich organizacji pozarządowych, w tym organizacji reprezentujących osoby z niepełnosprawnościami.</w:t>
            </w:r>
          </w:p>
        </w:tc>
        <w:tc>
          <w:tcPr>
            <w:tcW w:w="4876" w:type="dxa"/>
          </w:tcPr>
          <w:p>
            <w:pPr>
              <w:pStyle w:val="Normal6a"/>
            </w:pPr>
            <w:r>
              <w:t>4.</w:t>
            </w:r>
            <w:r>
              <w:tab/>
            </w:r>
            <w:r>
              <w:t xml:space="preserve">W sprawozdaniu Komisji uwzględnia się opinie osób z niepełnosprawnościami </w:t>
            </w:r>
            <w:r>
              <w:rPr>
                <w:b/>
                <w:i/>
              </w:rPr>
              <w:t>i osób starszych</w:t>
            </w:r>
            <w:r>
              <w:t xml:space="preserve">, zainteresowanych podmiotów gospodarczych i odpowiednich organizacji pozarządowych, w tym organizacji reprezentujących osoby z niepełnosprawnościami </w:t>
            </w:r>
            <w:r>
              <w:rPr>
                <w:b/>
                <w:i/>
              </w:rPr>
              <w:t>i osoby starsze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16 – ustęp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Sprawozdanie zawiera ocenę skutków stosowania karty jako narzędzia służącego poprawie możliwości przenoszenia świadczeń w dziedzinie zabezpieczenia społecznego na mocy rozporządzeń (WE) nr 883/2004 i (WE) nr 987/2009 oraz pomocy społecznej objętej art. 24 ust. 2 dyrektywy 2004/38/WE.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Najpóźniej do dnia dd.mm.rr r. [</w:t>
            </w:r>
            <w:r>
              <w:rPr>
                <w:b/>
                <w:i/>
              </w:rPr>
              <w:t>18 miesięcy</w:t>
            </w:r>
            <w:r>
              <w:t xml:space="preserve"> od dnia wejścia w życie niniejszej dyrektywy] państwa członkowskie przyjmują i publikują przepisy ustawowe, wykonawcze i administracyjne niezbędne do wykonania niniejszej dyrektywy. Niezwłocznie przekazują Komisji tekst tych przepisów.</w:t>
            </w:r>
          </w:p>
        </w:tc>
        <w:tc>
          <w:tcPr>
            <w:tcW w:w="4876" w:type="dxa"/>
          </w:tcPr>
          <w:p>
            <w:pPr>
              <w:pStyle w:val="Normal6a"/>
            </w:pPr>
            <w:r>
              <w:t>1.</w:t>
            </w:r>
            <w:r>
              <w:tab/>
            </w:r>
            <w:r>
              <w:t>Najpóźniej do dnia dd.mm.rr r. [</w:t>
            </w:r>
            <w:r>
              <w:rPr>
                <w:b/>
                <w:i/>
              </w:rPr>
              <w:t>24 miesiące</w:t>
            </w:r>
            <w:r>
              <w:t xml:space="preserve"> od dnia wejścia w życie niniejszej dyrektywy] państwa członkowskie przyjmują i publikują przepisy ustawowe, wykonawcze i administracyjne niezbędne do wykonania niniejszej dyrektywy. Niezwłocznie przekazują Komisji tekst tych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Najpóźniej do dnia dd.mm.rr r. [</w:t>
            </w:r>
            <w:r>
              <w:rPr>
                <w:b/>
                <w:i/>
              </w:rPr>
              <w:t>18</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c>
          <w:tcPr>
            <w:tcW w:w="4876" w:type="dxa"/>
          </w:tcPr>
          <w:p>
            <w:pPr>
              <w:pStyle w:val="Normal6a"/>
            </w:pPr>
            <w:r>
              <w:t>1.</w:t>
            </w:r>
            <w:r>
              <w:tab/>
            </w:r>
            <w:r>
              <w:t>Najpóźniej do dnia dd.mm.rr r. [</w:t>
            </w:r>
            <w:r>
              <w:rPr>
                <w:b/>
                <w:i/>
              </w:rPr>
              <w:t>36</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Najpóźniej do dnia dd.mm.rr r. [</w:t>
            </w:r>
            <w:r>
              <w:rPr>
                <w:b/>
                <w:i/>
              </w:rPr>
              <w:t>18</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c>
          <w:tcPr>
            <w:tcW w:w="4876" w:type="dxa"/>
          </w:tcPr>
          <w:p>
            <w:pPr>
              <w:pStyle w:val="Normal6a"/>
            </w:pPr>
            <w:r>
              <w:t>1.</w:t>
            </w:r>
            <w:r>
              <w:tab/>
            </w:r>
            <w:r>
              <w:t>Najpóźniej do dnia dd.mm.rr r. [</w:t>
            </w:r>
            <w:r>
              <w:rPr>
                <w:b/>
                <w:i/>
              </w:rPr>
              <w:t>12</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Najpóźniej do dnia dd.mm.rr r. [</w:t>
            </w:r>
            <w:r>
              <w:rPr>
                <w:b/>
                <w:i/>
              </w:rPr>
              <w:t>18</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c>
          <w:tcPr>
            <w:tcW w:w="4876" w:type="dxa"/>
          </w:tcPr>
          <w:p>
            <w:pPr>
              <w:pStyle w:val="Normal6a"/>
            </w:pPr>
            <w:r>
              <w:t>1.</w:t>
            </w:r>
            <w:r>
              <w:tab/>
            </w:r>
            <w:r>
              <w:t>Najpóźniej do dnia dd.mm.rr r. [</w:t>
            </w:r>
            <w:r>
              <w:rPr>
                <w:b/>
                <w:i/>
              </w:rPr>
              <w:t>12</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Najpóźniej do dnia dd.mm.rr r. [</w:t>
            </w:r>
            <w:r>
              <w:rPr>
                <w:b/>
                <w:i/>
              </w:rPr>
              <w:t>18</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c>
          <w:tcPr>
            <w:tcW w:w="4876" w:type="dxa"/>
          </w:tcPr>
          <w:p>
            <w:pPr>
              <w:pStyle w:val="Normal6a"/>
            </w:pPr>
            <w:r>
              <w:t>1.</w:t>
            </w:r>
            <w:r>
              <w:tab/>
            </w:r>
            <w:r>
              <w:t>Najpóźniej do dnia dd.mm.rr r. [</w:t>
            </w:r>
            <w:r>
              <w:rPr>
                <w:b/>
                <w:i/>
              </w:rPr>
              <w:t>12</w:t>
            </w:r>
            <w:r>
              <w:t xml:space="preserve"> miesięcy od dnia wejścia w życie niniejszej dyrektywy] państwa członkowskie przyjmują i publikują przepisy ustawowe, wykonawcze i administracyjne niezbędne do wykonania niniejszej dyrektywy. Niezwłocznie przekazują Komisji tekst tych przepisów.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stosują te przepisy od dnia dd.mm.rr r. [</w:t>
            </w:r>
            <w:r>
              <w:rPr>
                <w:b/>
                <w:i/>
              </w:rPr>
              <w:t>30 miesięcy</w:t>
            </w:r>
            <w:r>
              <w:t xml:space="preserve"> od dnia wejścia w życie niniejszej dyrektywy].</w:t>
            </w:r>
          </w:p>
        </w:tc>
        <w:tc>
          <w:tcPr>
            <w:tcW w:w="4876" w:type="dxa"/>
          </w:tcPr>
          <w:p>
            <w:pPr>
              <w:pStyle w:val="Normal6a"/>
            </w:pPr>
            <w:r>
              <w:t>2.</w:t>
            </w:r>
            <w:r>
              <w:tab/>
            </w:r>
            <w:r>
              <w:t>Państwa członkowskie stosują te przepisy od dnia dd.mm.rr r. [</w:t>
            </w:r>
            <w:r>
              <w:rPr>
                <w:b/>
                <w:i/>
              </w:rPr>
              <w:t>24 miesiące</w:t>
            </w:r>
            <w:r>
              <w:t xml:space="preserve"> od dnia wejścia w życie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stosują te przepisy od dnia dd.mm.rr r. [</w:t>
            </w:r>
            <w:r>
              <w:rPr>
                <w:b/>
                <w:i/>
              </w:rPr>
              <w:t>30</w:t>
            </w:r>
            <w:r>
              <w:t xml:space="preserve"> miesięcy od dnia wejścia w życie niniejszej dyrektywy].</w:t>
            </w:r>
          </w:p>
        </w:tc>
        <w:tc>
          <w:tcPr>
            <w:tcW w:w="4876" w:type="dxa"/>
          </w:tcPr>
          <w:p>
            <w:pPr>
              <w:pStyle w:val="Normal6a"/>
            </w:pPr>
            <w:r>
              <w:t>2.</w:t>
            </w:r>
            <w:r>
              <w:tab/>
            </w:r>
            <w:r>
              <w:t>Państwa członkowskie stosują te przepisy od dnia dd.mm.rr r. [</w:t>
            </w:r>
            <w:r>
              <w:rPr>
                <w:b/>
                <w:i/>
              </w:rPr>
              <w:t>36</w:t>
            </w:r>
            <w:r>
              <w:t xml:space="preserve"> miesięcy od dnia wejścia w życie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stosują te przepisy od dnia dd.mm.rr r. [</w:t>
            </w:r>
            <w:r>
              <w:rPr>
                <w:b/>
                <w:i/>
              </w:rPr>
              <w:t>30</w:t>
            </w:r>
            <w:r>
              <w:t xml:space="preserve"> miesięcy od dnia wejścia w życie niniejszej dyrektywy].</w:t>
            </w:r>
          </w:p>
        </w:tc>
        <w:tc>
          <w:tcPr>
            <w:tcW w:w="4876" w:type="dxa"/>
          </w:tcPr>
          <w:p>
            <w:pPr>
              <w:pStyle w:val="Normal6a"/>
            </w:pPr>
            <w:r>
              <w:t>2.</w:t>
            </w:r>
            <w:r>
              <w:tab/>
            </w:r>
            <w:r>
              <w:t>Państwa członkowskie stosują te przepisy od dnia dd.mm.rr r. [</w:t>
            </w:r>
            <w:r>
              <w:rPr>
                <w:b/>
                <w:i/>
              </w:rPr>
              <w:t>48</w:t>
            </w:r>
            <w:r>
              <w:t xml:space="preserve"> miesięcy od dnia wejścia w życie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stosują te przepisy od dnia dd.mm.rr r. [</w:t>
            </w:r>
            <w:r>
              <w:rPr>
                <w:b/>
                <w:i/>
              </w:rPr>
              <w:t>30 miesięcy</w:t>
            </w:r>
            <w:r>
              <w:t xml:space="preserve"> od dnia wejścia w życie niniejszej dyrektywy].</w:t>
            </w:r>
          </w:p>
        </w:tc>
        <w:tc>
          <w:tcPr>
            <w:tcW w:w="4876" w:type="dxa"/>
          </w:tcPr>
          <w:p>
            <w:pPr>
              <w:pStyle w:val="Normal6a"/>
            </w:pPr>
            <w:r>
              <w:t>2.</w:t>
            </w:r>
            <w:r>
              <w:tab/>
            </w:r>
            <w:r>
              <w:t>Państwa członkowskie stosują te przepisy od dnia dd.mm.rr r. [</w:t>
            </w:r>
            <w:r>
              <w:rPr>
                <w:b/>
                <w:i/>
              </w:rPr>
              <w:t>24 miesiące</w:t>
            </w:r>
            <w:r>
              <w:t xml:space="preserve"> od dnia wejścia w życie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Państwa członkowskie stosują te przepisy od dnia dd.mm.rr r. [</w:t>
            </w:r>
            <w:r>
              <w:rPr>
                <w:b/>
                <w:i/>
              </w:rPr>
              <w:t>30</w:t>
            </w:r>
            <w:r>
              <w:t xml:space="preserve"> miesięcy od dnia wejścia w życie niniejszej dyrektywy].</w:t>
            </w:r>
          </w:p>
        </w:tc>
        <w:tc>
          <w:tcPr>
            <w:tcW w:w="4876" w:type="dxa"/>
          </w:tcPr>
          <w:p>
            <w:pPr>
              <w:pStyle w:val="Normal6a"/>
            </w:pPr>
            <w:r>
              <w:t>2.</w:t>
            </w:r>
            <w:r>
              <w:tab/>
            </w:r>
            <w:r>
              <w:t>Państwa członkowskie stosują te przepisy od dnia dd.mm.rr r. [</w:t>
            </w:r>
            <w:r>
              <w:rPr>
                <w:b/>
                <w:i/>
              </w:rPr>
              <w:t>20</w:t>
            </w:r>
            <w:r>
              <w:t xml:space="preserve"> miesięcy od dnia wejścia w życie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śródtytuł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FORMAT EUROPEJSKIEJ KARTY OSOBY Z NIEPEŁNOSPRAWNOŚCIĄ</w:t>
            </w:r>
          </w:p>
        </w:tc>
        <w:tc>
          <w:tcPr>
            <w:tcW w:w="4876" w:type="dxa"/>
          </w:tcPr>
          <w:p>
            <w:pPr>
              <w:pStyle w:val="Normal6a"/>
            </w:pPr>
            <w:r>
              <w:t xml:space="preserve">FORMAT EUROPEJSKIEJ KARTY OSOBY Z NIEPEŁNOSPRAWNOŚCIĄ </w:t>
            </w:r>
            <w:r>
              <w:rPr>
                <w:b/>
                <w:i/>
              </w:rPr>
              <w:t>I OSOBY STARSZEJ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PRZÓD KARTY: napis „European Disability Card” [europejska karta osoby z niepełnosprawnością] w języku angielskim.</w:t>
            </w:r>
          </w:p>
        </w:tc>
        <w:tc>
          <w:tcPr>
            <w:tcW w:w="4876" w:type="dxa"/>
          </w:tcPr>
          <w:p>
            <w:pPr>
              <w:pStyle w:val="Normal6a"/>
            </w:pPr>
            <w:r>
              <w:t>PRZÓD KARTY: napis „European Disability Card” [europejska karta osoby z niepełnosprawnością] w języku angielskim</w:t>
            </w:r>
            <w:r>
              <w:rPr>
                <w:b/>
                <w:i/>
              </w:rPr>
              <w:t> oraz w języku (językach) państwa członkowskiego wydającego kartę i w alfabecie Braille’a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PRZÓD KARTY: napis „European Disability Card” [europejska karta osoby z niepełnosprawnością] w języku angielskim.</w:t>
            </w:r>
          </w:p>
        </w:tc>
        <w:tc>
          <w:tcPr>
            <w:tcW w:w="4876" w:type="dxa"/>
          </w:tcPr>
          <w:p>
            <w:pPr>
              <w:pStyle w:val="Normal6a"/>
            </w:pPr>
            <w:r>
              <w:t xml:space="preserve">PRZÓD KARTY: napis „European Disability </w:t>
            </w:r>
            <w:r>
              <w:rPr>
                <w:b/>
                <w:i/>
              </w:rPr>
              <w:t>and Elderly</w:t>
            </w:r>
            <w:r>
              <w:t xml:space="preserve"> Card” [europejska karta osoby z niepełnosprawnością </w:t>
            </w:r>
            <w:r>
              <w:rPr>
                <w:b/>
                <w:i/>
              </w:rPr>
              <w:t>i osoby starszej</w:t>
            </w:r>
            <w:r>
              <w:t>] w języku angielskim.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akapit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TYŁ KARTY: informacje krajowe w języku krajowym lub językach krajowych, o których decyduje wydające państwo członkowskie.</w:t>
            </w:r>
          </w:p>
        </w:tc>
        <w:tc>
          <w:tcPr>
            <w:tcW w:w="4876" w:type="dxa"/>
          </w:tcPr>
          <w:p>
            <w:pPr>
              <w:pStyle w:val="Normal6a"/>
            </w:pPr>
            <w:r>
              <w:t>TYŁ KARTY: informacje krajowe w języku krajowym lub językach krajowych, o których decyduje wydające państwo członkowskie.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Zachęca państwa członkowskie do dobrowolnego umieszczenia na odwrocie europejskiej karty osoby z niepełnosprawnością informacji graficznej, cyfrowej lub pisemnej, np. piktogramu ilustrującego charakter pomocy, której wymaga posiadacz karty, na wniosek beneficjenta i bez ujawniania charakteru jego niepełnosprawności, aby zapobiegać wszelkiej stygmatyzacji.</w:t>
            </w:r>
            <w:r>
              <w:t xml:space="preserve"> </w:t>
            </w:r>
            <w:r>
              <w:rPr>
                <w:b/>
                <w:i/>
              </w:rPr>
              <w:t>Komisja opracowuje wytyczne dotyczące wspólnych piktogramów dla różnych rodzajów pomocy.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akapit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TYŁ KARTY: informacje krajowe w języku krajowym lub językach krajowych, o których decyduje wydające państwo członkowskie.</w:t>
            </w:r>
          </w:p>
        </w:tc>
        <w:tc>
          <w:tcPr>
            <w:tcW w:w="4876" w:type="dxa"/>
          </w:tcPr>
          <w:p>
            <w:pPr>
              <w:pStyle w:val="Normal6a"/>
            </w:pPr>
            <w:r>
              <w:t xml:space="preserve">TYŁ KARTY: informacje krajowe w języku krajowym lub językach krajowych, o których decyduje wydające państwo członkowskie. </w:t>
            </w:r>
            <w:r>
              <w:rPr>
                <w:b/>
                <w:i/>
              </w:rPr>
              <w:t>Państwa członkowskie dopilnowują, aby przy składaniu wniosku o kartę do właściwych organów osoby z niepełnosprawnościami mogły umieszczać na karcie odpowiednie symbole, aby wskazać wymagane racjonalne usprawnienia.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akapit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TYŁ KARTY: informacje krajowe w języku krajowym lub językach krajowych, o których decyduje wydające państwo członkowskie.</w:t>
            </w:r>
          </w:p>
        </w:tc>
        <w:tc>
          <w:tcPr>
            <w:tcW w:w="4876" w:type="dxa"/>
          </w:tcPr>
          <w:p>
            <w:pPr>
              <w:pStyle w:val="Normal6a"/>
            </w:pPr>
            <w:r>
              <w:t>TYŁ KARTY: informacje krajowe w języku krajowym lub językach krajowych, o których decyduje wydające państwo członkowskie</w:t>
            </w:r>
            <w:r>
              <w:rPr>
                <w:b/>
                <w:i/>
              </w:rPr>
              <w:t>, zgodnie z prawem krajowym i praktyką krajową, np. stopień niepełnosprawności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Wielkość europejskiej karty osoby z niepełnosprawnością jest zgodna z ISO 7810.</w:t>
            </w:r>
          </w:p>
        </w:tc>
        <w:tc>
          <w:tcPr>
            <w:tcW w:w="4876" w:type="dxa"/>
          </w:tcPr>
          <w:p>
            <w:pPr>
              <w:pStyle w:val="Normal6a"/>
            </w:pPr>
            <w:r>
              <w:t>1.</w:t>
            </w:r>
            <w:r>
              <w:tab/>
            </w:r>
            <w:r>
              <w:t xml:space="preserve">Wielkość europejskiej karty osoby z niepełnosprawnością </w:t>
            </w:r>
            <w:r>
              <w:rPr>
                <w:b/>
                <w:i/>
              </w:rPr>
              <w:t>i osoby starszej</w:t>
            </w:r>
            <w:r>
              <w:t xml:space="preserve"> jest zgodna z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2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Aby zapewnić właściwe zabezpieczenie danych przed próbami fałszowania lub nielegalnej zmiany, zdecydowanie zaleca się włączenie do podstawowego materiału dokumentu danych biograficznych, w tym wizerunku, i głównych danych dotyczących wydania.</w:t>
            </w:r>
            <w:r>
              <w:rPr>
                <w:b/>
                <w:i/>
              </w:rPr>
              <w:t>Dostępne są różne technologie umożliwiające odpowiednią personalizację dokumentu (np. grawerowanie laserowe), co nie wyklucza stosowania i rozwoju nowych technologii.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Pola personalizacji: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Układ karty zawiera jedno białe pole o wymiarach 21 x 28 mm przeznaczone na wizerunek posiadacza.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Układ karty zawiera pięć białych pól o wymiarach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Napisy w kolorze czarnym są sporządzone w języku krajowym i angielskim (kursywą) i umieszczone w dwóch wierszach.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Czcionka musi być pogrubioną czcionką Arial 4pt, wyrównaną do lewej strony.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Dane personalizacyjne muszą być zapisane czcionką Arial 12pt, wyrównaną do prawej strony.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Dane umieszczone na przedniej stronie dokumentu: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Wizerunek wyłącznego posiadacza.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1:</w:t>
            </w:r>
            <w:r>
              <w:rPr>
                <w:b/>
                <w:i/>
              </w:rPr>
              <w:t>Imię posiadacza karty.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2:</w:t>
            </w:r>
            <w:r>
              <w:rPr>
                <w:b/>
                <w:i/>
              </w:rPr>
              <w:t>Nazwisko posiadacza karty.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3:</w:t>
            </w:r>
            <w:r>
              <w:rPr>
                <w:b/>
                <w:i/>
              </w:rPr>
              <w:t>Data urodzenia.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4:</w:t>
            </w:r>
            <w:r>
              <w:rPr>
                <w:b/>
                <w:i/>
              </w:rPr>
              <w:t>Numer seryjny dokumentu.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Pole 5:</w:t>
            </w:r>
            <w:r>
              <w:rPr>
                <w:b/>
                <w:i/>
              </w:rPr>
              <w:t>Data wygaśnięcia dokumentu.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Uwaga: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Maksymalna liczba znaków dla imienia i nazwiska – 25.</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Data ma format DDnMMnRRRR, gdzie n oznacza „.” lub pusty znak.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Na karcie znajdują się:</w:t>
            </w:r>
          </w:p>
        </w:tc>
        <w:tc>
          <w:tcPr>
            <w:tcW w:w="4876" w:type="dxa"/>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zdjęcie posiadacza karty;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nazwisko i imię posiadacza karty;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data urodzenia posiadacza karty;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numer serii karty.</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4 – wprowadzenie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Karta ma kolor jasnoniebieski i ciemnoniebieski, jak wskazano na obrazie i zgodnie z poniższym:</w:t>
            </w:r>
          </w:p>
        </w:tc>
        <w:tc>
          <w:tcPr>
            <w:tcW w:w="4876" w:type="dxa"/>
          </w:tcPr>
          <w:p>
            <w:pPr>
              <w:pStyle w:val="Normal6a"/>
            </w:pPr>
            <w:r>
              <w:t>4.</w:t>
            </w:r>
            <w:r>
              <w:tab/>
            </w:r>
            <w:r>
              <w:rPr>
                <w:b/>
                <w:i/>
              </w:rPr>
              <w:t>Druk zabezpieczający tło zawiera wzór siatki wydrukowany z wykorzystaniem jednego z kolorów Pantone.</w:t>
            </w:r>
            <w:r>
              <w:t xml:space="preserve"> </w:t>
            </w:r>
            <w:r>
              <w:rPr>
                <w:b/>
                <w:i/>
              </w:rPr>
              <w:t>Stosuje się pola o różnych kolorach złożone z linii o różnej grubości i stopniach.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Tło zawiera mikrodruki z napisem „DISABILITY CARD”. Druk tła zawiera element graficzny wydrukowany niewidoczną farbą UV (żółtą) przedstawiającą okrąg 12 gwiazdek z powtórzeniami liter „EU” w środku.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Dla tła zabezpieczenia używa się tylko jednego koloru.</w:t>
      </w:r>
    </w:p>
    <w:p>
      <w:r>
        <w:rPr>
          <w:rStyle w:val="HideTWBExt"/>
        </w:rPr>
        <w:t>&lt;/Amend&gt;</w:t>
      </w:r>
    </w:p>
    <w:p>
      <w:pPr>
        <w:pStyle w:val="AmNumberTabs"/>
      </w:pPr>
      <w:r>
        <w:rPr>
          <w:rStyle w:val="HideTWBExt"/>
        </w:rPr>
        <w:t>&lt;Amend&gt;</w:t>
      </w:r>
      <w:r>
        <w:t>Poprawka</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4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ciemnoniebieski:</w:t>
            </w:r>
            <w:r>
              <w:t xml:space="preserve"> </w:t>
            </w:r>
            <w:r>
              <w:rPr>
                <w:b/>
                <w:i/>
              </w:rPr>
              <w:t>CMYK 100, 90, 10, 0</w:t>
            </w:r>
          </w:p>
        </w:tc>
        <w:tc>
          <w:tcPr>
            <w:tcW w:w="4876" w:type="dxa"/>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4 – tiret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jasnoniebieski:</w:t>
            </w:r>
            <w:r>
              <w:t xml:space="preserve"> </w:t>
            </w:r>
            <w:r>
              <w:rPr>
                <w:b/>
                <w:i/>
              </w:rPr>
              <w:t>CMYK 94, 63, 7, 1</w:t>
            </w:r>
          </w:p>
        </w:tc>
        <w:tc>
          <w:tcPr>
            <w:tcW w:w="4876" w:type="dxa"/>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Karta zawiera informację o dacie ważności</w:t>
            </w:r>
            <w:r>
              <w:t>.</w:t>
            </w:r>
          </w:p>
        </w:tc>
        <w:tc>
          <w:tcPr>
            <w:tcW w:w="4876" w:type="dxa"/>
          </w:tcPr>
          <w:p>
            <w:pPr>
              <w:pStyle w:val="Normal6a"/>
            </w:pPr>
            <w:r>
              <w:t>5.</w:t>
            </w:r>
            <w:r>
              <w:tab/>
            </w:r>
            <w:r>
              <w:rPr>
                <w:b/>
                <w:i/>
              </w:rPr>
              <w:t>Zob. projekt zaproponowany w pkt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Na karcie znajduje się kod</w:t>
            </w:r>
            <w:r>
              <w:t xml:space="preserve"> państwa </w:t>
            </w:r>
            <w:r>
              <w:rPr>
                <w:b/>
                <w:i/>
              </w:rPr>
              <w:t>otoczony</w:t>
            </w:r>
            <w:r>
              <w:t xml:space="preserve"> niebieskim </w:t>
            </w:r>
            <w:r>
              <w:rPr>
                <w:b/>
                <w:i/>
              </w:rPr>
              <w:t>kółkiem</w:t>
            </w:r>
            <w:r>
              <w:t>.</w:t>
            </w:r>
          </w:p>
        </w:tc>
        <w:tc>
          <w:tcPr>
            <w:tcW w:w="4876" w:type="dxa"/>
          </w:tcPr>
          <w:p>
            <w:pPr>
              <w:pStyle w:val="Normal6a"/>
            </w:pPr>
            <w:r>
              <w:t>6.</w:t>
            </w:r>
            <w:r>
              <w:tab/>
            </w:r>
            <w:r>
              <w:rPr>
                <w:b/>
                <w:i/>
              </w:rPr>
              <w:t>Okrąg z dwiema literami kodu ISO</w:t>
            </w:r>
            <w:r>
              <w:t xml:space="preserve"> państwa </w:t>
            </w:r>
            <w:r>
              <w:rPr>
                <w:b/>
                <w:i/>
              </w:rPr>
              <w:t>wydającego jest wydrukowany w kolorze</w:t>
            </w:r>
            <w:r>
              <w:t xml:space="preserve"> niebieskim </w:t>
            </w:r>
            <w:r>
              <w:rPr>
                <w:b/>
                <w:i/>
              </w:rPr>
              <w:t>(Pantone Reflex Blue).</w:t>
            </w:r>
            <w:r>
              <w:t xml:space="preserve"> </w:t>
            </w:r>
            <w:r>
              <w:rPr>
                <w:b/>
                <w:i/>
              </w:rPr>
              <w:t>Otacza go 12 gwiazdek.</w:t>
            </w:r>
            <w:r>
              <w:t xml:space="preserve"> </w:t>
            </w:r>
            <w:r>
              <w:rPr>
                <w:b/>
                <w:i/>
              </w:rPr>
              <w:t>Dwie litery kodu ISO państwa są białe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Wskazówki graficzne dotyczące symbolu europejskiego można znaleźć tutaj:</w:t>
      </w:r>
    </w:p>
    <w:p>
      <w:pPr>
        <w:pStyle w:val="AmJustText"/>
      </w:pPr>
      <w:r>
        <w:t>https://publications.europa.eu/code/pl/pl-5000100.htm</w:t>
      </w:r>
    </w:p>
    <w:p>
      <w:r>
        <w:rPr>
          <w:rStyle w:val="HideTWBExt"/>
        </w:rPr>
        <w:t>&lt;/Amend&gt;</w:t>
      </w:r>
    </w:p>
    <w:p>
      <w:pPr>
        <w:pStyle w:val="AmNumberTabs"/>
      </w:pPr>
      <w:r>
        <w:rPr>
          <w:rStyle w:val="HideTWBExt"/>
        </w:rPr>
        <w:t>&lt;Amend&gt;</w:t>
      </w:r>
      <w:r>
        <w:t>Poprawka</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Słowa „European Disability Card” zapisane są czcionką Arial i </w:t>
            </w:r>
            <w:r>
              <w:rPr>
                <w:b/>
                <w:i/>
              </w:rPr>
              <w:t>w alfabecie</w:t>
            </w:r>
            <w:r>
              <w:t xml:space="preserve"> Braille’a z zastosowaniem parametrów standardu Marburg.</w:t>
            </w:r>
          </w:p>
        </w:tc>
        <w:tc>
          <w:tcPr>
            <w:tcW w:w="4876" w:type="dxa"/>
          </w:tcPr>
          <w:p>
            <w:pPr>
              <w:pStyle w:val="Normal6a"/>
            </w:pPr>
            <w:r>
              <w:t>8.</w:t>
            </w:r>
            <w:r>
              <w:tab/>
            </w:r>
            <w:r>
              <w:t>Słowa „European Disability Card” zapisane są czcionką Arial i </w:t>
            </w:r>
            <w:r>
              <w:rPr>
                <w:b/>
                <w:i/>
              </w:rPr>
              <w:t>alfabetem</w:t>
            </w:r>
            <w:r>
              <w:t xml:space="preserve"> Braille’a z zastosowaniem parametrów standardu Marburg</w:t>
            </w:r>
            <w:r>
              <w:rPr>
                <w:b/>
                <w:i/>
              </w:rPr>
              <w:t>, wydrukowane z wykorzystaniem koloru Pantone Blue Reflex</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Odstępy między punktami na osi X (a):</w:t>
            </w:r>
            <w:r>
              <w:rPr>
                <w:b/>
                <w:i/>
              </w:rPr>
              <w:t>2,5 mm (mierzone od środków punktów).</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Odstępy między punktami na osi Y (b):</w:t>
            </w:r>
            <w:r>
              <w:rPr>
                <w:b/>
                <w:i/>
              </w:rPr>
              <w:t>2,5 mm (mierzone od środków punktów).</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Szerokość znaku (c):</w:t>
            </w:r>
            <w:r>
              <w:rPr>
                <w:b/>
                <w:i/>
              </w:rPr>
              <w:t>6,0 mm (mierzone od środka pierwszego punktu pierwszego znaku do środka pierwszego punktu następnego znaku).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Miara (d) między środkiem punktu ostatniego znaku a środkiem punktu początkowego znaku następnego słowa wynosi 2 x c,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Odstęp między wierszami (e):</w:t>
            </w:r>
            <w:r>
              <w:rPr>
                <w:b/>
                <w:i/>
              </w:rPr>
              <w:t>10,0 mm (mierzone od środka pierwszego punktu do środka pierwszego punktu w następnym wierszu).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Średnica punktu:</w:t>
            </w:r>
            <w:r>
              <w:rPr>
                <w:b/>
                <w:i/>
              </w:rPr>
              <w:t>około 1,3 mm (średnica punktu podstawy wytłoczenia) lub 1,6 mm (średnica punktu matrycy okrągłej).</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Kod alfabetu Braille’a dla „EU DISABILITY CARD” z zastosowaniem wymiarów kodu Marburg Medium.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Słowa „European Disability Card” zapisane są czcionką Arial i w alfabecie Braille’a z zastosowaniem parametrów standardu Marburg.</w:t>
            </w:r>
          </w:p>
        </w:tc>
        <w:tc>
          <w:tcPr>
            <w:tcW w:w="4876" w:type="dxa"/>
          </w:tcPr>
          <w:p>
            <w:pPr>
              <w:pStyle w:val="Normal6a"/>
            </w:pPr>
            <w:r>
              <w:t>8.</w:t>
            </w:r>
            <w:r>
              <w:tab/>
            </w:r>
            <w:r>
              <w:t>Słowa „European Disability </w:t>
            </w:r>
            <w:r>
              <w:rPr>
                <w:b/>
                <w:i/>
              </w:rPr>
              <w:t>and Elderly</w:t>
            </w:r>
            <w:r>
              <w:t xml:space="preserve"> Card” zapisane są czcionką Arial i w alfabecie Braille’a z zastosowaniem parametrów standardu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 punkt 10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Metalizowany hologram A umieszcza się z przodu karty.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Hologram zawiera słowa „EU Disability Card” oraz okrąg złożony z 12 białych gwiazdek.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Karta ma kod QR z wszystkimi danymi zapisanymi na karcie w formacie umożliwiającym dostęp, odpowiednio określonym i oznaczonym wypukłym stemplem, w sposób w pełni zgodny z przepisami dotyczącymi ochrony danych.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śródtytuł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FORMAT EUROPEJSKIEJ KARTY PARKINGOWEJ DLA OSÓB Z NIEPEŁNOSPRAWNOŚCIAMI</w:t>
            </w:r>
          </w:p>
        </w:tc>
        <w:tc>
          <w:tcPr>
            <w:tcW w:w="4876" w:type="dxa"/>
          </w:tcPr>
          <w:p>
            <w:pPr>
              <w:pStyle w:val="Normal6a"/>
            </w:pPr>
            <w:r>
              <w:t xml:space="preserve">FORMAT EUROPEJSKIEJ KARTY PARKINGOWEJ DLA OSÓB Z NIEPEŁNOSPRAWNOŚCIAMI </w:t>
            </w:r>
            <w:r>
              <w:rPr>
                <w:b/>
                <w:i/>
              </w:rPr>
              <w:t>I OSÓB STARSZYCH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śródtytuł 1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Słowa „European Parking Card” zapisane są alfabetem Braille’a z zastosowaniem parametrów standardu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1 – wprowadzenie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Wymiary europejskiej karty parkingowej dla osób z niepełnosprawnościami są następujące:</w:t>
            </w:r>
          </w:p>
        </w:tc>
        <w:tc>
          <w:tcPr>
            <w:tcW w:w="4876" w:type="dxa"/>
          </w:tcPr>
          <w:p>
            <w:pPr>
              <w:pStyle w:val="Normal6a"/>
            </w:pPr>
            <w:r>
              <w:t>1.</w:t>
            </w:r>
            <w:r>
              <w:tab/>
            </w:r>
            <w:r>
              <w:t xml:space="preserve">Wymiary europejskiej karty parkingowej dla osób z niepełnosprawnościami </w:t>
            </w:r>
            <w:r>
              <w:rPr>
                <w:b/>
                <w:i/>
              </w:rPr>
              <w:t>i osób starszych</w:t>
            </w:r>
            <w:r>
              <w:t xml:space="preserve"> są następujące: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2 – wprowadzenie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Karta ma kolor ciemnoniebieski i żółty, jak wskazano na obrazie i zgodnie z poniższym opisem:</w:t>
            </w:r>
          </w:p>
        </w:tc>
        <w:tc>
          <w:tcPr>
            <w:tcW w:w="4876" w:type="dxa"/>
          </w:tcPr>
          <w:p>
            <w:pPr>
              <w:pStyle w:val="Normal6a"/>
            </w:pPr>
            <w:r>
              <w:t>2.</w:t>
            </w:r>
            <w:r>
              <w:tab/>
            </w:r>
            <w:r>
              <w:rPr>
                <w:b/>
                <w:i/>
              </w:rPr>
              <w:t>Kolorów niebieskiego i żółtego (Pantone Blue Reflex i Pantone Yellow) można użyć dla prawej strony dokumentu, ponieważ Komisja zaproponowała je jako reprezentujące flagę UE.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Druk zabezpieczający tło zawiera wzór siatki wydrukowany z wykorzystaniem koloru lub kolorów Pantone.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Tło zawiera mikrodruki z napisem „EUROPEAN PARKING CARD”.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2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ciemnoniebieski:</w:t>
            </w:r>
            <w:r>
              <w:t xml:space="preserve"> </w:t>
            </w:r>
            <w:r>
              <w:rPr>
                <w:b/>
                <w:i/>
              </w:rPr>
              <w:t>CMYK 100, 90, 10, 0</w:t>
            </w:r>
          </w:p>
        </w:tc>
        <w:tc>
          <w:tcPr>
            <w:tcW w:w="4876" w:type="dxa"/>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2 – tiret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żółty:</w:t>
            </w:r>
            <w:r>
              <w:t xml:space="preserve"> </w:t>
            </w:r>
            <w:r>
              <w:rPr>
                <w:b/>
                <w:i/>
              </w:rPr>
              <w:t>CMYK 94, 63, 7, 1</w:t>
            </w:r>
          </w:p>
        </w:tc>
        <w:tc>
          <w:tcPr>
            <w:tcW w:w="4876" w:type="dxa"/>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wprowadzenie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Europejska karta parkingowa dla osób z niepełnosprawnościami </w:t>
            </w:r>
            <w:r>
              <w:rPr>
                <w:b/>
                <w:i/>
              </w:rPr>
              <w:t>na przodzie i na odwrocie</w:t>
            </w:r>
            <w:r>
              <w:t xml:space="preserve"> jest podzielona w pionie na dwie części.</w:t>
            </w:r>
          </w:p>
        </w:tc>
        <w:tc>
          <w:tcPr>
            <w:tcW w:w="4876" w:type="dxa"/>
          </w:tcPr>
          <w:p>
            <w:pPr>
              <w:pStyle w:val="Normal6a"/>
            </w:pPr>
            <w:r>
              <w:t>3.</w:t>
            </w:r>
            <w:r>
              <w:tab/>
            </w:r>
            <w:r>
              <w:t xml:space="preserve">Europejska karta parkingowa dla osób z niepełnosprawnościami </w:t>
            </w:r>
            <w:r>
              <w:rPr>
                <w:b/>
                <w:i/>
              </w:rPr>
              <w:t>i osób starszych na awersie i na rewersie</w:t>
            </w:r>
            <w:r>
              <w:t xml:space="preserve"> jest podzielona w pionie na dwie części.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a – tiret 5 a (nowe)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słowa „European Parking Card” zapisane są alfabetem Braille’a z zastosowaniem parametrów standardu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b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słowa „Europejska karta parkingowa dla osób z niepełnosprawnościami” zapisane drukowanymi literami w języku lub językach państwa członkowskiego wydającego kartę; po odpowiednim odstępie ten sam napis zapisany małą czcionką w pozostałych językach Unii Europejskiej;</w:t>
            </w:r>
          </w:p>
        </w:tc>
        <w:tc>
          <w:tcPr>
            <w:tcW w:w="4876" w:type="dxa"/>
          </w:tcPr>
          <w:p>
            <w:pPr>
              <w:pStyle w:val="Normal6a"/>
            </w:pPr>
            <w:r>
              <w:rPr>
                <w:b/>
                <w:i/>
              </w:rPr>
              <w:t>–</w:t>
            </w:r>
            <w:r>
              <w:tab/>
            </w:r>
            <w:r>
              <w:t xml:space="preserve">słowa „Europejska karta parkingowa dla osób z niepełnosprawnościami” zapisane drukowanymi literami w języku lub językach państwa członkowskiego wydającego kartę; po odpowiednim odstępie ten sam napis zapisany małą czcionką w pozostałych językach Unii Europejskiej; </w:t>
            </w:r>
            <w:r>
              <w:rPr>
                <w:b/>
                <w:i/>
              </w:rPr>
              <w:t>słowa „European Parking Card” zapisane są alfabetem Braille’a z zastosowaniem parametrów standardu Marburg.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b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słowa „Europejska karta parkingowa dla osób z niepełnosprawnościami” zapisane drukowanymi literami w języku lub językach państwa członkowskiego wydającego kartę; po odpowiednim odstępie ten sam napis zapisany małą czcionką w pozostałych językach Unii Europejskiej;</w:t>
            </w:r>
          </w:p>
        </w:tc>
        <w:tc>
          <w:tcPr>
            <w:tcW w:w="4876" w:type="dxa"/>
          </w:tcPr>
          <w:p>
            <w:pPr>
              <w:pStyle w:val="Normal6a"/>
            </w:pPr>
            <w:r>
              <w:rPr>
                <w:b/>
                <w:i/>
              </w:rPr>
              <w:t>–</w:t>
            </w:r>
            <w:r>
              <w:tab/>
            </w:r>
            <w:r>
              <w:t xml:space="preserve">słowa „Europejska karta parkingowa dla osób z niepełnosprawnościami” zapisane drukowanymi literami w języku lub językach państwa członkowskiego wydającego kartę </w:t>
            </w:r>
            <w:r>
              <w:rPr>
                <w:b/>
                <w:i/>
              </w:rPr>
              <w:t>oraz alfabetem Braille’a z zastosowaniem parametrów standardu Marburg</w:t>
            </w:r>
            <w:r>
              <w:t>; po odpowiednim odstępie ten sam napis zapisany małą czcionką w pozostałych językach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b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słowa „Europejska karta parkingowa dla osób z niepełnosprawnościami” zapisane drukowanymi literami w języku lub językach państwa członkowskiego wydającego kartę; po odpowiednim odstępie ten sam napis zapisany małą czcionką w pozostałych językach Unii Europejskiej;</w:t>
            </w:r>
          </w:p>
        </w:tc>
        <w:tc>
          <w:tcPr>
            <w:tcW w:w="4876" w:type="dxa"/>
          </w:tcPr>
          <w:p>
            <w:pPr>
              <w:pStyle w:val="Normal6a"/>
            </w:pPr>
            <w:r>
              <w:rPr>
                <w:b/>
                <w:i/>
              </w:rPr>
              <w:t>–</w:t>
            </w:r>
            <w:r>
              <w:tab/>
            </w:r>
            <w:r>
              <w:t xml:space="preserve">słowa „Europejska karta parkingowa dla osób z niepełnosprawnościami </w:t>
            </w:r>
            <w:r>
              <w:rPr>
                <w:b/>
                <w:i/>
              </w:rPr>
              <w:t>i osób starszych</w:t>
            </w:r>
            <w:r>
              <w:t>” zapisane drukowanymi literami w języku lub językach państwa członkowskiego wydającego kartę; po odpowiednim odstępie ten sam napis zapisany małą czcionką w pozostałych językach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b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słowa „Europejska karta parkingowa dla osób z niepełnosprawnościami” zapisane drukowanymi literami w języku lub językach państwa członkowskiego wydającego kartę; po odpowiednim odstępie ten sam napis zapisany małą czcionką w pozostałych językach Unii Europejskiej;</w:t>
            </w:r>
          </w:p>
        </w:tc>
        <w:tc>
          <w:tcPr>
            <w:tcW w:w="4876" w:type="dxa"/>
          </w:tcPr>
          <w:p>
            <w:pPr>
              <w:pStyle w:val="Normal6a"/>
            </w:pPr>
            <w:r>
              <w:rPr>
                <w:b/>
                <w:i/>
              </w:rPr>
              <w:t>–</w:t>
            </w:r>
            <w:r>
              <w:tab/>
            </w:r>
            <w:r>
              <w:t xml:space="preserve">słowa „Europejska karta parkingowa dla osób z niepełnosprawnościami” zapisane drukowanymi literami w języku lub językach państwa członkowskiego wydającego kartę </w:t>
            </w:r>
            <w:r>
              <w:rPr>
                <w:b/>
                <w:i/>
              </w:rPr>
              <w:t>i w alfabecie Braille’a</w:t>
            </w:r>
            <w:r>
              <w:t>; po odpowiednim odstępie ten sam napis zapisany małą czcionką w pozostałych językach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c – tiret 7 a (nowe)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dodatkowy numer dowodu tożsamości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Proponujemy dodanie nowego punktu wskazującego opcjonalne pole, które jest stosowane, jeżeli w danym państwie członkowskim stosuje się dodatkowy numer identyfikacyjny.</w:t>
      </w:r>
    </w:p>
    <w:p>
      <w:r>
        <w:rPr>
          <w:rStyle w:val="HideTWBExt"/>
        </w:rPr>
        <w:t>&lt;/Amend&gt;</w:t>
      </w:r>
    </w:p>
    <w:p>
      <w:pPr>
        <w:pStyle w:val="AmNumberTabs"/>
      </w:pPr>
      <w:r>
        <w:rPr>
          <w:rStyle w:val="HideTWBExt"/>
        </w:rPr>
        <w:t>&lt;Amend&gt;</w:t>
      </w:r>
      <w:r>
        <w:t>Poprawka</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3 – litera d – tiret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t>pouczenie: „Karta ta uprawnia posiadacza do korzystania z lokalnych warunków i udogodnień związanych z parkowaniem zarezerwowanych dla osób z niepełnosprawnościami dostępnych w danym państwie członkowskim.”;</w:t>
            </w:r>
          </w:p>
        </w:tc>
        <w:tc>
          <w:tcPr>
            <w:tcW w:w="4876" w:type="dxa"/>
          </w:tcPr>
          <w:p>
            <w:pPr>
              <w:pStyle w:val="Normal6a"/>
            </w:pPr>
            <w:r>
              <w:rPr>
                <w:b/>
                <w:i/>
              </w:rPr>
              <w:t>–</w:t>
            </w:r>
            <w:r>
              <w:tab/>
            </w:r>
            <w:r>
              <w:t xml:space="preserve">pouczenie: „Karta ta uprawnia posiadacza do korzystania z lokalnych warunków i udogodnień związanych z parkowaniem zarezerwowanych dla osób z niepełnosprawnościami </w:t>
            </w:r>
            <w:r>
              <w:rPr>
                <w:b/>
                <w:i/>
              </w:rPr>
              <w:t>i osób starszych,</w:t>
            </w:r>
            <w:r>
              <w:t xml:space="preserve"> dostępnych w danym państwie członkowskim.”;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 punkt 5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Materiały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Aby zapewnić odpowiednie zabezpieczenie danych przed próbami fałszowania lub nielegalnej zmiany, zdecydowanie zaleca się stosowanie materiałów zabezpieczających z elementami zabezpieczającymi chroniącymi przed fałszerstwami.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Przykład 1:</w:t>
            </w:r>
            <w:r>
              <w:rPr>
                <w:b/>
                <w:i/>
              </w:rPr>
              <w:t>Papier zabezpieczający ze znakiem wodnym i włóknami zabezpieczającymi.</w:t>
            </w:r>
            <w:r>
              <w:rPr>
                <w:b/>
                <w:i/>
              </w:rPr>
              <w:t>Element holograficzny lub równoważne zabezpieczenie.</w:t>
            </w:r>
            <w:r>
              <w:rPr>
                <w:b/>
                <w:i/>
              </w:rPr>
              <w:t>W celu ochrony dokumentu można dodać laminację.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Przykład 2:</w:t>
            </w:r>
            <w:r>
              <w:t xml:space="preserve"> </w:t>
            </w:r>
            <w:r>
              <w:rPr>
                <w:b/>
                <w:i/>
              </w:rPr>
              <w:t>Poliwęglan lub równoważny materiał.</w:t>
            </w:r>
            <w:r>
              <w:t xml:space="preserve"> </w:t>
            </w:r>
            <w:r>
              <w:rPr>
                <w:b/>
                <w:i/>
              </w:rPr>
              <w:t>W tym przypadku, aby zapewnić właściwe zabezpieczenie danych przed próbami fałszowania lub nielegalnej zmiany, zdecydowanie zaleca się włączenie do podstawowego materiału dokumentu danych biograficznych, w tym portretu, i głównych danych dotyczących wydania.</w:t>
            </w:r>
            <w:r>
              <w:t xml:space="preserve"> </w:t>
            </w:r>
            <w:r>
              <w:rPr>
                <w:b/>
                <w:i/>
              </w:rPr>
              <w:t>Do struktury dokumentu można dodać element holograficzny lub równoważne zabezpieczenie.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Proponuje się wyraźne opisanie w niniejszej sekcji materiałów zabezpieczających.</w:t>
      </w:r>
    </w:p>
    <w:p>
      <w:r>
        <w:rPr>
          <w:rStyle w:val="HideTWBExt"/>
        </w:rPr>
        <w:t>&lt;/Amend&gt;</w:t>
      </w:r>
    </w:p>
    <w:p>
      <w:pPr>
        <w:pStyle w:val="AmNumberTabs"/>
      </w:pPr>
      <w:r>
        <w:rPr>
          <w:rStyle w:val="HideTWBExt"/>
        </w:rPr>
        <w:t>&lt;Amend&gt;</w:t>
      </w:r>
      <w:r>
        <w:t>Poprawka</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Załącznik II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Karta ma kod QR z wszystkimi danymi zapisanymi na karcie w formacie umożliwiającym dostęp, odpowiednio określonym i oznaczonym wypukłym stemplem, w sposób w pełni zgodny z przepisami dotyczącymi ochrony danych.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55</w:t>
    </w:r>
    <w:r>
      <w:fldChar w:fldCharType="end"/>
    </w:r>
    <w:r>
      <w:tab/>
    </w:r>
    <w:r>
      <w:rPr>
        <w:rStyle w:val="HideTWBExt"/>
      </w:rPr>
      <w:t>&lt;PathFdR&gt;</w:t>
    </w:r>
    <w:r>
      <w:t>AM\1289917PL.docx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AM\1289917PL.docx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55</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AM\1289917PL.docx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55</Pages>
  <Words>10272</Words>
  <Characters>67494</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35779</vt:lpwstr>
  </property>
  <property fmtid="{D5CDD505-2E9C-101B-9397-08002B2CF9AE}" pid="7" name="dmxml.render.traceId">
    <vt:lpwstr>6565a0a98c2a410b7b25e80ede62a0de</vt:lpwstr>
  </property>
  <property fmtid="{D5CDD505-2E9C-101B-9397-08002B2CF9AE}" pid="8" name="FooterPath">
    <vt:lpwstr>AM\1289917PL.docx</vt:lpwstr>
  </property>
  <property fmtid="{D5CDD505-2E9C-101B-9397-08002B2CF9AE}" pid="9" name="PE Number">
    <vt:lpwstr>756.072</vt:lpwstr>
  </property>
  <property fmtid="{D5CDD505-2E9C-101B-9397-08002B2CF9AE}" pid="10" name="UID">
    <vt:lpwstr>eu.europa.europarl-DIN1-2023-0000149720_02.00-pl-01.00_text-xml</vt:lpwstr>
  </property>
</Properties>
</file>