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Europaparlamentet</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Utskottet för sysselsättning och sociala frågor</w:t>
      </w:r>
      <w:r>
        <w:rPr>
          <w:rStyle w:val="HideTWBExt"/>
        </w:rPr>
        <w:t>&lt;/Commission&gt;</w:t>
      </w:r>
    </w:p>
    <w:p>
      <w:pPr>
        <w:pStyle w:val="LineBottom"/>
      </w:pPr>
      <w:r>
        <w:t xml:space="preserve"> </w:t>
      </w:r>
    </w:p>
    <w:p>
      <w:pPr>
        <w:pStyle w:val="CoverReference"/>
      </w:pPr>
      <w:r>
        <w:rPr>
          <w:rStyle w:val="HideTWBExt"/>
        </w:rPr>
        <w:t>&lt;RefProc&gt;</w:t>
      </w:r>
      <w:r>
        <w:t>2023/0311</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{10/11/2023}</w:t>
      </w:r>
      <w:r>
        <w:t>10.11.2023</w:t>
      </w:r>
      <w:r>
        <w:rPr>
          <w:rStyle w:val="HideTWBExt"/>
        </w:rPr>
        <w:t>&lt;/Date&gt;</w:t>
      </w:r>
    </w:p>
    <w:p>
      <w:pPr>
        <w:pStyle w:val="CoverDocType"/>
      </w:pPr>
      <w:r>
        <w:rPr>
          <w:rStyle w:val="HideTWBExt"/>
        </w:rPr>
        <w:t>&lt;TypeAM&gt;</w:t>
      </w:r>
      <w:r>
        <w:t>ÄNDRINGSFÖRSLAG</w:t>
      </w:r>
      <w:r>
        <w:rPr>
          <w:rStyle w:val="HideTWBExt"/>
        </w:rPr>
        <w:t>&lt;/TypeAM&gt;</w:t>
      </w:r>
    </w:p>
    <w:p>
      <w:pPr>
        <w:pStyle w:val="CoverDocType24a"/>
      </w:pPr>
      <w:r>
        <w:rPr>
          <w:rStyle w:val="HideTWBExt"/>
        </w:rPr>
        <w:t>&lt;RangeAM&gt;</w:t>
      </w:r>
      <w:r>
        <w:t>370</w:t>
      </w:r>
      <w:r>
        <w:t xml:space="preserve"> - </w:t>
      </w:r>
      <w:r>
        <w:t>480</w:t>
      </w:r>
      <w:r>
        <w:rPr>
          <w:rStyle w:val="HideTWBExt"/>
        </w:rPr>
        <w:t>&lt;/RangeAM&gt;</w:t>
      </w:r>
    </w:p>
    <w:p>
      <w:pPr>
        <w:pStyle w:val="CoverBold"/>
      </w:pPr>
      <w:r>
        <w:rPr>
          <w:rStyle w:val="HideTWBExt"/>
        </w:rPr>
        <w:t>&lt;TitreType&gt;</w:t>
      </w:r>
      <w:r>
        <w:t>Förslag till betänkande</w:t>
      </w:r>
      <w:r>
        <w:rPr>
          <w:rStyle w:val="HideTWBExt"/>
        </w:rPr>
        <w:t>&lt;/TitreType&gt;</w:t>
      </w:r>
    </w:p>
    <w:p>
      <w:pPr>
        <w:pStyle w:val="CoverBold"/>
      </w:pPr>
      <w:r>
        <w:rPr>
          <w:rStyle w:val="HideTWBExt"/>
        </w:rPr>
        <w:t>&lt;Rapporteur&gt;</w:t>
      </w:r>
      <w:r>
        <w:t>Lucia Ďuriš Nicholsonová</w:t>
      </w:r>
      <w:r>
        <w:rPr>
          <w:rStyle w:val="HideTWBExt"/>
        </w:rPr>
        <w:t>&lt;/Rapporteur&gt;</w:t>
      </w:r>
    </w:p>
    <w:p>
      <w:pPr>
        <w:pStyle w:val="CoverNormal24a"/>
      </w:pPr>
      <w:r>
        <w:rPr>
          <w:rStyle w:val="HideTWBExt"/>
        </w:rPr>
        <w:t>&lt;DocRefPE&gt;</w:t>
      </w:r>
      <w:r>
        <w:t>(PE754.831v01-00)</w:t>
      </w:r>
      <w:r>
        <w:rPr>
          <w:rStyle w:val="HideTWBExt"/>
        </w:rPr>
        <w:t>&lt;/DocRefPE&gt;</w:t>
      </w:r>
    </w:p>
    <w:p>
      <w:pPr>
        <w:pStyle w:val="CoverNormal24a"/>
      </w:pPr>
      <w:r>
        <w:rPr>
          <w:rStyle w:val="HideTWBExt"/>
        </w:rPr>
        <w:t>&lt;Titre&gt;</w:t>
      </w:r>
      <w:r>
        <w:t>om inrättande av EU-intyget om funktionsnedsättning och EU-parkeringstillståndet för personer med funktionsnedsättning</w:t>
      </w:r>
      <w:r>
        <w:rPr>
          <w:rStyle w:val="HideTWBExt"/>
        </w:rPr>
        <w:t>&lt;/Titre&gt;</w:t>
      </w:r>
    </w:p>
    <w:p>
      <w:pPr>
        <w:pStyle w:val="CoverNormal"/>
      </w:pPr>
      <w:r>
        <w:rPr>
          <w:rStyle w:val="HideTWBExt"/>
        </w:rPr>
        <w:t>&lt;DocAmend&gt;</w:t>
      </w:r>
      <w:r>
        <w:t>Förslag till direktiv</w:t>
      </w:r>
      <w:r>
        <w:rPr>
          <w:rStyle w:val="HideTWBExt"/>
        </w:rPr>
        <w:t>&lt;/DocAmend&gt;</w:t>
      </w:r>
    </w:p>
    <w:p>
      <w:pPr>
        <w:pStyle w:val="CoverNormal24a"/>
      </w:pPr>
      <w:r>
        <w:rPr>
          <w:rStyle w:val="HideTWBExt"/>
        </w:rPr>
        <w:t>&lt;DocRef&gt;</w:t>
      </w:r>
      <w:r>
        <w:t>(COM(2023)0512 – C9-0328/2023 – 2023/0311(COD))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Ändringsförslag</w:t>
      </w:r>
      <w:r>
        <w:tab/>
      </w:r>
      <w:r>
        <w:tab/>
      </w:r>
      <w:r>
        <w:rPr>
          <w:rStyle w:val="HideTWBExt"/>
        </w:rPr>
        <w:t>&lt;NumAm&gt;</w:t>
      </w:r>
      <w:r>
        <w:t>370</w:t>
      </w:r>
      <w:r>
        <w:rPr>
          <w:rStyle w:val="HideTWBExt"/>
        </w:rPr>
        <w:t>&lt;/NumAm&gt;</w:t>
      </w:r>
    </w:p>
    <w:p>
      <w:pPr>
        <w:pStyle w:val="NormalBold"/>
      </w:pPr>
      <w:r>
        <w:rPr>
          <w:rStyle w:val="HideTWBExt"/>
        </w:rPr>
        <w:t>&lt;RepeatBlock-By&gt;</w:t>
      </w:r>
      <w:r>
        <w:rPr>
          <w:rStyle w:val="HideTWBExt"/>
        </w:rPr>
        <w:t>&lt;Members&gt;</w:t>
      </w:r>
      <w:r>
        <w:t>Cindy Franssen, David Casa, Antonius Manders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9 – stycke 2a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Kommissionen ska se till att medlemsstaterna får tillgång till lämplig finansiering för att hantera kostnader som rör skyldigheter att tillhandahålla information och medvetandehöjande åtgärder enligt denna artikel och artikel 15 i direktivet.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371</w:t>
      </w:r>
      <w:r>
        <w:rPr>
          <w:rStyle w:val="HideTWBExt"/>
        </w:rPr>
        <w:t>&lt;/NumAm&gt;</w:t>
      </w:r>
    </w:p>
    <w:p>
      <w:pPr>
        <w:pStyle w:val="NormalBold"/>
      </w:pPr>
      <w:r>
        <w:rPr>
          <w:rStyle w:val="HideTWBExt"/>
        </w:rPr>
        <w:t>&lt;RepeatBlock-By&gt;</w:t>
      </w:r>
      <w:r>
        <w:rPr>
          <w:rStyle w:val="HideTWBExt"/>
        </w:rPr>
        <w:t>&lt;Members&gt;</w:t>
      </w:r>
      <w:r>
        <w:t>David Casa</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9 – punkt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Medlemsstaterna ska vidta alla nödvändiga åtgärder för att undvika risker för förfalskning eller bedrägeri och ska aktivt bekämpa bedräglig användning och förfalskning av EU-intyget om funktionsnedsättning och EU-parkeringstillståndet för personer med funktionsnedsättning.</w:t>
            </w:r>
          </w:p>
        </w:tc>
        <w:tc>
          <w:tcPr>
            <w:tcW w:w="4876" w:type="dxa"/>
          </w:tcPr>
          <w:p>
            <w:pPr>
              <w:pStyle w:val="Normal6a"/>
            </w:pPr>
            <w:r>
              <w:t>3.</w:t>
            </w:r>
            <w:r>
              <w:tab/>
            </w:r>
            <w:r>
              <w:t>Medlemsstaterna ska vidta alla nödvändiga åtgärder för att undvika risker för förfalskning eller bedrägeri och ska aktivt bekämpa bedräglig användning och förfalskning av EU-intyget om funktionsnedsättning och EU-parkeringstillståndet för personer med funktionsnedsättning</w:t>
            </w:r>
            <w:r>
              <w:rPr>
                <w:b/>
                <w:i/>
              </w:rPr>
              <w:t>, utan att äventyra tillgången till EU-intyget om funktionsnedsättning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372</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9 – punkt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Medlemsstaterna ska vidta alla nödvändiga åtgärder för att undvika risker för förfalskning eller bedrägeri och ska aktivt bekämpa bedräglig användning och förfalskning av EU-intyget om funktionsnedsättning och EU-parkeringstillståndet för personer med funktionsnedsättning.</w:t>
            </w:r>
          </w:p>
        </w:tc>
        <w:tc>
          <w:tcPr>
            <w:tcW w:w="4876" w:type="dxa"/>
          </w:tcPr>
          <w:p>
            <w:pPr>
              <w:pStyle w:val="Normal6a"/>
            </w:pPr>
            <w:r>
              <w:t>3.</w:t>
            </w:r>
            <w:r>
              <w:tab/>
            </w:r>
            <w:r>
              <w:t xml:space="preserve">Medlemsstaterna ska vidta alla nödvändiga åtgärder för att undvika risker för förfalskning eller bedrägeri och ska aktivt bekämpa bedräglig användning och förfalskning av EU-intyget om funktionsnedsättning och </w:t>
            </w:r>
            <w:r>
              <w:rPr>
                <w:b/>
                <w:i/>
              </w:rPr>
              <w:t>för äldre samt</w:t>
            </w:r>
            <w:r>
              <w:t xml:space="preserve"> EU-parkeringstillståndet för personer med funktionsnedsättning </w:t>
            </w:r>
            <w:r>
              <w:rPr>
                <w:b/>
                <w:i/>
              </w:rPr>
              <w:t>och för äldre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373</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9 – stycke 3a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Dessutom bör EU-institutionerna fortlöpande informera om och utbilda i EU-intyget om funktionsnedsättning, genom på varandra följande utbildnings- och upplysningskampanjer om hur det ska användas, i format som säkerställer allmän tillgänglighet och med deltagande av personer med funktionsnedsättning och de organisationer som företräder dem.</w:t>
            </w:r>
            <w:r>
              <w:t xml:space="preserve"> </w:t>
            </w:r>
            <w:r>
              <w:rPr>
                <w:b/>
                <w:i/>
              </w:rPr>
              <w:t>I denna information bör det tydligt framgå att intyget är frivilligt.</w:t>
            </w:r>
            <w:r>
              <w:t xml:space="preserve"> </w:t>
            </w:r>
            <w:r>
              <w:rPr>
                <w:b/>
                <w:i/>
              </w:rPr>
              <w:t>Särskilda budgetposter bör göras tillgängliga inom unionen för detta ändamål.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374</w:t>
      </w:r>
      <w:r>
        <w:rPr>
          <w:rStyle w:val="HideTWBExt"/>
        </w:rPr>
        <w:t>&lt;/NumAm&gt;</w:t>
      </w:r>
    </w:p>
    <w:p>
      <w:pPr>
        <w:pStyle w:val="NormalBold"/>
      </w:pPr>
      <w:r>
        <w:rPr>
          <w:rStyle w:val="HideTWBExt"/>
        </w:rPr>
        <w:t>&lt;RepeatBlock-By&gt;</w:t>
      </w:r>
      <w:r>
        <w:rPr>
          <w:rStyle w:val="HideTWBExt"/>
        </w:rPr>
        <w:t>&lt;Members&gt;</w:t>
      </w:r>
      <w:r>
        <w:t>David Casa</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9 – stycke 3a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Medlemsstaterna ska säkerställa att statliga bedrägerier, särskilt på området sociala förmåner, snabbt och grundligt utreds och, i förekommande fall, lagförs, för att se till att direktivet fungerar.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375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9 – punkt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Medlemsstaterna ska vidta nödvändiga åtgärder för att säkerställa att innehavare av ett EU-intyg om funktionsnedsättning eller ett EU-parkeringstillstånd för personer med funktionsnedsättning återlämnar sina kort till den behöriga myndigheten när villkoren för utfärdandet inte längre är uppfyllda.</w:t>
            </w:r>
          </w:p>
        </w:tc>
        <w:tc>
          <w:tcPr>
            <w:tcW w:w="4876" w:type="dxa"/>
          </w:tcPr>
          <w:p>
            <w:pPr>
              <w:pStyle w:val="Normal6a"/>
            </w:pPr>
            <w:r>
              <w:t>4.</w:t>
            </w:r>
            <w:r>
              <w:tab/>
            </w:r>
            <w:r>
              <w:t xml:space="preserve">Medlemsstaterna ska vidta nödvändiga åtgärder för att säkerställa att innehavare av ett EU-intyg om funktionsnedsättning </w:t>
            </w:r>
            <w:r>
              <w:rPr>
                <w:b/>
                <w:i/>
              </w:rPr>
              <w:t>och för äldre</w:t>
            </w:r>
            <w:r>
              <w:t xml:space="preserve"> eller ett EU-parkeringstillstånd för personer med funktionsnedsättning </w:t>
            </w:r>
            <w:r>
              <w:rPr>
                <w:b/>
                <w:i/>
              </w:rPr>
              <w:t>och för äldre</w:t>
            </w:r>
            <w:r>
              <w:t xml:space="preserve"> återlämnar sina kort till den behöriga myndigheten när villkoren för utfärdandet inte längre är uppfyllda.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376</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9 – punkt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Medlemsstaterna ska vidta nödvändiga åtgärder för att säkerställa att de behöriga myndigheterna i den medlemsstat som utfärdade EU-intyget om funktionsnedsättning eller EU-parkeringstillståndet för personer med funktionsnedsättning informeras om fall av missbruk eller felaktig användning av kort som utfärdats av en annan medlemsstat på deras territorium. Den utfärdande medlemsstaten ska säkerställa lämplig uppföljning i enlighet med nationell lagstiftning eller praxis.</w:t>
            </w:r>
          </w:p>
        </w:tc>
        <w:tc>
          <w:tcPr>
            <w:tcW w:w="4876" w:type="dxa"/>
          </w:tcPr>
          <w:p>
            <w:pPr>
              <w:pStyle w:val="Normal6a"/>
            </w:pPr>
            <w:r>
              <w:t>5.</w:t>
            </w:r>
            <w:r>
              <w:tab/>
            </w:r>
            <w:r>
              <w:t xml:space="preserve">Medlemsstaterna ska vidta nödvändiga åtgärder för att säkerställa att de behöriga myndigheterna i den medlemsstat som utfärdade EU-intyget om funktionsnedsättning eller EU-parkeringstillståndet för personer med funktionsnedsättning informeras om fall av missbruk eller felaktig användning av kort som utfärdats av en annan medlemsstat på deras territorium. Den utfärdande medlemsstaten ska säkerställa lämplig uppföljning i enlighet med nationell lagstiftning eller praxis. </w:t>
            </w:r>
            <w:r>
              <w:rPr>
                <w:b/>
                <w:i/>
              </w:rPr>
              <w:t>Medlemsstaterna ska utbyta information om fall av missbruk eller felaktig användning av korten.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377</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9 – punkt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Medlemsstaterna ska vidta nödvändiga åtgärder för att säkerställa att de behöriga myndigheterna i den medlemsstat som utfärdade EU-intyget om funktionsnedsättning eller EU-parkeringstillståndet för personer med funktionsnedsättning informeras om fall av missbruk eller felaktig användning av kort som utfärdats av en annan medlemsstat på deras territorium. Den utfärdande medlemsstaten ska säkerställa lämplig uppföljning i enlighet med nationell lagstiftning eller praxis.</w:t>
            </w:r>
          </w:p>
        </w:tc>
        <w:tc>
          <w:tcPr>
            <w:tcW w:w="4876" w:type="dxa"/>
          </w:tcPr>
          <w:p>
            <w:pPr>
              <w:pStyle w:val="Normal6a"/>
            </w:pPr>
            <w:r>
              <w:t>5.</w:t>
            </w:r>
            <w:r>
              <w:tab/>
            </w:r>
            <w:r>
              <w:t xml:space="preserve">Medlemsstaterna ska vidta nödvändiga åtgärder för att säkerställa att de behöriga myndigheterna i den medlemsstat som utfärdade EU-intyget om funktionsnedsättning </w:t>
            </w:r>
            <w:r>
              <w:rPr>
                <w:b/>
                <w:i/>
              </w:rPr>
              <w:t>och för äldre</w:t>
            </w:r>
            <w:r>
              <w:t xml:space="preserve"> eller EU-parkeringstillståndet för personer med funktionsnedsättning </w:t>
            </w:r>
            <w:r>
              <w:rPr>
                <w:b/>
                <w:i/>
              </w:rPr>
              <w:t>och för äldre</w:t>
            </w:r>
            <w:r>
              <w:t xml:space="preserve"> informeras om fall av missbruk eller felaktig användning av kort som utfärdats av en annan medlemsstat på deras territorium. Den utfärdande medlemsstaten ska säkerställa lämplig uppföljning i enlighet med nationell lagstiftning eller praxis.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378</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9 – punkt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Medlemsstaterna ska utföra kontroller av efterlevnaden av de skyldigheter som följer av EU-intyget om funktionsnedsättning eller EU-parkeringstillståndet för personer med funktionsnedsättning och motsvarande rättigheter för personer med funktionsnedsättning som innehar dessa kort och personer som medföljer eller hjälper dem, inbegripet deras personliga assistenter.</w:t>
            </w:r>
          </w:p>
        </w:tc>
        <w:tc>
          <w:tcPr>
            <w:tcW w:w="4876" w:type="dxa"/>
          </w:tcPr>
          <w:p>
            <w:pPr>
              <w:pStyle w:val="Normal6a"/>
            </w:pPr>
            <w:r>
              <w:t>6.</w:t>
            </w:r>
            <w:r>
              <w:tab/>
            </w:r>
            <w:r>
              <w:t xml:space="preserve">Medlemsstaterna ska utföra kontroller av efterlevnaden av de skyldigheter som följer av EU-intyget om funktionsnedsättning </w:t>
            </w:r>
            <w:r>
              <w:rPr>
                <w:b/>
                <w:i/>
              </w:rPr>
              <w:t>och för äldre</w:t>
            </w:r>
            <w:r>
              <w:t xml:space="preserve"> eller EU-parkeringstillståndet för personer med funktionsnedsättning </w:t>
            </w:r>
            <w:r>
              <w:rPr>
                <w:b/>
                <w:i/>
              </w:rPr>
              <w:t>och för äldre,</w:t>
            </w:r>
            <w:r>
              <w:t xml:space="preserve"> och motsvarande rättigheter för personer med funktionsnedsättning som innehar dessa kort och personer som medföljer eller hjälper dem, inbegripet deras personliga assistenter.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379</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9 – punkt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Den information som avses i punkterna 1 och 2 i denna artikel ska göras tillgänglig kostnadsfritt på ett tydligt, heltäckande, användarvänligt och lättillgängligt sätt, inbegripet på privata aktörers eller offentliga myndigheters officiella webbplats om sådan finns tillgänglig, eller på andra lämpliga sätt, i enlighet med de relevanta tillgänglighetskraven för tjänster som fastställs i bilaga I till direktiv (EU) 2019/882.</w:t>
            </w:r>
          </w:p>
        </w:tc>
        <w:tc>
          <w:tcPr>
            <w:tcW w:w="4876" w:type="dxa"/>
          </w:tcPr>
          <w:p>
            <w:pPr>
              <w:pStyle w:val="Normal6a"/>
            </w:pPr>
            <w:r>
              <w:t>7.</w:t>
            </w:r>
            <w:r>
              <w:tab/>
            </w:r>
            <w:r>
              <w:t xml:space="preserve">Den information som avses i punkterna 1 och 2 i denna artikel ska göras tillgänglig kostnadsfritt på ett tydligt, heltäckande, användarvänligt och lättillgängligt sätt, inbegripet på privata aktörers eller offentliga myndigheters officiella webbplats om sådan finns tillgänglig, </w:t>
            </w:r>
            <w:r>
              <w:rPr>
                <w:b/>
                <w:i/>
              </w:rPr>
              <w:t>på en webbplats på EU-nivå på alla EU-språk</w:t>
            </w:r>
            <w:r>
              <w:t xml:space="preserve"> eller på andra lämpliga sätt, i enlighet med de relevanta tillgänglighetskraven för tjänster som fastställs i bilaga I till direktiv (EU) 2019/882. </w:t>
            </w:r>
            <w:r>
              <w:rPr>
                <w:b/>
                <w:i/>
              </w:rPr>
              <w:t>Denna information får inte överstiga svårighetsgrad B1 (medelnivå) i Europarådets gemensamma europeiska referensram för språk.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380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9 – punkt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Den information som avses i punkterna 1 och 2 i denna artikel ska göras tillgänglig kostnadsfritt på ett tydligt, heltäckande, användarvänligt och lättillgängligt sätt, inbegripet på privata aktörers eller offentliga myndigheters officiella webbplats om sådan finns tillgänglig, eller på andra lämpliga sätt, i enlighet med de relevanta tillgänglighetskraven för tjänster som fastställs i bilaga I till direktiv (EU) 2019/882.</w:t>
            </w:r>
          </w:p>
        </w:tc>
        <w:tc>
          <w:tcPr>
            <w:tcW w:w="4876" w:type="dxa"/>
          </w:tcPr>
          <w:p>
            <w:pPr>
              <w:pStyle w:val="Normal6a"/>
            </w:pPr>
            <w:r>
              <w:t>7.</w:t>
            </w:r>
            <w:r>
              <w:tab/>
            </w:r>
            <w:r>
              <w:t xml:space="preserve">Den information som avses i punkterna 1 och 2 i denna artikel ska göras tillgänglig kostnadsfritt på ett tydligt, heltäckande, användarvänligt och lättillgängligt sätt, inbegripet på privata aktörers eller offentliga myndigheters officiella webbplats om sådan finns tillgänglig, eller på andra lämpliga sätt, i enlighet med de relevanta tillgänglighetskraven för tjänster som fastställs i bilaga I till direktiv (EU) 2019/882. </w:t>
            </w:r>
            <w:r>
              <w:rPr>
                <w:b/>
                <w:i/>
              </w:rPr>
              <w:t>Medlemsstaterna ska vidta de åtgärder som följer av punkterna 1 och 2 i denna artikel i samråd med organisationer som företräder personer med funktionsnedsättning.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381</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9 – punkt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Den information som avses i punkterna 1 och 2 i denna artikel ska göras tillgänglig kostnadsfritt på ett tydligt, heltäckande, användarvänligt och lättillgängligt sätt, inbegripet på privata aktörers eller offentliga myndigheters officiella webbplats om sådan finns tillgänglig, eller på andra lämpliga sätt, i enlighet med de relevanta tillgänglighetskraven för tjänster som fastställs i bilaga I till direktiv (EU) 2019/882.</w:t>
            </w:r>
          </w:p>
        </w:tc>
        <w:tc>
          <w:tcPr>
            <w:tcW w:w="4876" w:type="dxa"/>
          </w:tcPr>
          <w:p>
            <w:pPr>
              <w:pStyle w:val="Normal6a"/>
            </w:pPr>
            <w:r>
              <w:t>7.</w:t>
            </w:r>
            <w:r>
              <w:tab/>
            </w:r>
            <w:r>
              <w:t xml:space="preserve">Den information som avses i punkterna 1 och 2 i denna artikel ska göras tillgänglig kostnadsfritt på ett tydligt, heltäckande, användarvänligt och lättillgängligt sätt, inbegripet på </w:t>
            </w:r>
            <w:r>
              <w:rPr>
                <w:b/>
                <w:i/>
              </w:rPr>
              <w:t>en webbplats på EU-nivå på alla EU:s språk,</w:t>
            </w:r>
            <w:r>
              <w:t xml:space="preserve"> privata aktörers eller offentliga myndigheters officiella webbplats om sådan finns tillgänglig, eller på andra lämpliga sätt, i enlighet med de relevanta tillgänglighetskraven för tjänster som fastställs i bilaga I till direktiv (EU) 2019/882.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382</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9 – punkt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Den information som avses i punkterna 1 och 2 i denna artikel ska göras tillgänglig kostnadsfritt på ett tydligt, heltäckande, användarvänligt och lättillgängligt sätt, inbegripet på privata aktörers eller offentliga myndigheters officiella webbplats om sådan finns tillgänglig, eller på andra lämpliga sätt, i enlighet med de relevanta tillgänglighetskraven för tjänster som fastställs i bilaga I till direktiv (EU) 2019/882.</w:t>
            </w:r>
          </w:p>
        </w:tc>
        <w:tc>
          <w:tcPr>
            <w:tcW w:w="4876" w:type="dxa"/>
          </w:tcPr>
          <w:p>
            <w:pPr>
              <w:pStyle w:val="Normal6a"/>
            </w:pPr>
            <w:r>
              <w:t>7.</w:t>
            </w:r>
            <w:r>
              <w:tab/>
            </w:r>
            <w:r>
              <w:t xml:space="preserve">Den information som avses i punkterna 1 och 2 i denna artikel ska göras tillgänglig kostnadsfritt på ett tydligt, heltäckande, användarvänligt och lättillgängligt sätt, inbegripet på </w:t>
            </w:r>
            <w:r>
              <w:rPr>
                <w:b/>
                <w:i/>
              </w:rPr>
              <w:t>en webbplats på EU-nivå på alla EU:s språk,</w:t>
            </w:r>
            <w:r>
              <w:t xml:space="preserve"> privata aktörers eller offentliga myndigheters officiella webbplats om sådan finns tillgänglig, eller på andra lämpliga sätt, i enlighet med de relevanta tillgänglighetskraven för tjänster som fastställs i bilaga I till direktiv (EU) 2019/882.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383</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9 – punkt 7 – led 1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ab/>
            </w:r>
            <w:r>
              <w:rPr>
                <w:b/>
                <w:i/>
              </w:rPr>
              <w:t>Det bör inrättas en webbplats med all information om EU-intyget om funktionsnedsättning eller EU-parkeringstillståndet för personer med funktionsnedsättning och, i tillämpliga fall, hur man ansöker om det, i ett allmänt tillgängligt format, på alla Europeiska unionens språk, inklusive teckenspråk, och lättlästa, alternativa och förstorande kommunikationsmedel.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384</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9 – punkt 7 – led 2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w:t>
            </w:r>
            <w:r>
              <w:tab/>
            </w:r>
            <w:r>
              <w:rPr>
                <w:b/>
                <w:i/>
              </w:rPr>
              <w:t>Organisationer som företräder personer med funktionsnedsättning bör delta i hela den process som rör utveckling, planering, genomförande, övervakning och utvärdering.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385</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9 – stycke 7a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Kommissionen ska se till att lämplig finansiering görs tillgänglig för medlemsstaterna för att täcka kostnaderna för de administrativa förfarandena, det fysiska utfärdandet av dessa kort, tillhandahållandet av information och för informationskampanjer, samt andra nödvändiga kostnader i samband med detta.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386</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9 – stycke 7a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Den information som avses i punkterna 1 och 2 i denna artikel ska vara begriplig och får inte ligga på en svårighetsgrad som överstiger nivå B1 (medelnivå) enligt Europarådets gemensamma europeiska referensram för språk.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387</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9 – stycke 7a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Den information som avses i punkterna 1 och 2 i denna artikel ska vara begriplig och får inte ligga på en svårighetsgrad som överstiger nivå B1 (medelnivå) enligt Europarådets gemensamma europeiska referensram för språk.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388</w:t>
      </w:r>
      <w:r>
        <w:rPr>
          <w:rStyle w:val="HideTWBExt"/>
        </w:rPr>
        <w:t>&lt;/NumAm&gt;</w:t>
      </w:r>
    </w:p>
    <w:p>
      <w:pPr>
        <w:pStyle w:val="NormalBold"/>
      </w:pPr>
      <w:r>
        <w:rPr>
          <w:rStyle w:val="HideTWBExt"/>
        </w:rPr>
        <w:t>&lt;RepeatBlock-By&gt;</w:t>
      </w:r>
      <w:r>
        <w:rPr>
          <w:rStyle w:val="HideTWBExt"/>
        </w:rPr>
        <w:t>&lt;Members&gt;</w:t>
      </w:r>
      <w:r>
        <w:t>Jordi Cañas, Monica Semedo, Lucia Ďuriš Nicholsonová</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9 – stycke 7a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Organisationer som företräder personer med funktionsnedsättning ska delta i hela den process som rör utveckling, planering, verkställande, övervakning och utvärdering.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389</w:t>
      </w:r>
      <w:r>
        <w:rPr>
          <w:rStyle w:val="HideTWBExt"/>
        </w:rPr>
        <w:t>&lt;/NumAm&gt;</w:t>
      </w:r>
    </w:p>
    <w:p>
      <w:pPr>
        <w:pStyle w:val="NormalBold"/>
      </w:pPr>
      <w:r>
        <w:rPr>
          <w:rStyle w:val="HideTWBExt"/>
        </w:rPr>
        <w:t>&lt;RepeatBlock-By&gt;</w:t>
      </w:r>
      <w:r>
        <w:rPr>
          <w:rStyle w:val="HideTWBExt"/>
        </w:rPr>
        <w:t>&lt;Members&gt;</w:t>
      </w:r>
      <w:r>
        <w:t>Francesca Peppucci,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9 – stycke 7a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Kommissionen ska se till att medlemsstaterna har tillräcklig finansiering för att täcka kostnaderna för genomförandet av ovannämnda bestämmelser.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390</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9 – punkt 7b (ny)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7b.</w:t>
            </w:r>
            <w:r>
              <w:tab/>
            </w:r>
            <w:r>
              <w:rPr>
                <w:b/>
                <w:i/>
              </w:rPr>
              <w:t>Kommissionen ska inrätta en särskild webbplats på EU-nivå med relevant och regelbundet uppdaterad information om de särskilda villkor eller den positiva särbehandling som medlemsstaterna erbjuder innehavare av EU-intyget om funktionsnedsättning.</w:t>
            </w:r>
            <w:r>
              <w:t xml:space="preserve"> </w:t>
            </w:r>
            <w:r>
              <w:rPr>
                <w:b/>
                <w:i/>
              </w:rPr>
              <w:t>Webbplatsen ska finnas tillgänglig på alla EU-språk och i tillgängliga format.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391</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9 – punkt 7b (ny)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7b.</w:t>
            </w:r>
            <w:r>
              <w:tab/>
            </w:r>
            <w:r>
              <w:rPr>
                <w:b/>
                <w:i/>
              </w:rPr>
              <w:t>Kommissionen ska se till att tillräcklig finansiering görs tillgänglig för medlemsstaterna för att täcka kostnaderna för de administrativa förfarandena, det fysiska utfärdandet av intyget, tillhandahållandet av information och för informationskampanjer, samt andra kostnader i samband med detta.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392</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9 – punkt 7b (ny)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7b.</w:t>
            </w:r>
            <w:r>
              <w:tab/>
            </w:r>
            <w:r>
              <w:rPr>
                <w:b/>
                <w:i/>
              </w:rPr>
              <w:t>Kommissionen ska se till att lämplig finansiering görs tillgänglig för medlemsstaterna för att täcka kostnaderna för de administrativa förfarandena, det fysiska utfärdandet av intyget, tillhandahållandet av information och för informationskampanjer, samt andra kostnader i samband med detta.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393</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10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Senast den dd/mm/åå [inom sex månader efter detta direktivs ikraftträdande] ska medlemsstaterna underrätta kommissionen om de behöriga myndigheter som utsetts att utfärda, förnya och återkalla EU-intyget om funktionsnedsättning och EU-parkeringstillståndet för personer med funktionsnedsättning.</w:t>
            </w:r>
          </w:p>
        </w:tc>
        <w:tc>
          <w:tcPr>
            <w:tcW w:w="4876" w:type="dxa"/>
          </w:tcPr>
          <w:p>
            <w:pPr>
              <w:pStyle w:val="Normal6a"/>
            </w:pPr>
            <w:r>
              <w:t xml:space="preserve">Senast den dd/mm/åå [inom sex månader efter detta direktivs ikraftträdande] ska medlemsstaterna underrätta kommissionen om de behöriga myndigheter som utsetts att utfärda, förnya och återkalla EU-intyget om funktionsnedsättning och </w:t>
            </w:r>
            <w:r>
              <w:rPr>
                <w:b/>
                <w:i/>
              </w:rPr>
              <w:t>för äldre, och</w:t>
            </w:r>
            <w:r>
              <w:t xml:space="preserve"> EU-parkeringstillståndet för personer med funktionsnedsättning </w:t>
            </w:r>
            <w:r>
              <w:rPr>
                <w:b/>
                <w:i/>
              </w:rPr>
              <w:t>och för äldre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394</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11 – 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Den befogenhet att anta delegerade akter som avses i artiklarna 6.7 </w:t>
            </w:r>
            <w:r>
              <w:rPr>
                <w:b/>
                <w:i/>
              </w:rPr>
              <w:t>och 7.7</w:t>
            </w:r>
            <w:r>
              <w:t xml:space="preserve"> ska ges till kommissionen tills vidare från och med [den dag då detta direktiv träder i kraft].</w:t>
            </w:r>
          </w:p>
        </w:tc>
        <w:tc>
          <w:tcPr>
            <w:tcW w:w="4876" w:type="dxa"/>
          </w:tcPr>
          <w:p>
            <w:pPr>
              <w:pStyle w:val="Normal6a"/>
            </w:pPr>
            <w:r>
              <w:t>2.</w:t>
            </w:r>
            <w:r>
              <w:tab/>
            </w:r>
            <w:r>
              <w:t>Den befogenhet att anta delegerade akter som avses i artiklarna 6.7</w:t>
            </w:r>
            <w:r>
              <w:rPr>
                <w:b/>
                <w:i/>
              </w:rPr>
              <w:t>, 7.7 och 15.4</w:t>
            </w:r>
            <w:r>
              <w:t xml:space="preserve"> ska ges till kommissionen tills vidare från och med [den dag då detta direktiv träder i kraft].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395</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11 – punkt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Innan kommissionen antar en delegerad akt ska den samråda med experter som utsetts av varje medlemsstat i enlighet med principerna i det interinstitutionella avtalet av den 13 april 2016 om bättre lagstiftning.</w:t>
            </w:r>
          </w:p>
        </w:tc>
        <w:tc>
          <w:tcPr>
            <w:tcW w:w="4876" w:type="dxa"/>
          </w:tcPr>
          <w:p>
            <w:pPr>
              <w:pStyle w:val="Normal6a"/>
            </w:pPr>
            <w:r>
              <w:t>4.</w:t>
            </w:r>
            <w:r>
              <w:tab/>
            </w:r>
            <w:r>
              <w:t xml:space="preserve">Innan kommissionen antar en delegerad akt ska den </w:t>
            </w:r>
            <w:r>
              <w:rPr>
                <w:b/>
                <w:i/>
              </w:rPr>
              <w:t>först och främst</w:t>
            </w:r>
            <w:r>
              <w:t xml:space="preserve"> samråda med</w:t>
            </w:r>
            <w:r>
              <w:rPr>
                <w:b/>
                <w:i/>
              </w:rPr>
              <w:t>, och inom ramen för en samproduktionsbaserad metod, personer med funktionsnedsättning och de organisationer som företräder dem samt med andra relevanta</w:t>
            </w:r>
            <w:r>
              <w:t xml:space="preserve"> experter som utsetts av varje medlemsstat i enlighet med principerna i det interinstitutionella avtalet av den 13 april 2016 om bättre lagstiftning.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396</w:t>
      </w:r>
      <w:r>
        <w:rPr>
          <w:rStyle w:val="HideTWBExt"/>
        </w:rPr>
        <w:t>&lt;/NumAm&gt;</w:t>
      </w:r>
    </w:p>
    <w:p>
      <w:pPr>
        <w:pStyle w:val="NormalBold"/>
      </w:pPr>
      <w:r>
        <w:rPr>
          <w:rStyle w:val="HideTWBExt"/>
        </w:rPr>
        <w:t>&lt;RepeatBlock-By&gt;</w:t>
      </w:r>
      <w:r>
        <w:rPr>
          <w:rStyle w:val="HideTWBExt"/>
        </w:rPr>
        <w:t>&lt;Members&gt;</w:t>
      </w:r>
      <w:r>
        <w:t>Loucas Fourlas,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11 – punkt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Innan kommissionen antar en delegerad akt ska den samråda med experter som utsetts av varje medlemsstat i enlighet med principerna i det interinstitutionella avtalet av den 13 april 2016 om bättre lagstiftning.</w:t>
            </w:r>
          </w:p>
        </w:tc>
        <w:tc>
          <w:tcPr>
            <w:tcW w:w="4876" w:type="dxa"/>
          </w:tcPr>
          <w:p>
            <w:pPr>
              <w:pStyle w:val="Normal6a"/>
            </w:pPr>
            <w:r>
              <w:t>4.</w:t>
            </w:r>
            <w:r>
              <w:tab/>
            </w:r>
            <w:r>
              <w:t xml:space="preserve">Innan kommissionen antar en delegerad akt ska den samråda med experter som utsetts av varje medlemsstat i enlighet med principerna i det interinstitutionella avtalet av den 13 april 2016 om bättre lagstiftning </w:t>
            </w:r>
            <w:r>
              <w:rPr>
                <w:b/>
                <w:i/>
              </w:rPr>
              <w:t>samt med personer med funktionsnedsättning och de organisationer som företräder dem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397</w:t>
      </w:r>
      <w:r>
        <w:rPr>
          <w:rStyle w:val="HideTWBExt"/>
        </w:rPr>
        <w:t>&lt;/NumAm&gt;</w:t>
      </w:r>
    </w:p>
    <w:p>
      <w:pPr>
        <w:pStyle w:val="NormalBold"/>
      </w:pPr>
      <w:r>
        <w:rPr>
          <w:rStyle w:val="HideTWBExt"/>
        </w:rPr>
        <w:t>&lt;RepeatBlock-By&gt;</w:t>
      </w:r>
      <w:r>
        <w:rPr>
          <w:rStyle w:val="HideTWBExt"/>
        </w:rPr>
        <w:t>&lt;Members&gt;</w:t>
      </w:r>
      <w:r>
        <w:t>Francesca Peppucci, Rosa Estaràs Ferragut,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11 – punkt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Innan kommissionen antar en delegerad akt ska den samråda med experter som utsetts av varje medlemsstat i enlighet med principerna i det interinstitutionella avtalet av den 13 april 2016 om bättre lagstiftning.</w:t>
            </w:r>
          </w:p>
        </w:tc>
        <w:tc>
          <w:tcPr>
            <w:tcW w:w="4876" w:type="dxa"/>
          </w:tcPr>
          <w:p>
            <w:pPr>
              <w:pStyle w:val="Normal6a"/>
            </w:pPr>
            <w:r>
              <w:t>4.</w:t>
            </w:r>
            <w:r>
              <w:tab/>
            </w:r>
            <w:r>
              <w:t xml:space="preserve">Innan kommissionen antar en delegerad akt ska den samråda med experter som utsetts av varje medlemsstat i enlighet med principerna i det interinstitutionella avtalet av den 13 april 2016 om bättre lagstiftning </w:t>
            </w:r>
            <w:r>
              <w:rPr>
                <w:b/>
                <w:i/>
              </w:rPr>
              <w:t>samt med personer med funktionsnedsättning och de organisationer som företräder dem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398</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11 – punkt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Innan kommissionen antar en delegerad akt ska den samråda med experter som utsetts av varje medlemsstat i enlighet med principerna i det interinstitutionella avtalet av den 13 april 2016 om bättre lagstiftning.</w:t>
            </w:r>
          </w:p>
        </w:tc>
        <w:tc>
          <w:tcPr>
            <w:tcW w:w="4876" w:type="dxa"/>
          </w:tcPr>
          <w:p>
            <w:pPr>
              <w:pStyle w:val="Normal6a"/>
            </w:pPr>
            <w:r>
              <w:t>4.</w:t>
            </w:r>
            <w:r>
              <w:tab/>
            </w:r>
            <w:r>
              <w:t xml:space="preserve">Innan kommissionen antar en delegerad akt ska den samråda med experter som utsetts av varje medlemsstat i enlighet med principerna i det interinstitutionella avtalet av den 13 april 2016 om bättre lagstiftning </w:t>
            </w:r>
            <w:r>
              <w:rPr>
                <w:b/>
                <w:i/>
              </w:rPr>
              <w:t>samt med personer med funktionsnedsättning och de organisationer som företräder dem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399</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11 – punkt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Innan kommissionen antar en delegerad akt ska den samråda med experter som utsetts av varje medlemsstat i enlighet med principerna i det interinstitutionella avtalet av den 13 april 2016 om bättre lagstiftning.</w:t>
            </w:r>
          </w:p>
        </w:tc>
        <w:tc>
          <w:tcPr>
            <w:tcW w:w="4876" w:type="dxa"/>
          </w:tcPr>
          <w:p>
            <w:pPr>
              <w:pStyle w:val="Normal6a"/>
            </w:pPr>
            <w:r>
              <w:t>4.</w:t>
            </w:r>
            <w:r>
              <w:tab/>
            </w:r>
            <w:r>
              <w:t xml:space="preserve">Innan kommissionen antar en delegerad akt ska den samråda med experter som utsetts av varje medlemsstat i enlighet med principerna i det interinstitutionella avtalet av den 13 april 2016 om bättre lagstiftning </w:t>
            </w:r>
            <w:r>
              <w:rPr>
                <w:b/>
                <w:i/>
              </w:rPr>
              <w:t>samt med personer med funktionsnedsättning och deras organisationer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400</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11 – punkt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Innan kommissionen antar en delegerad akt ska den samråda med experter som utsetts av varje medlemsstat i enlighet med principerna i det interinstitutionella avtalet av den 13 april 2016 om bättre lagstiftning.</w:t>
            </w:r>
          </w:p>
        </w:tc>
        <w:tc>
          <w:tcPr>
            <w:tcW w:w="4876" w:type="dxa"/>
          </w:tcPr>
          <w:p>
            <w:pPr>
              <w:pStyle w:val="Normal6a"/>
            </w:pPr>
            <w:r>
              <w:t>4.</w:t>
            </w:r>
            <w:r>
              <w:tab/>
            </w:r>
            <w:r>
              <w:t xml:space="preserve">Innan kommissionen antar en delegerad akt ska den samråda med experter som utsetts av varje medlemsstat i enlighet med principerna i det interinstitutionella avtalet av den 13 april 2016 om bättre lagstiftning </w:t>
            </w:r>
            <w:r>
              <w:rPr>
                <w:b/>
                <w:i/>
              </w:rPr>
              <w:t>samt med personer med funktionsnedsättning och de organisationer som företräder dem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401</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11 – punkt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Innan kommissionen antar en delegerad akt ska den samråda med experter som utsetts av varje medlemsstat i enlighet med principerna i det interinstitutionella avtalet av den 13 april 2016 om bättre lagstiftning.</w:t>
            </w:r>
          </w:p>
        </w:tc>
        <w:tc>
          <w:tcPr>
            <w:tcW w:w="4876" w:type="dxa"/>
          </w:tcPr>
          <w:p>
            <w:pPr>
              <w:pStyle w:val="Normal6a"/>
            </w:pPr>
            <w:r>
              <w:t>4.</w:t>
            </w:r>
            <w:r>
              <w:tab/>
            </w:r>
            <w:r>
              <w:t xml:space="preserve">Innan kommissionen antar en delegerad akt ska den samråda med experter som utsetts av varje medlemsstat i enlighet med principerna i det interinstitutionella avtalet av den 13 april 2016 om bättre lagstiftning </w:t>
            </w:r>
            <w:r>
              <w:rPr>
                <w:b/>
                <w:i/>
              </w:rPr>
              <w:t>samt med personer med funktionsnedsättning och de organisationer som företräder dem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402</w:t>
      </w:r>
      <w:r>
        <w:rPr>
          <w:rStyle w:val="HideTWBExt"/>
        </w:rPr>
        <w:t>&lt;/NumAm&gt;</w:t>
      </w:r>
    </w:p>
    <w:p>
      <w:pPr>
        <w:pStyle w:val="NormalBold"/>
      </w:pPr>
      <w:r>
        <w:rPr>
          <w:rStyle w:val="HideTWBExt"/>
        </w:rPr>
        <w:t>&lt;RepeatBlock-By&gt;</w:t>
      </w:r>
      <w:r>
        <w:rPr>
          <w:rStyle w:val="HideTWBExt"/>
        </w:rPr>
        <w:t>&lt;Members&gt;</w:t>
      </w:r>
      <w:r>
        <w:t>Jarosław Duda</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11 – punkt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Innan kommissionen antar en delegerad akt ska den samråda med experter som utsetts av varje medlemsstat i enlighet med principerna i det interinstitutionella avtalet av den 13 april 2016 om bättre lagstiftning.</w:t>
            </w:r>
          </w:p>
        </w:tc>
        <w:tc>
          <w:tcPr>
            <w:tcW w:w="4876" w:type="dxa"/>
          </w:tcPr>
          <w:p>
            <w:pPr>
              <w:pStyle w:val="Normal6a"/>
            </w:pPr>
            <w:r>
              <w:t>4.</w:t>
            </w:r>
            <w:r>
              <w:tab/>
            </w:r>
            <w:r>
              <w:t xml:space="preserve">Innan kommissionen antar en delegerad akt ska den samråda med experter som utsetts av varje medlemsstat i enlighet med principerna i det interinstitutionella avtalet av den 13 april 2016 om bättre lagstiftning </w:t>
            </w:r>
            <w:r>
              <w:rPr>
                <w:b/>
                <w:i/>
              </w:rPr>
              <w:t>samt med personer med funktionsnedsättning och de organisationer som företräder dem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403</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12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Kommissionen ska biträdas av en kommitté. Denna kommitté ska vara en kommitté i den mening som avses i förordning (EU) nr 182/2011.</w:t>
            </w:r>
          </w:p>
        </w:tc>
        <w:tc>
          <w:tcPr>
            <w:tcW w:w="4876" w:type="dxa"/>
          </w:tcPr>
          <w:p>
            <w:pPr>
              <w:pStyle w:val="Normal6a"/>
            </w:pPr>
            <w:r>
              <w:t>1.</w:t>
            </w:r>
            <w:r>
              <w:tab/>
            </w:r>
            <w:r>
              <w:t xml:space="preserve">Kommissionen ska biträdas av en kommitté </w:t>
            </w:r>
            <w:r>
              <w:rPr>
                <w:b/>
                <w:i/>
              </w:rPr>
              <w:t>och ska formellt, och inom ramen för en samproduktions- och deltagandebaserad metod, involvera formella och informella organisationer som företräder personer med funktionsnedsättning</w:t>
            </w:r>
            <w:r>
              <w:t>. Denna kommitté ska vara en kommitté i den mening som avses i förordning (EU)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404</w:t>
      </w:r>
      <w:r>
        <w:rPr>
          <w:rStyle w:val="HideTWBExt"/>
        </w:rPr>
        <w:t>&lt;/NumAm&gt;</w:t>
      </w:r>
    </w:p>
    <w:p>
      <w:pPr>
        <w:pStyle w:val="NormalBold"/>
      </w:pPr>
      <w:r>
        <w:rPr>
          <w:rStyle w:val="HideTWBExt"/>
        </w:rPr>
        <w:t>&lt;RepeatBlock-By&gt;</w:t>
      </w:r>
      <w:r>
        <w:rPr>
          <w:rStyle w:val="HideTWBExt"/>
        </w:rPr>
        <w:t>&lt;Members&gt;</w:t>
      </w:r>
      <w:r>
        <w:t>Stelios Kympouropoulos, Loucas Fourlas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12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Kommissionen ska biträdas av en kommitté. Denna kommitté ska vara en kommitté i den mening som avses i förordning (EU) nr 182/2011.</w:t>
            </w:r>
          </w:p>
        </w:tc>
        <w:tc>
          <w:tcPr>
            <w:tcW w:w="4876" w:type="dxa"/>
          </w:tcPr>
          <w:p>
            <w:pPr>
              <w:pStyle w:val="Normal6a"/>
            </w:pPr>
            <w:r>
              <w:t>1.</w:t>
            </w:r>
            <w:r>
              <w:tab/>
            </w:r>
            <w:r>
              <w:t xml:space="preserve">Kommissionen ska biträdas av en kommitté </w:t>
            </w:r>
            <w:r>
              <w:rPr>
                <w:b/>
                <w:i/>
              </w:rPr>
              <w:t>och ska på ett meningsfullt sätt involvera olika organisationer som företräder personer med funktionsnedsättning</w:t>
            </w:r>
            <w:r>
              <w:t>. Denna kommitté ska vara en kommitté i den mening som avses i förordning (EU)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405</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12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Kommissionen ska biträdas av en kommitté. Denna kommitté ska vara en kommitté i den mening som avses i förordning (EU) nr 182/2011.</w:t>
            </w:r>
          </w:p>
        </w:tc>
        <w:tc>
          <w:tcPr>
            <w:tcW w:w="4876" w:type="dxa"/>
          </w:tcPr>
          <w:p>
            <w:pPr>
              <w:pStyle w:val="Normal6a"/>
            </w:pPr>
            <w:r>
              <w:t>1.</w:t>
            </w:r>
            <w:r>
              <w:tab/>
            </w:r>
            <w:r>
              <w:t xml:space="preserve">Kommissionen ska biträdas av en kommitté </w:t>
            </w:r>
            <w:r>
              <w:rPr>
                <w:b/>
                <w:i/>
              </w:rPr>
              <w:t>och ska på ett meningsfullt sätt involvera organisationer som företräder personer med funktionsnedsättning</w:t>
            </w:r>
            <w:r>
              <w:t>. Denna kommitté ska vara en kommitté i den mening som avses i förordning (EU)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406</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12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Kommissionen ska biträdas av en kommitté. Denna kommitté ska vara en kommitté i den mening som avses i förordning (EU) nr 182/2011.</w:t>
            </w:r>
          </w:p>
        </w:tc>
        <w:tc>
          <w:tcPr>
            <w:tcW w:w="4876" w:type="dxa"/>
          </w:tcPr>
          <w:p>
            <w:pPr>
              <w:pStyle w:val="Normal6a"/>
            </w:pPr>
            <w:r>
              <w:t>1.</w:t>
            </w:r>
            <w:r>
              <w:tab/>
            </w:r>
            <w:r>
              <w:t xml:space="preserve">Kommissionen ska biträdas av en kommitté </w:t>
            </w:r>
            <w:r>
              <w:rPr>
                <w:b/>
                <w:i/>
              </w:rPr>
              <w:t>och ska på ett meningsfullt sätt involvera organisationer som företräder personer med funktionsnedsättning</w:t>
            </w:r>
            <w:r>
              <w:t>. Denna kommitté ska vara en kommitté i den mening som avses i förordning (EU)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407</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12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Kommissionen ska biträdas av en kommitté. Denna kommitté ska vara en kommitté i den mening som avses i förordning (EU) nr 182/2011.</w:t>
            </w:r>
          </w:p>
        </w:tc>
        <w:tc>
          <w:tcPr>
            <w:tcW w:w="4876" w:type="dxa"/>
          </w:tcPr>
          <w:p>
            <w:pPr>
              <w:pStyle w:val="Normal6a"/>
            </w:pPr>
            <w:r>
              <w:t>1.</w:t>
            </w:r>
            <w:r>
              <w:tab/>
            </w:r>
            <w:r>
              <w:t xml:space="preserve">Kommissionen ska biträdas av en kommitté </w:t>
            </w:r>
            <w:r>
              <w:rPr>
                <w:b/>
                <w:i/>
              </w:rPr>
              <w:t>och ska på ett meningsfullt sätt involvera organisationer som företräder personer med funktionsnedsättning</w:t>
            </w:r>
            <w:r>
              <w:t>. Denna kommitté ska vara en kommitté i den mening som avses i förordning (EU)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408</w:t>
      </w:r>
      <w:r>
        <w:rPr>
          <w:rStyle w:val="HideTWBExt"/>
        </w:rPr>
        <w:t>&lt;/NumAm&gt;</w:t>
      </w:r>
    </w:p>
    <w:p>
      <w:pPr>
        <w:pStyle w:val="NormalBold"/>
      </w:pPr>
      <w:r>
        <w:rPr>
          <w:rStyle w:val="HideTWBExt"/>
        </w:rPr>
        <w:t>&lt;RepeatBlock-By&gt;</w:t>
      </w:r>
      <w:r>
        <w:rPr>
          <w:rStyle w:val="HideTWBExt"/>
        </w:rPr>
        <w:t>&lt;Members&gt;</w:t>
      </w:r>
      <w:r>
        <w:t>Jarosław Duda</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12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Kommissionen ska biträdas av en kommitté. Denna kommitté ska vara en kommitté i den mening som avses i förordning (EU) nr 182/2011.</w:t>
            </w:r>
          </w:p>
        </w:tc>
        <w:tc>
          <w:tcPr>
            <w:tcW w:w="4876" w:type="dxa"/>
          </w:tcPr>
          <w:p>
            <w:pPr>
              <w:pStyle w:val="Normal6a"/>
            </w:pPr>
            <w:r>
              <w:t>1.</w:t>
            </w:r>
            <w:r>
              <w:tab/>
            </w:r>
            <w:r>
              <w:t xml:space="preserve">Kommissionen ska biträdas av en kommitté </w:t>
            </w:r>
            <w:r>
              <w:rPr>
                <w:b/>
                <w:i/>
              </w:rPr>
              <w:t>och ska på ett meningsfullt sätt involvera organisationer som företräder personer med funktionsnedsättning</w:t>
            </w:r>
            <w:r>
              <w:t>. Denna kommitté ska vara en kommitté i den mening som avses i förordning (EU)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409</w:t>
      </w:r>
      <w:r>
        <w:rPr>
          <w:rStyle w:val="HideTWBExt"/>
        </w:rPr>
        <w:t>&lt;/NumAm&gt;</w:t>
      </w:r>
    </w:p>
    <w:p>
      <w:pPr>
        <w:pStyle w:val="NormalBold"/>
      </w:pPr>
      <w:r>
        <w:rPr>
          <w:rStyle w:val="HideTWBExt"/>
        </w:rPr>
        <w:t>&lt;RepeatBlock-By&gt;</w:t>
      </w:r>
      <w:r>
        <w:rPr>
          <w:rStyle w:val="HideTWBExt"/>
        </w:rPr>
        <w:t>&lt;Members&gt;</w:t>
      </w:r>
      <w:r>
        <w:t>Francesca Peppucci, 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12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Kommissionen ska biträdas av en kommitté. Denna kommitté ska vara en kommitté i den mening som avses i förordning (EU) nr 182/2011.</w:t>
            </w:r>
          </w:p>
        </w:tc>
        <w:tc>
          <w:tcPr>
            <w:tcW w:w="4876" w:type="dxa"/>
          </w:tcPr>
          <w:p>
            <w:pPr>
              <w:pStyle w:val="Normal6a"/>
            </w:pPr>
            <w:r>
              <w:t>1.</w:t>
            </w:r>
            <w:r>
              <w:tab/>
            </w:r>
            <w:r>
              <w:t xml:space="preserve">Kommissionen ska biträdas av en kommitté </w:t>
            </w:r>
            <w:r>
              <w:rPr>
                <w:b/>
                <w:i/>
              </w:rPr>
              <w:t>och involvera personer med funktionsnedsättning och de organisationer som företräder dem</w:t>
            </w:r>
            <w:r>
              <w:t>. Denna kommitté ska vara en kommitté i den mening som avses i förordning (EU)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410</w:t>
      </w:r>
      <w:r>
        <w:rPr>
          <w:rStyle w:val="HideTWBExt"/>
        </w:rPr>
        <w:t>&lt;/NumAm&gt;</w:t>
      </w:r>
    </w:p>
    <w:p>
      <w:pPr>
        <w:pStyle w:val="NormalBold"/>
      </w:pPr>
      <w:r>
        <w:rPr>
          <w:rStyle w:val="HideTWBExt"/>
        </w:rPr>
        <w:t>&lt;RepeatBlock-By&gt;</w:t>
      </w:r>
      <w:r>
        <w:rPr>
          <w:rStyle w:val="HideTWBExt"/>
        </w:rPr>
        <w:t>&lt;Members&gt;</w:t>
      </w:r>
      <w:r>
        <w:t>Loucas Fourlas,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12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Kommissionen ska biträdas av en kommitté. Denna kommitté ska vara en kommitté i den mening som avses i förordning (EU) nr 182/2011.</w:t>
            </w:r>
          </w:p>
        </w:tc>
        <w:tc>
          <w:tcPr>
            <w:tcW w:w="4876" w:type="dxa"/>
          </w:tcPr>
          <w:p>
            <w:pPr>
              <w:pStyle w:val="Normal6a"/>
            </w:pPr>
            <w:r>
              <w:t>1.</w:t>
            </w:r>
            <w:r>
              <w:tab/>
            </w:r>
            <w:r>
              <w:t xml:space="preserve">Kommissionen ska biträdas av en kommitté. Denna kommitté ska vara en kommitté i den mening som avses i förordning (EU) nr 182/2011 </w:t>
            </w:r>
            <w:r>
              <w:rPr>
                <w:b/>
                <w:i/>
              </w:rPr>
              <w:t>och ska involvera organisationer som företräder personer med funktionsnedsättning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411</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13 – stycke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Medlemsstaterna ska se till att det finns lämpliga och effektiva medel för att säkerställa efterlevnaden av detta direktiv.</w:t>
            </w:r>
          </w:p>
        </w:tc>
        <w:tc>
          <w:tcPr>
            <w:tcW w:w="4876" w:type="dxa"/>
          </w:tcPr>
          <w:p>
            <w:pPr>
              <w:pStyle w:val="Normal6a"/>
            </w:pPr>
            <w:r>
              <w:t>1.</w:t>
            </w:r>
            <w:r>
              <w:tab/>
            </w:r>
            <w:r>
              <w:t xml:space="preserve">Medlemsstaterna ska se till att det finns lämpliga och effektiva medel för att säkerställa efterlevnaden av detta direktiv. </w:t>
            </w:r>
            <w:r>
              <w:rPr>
                <w:b/>
                <w:i/>
              </w:rPr>
              <w:t>Deltagande av och en ständig dialog med organisationer och föreningar i det civila samhället som företräder personer med funktionsnedsättning ska främjas.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412</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13 – punkt 2 – led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Bestämmelser enligt vilka personer med funktionsnedsättning får vidta åtgärder enligt nationell rätt inför domstol eller behöriga administrativa organ vid kränkningar av deras rättigheter enligt detta direktiv och i nationella bestämmelser som genomför detta direktiv.</w:t>
            </w:r>
          </w:p>
        </w:tc>
        <w:tc>
          <w:tcPr>
            <w:tcW w:w="4876" w:type="dxa"/>
          </w:tcPr>
          <w:p>
            <w:pPr>
              <w:pStyle w:val="Normal6a"/>
            </w:pPr>
            <w:r>
              <w:t>(a)</w:t>
            </w:r>
            <w:r>
              <w:tab/>
            </w:r>
            <w:r>
              <w:t xml:space="preserve">Bestämmelser enligt vilka personer med funktionsnedsättning </w:t>
            </w:r>
            <w:r>
              <w:rPr>
                <w:b/>
                <w:i/>
              </w:rPr>
              <w:t>och de organisationer som företräder dem</w:t>
            </w:r>
            <w:r>
              <w:t xml:space="preserve"> får vidta åtgärder enligt nationell rätt inför domstol eller behöriga administrativa organ vid kränkningar av deras rättigheter enligt detta direktiv och i nationella bestämmelser som genomför detta direktiv.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413</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13 – punkt 2 – led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Bestämmelser varigenom offentliga organ eller privata sammanslutningar, organisationer eller andra rättsliga enheter, som har ett legitimt intresse av att säkerställa att bestämmelserna i detta direktiv följs, får vidta åtgärder i enlighet med nationell lagstiftning och nationella förfaranden inför domstolar eller de behöriga förvaltningsmyndigheterna till stöd för en person med funktionsnedsättning och på den personens vägnar, med hans eller hennes tillstånd, i alla de rättsliga eller administrativa förfaranden som föreskrivs för att säkerställa att skyldigheterna i detta direktiv efterlevs.</w:t>
            </w:r>
          </w:p>
        </w:tc>
        <w:tc>
          <w:tcPr>
            <w:tcW w:w="4876" w:type="dxa"/>
          </w:tcPr>
          <w:p>
            <w:pPr>
              <w:pStyle w:val="Normal6a"/>
            </w:pPr>
            <w:r>
              <w:t>(b)</w:t>
            </w:r>
            <w:r>
              <w:tab/>
            </w:r>
            <w:r>
              <w:t xml:space="preserve">Bestämmelser varigenom offentliga organ </w:t>
            </w:r>
            <w:r>
              <w:rPr>
                <w:b/>
                <w:i/>
              </w:rPr>
              <w:t>såsom jämställdhetsorgan</w:t>
            </w:r>
            <w:r>
              <w:t xml:space="preserve"> eller privata sammanslutningar, organisationer</w:t>
            </w:r>
            <w:r>
              <w:rPr>
                <w:b/>
                <w:i/>
              </w:rPr>
              <w:t>, i synnerhet organisationer som företräder personer med funktionsnedsättning,</w:t>
            </w:r>
            <w:r>
              <w:t xml:space="preserve"> eller andra rättsliga enheter, som har ett legitimt intresse av att säkerställa att bestämmelserna i detta direktiv följs, får vidta åtgärder i enlighet med nationell lagstiftning och nationella förfaranden inför domstolar eller de behöriga förvaltningsmyndigheterna till stöd för en person med funktionsnedsättning och på den personens vägnar, med hans eller hennes tillstånd, i alla de rättsliga eller administrativa förfaranden som föreskrivs för att säkerställa att skyldigheterna i detta direktiv efterlevs.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414</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13 – punkt 2 – led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Bestämmelser varigenom offentliga organ eller privata sammanslutningar, organisationer eller andra rättsliga enheter, som har ett legitimt intresse av att säkerställa att bestämmelserna i detta direktiv följs, får vidta åtgärder i enlighet med nationell lagstiftning och nationella förfaranden inför domstolar eller de behöriga förvaltningsmyndigheterna till stöd för en person med funktionsnedsättning och på den personens vägnar, med hans eller hennes tillstånd, i alla de rättsliga eller administrativa förfaranden som föreskrivs för att säkerställa att skyldigheterna i detta direktiv efterlevs.</w:t>
            </w:r>
          </w:p>
        </w:tc>
        <w:tc>
          <w:tcPr>
            <w:tcW w:w="4876" w:type="dxa"/>
          </w:tcPr>
          <w:p>
            <w:pPr>
              <w:pStyle w:val="Normal6a"/>
            </w:pPr>
            <w:r>
              <w:t>(b)</w:t>
            </w:r>
            <w:r>
              <w:tab/>
            </w:r>
            <w:r>
              <w:t xml:space="preserve">Bestämmelser varigenom offentliga organ eller privata sammanslutningar, organisationer eller andra rättsliga enheter, som har ett legitimt intresse av att säkerställa att bestämmelserna i detta direktiv följs, får vidta åtgärder i enlighet med nationell lagstiftning och nationella förfaranden inför domstolar eller de behöriga förvaltningsmyndigheterna till stöd för en person med funktionsnedsättning och </w:t>
            </w:r>
            <w:r>
              <w:rPr>
                <w:b/>
                <w:i/>
              </w:rPr>
              <w:t>för äldre eller</w:t>
            </w:r>
            <w:r>
              <w:t xml:space="preserve"> på den personens vägnar, med hans eller hennes tillstånd, i alla de rättsliga eller administrativa förfaranden som föreskrivs för att säkerställa att skyldigheterna i detta direktiv efterlevs.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415</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13 – stycke 2a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En myndighet bör inrättas som ska införa en institutionell mekanism för övervakning och kontroll av efterlevnaden av bestämmelserna om genomförande, övervakning och utvärdering av EU-intyget om funktionsnedsättning.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416</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15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Medlemsstaterna ska se till att privata aktörer eller offentliga myndigheter offentliggör information om särskilda villkor eller positiv särbehandling enligt artikel 5 i tillgängliga format.</w:t>
            </w:r>
          </w:p>
        </w:tc>
        <w:tc>
          <w:tcPr>
            <w:tcW w:w="4876" w:type="dxa"/>
          </w:tcPr>
          <w:p>
            <w:pPr>
              <w:pStyle w:val="Normal6a"/>
            </w:pPr>
            <w:r>
              <w:t>1.</w:t>
            </w:r>
            <w:r>
              <w:tab/>
            </w:r>
            <w:r>
              <w:t xml:space="preserve">Medlemsstaterna ska se till att privata aktörer eller offentliga myndigheter offentliggör information om särskilda villkor eller positiv särbehandling enligt artikel 5 </w:t>
            </w:r>
            <w:r>
              <w:rPr>
                <w:b/>
                <w:i/>
              </w:rPr>
              <w:t>på ett tydligt, heltäckande, användarvänligt och lättillgängligt sätt och</w:t>
            </w:r>
            <w:r>
              <w:t xml:space="preserve"> i tillgängliga format. </w:t>
            </w:r>
            <w:r>
              <w:rPr>
                <w:b/>
                <w:i/>
              </w:rPr>
              <w:t>Kommissionen ska inrätta en enda särskild webbplats som är tillgänglig på alla EU-språk, inklusive alla EU:s nationella teckenspråk för ljud- och videoinnehåll och i tillgängliga format, med en sammanställning över de särskilda villkor eller den positiva särbehandling som deras offentliga myndigheter erbjuder.</w:t>
            </w:r>
            <w:r>
              <w:t xml:space="preserve"> </w:t>
            </w:r>
            <w:r>
              <w:rPr>
                <w:b/>
                <w:i/>
              </w:rPr>
              <w:t>Medlemsstaterna ska underlätta information om de särskilda villkor eller den positiva särbehandling som erbjuds av offentliga och privata aktörer på webbplatsen och uppdatera denna information regelbundet i enlighet med eventuella ändringar i den nationella lagstiftningen.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417</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Atidzhe Alieva-Veli,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15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Medlemsstaterna ska se till att privata aktörer eller offentliga myndigheter offentliggör information om särskilda villkor eller positiv särbehandling enligt artikel 5 i tillgängliga format.</w:t>
            </w:r>
          </w:p>
        </w:tc>
        <w:tc>
          <w:tcPr>
            <w:tcW w:w="4876" w:type="dxa"/>
          </w:tcPr>
          <w:p>
            <w:pPr>
              <w:pStyle w:val="Normal6a"/>
            </w:pPr>
            <w:r>
              <w:t>1.</w:t>
            </w:r>
            <w:r>
              <w:tab/>
            </w:r>
            <w:r>
              <w:t xml:space="preserve">Medlemsstaterna ska se till att privata aktörer eller offentliga myndigheter offentliggör information om särskilda villkor eller positiv särbehandling enligt artikel 5 </w:t>
            </w:r>
            <w:r>
              <w:rPr>
                <w:b/>
                <w:i/>
              </w:rPr>
              <w:t>på ett tydligt, heltäckande, användarvänligt och lättillgängligt sätt och</w:t>
            </w:r>
            <w:r>
              <w:t xml:space="preserve"> i tillgängliga format. </w:t>
            </w:r>
            <w:r>
              <w:rPr>
                <w:b/>
                <w:i/>
              </w:rPr>
              <w:t>Medlemsstaterna ska inrätta en enda särskild webbplats som sammanställer de särskilda villkor eller den positiva särbehandling som deras offentliga myndigheter erbjuder.</w:t>
            </w:r>
            <w:r>
              <w:t xml:space="preserve"> </w:t>
            </w:r>
            <w:r>
              <w:rPr>
                <w:b/>
                <w:i/>
              </w:rPr>
              <w:t>Medlemsstaterna får också underlätta information på webbplatsen, om en sådan finns tillgänglig, om de särskilda villkor eller den positiva särbehandling som erbjuds av privata aktörer.</w:t>
            </w:r>
            <w:r>
              <w:t xml:space="preserve"> </w:t>
            </w:r>
            <w:r>
              <w:rPr>
                <w:b/>
                <w:i/>
              </w:rPr>
              <w:t>Webbplatsen ska vara på medlemsstaternas officiella språk, det nationella teckenspråket och engelska samt alla andra relevanta språk enligt medlemsstatens beslut.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418</w:t>
      </w:r>
      <w:r>
        <w:rPr>
          <w:rStyle w:val="HideTWBExt"/>
        </w:rPr>
        <w:t>&lt;/NumAm&gt;</w:t>
      </w:r>
    </w:p>
    <w:p>
      <w:pPr>
        <w:pStyle w:val="NormalBold"/>
      </w:pPr>
      <w:r>
        <w:rPr>
          <w:rStyle w:val="HideTWBExt"/>
        </w:rPr>
        <w:t>&lt;RepeatBlock-By&gt;</w:t>
      </w:r>
      <w:r>
        <w:rPr>
          <w:rStyle w:val="HideTWBExt"/>
        </w:rPr>
        <w:t>&lt;Members&gt;</w:t>
      </w:r>
      <w:r>
        <w:t>Ádám Kósa, Stelios Kympouropoulos, Lucia Ďuriš Nicholsonová</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15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Medlemsstaterna ska se till att privata aktörer eller offentliga myndigheter offentliggör information om särskilda villkor eller positiv särbehandling enligt artikel 5 i tillgängliga format.</w:t>
            </w:r>
          </w:p>
        </w:tc>
        <w:tc>
          <w:tcPr>
            <w:tcW w:w="4876" w:type="dxa"/>
          </w:tcPr>
          <w:p>
            <w:pPr>
              <w:pStyle w:val="Normal6a"/>
            </w:pPr>
            <w:r>
              <w:t>1.</w:t>
            </w:r>
            <w:r>
              <w:tab/>
            </w:r>
            <w:r>
              <w:t>Medlemsstaterna ska se till att privata aktörer eller offentliga myndigheter offentliggör information om särskilda villkor eller positiv särbehandling enligt artikel 5 i tillgängliga format</w:t>
            </w:r>
            <w:r>
              <w:rPr>
                <w:b/>
                <w:i/>
              </w:rPr>
              <w:t> (inklusive lättlästa format och undertextade nationella teckenspråksfilmer och internationella teckenspråksfilmer) på en tillgänglig informationsplattform online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419</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15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Medlemsstaterna ska se till att privata aktörer eller offentliga myndigheter offentliggör information om särskilda villkor eller positiv särbehandling enligt artikel 5 i tillgängliga format.</w:t>
            </w:r>
          </w:p>
        </w:tc>
        <w:tc>
          <w:tcPr>
            <w:tcW w:w="4876" w:type="dxa"/>
          </w:tcPr>
          <w:p>
            <w:pPr>
              <w:pStyle w:val="Normal6a"/>
            </w:pPr>
            <w:r>
              <w:t>1.</w:t>
            </w:r>
            <w:r>
              <w:tab/>
            </w:r>
            <w:r>
              <w:t xml:space="preserve">Medlemsstaterna ska se till att privata aktörer eller offentliga myndigheter offentliggör information om särskilda villkor eller positiv särbehandling enligt artikel 5 i tillgängliga format. </w:t>
            </w:r>
            <w:r>
              <w:rPr>
                <w:b/>
                <w:i/>
              </w:rPr>
              <w:t>För detta ändamål ska tillräcklig EU-finansiering tillhandahållas i enlighet med artikel 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420</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15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Medlemsstaterna ska se till att privata aktörer eller offentliga myndigheter offentliggör information om särskilda villkor eller positiv särbehandling enligt artikel 5 i tillgängliga format.</w:t>
            </w:r>
          </w:p>
        </w:tc>
        <w:tc>
          <w:tcPr>
            <w:tcW w:w="4876" w:type="dxa"/>
          </w:tcPr>
          <w:p>
            <w:pPr>
              <w:pStyle w:val="Normal6a"/>
            </w:pPr>
            <w:r>
              <w:t>1.</w:t>
            </w:r>
            <w:r>
              <w:tab/>
            </w:r>
            <w:r>
              <w:t xml:space="preserve">Medlemsstaterna ska se till att privata aktörer eller offentliga myndigheter offentliggör information om särskilda villkor eller positiv särbehandling enligt artikel 5 i tillgängliga format. </w:t>
            </w:r>
            <w:r>
              <w:rPr>
                <w:b/>
                <w:i/>
              </w:rPr>
              <w:t>För detta ändamål ska EU-finansiering tillhandahållas i enlighet med artikel 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421</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Atidzhe Alieva-Veli,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15 – 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Medlemsstaterna ska uppmuntra privata aktörer eller offentliga myndigheter att frivilligt föreskriva särskilda villkor eller positiv särbehandling för personer med funktionsnedsättning.</w:t>
            </w:r>
          </w:p>
        </w:tc>
        <w:tc>
          <w:tcPr>
            <w:tcW w:w="4876" w:type="dxa"/>
          </w:tcPr>
          <w:p>
            <w:pPr>
              <w:pStyle w:val="Normal6a"/>
            </w:pPr>
            <w:r>
              <w:t>2.</w:t>
            </w:r>
            <w:r>
              <w:tab/>
            </w:r>
            <w:r>
              <w:t xml:space="preserve">Medlemsstaterna ska </w:t>
            </w:r>
            <w:r>
              <w:rPr>
                <w:b/>
                <w:i/>
              </w:rPr>
              <w:t>stödja och</w:t>
            </w:r>
            <w:r>
              <w:t xml:space="preserve"> uppmuntra privata aktörer eller offentliga myndigheter att frivilligt föreskriva särskilda villkor eller positiv särbehandling för personer med funktionsnedsättning </w:t>
            </w:r>
            <w:r>
              <w:rPr>
                <w:b/>
                <w:i/>
              </w:rPr>
              <w:t>i så många olika tjänster, andra verksamheter och faciliteter som möjligt</w:t>
            </w:r>
            <w:r>
              <w:t xml:space="preserve">. </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Medlemsstaterna ska särskilt stödja och uppmuntra privata aktörer och offentliga myndigheter, bland annat genom att tillhandahålla information och utbyta bästa praxis om de eventuella särskilda villkor eller den positiva särbehandling som ska erbjudas, och tillhandahålla utbildning om integrering av och medvetandehöjande om funktionshindersfrågor för att säkerställa att de eventuella särskilda villkor eller former av positiv särbehandling som erbjuds är relevanta, effektiva och inkluderande.</w:t>
            </w:r>
            <w:r>
              <w:t xml:space="preserve"> </w:t>
            </w:r>
            <w:r>
              <w:rPr>
                <w:b/>
                <w:i/>
              </w:rPr>
              <w:t>Medlemsstaterna ska se till att alla sådana åtgärder genomförs i partnerskap med personer med funktionsnedsättning och de organisationer som företräder dem.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422</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15 – 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Medlemsstaterna ska uppmuntra privata aktörer eller offentliga myndigheter att frivilligt föreskriva särskilda villkor eller positiv särbehandling för personer med funktionsnedsättning.</w:t>
            </w:r>
          </w:p>
        </w:tc>
        <w:tc>
          <w:tcPr>
            <w:tcW w:w="4876" w:type="dxa"/>
          </w:tcPr>
          <w:p>
            <w:pPr>
              <w:pStyle w:val="Normal6a"/>
            </w:pPr>
            <w:r>
              <w:t>2.</w:t>
            </w:r>
            <w:r>
              <w:tab/>
            </w:r>
            <w:r>
              <w:t xml:space="preserve">Medlemsstaterna ska uppmuntra privata aktörer eller offentliga myndigheter att frivilligt föreskriva särskilda villkor eller positiv särbehandling för personer med funktionsnedsättning </w:t>
            </w:r>
            <w:r>
              <w:rPr>
                <w:b/>
                <w:i/>
              </w:rPr>
              <w:t>och utarbeta gemensamma europeiska riktlinjer för offentliga myndigheter och privata aktörer i enlighet med artikel 5 för att på lämpligt sätt säkerställa tillgänglighetskrav för de tjänster som fastställs i bilaga I till direktiv (EU) 2019/882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423</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15 – 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Medlemsstaterna ska uppmuntra privata aktörer eller offentliga myndigheter att frivilligt föreskriva särskilda villkor eller positiv särbehandling för personer med funktionsnedsättning.</w:t>
            </w:r>
          </w:p>
        </w:tc>
        <w:tc>
          <w:tcPr>
            <w:tcW w:w="4876" w:type="dxa"/>
          </w:tcPr>
          <w:p>
            <w:pPr>
              <w:pStyle w:val="Normal6a"/>
            </w:pPr>
            <w:r>
              <w:t>2.</w:t>
            </w:r>
            <w:r>
              <w:tab/>
            </w:r>
            <w:r>
              <w:t xml:space="preserve">Medlemsstaterna ska uppmuntra privata aktörer eller offentliga myndigheter att frivilligt föreskriva särskilda villkor eller positiv särbehandling för personer med funktionsnedsättning </w:t>
            </w:r>
            <w:r>
              <w:rPr>
                <w:b/>
                <w:i/>
              </w:rPr>
              <w:t>och för äldre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424</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15 – punkt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Den information som avses i punkt 1 i denna artikel ska göras tillgänglig kostnadsfritt på ett tydligt, heltäckande, användarvänligt och lättillgängligt sätt, inbegripet på privata aktörers eller offentliga myndigheters officiella webbplats om sådan finns tillgänglig, eller på andra lämpliga sätt, i enlighet med de relevanta tillgänglighetskraven för tjänster som fastställs i bilaga I till direktiv (EU) 2019/882.</w:t>
            </w:r>
          </w:p>
        </w:tc>
        <w:tc>
          <w:tcPr>
            <w:tcW w:w="4876" w:type="dxa"/>
          </w:tcPr>
          <w:p>
            <w:pPr>
              <w:pStyle w:val="Normal6a"/>
            </w:pPr>
            <w:r>
              <w:t>3.</w:t>
            </w:r>
            <w:r>
              <w:tab/>
            </w:r>
            <w:r>
              <w:t xml:space="preserve">Den information som avses i punkt 1 i denna artikel ska göras tillgänglig kostnadsfritt på ett tydligt, heltäckande, användarvänligt och lättillgängligt sätt, inbegripet på privata aktörers eller offentliga myndigheters officiella webbplats om sådan finns tillgänglig, eller på andra lämpliga sätt, i enlighet med de relevanta tillgänglighetskraven för tjänster som fastställs i bilaga I till direktiv (EU) 2019/882. </w:t>
            </w:r>
            <w:r>
              <w:rPr>
                <w:b/>
                <w:i/>
              </w:rPr>
              <w:t>Kommissionen ska skapa en digital portal som innehåller all information som rör fördelarna med EU-intyget om funktionsnedsättning och EU-parkeringstillståndet i samtliga medlemsstater, inklusive information om de olika förfarandena i varje medlemsstat.</w:t>
            </w:r>
            <w:r>
              <w:t xml:space="preserve"> </w:t>
            </w:r>
            <w:r>
              <w:rPr>
                <w:b/>
                <w:i/>
              </w:rPr>
              <w:t>Medlemsstaterna ska översända sådan information till kommissionen och informationen ska uppdateras i enlighet med rapporteringskraven i artikel 16 i detta direktiv.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425</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Atidzhe Alieva-Veli,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15 – punkt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Den information som avses i punkt 1 i denna artikel ska göras tillgänglig kostnadsfritt på ett tydligt, heltäckande, användarvänligt och lättillgängligt sätt, inbegripet på privata aktörers eller offentliga myndigheters officiella webbplats om sådan finns tillgänglig, eller på andra lämpliga sätt, i enlighet med de relevanta tillgänglighetskraven för tjänster som fastställs i bilaga I till direktiv (EU) 2019/882.</w:t>
            </w:r>
          </w:p>
        </w:tc>
        <w:tc>
          <w:tcPr>
            <w:tcW w:w="4876" w:type="dxa"/>
          </w:tcPr>
          <w:p>
            <w:pPr>
              <w:pStyle w:val="Normal6a"/>
            </w:pPr>
            <w:r>
              <w:t>3.</w:t>
            </w:r>
            <w:r>
              <w:tab/>
            </w:r>
            <w:r>
              <w:t>Den information som avses i punkt 1 i denna artikel ska göras tillgänglig kostnadsfritt på ett tydligt, heltäckande, användarvänligt och lättillgängligt sätt, inbegripet på privata aktörers eller offentliga myndigheters officiella webbplats om sådan finns tillgänglig, eller på andra lämpliga sätt, i enlighet med de relevanta tillgänglighetskraven för tjänster som fastställs i bilaga I till direktiv (EU) 2019/882</w:t>
            </w:r>
            <w:r>
              <w:rPr>
                <w:b/>
                <w:i/>
              </w:rPr>
              <w:t>, och den får inte ligga på en svårighetsgrad som överstiger nivå B1 (medelnivå) enligt Europarådets gemensamma europeiska referensram för språk, inklusive på det nationella teckenspråket/en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426</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15 – punkt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Den information som avses i punkt 1 i denna artikel ska göras tillgänglig kostnadsfritt på ett tydligt, heltäckande, användarvänligt och lättillgängligt sätt, inbegripet på privata aktörers eller offentliga myndigheters officiella webbplats om sådan finns tillgänglig, eller på andra lämpliga sätt, i enlighet med de relevanta tillgänglighetskraven för tjänster som fastställs i bilaga I till direktiv (EU) 2019/882.</w:t>
            </w:r>
          </w:p>
        </w:tc>
        <w:tc>
          <w:tcPr>
            <w:tcW w:w="4876" w:type="dxa"/>
          </w:tcPr>
          <w:p>
            <w:pPr>
              <w:pStyle w:val="Normal6a"/>
            </w:pPr>
            <w:r>
              <w:t>3.</w:t>
            </w:r>
            <w:r>
              <w:tab/>
            </w:r>
            <w:r>
              <w:t>Den information som avses i punkt 1 i denna artikel ska göras tillgänglig kostnadsfritt på ett tydligt, heltäckande, användarvänligt och lättillgängligt sätt, inbegripet på privata aktörers eller offentliga myndigheters officiella webbplats om sådan finns tillgänglig, eller på andra lämpliga sätt, i enlighet med de relevanta tillgänglighetskraven för tjänster som fastställs i bilaga I till direktiv (EU) 2019/882</w:t>
            </w:r>
            <w:r>
              <w:rPr>
                <w:b/>
                <w:i/>
              </w:rPr>
              <w:t>, och den får inte ligga på en svårighetsgrad som överstiger nivå B1 (medelnivå) enligt Europarådets gemensamma europeiska referensram för språk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427</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15 – punkt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Den information som avses i punkt 1 i denna artikel ska göras tillgänglig kostnadsfritt på ett tydligt, heltäckande, användarvänligt och lättillgängligt sätt, inbegripet på privata aktörers eller offentliga myndigheters officiella webbplats om sådan finns tillgänglig, eller på andra lämpliga sätt, i enlighet med de relevanta tillgänglighetskraven för tjänster som fastställs i bilaga I till direktiv (EU) 2019/882.</w:t>
            </w:r>
          </w:p>
        </w:tc>
        <w:tc>
          <w:tcPr>
            <w:tcW w:w="4876" w:type="dxa"/>
          </w:tcPr>
          <w:p>
            <w:pPr>
              <w:pStyle w:val="Normal6a"/>
            </w:pPr>
            <w:r>
              <w:t>3.</w:t>
            </w:r>
            <w:r>
              <w:tab/>
            </w:r>
            <w:r>
              <w:t>Den information som avses i punkt 1 i denna artikel ska göras tillgänglig kostnadsfritt på ett tydligt, heltäckande, användarvänligt och lättillgängligt sätt, inbegripet på privata aktörers eller offentliga myndigheters officiella webbplats om sådan finns tillgänglig, eller på andra lämpliga sätt, i enlighet med de relevanta tillgänglighetskraven för tjänster som fastställs i bilaga I till direktiv (EU) 2019/882</w:t>
            </w:r>
            <w:r>
              <w:rPr>
                <w:b/>
                <w:i/>
              </w:rPr>
              <w:t>, och den får inte ligga på en svårighetsgrad som överstiger nivå B1 (medelnivå) enligt Europarådets gemensamma europeiska referensram för språk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428</w:t>
      </w:r>
      <w:r>
        <w:rPr>
          <w:rStyle w:val="HideTWBExt"/>
        </w:rPr>
        <w:t>&lt;/NumAm&gt;</w:t>
      </w:r>
    </w:p>
    <w:p>
      <w:pPr>
        <w:pStyle w:val="NormalBold"/>
      </w:pPr>
      <w:r>
        <w:rPr>
          <w:rStyle w:val="HideTWBExt"/>
        </w:rPr>
        <w:t>&lt;RepeatBlock-By&gt;</w:t>
      </w:r>
      <w:r>
        <w:rPr>
          <w:rStyle w:val="HideTWBExt"/>
        </w:rPr>
        <w:t>&lt;Members&gt;</w:t>
      </w:r>
      <w:r>
        <w:t>Ádám Kósa, Stelios Kympouropoulos, Lucia Ďuriš Nicholsonová</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15 – punkt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Den information som avses i punkt 1 i denna artikel ska göras tillgänglig kostnadsfritt på ett tydligt, heltäckande, användarvänligt och lättillgängligt sätt, inbegripet på privata aktörers eller offentliga myndigheters officiella webbplats om sådan finns tillgänglig, eller på andra lämpliga sätt, i enlighet med de relevanta tillgänglighetskraven för tjänster som fastställs i bilaga I till direktiv (EU) 2019/882.</w:t>
            </w:r>
          </w:p>
        </w:tc>
        <w:tc>
          <w:tcPr>
            <w:tcW w:w="4876" w:type="dxa"/>
          </w:tcPr>
          <w:p>
            <w:pPr>
              <w:pStyle w:val="Normal6a"/>
            </w:pPr>
            <w:r>
              <w:t>3.</w:t>
            </w:r>
            <w:r>
              <w:tab/>
            </w:r>
            <w:r>
              <w:t xml:space="preserve">Den information som avses i punkt 1 i denna artikel ska göras tillgänglig </w:t>
            </w:r>
            <w:r>
              <w:rPr>
                <w:b/>
                <w:i/>
              </w:rPr>
              <w:t>på alla EU:s språk,</w:t>
            </w:r>
            <w:r>
              <w:t xml:space="preserve"> kostnadsfritt </w:t>
            </w:r>
            <w:r>
              <w:rPr>
                <w:b/>
                <w:i/>
              </w:rPr>
              <w:t>och</w:t>
            </w:r>
            <w:r>
              <w:t xml:space="preserve"> på ett tydligt, heltäckande, användarvänligt och lättillgängligt sätt</w:t>
            </w:r>
            <w:r>
              <w:rPr>
                <w:b/>
                <w:i/>
              </w:rPr>
              <w:t>, i tillgängliga format (inklusive lättlästa format och undertextade nationella teckenspråksfilmer och internationella teckenspråksfilmer)</w:t>
            </w:r>
            <w:r>
              <w:t>, inbegripet på privata aktörers eller offentliga myndigheters officiella webbplats om sådan finns tillgänglig, eller på andra lämpliga sätt, i enlighet med de relevanta tillgänglighetskraven för tjänster som fastställs i bilaga I till direktiv (EU) 2019/882.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429</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15 – punkt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Den information som avses i punkt 1 i denna artikel ska göras tillgänglig kostnadsfritt på ett tydligt, heltäckande, användarvänligt och lättillgängligt sätt, inbegripet på privata aktörers eller offentliga myndigheters officiella webbplats om sådan finns tillgänglig, eller på andra lämpliga sätt, i enlighet med de relevanta tillgänglighetskraven för tjänster som fastställs i bilaga I till direktiv (EU) 2019/882.</w:t>
            </w:r>
          </w:p>
        </w:tc>
        <w:tc>
          <w:tcPr>
            <w:tcW w:w="4876" w:type="dxa"/>
          </w:tcPr>
          <w:p>
            <w:pPr>
              <w:pStyle w:val="Normal6a"/>
            </w:pPr>
            <w:r>
              <w:t>3.</w:t>
            </w:r>
            <w:r>
              <w:tab/>
            </w:r>
            <w:r>
              <w:t>Den information som avses i punkt 1 i denna artikel ska göras tillgänglig kostnadsfritt på ett tydligt, heltäckande, användarvänligt och lättillgängligt sätt, inbegripet på privata aktörers eller offentliga myndigheters officiella webbplats om sådan finns tillgänglig, eller på andra lämpliga sätt, i enlighet med de relevanta tillgänglighetskraven för tjänster som fastställs i bilaga I till direktiv (EU) 2019/882</w:t>
            </w:r>
            <w:r>
              <w:rPr>
                <w:b/>
                <w:i/>
              </w:rPr>
              <w:t>, och den får inte ligga på en svårighetsgrad som överstiger nivå B1 (medelnivå) enligt Europarådets gemensamma europeiska referensram för språk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430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15 – stycke 3a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Kommissionen ges befogenhet att anta delegerade akter i enlighet med artikel 11 för att komplettera direktivet i syfte att inrätta en officiell EU-webbplats, tillgänglig på alla EU-språk, för att samla den information som avses i punkt 1 i denna artikel, för att underlätta användningen för kortinnehavare, i enlighet med de relevanta tillgänglighetskraven för tjänster i bilaga I till direktiv (EU) 2019/882.</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Det skulle vara lämpligt att inrätta en webbplats på EU-nivå som är tillgänglig på alla EU-språk och som medlemsstaterna kan söka i, för att underlätta användningen för kortinnehavare.</w:t>
      </w:r>
      <w:r>
        <w:t xml:space="preserve"> </w:t>
      </w:r>
      <w:r>
        <w:t>Det skulle vara mycket lättare för användarna att navigera på en webbplats än på 27 olika webbplatser med olika layout, strukturer och språk, och det skulle också minska kostnaderna.</w:t>
      </w:r>
    </w:p>
    <w:p>
      <w:r>
        <w:rPr>
          <w:rStyle w:val="HideTWBExt"/>
        </w:rPr>
        <w:t>&lt;/Amend&gt;</w:t>
      </w:r>
    </w:p>
    <w:p>
      <w:pPr>
        <w:pStyle w:val="AmNumberTabs"/>
      </w:pPr>
      <w:r>
        <w:rPr>
          <w:rStyle w:val="HideTWBExt"/>
        </w:rPr>
        <w:t>&lt;Amend&gt;</w:t>
      </w:r>
      <w:r>
        <w:t>Ändringsförslag</w:t>
      </w:r>
      <w:r>
        <w:tab/>
      </w:r>
      <w:r>
        <w:tab/>
      </w:r>
      <w:r>
        <w:rPr>
          <w:rStyle w:val="HideTWBExt"/>
        </w:rPr>
        <w:t>&lt;NumAm&gt;</w:t>
      </w:r>
      <w:r>
        <w:t>431</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stycke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Senast dd/mm/åå [</w:t>
            </w:r>
            <w:r>
              <w:rPr>
                <w:b/>
                <w:i/>
              </w:rPr>
              <w:t>tre</w:t>
            </w:r>
            <w:r>
              <w:t xml:space="preserve"> år efter den dag då detta direktiv börjar tillämpas] och därefter vart </w:t>
            </w:r>
            <w:r>
              <w:rPr>
                <w:b/>
                <w:i/>
              </w:rPr>
              <w:t>femte</w:t>
            </w:r>
            <w:r>
              <w:t xml:space="preserve"> år, ska kommissionen överlämna en rapport till Europaparlamentet, rådet, Ekonomiska och sociala kommittén och Regionkommittén om tillämpningen av detta direktiv.</w:t>
            </w:r>
          </w:p>
        </w:tc>
        <w:tc>
          <w:tcPr>
            <w:tcW w:w="4876" w:type="dxa"/>
          </w:tcPr>
          <w:p>
            <w:pPr>
              <w:pStyle w:val="Normal6a"/>
            </w:pPr>
            <w:r>
              <w:t>1.</w:t>
            </w:r>
            <w:r>
              <w:tab/>
            </w:r>
            <w:r>
              <w:t>Senast dd/mm/åå [</w:t>
            </w:r>
            <w:r>
              <w:rPr>
                <w:b/>
                <w:i/>
              </w:rPr>
              <w:t>två</w:t>
            </w:r>
            <w:r>
              <w:t xml:space="preserve"> år efter den dag då detta direktiv börjar tillämpas] och därefter vart </w:t>
            </w:r>
            <w:r>
              <w:rPr>
                <w:b/>
                <w:i/>
              </w:rPr>
              <w:t>tredje</w:t>
            </w:r>
            <w:r>
              <w:t xml:space="preserve"> år, ska kommissionen överlämna en rapport till Europaparlamentet, rådet, Ekonomiska och sociala kommittén och Regionkommittén om tillämpningen av detta direktiv.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432</w:t>
      </w:r>
      <w:r>
        <w:rPr>
          <w:rStyle w:val="HideTWBExt"/>
        </w:rPr>
        <w:t>&lt;/NumAm&gt;</w:t>
      </w:r>
    </w:p>
    <w:p>
      <w:pPr>
        <w:pStyle w:val="NormalBold"/>
      </w:pPr>
      <w:r>
        <w:rPr>
          <w:rStyle w:val="HideTWBExt"/>
        </w:rPr>
        <w:t>&lt;RepeatBlock-By&gt;</w:t>
      </w:r>
      <w:r>
        <w:rPr>
          <w:rStyle w:val="HideTWBExt"/>
        </w:rPr>
        <w:t>&lt;Members&gt;</w:t>
      </w:r>
      <w:r>
        <w:t>Abir Al-Sahlani, Lucia Ďuriš Nicholsonová, Monica Semedo, Jordi Cañas, Dragoş Pîslaru, Irena Joveva,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Rapporten ska bland annat, mot bakgrund av den sociala och ekonomiska utvecklingen, behandla användningen av EU-intyget om funktionsnedsättning och EU-parkeringstillståndet för personer med funktionsnedsättning för att behovet att revidera detta direktiv ska kunna bedömas.</w:t>
            </w:r>
          </w:p>
        </w:tc>
        <w:tc>
          <w:tcPr>
            <w:tcW w:w="4876" w:type="dxa"/>
          </w:tcPr>
          <w:p>
            <w:pPr>
              <w:pStyle w:val="Normal6a"/>
            </w:pPr>
            <w:r>
              <w:t>2.</w:t>
            </w:r>
            <w:r>
              <w:tab/>
            </w:r>
            <w:r>
              <w:t xml:space="preserve">Rapporten ska bland annat, mot bakgrund av den sociala och ekonomiska utvecklingen </w:t>
            </w:r>
            <w:r>
              <w:rPr>
                <w:b/>
                <w:i/>
              </w:rPr>
              <w:t>samt annan relevant utveckling</w:t>
            </w:r>
            <w:r>
              <w:t xml:space="preserve">, behandla användningen av EU-intyget om funktionsnedsättning och EU-parkeringstillståndet för personer med funktionsnedsättning för att behovet att revidera detta direktiv ska kunna bedömas. </w:t>
            </w:r>
            <w:r>
              <w:rPr>
                <w:b/>
                <w:i/>
              </w:rPr>
              <w:t>Rapporten ska innehålla en jämställdhetsanalys av hur bestämmelserna i detta direktiv har påverkat den fria rörligheten för kvinnor och flickor med funktionsnedsättning.</w:t>
            </w:r>
            <w:r>
              <w:t xml:space="preserve"> </w:t>
            </w:r>
            <w:r>
              <w:rPr>
                <w:b/>
                <w:i/>
              </w:rPr>
              <w:t>Rapporten ska också utvärdera effektiviteten i de incitament som medlemsstaterna tillhandahåller tjänsteleverantörer.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433</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Rapporten ska bland annat, mot bakgrund av den sociala och ekonomiska utvecklingen, behandla användningen av EU-intyget om funktionsnedsättning och EU-parkeringstillståndet för personer med funktionsnedsättning för att behovet att revidera detta direktiv ska kunna bedömas.</w:t>
            </w:r>
          </w:p>
        </w:tc>
        <w:tc>
          <w:tcPr>
            <w:tcW w:w="4876" w:type="dxa"/>
          </w:tcPr>
          <w:p>
            <w:pPr>
              <w:pStyle w:val="Normal6a"/>
            </w:pPr>
            <w:r>
              <w:t>2.</w:t>
            </w:r>
            <w:r>
              <w:tab/>
            </w:r>
            <w:r>
              <w:t xml:space="preserve">Rapporten ska bland annat, mot bakgrund av den sociala och ekonomiska utvecklingen </w:t>
            </w:r>
            <w:r>
              <w:rPr>
                <w:b/>
                <w:i/>
              </w:rPr>
              <w:t>samt annan relevant utveckling, inbegripet teknisk utveckling</w:t>
            </w:r>
            <w:r>
              <w:t>, behandla användningen av EU-intyget om funktionsnedsättning och EU-parkeringstillståndet för personer med funktionsnedsättning för att behovet att revidera detta direktiv ska kunna bedömas.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434</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Rapporten ska bland annat, mot bakgrund av den sociala och ekonomiska utvecklingen, behandla användningen av EU-intyget om funktionsnedsättning och EU-parkeringstillståndet för personer med funktionsnedsättning för att behovet att revidera detta direktiv ska kunna bedömas.</w:t>
            </w:r>
          </w:p>
        </w:tc>
        <w:tc>
          <w:tcPr>
            <w:tcW w:w="4876" w:type="dxa"/>
          </w:tcPr>
          <w:p>
            <w:pPr>
              <w:pStyle w:val="Normal6a"/>
            </w:pPr>
            <w:r>
              <w:t>2.</w:t>
            </w:r>
            <w:r>
              <w:tab/>
            </w:r>
            <w:r>
              <w:t xml:space="preserve">Rapporten ska bland annat, mot bakgrund av den sociala och ekonomiska utvecklingen, behandla användningen av EU-intyget om funktionsnedsättning och </w:t>
            </w:r>
            <w:r>
              <w:rPr>
                <w:b/>
                <w:i/>
              </w:rPr>
              <w:t>för äldre, och</w:t>
            </w:r>
            <w:r>
              <w:t xml:space="preserve"> EU-parkeringstillståndet för personer med funktionsnedsättning </w:t>
            </w:r>
            <w:r>
              <w:rPr>
                <w:b/>
                <w:i/>
              </w:rPr>
              <w:t>och för äldre,</w:t>
            </w:r>
            <w:r>
              <w:t xml:space="preserve"> för att behovet att revidera detta direktiv ska kunna bedömas.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435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punkt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Kommissionens rapport ska ta hänsyn till synpunkter från personer med funktionsnedsättning, ekonomiska intressenter och berörda icke-statliga organisationer, inbegripet organisationer som företräder personer med funktionsnedsättning.</w:t>
            </w:r>
          </w:p>
        </w:tc>
        <w:tc>
          <w:tcPr>
            <w:tcW w:w="4876" w:type="dxa"/>
          </w:tcPr>
          <w:p>
            <w:pPr>
              <w:pStyle w:val="Normal6a"/>
            </w:pPr>
            <w:r>
              <w:t>4.</w:t>
            </w:r>
            <w:r>
              <w:tab/>
            </w:r>
            <w:r>
              <w:t xml:space="preserve">Kommissionens rapport ska ta hänsyn till synpunkter från personer med funktionsnedsättning </w:t>
            </w:r>
            <w:r>
              <w:rPr>
                <w:b/>
                <w:i/>
              </w:rPr>
              <w:t>och äldre</w:t>
            </w:r>
            <w:r>
              <w:t xml:space="preserve">, ekonomiska intressenter och berörda icke-statliga organisationer, inbegripet organisationer som företräder personer med funktionsnedsättning </w:t>
            </w:r>
            <w:r>
              <w:rPr>
                <w:b/>
                <w:i/>
              </w:rPr>
              <w:t>och äldre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436</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16 – stycke 4a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Rapporten ska innehålla en konsekvensbedömning av användningen av kortet som ett sätt att förbättra möjligheten att överföra förmåner inom området social trygghet enligt förordningarna (EG) nr 883/2004 och (EG) nr 987/2009 och socialt bistånd som omfattas av artikel 24.2 i direktiv 2004/38/EG.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437</w:t>
      </w:r>
      <w:r>
        <w:rPr>
          <w:rStyle w:val="HideTWBExt"/>
        </w:rPr>
        <w:t>&lt;/NumAm&gt;</w:t>
      </w:r>
    </w:p>
    <w:p>
      <w:pPr>
        <w:pStyle w:val="NormalBold"/>
      </w:pPr>
      <w:r>
        <w:rPr>
          <w:rStyle w:val="HideTWBExt"/>
        </w:rPr>
        <w:t>&lt;RepeatBlock-By&gt;</w:t>
      </w:r>
      <w:r>
        <w:rPr>
          <w:rStyle w:val="HideTWBExt"/>
        </w:rPr>
        <w:t>&lt;Members&gt;</w:t>
      </w:r>
      <w:r>
        <w:t>Elżbieta Rafalska, Beata Szydło, Margarita de la Pisa Carrión, Anna Zalewska</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18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Medlemsstaterna ska senast den dd/mm/åå [</w:t>
            </w:r>
            <w:r>
              <w:rPr>
                <w:b/>
                <w:i/>
              </w:rPr>
              <w:t>18</w:t>
            </w:r>
            <w:r>
              <w:t xml:space="preserve"> månader efter ikraftträdandet av detta direktiv] anta och offentliggöra de lagar och andra författningar som är nödvändiga för att följa direktivet. De ska genast överlämna texten till dessa bestämmelser till kommissionen.</w:t>
            </w:r>
          </w:p>
        </w:tc>
        <w:tc>
          <w:tcPr>
            <w:tcW w:w="4876" w:type="dxa"/>
          </w:tcPr>
          <w:p>
            <w:pPr>
              <w:pStyle w:val="Normal6a"/>
            </w:pPr>
            <w:r>
              <w:t>1.</w:t>
            </w:r>
            <w:r>
              <w:tab/>
            </w:r>
            <w:r>
              <w:t>Medlemsstaterna ska senast den dd/mm/åå [</w:t>
            </w:r>
            <w:r>
              <w:rPr>
                <w:b/>
                <w:i/>
              </w:rPr>
              <w:t>24</w:t>
            </w:r>
            <w:r>
              <w:t xml:space="preserve"> månader efter ikraftträdandet av detta direktiv] anta och offentliggöra de lagar och andra författningar som är nödvändiga för att följa direktivet. De ska genast överlämna texten till dessa bestämmelser till kommissionen.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438</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18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Medlemsstaterna ska senast den dd/mm/åå [</w:t>
            </w:r>
            <w:r>
              <w:rPr>
                <w:b/>
                <w:i/>
              </w:rPr>
              <w:t>18</w:t>
            </w:r>
            <w:r>
              <w:t xml:space="preserve"> månader efter ikraftträdandet av detta direktiv] anta och offentliggöra de lagar och andra författningar som är nödvändiga för att följa direktivet. De ska genast överlämna texten till dessa bestämmelser till kommissionen.</w:t>
            </w:r>
          </w:p>
        </w:tc>
        <w:tc>
          <w:tcPr>
            <w:tcW w:w="4876" w:type="dxa"/>
          </w:tcPr>
          <w:p>
            <w:pPr>
              <w:pStyle w:val="Normal6a"/>
            </w:pPr>
            <w:r>
              <w:t>1.</w:t>
            </w:r>
            <w:r>
              <w:tab/>
            </w:r>
            <w:r>
              <w:t>Medlemsstaterna ska senast den dd/mm/åå [</w:t>
            </w:r>
            <w:r>
              <w:rPr>
                <w:b/>
                <w:i/>
              </w:rPr>
              <w:t>36</w:t>
            </w:r>
            <w:r>
              <w:t xml:space="preserve"> månader efter ikraftträdandet av detta direktiv] anta och offentliggöra de lagar och andra författningar som är nödvändiga för att följa direktivet. De ska genast överlämna texten till dessa bestämmelser till kommissionen.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439</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18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Medlemsstaterna ska senast den dd/mm/åå [</w:t>
            </w:r>
            <w:r>
              <w:rPr>
                <w:b/>
                <w:i/>
              </w:rPr>
              <w:t>18</w:t>
            </w:r>
            <w:r>
              <w:t xml:space="preserve"> månader efter ikraftträdandet av detta direktiv] anta och offentliggöra de lagar och andra författningar som är nödvändiga för att följa direktivet. De ska genast överlämna texten till dessa bestämmelser till kommissionen.</w:t>
            </w:r>
          </w:p>
        </w:tc>
        <w:tc>
          <w:tcPr>
            <w:tcW w:w="4876" w:type="dxa"/>
          </w:tcPr>
          <w:p>
            <w:pPr>
              <w:pStyle w:val="Normal6a"/>
            </w:pPr>
            <w:r>
              <w:t>1.</w:t>
            </w:r>
            <w:r>
              <w:tab/>
            </w:r>
            <w:r>
              <w:t>Medlemsstaterna ska senast den dd/mm/åå [</w:t>
            </w:r>
            <w:r>
              <w:rPr>
                <w:b/>
                <w:i/>
              </w:rPr>
              <w:t>12</w:t>
            </w:r>
            <w:r>
              <w:t xml:space="preserve"> månader efter ikraftträdandet av detta direktiv] anta och offentliggöra de lagar och andra författningar som är nödvändiga för att följa direktivet. De ska genast överlämna texten till dessa bestämmelser till kommissionen.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440</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18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Medlemsstaterna ska senast den dd/mm/åå [</w:t>
            </w:r>
            <w:r>
              <w:rPr>
                <w:b/>
                <w:i/>
              </w:rPr>
              <w:t>18</w:t>
            </w:r>
            <w:r>
              <w:t xml:space="preserve"> månader efter ikraftträdandet av detta direktiv] anta och offentliggöra de lagar och andra författningar som är nödvändiga för att följa direktivet. De ska genast överlämna texten till dessa bestämmelser till kommissionen.</w:t>
            </w:r>
          </w:p>
        </w:tc>
        <w:tc>
          <w:tcPr>
            <w:tcW w:w="4876" w:type="dxa"/>
          </w:tcPr>
          <w:p>
            <w:pPr>
              <w:pStyle w:val="Normal6a"/>
            </w:pPr>
            <w:r>
              <w:t>1.</w:t>
            </w:r>
            <w:r>
              <w:tab/>
            </w:r>
            <w:r>
              <w:t>Medlemsstaterna ska senast den dd/mm/åå [</w:t>
            </w:r>
            <w:r>
              <w:rPr>
                <w:b/>
                <w:i/>
              </w:rPr>
              <w:t>12</w:t>
            </w:r>
            <w:r>
              <w:t xml:space="preserve"> månader efter ikraftträdandet av detta direktiv] anta och offentliggöra de lagar och andra författningar som är nödvändiga för att följa direktivet. De ska genast överlämna texten till dessa bestämmelser till kommissionen.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441</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18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Medlemsstaterna ska senast den dd/mm/åå [</w:t>
            </w:r>
            <w:r>
              <w:rPr>
                <w:b/>
                <w:i/>
              </w:rPr>
              <w:t>18</w:t>
            </w:r>
            <w:r>
              <w:t xml:space="preserve"> månader efter ikraftträdandet av detta direktiv] anta och offentliggöra de lagar och andra författningar som är nödvändiga för att följa direktivet. De ska genast överlämna texten till dessa bestämmelser till kommissionen.</w:t>
            </w:r>
          </w:p>
        </w:tc>
        <w:tc>
          <w:tcPr>
            <w:tcW w:w="4876" w:type="dxa"/>
          </w:tcPr>
          <w:p>
            <w:pPr>
              <w:pStyle w:val="Normal6a"/>
            </w:pPr>
            <w:r>
              <w:t>1.</w:t>
            </w:r>
            <w:r>
              <w:tab/>
            </w:r>
            <w:r>
              <w:t>Medlemsstaterna ska senast den dd/mm/åå [</w:t>
            </w:r>
            <w:r>
              <w:rPr>
                <w:b/>
                <w:i/>
              </w:rPr>
              <w:t>12</w:t>
            </w:r>
            <w:r>
              <w:t xml:space="preserve"> månader efter ikraftträdandet av detta direktiv] anta och offentliggöra de lagar och andra författningar som är nödvändiga för att följa direktivet. De ska genast överlämna texten till dessa bestämmelser till kommissionen.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442</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18 – 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De ska tillämpa dessa bestämmelser från och med den dd/mm/åå [</w:t>
            </w:r>
            <w:r>
              <w:rPr>
                <w:b/>
                <w:i/>
              </w:rPr>
              <w:t>30</w:t>
            </w:r>
            <w:r>
              <w:t xml:space="preserve"> månader efter detta direktivs ikraftträdande].</w:t>
            </w:r>
          </w:p>
        </w:tc>
        <w:tc>
          <w:tcPr>
            <w:tcW w:w="4876" w:type="dxa"/>
          </w:tcPr>
          <w:p>
            <w:pPr>
              <w:pStyle w:val="Normal6a"/>
            </w:pPr>
            <w:r>
              <w:t>2.</w:t>
            </w:r>
            <w:r>
              <w:tab/>
            </w:r>
            <w:r>
              <w:t>De ska tillämpa dessa bestämmelser från och med den dd/mm/åå [</w:t>
            </w:r>
            <w:r>
              <w:rPr>
                <w:b/>
                <w:i/>
              </w:rPr>
              <w:t>24</w:t>
            </w:r>
            <w:r>
              <w:t xml:space="preserve"> månader efter detta direktivs ikraftträdande].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443</w:t>
      </w:r>
      <w:r>
        <w:rPr>
          <w:rStyle w:val="HideTWBExt"/>
        </w:rPr>
        <w:t>&lt;/NumAm&gt;</w:t>
      </w:r>
    </w:p>
    <w:p>
      <w:pPr>
        <w:pStyle w:val="NormalBold"/>
      </w:pPr>
      <w:r>
        <w:rPr>
          <w:rStyle w:val="HideTWBExt"/>
        </w:rPr>
        <w:t>&lt;RepeatBlock-By&gt;</w:t>
      </w:r>
      <w:r>
        <w:rPr>
          <w:rStyle w:val="HideTWBExt"/>
        </w:rPr>
        <w:t>&lt;Members&gt;</w:t>
      </w:r>
      <w:r>
        <w:t>Elżbieta Rafalska, Beata Szydło, Margarita de la Pisa Carrión, Anna Zalewska</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18 – 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De ska tillämpa dessa bestämmelser från och med den dd/mm/åå [</w:t>
            </w:r>
            <w:r>
              <w:rPr>
                <w:b/>
                <w:i/>
              </w:rPr>
              <w:t>30</w:t>
            </w:r>
            <w:r>
              <w:t xml:space="preserve"> månader efter detta direktivs ikraftträdande].</w:t>
            </w:r>
          </w:p>
        </w:tc>
        <w:tc>
          <w:tcPr>
            <w:tcW w:w="4876" w:type="dxa"/>
          </w:tcPr>
          <w:p>
            <w:pPr>
              <w:pStyle w:val="Normal6a"/>
            </w:pPr>
            <w:r>
              <w:t>2.</w:t>
            </w:r>
            <w:r>
              <w:tab/>
            </w:r>
            <w:r>
              <w:t>De ska tillämpa dessa bestämmelser från och med den dd/mm/åå [</w:t>
            </w:r>
            <w:r>
              <w:rPr>
                <w:b/>
                <w:i/>
              </w:rPr>
              <w:t>36</w:t>
            </w:r>
            <w:r>
              <w:t xml:space="preserve"> månader efter detta direktivs ikraftträdande].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444</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18 – 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De ska tillämpa dessa bestämmelser från och med den dd/mm/åå [</w:t>
            </w:r>
            <w:r>
              <w:rPr>
                <w:b/>
                <w:i/>
              </w:rPr>
              <w:t>30</w:t>
            </w:r>
            <w:r>
              <w:t xml:space="preserve"> månader efter detta direktivs ikraftträdande].</w:t>
            </w:r>
          </w:p>
        </w:tc>
        <w:tc>
          <w:tcPr>
            <w:tcW w:w="4876" w:type="dxa"/>
          </w:tcPr>
          <w:p>
            <w:pPr>
              <w:pStyle w:val="Normal6a"/>
            </w:pPr>
            <w:r>
              <w:t>2.</w:t>
            </w:r>
            <w:r>
              <w:tab/>
            </w:r>
            <w:r>
              <w:t>De ska tillämpa dessa bestämmelser från och med den dd/mm/åå [</w:t>
            </w:r>
            <w:r>
              <w:rPr>
                <w:b/>
                <w:i/>
              </w:rPr>
              <w:t>48</w:t>
            </w:r>
            <w:r>
              <w:t xml:space="preserve"> månader efter detta direktivs ikraftträdande].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445</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18 – 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De ska tillämpa dessa bestämmelser från och med den dd/mm/åå [</w:t>
            </w:r>
            <w:r>
              <w:rPr>
                <w:b/>
                <w:i/>
              </w:rPr>
              <w:t>30</w:t>
            </w:r>
            <w:r>
              <w:t xml:space="preserve"> månader efter detta direktivs ikraftträdande].</w:t>
            </w:r>
          </w:p>
        </w:tc>
        <w:tc>
          <w:tcPr>
            <w:tcW w:w="4876" w:type="dxa"/>
          </w:tcPr>
          <w:p>
            <w:pPr>
              <w:pStyle w:val="Normal6a"/>
            </w:pPr>
            <w:r>
              <w:t>2.</w:t>
            </w:r>
            <w:r>
              <w:tab/>
            </w:r>
            <w:r>
              <w:t>De ska tillämpa dessa bestämmelser från och med den dd/mm/åå [</w:t>
            </w:r>
            <w:r>
              <w:rPr>
                <w:b/>
                <w:i/>
              </w:rPr>
              <w:t>24</w:t>
            </w:r>
            <w:r>
              <w:t xml:space="preserve"> månader efter detta direktivs ikraftträdande].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446</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18 – 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De ska tillämpa dessa bestämmelser från och med den dd/mm/åå [</w:t>
            </w:r>
            <w:r>
              <w:rPr>
                <w:b/>
                <w:i/>
              </w:rPr>
              <w:t>30</w:t>
            </w:r>
            <w:r>
              <w:t xml:space="preserve"> månader efter detta direktivs ikraftträdande].</w:t>
            </w:r>
          </w:p>
        </w:tc>
        <w:tc>
          <w:tcPr>
            <w:tcW w:w="4876" w:type="dxa"/>
          </w:tcPr>
          <w:p>
            <w:pPr>
              <w:pStyle w:val="Normal6a"/>
            </w:pPr>
            <w:r>
              <w:t>2.</w:t>
            </w:r>
            <w:r>
              <w:tab/>
            </w:r>
            <w:r>
              <w:t>De ska tillämpa dessa bestämmelser från och med den dd/mm/åå [</w:t>
            </w:r>
            <w:r>
              <w:rPr>
                <w:b/>
                <w:i/>
              </w:rPr>
              <w:t>20</w:t>
            </w:r>
            <w:r>
              <w:t xml:space="preserve"> månader efter detta direktivs ikraftträdande].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447</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 – underrubrik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FORMAT FÖR EU-INTYG OM FUNKTIONSNEDSÄTTNING</w:t>
            </w:r>
          </w:p>
        </w:tc>
        <w:tc>
          <w:tcPr>
            <w:tcW w:w="4876" w:type="dxa"/>
          </w:tcPr>
          <w:p>
            <w:pPr>
              <w:pStyle w:val="Normal6a"/>
            </w:pPr>
            <w:r>
              <w:t xml:space="preserve">FORMAT FÖR EU-INTYG OM FUNKTIONSNEDSÄTTNING </w:t>
            </w:r>
            <w:r>
              <w:rPr>
                <w:b/>
                <w:i/>
              </w:rPr>
              <w:t>OCH FÖR ÄLDRE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448</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FRAMSIDAN: European Disability Card på engelska</w:t>
            </w:r>
          </w:p>
        </w:tc>
        <w:tc>
          <w:tcPr>
            <w:tcW w:w="4876" w:type="dxa"/>
          </w:tcPr>
          <w:p>
            <w:pPr>
              <w:pStyle w:val="Normal6a"/>
            </w:pPr>
            <w:r>
              <w:t xml:space="preserve">FRAMSIDAN:European Disability Card på engelska </w:t>
            </w:r>
            <w:r>
              <w:rPr>
                <w:b/>
                <w:i/>
              </w:rPr>
              <w:t>och på språket eller språken i den medlemsstat som utfärdar kortet och i punktskrift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449</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FRAMSIDAN: European Disability Card på engelska</w:t>
            </w:r>
          </w:p>
        </w:tc>
        <w:tc>
          <w:tcPr>
            <w:tcW w:w="4876" w:type="dxa"/>
          </w:tcPr>
          <w:p>
            <w:pPr>
              <w:pStyle w:val="Normal6a"/>
            </w:pPr>
            <w:r>
              <w:t xml:space="preserve">FRAMSIDAN: European Disability </w:t>
            </w:r>
            <w:r>
              <w:rPr>
                <w:b/>
                <w:i/>
              </w:rPr>
              <w:t>and Elderly </w:t>
            </w:r>
            <w:r>
              <w:t>Card på engelska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450</w:t>
      </w:r>
      <w:r>
        <w:rPr>
          <w:rStyle w:val="HideTWBExt"/>
        </w:rPr>
        <w:t>&lt;/NumAm&gt;</w:t>
      </w:r>
    </w:p>
    <w:p>
      <w:pPr>
        <w:pStyle w:val="NormalBold"/>
      </w:pPr>
      <w:r>
        <w:rPr>
          <w:rStyle w:val="HideTWBExt"/>
        </w:rPr>
        <w:t>&lt;RepeatBlock-By&gt;</w:t>
      </w:r>
      <w:r>
        <w:rPr>
          <w:rStyle w:val="HideTWBExt"/>
        </w:rPr>
        <w:t>&lt;Members&gt;</w:t>
      </w:r>
      <w:r>
        <w:t>Cindy Franssen, David Casa, Antonius Manders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 – 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BAKSIDAN: Nationell information på det eller de nationella språk som ska beslutas av den utfärdande medlemsstaten.</w:t>
            </w:r>
          </w:p>
        </w:tc>
        <w:tc>
          <w:tcPr>
            <w:tcW w:w="4876" w:type="dxa"/>
          </w:tcPr>
          <w:p>
            <w:pPr>
              <w:pStyle w:val="Normal6a"/>
            </w:pPr>
            <w:r>
              <w:t>BAKSIDAN: Nationell information på det eller de nationella språk som ska beslutas av den utfärdande medlemsstaten.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Europaparlamentet uppmuntrar medlemsstaterna att inkludera en grafisk, digital eller skriftlig indikation, såsom ett piktogram som visar vilken typ av stöd som kortinnehavaren kräver, på frivillig basis och på begäran av förmånstagaren och utan att avslöja arten av funktionsnedsättning för att förhindra stigmatisering av något slag, på baksidan av EU-intyget om funktionsnedsättning.</w:t>
            </w:r>
            <w:r>
              <w:t xml:space="preserve"> </w:t>
            </w:r>
            <w:r>
              <w:rPr>
                <w:b/>
                <w:i/>
              </w:rPr>
              <w:t>Kommissionen ska utarbeta riktlinjer för gemensamma piktogram för olika typer av stöd.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451</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 – 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BAKSIDAN: Nationell information på det eller de nationella språk som ska beslutas av den utfärdande medlemsstaten.</w:t>
            </w:r>
          </w:p>
        </w:tc>
        <w:tc>
          <w:tcPr>
            <w:tcW w:w="4876" w:type="dxa"/>
          </w:tcPr>
          <w:p>
            <w:pPr>
              <w:pStyle w:val="Normal6a"/>
            </w:pPr>
            <w:r>
              <w:t xml:space="preserve">BAKSIDAN: Nationell information på det eller de nationella språk som ska beslutas av den utfärdande medlemsstaten. </w:t>
            </w:r>
            <w:r>
              <w:rPr>
                <w:b/>
                <w:i/>
              </w:rPr>
              <w:t>Medlemsstaterna ska erbjuda personer med funktionsnedsättning möjlighet, när de ansöker om intyget hos de berörda myndigheterna, att låta relevanta symboler synas på intyget för att de rimliga anpassningsåtgärder som krävs ska anges.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452</w:t>
      </w:r>
      <w:r>
        <w:rPr>
          <w:rStyle w:val="HideTWBExt"/>
        </w:rPr>
        <w:t>&lt;/NumAm&gt;</w:t>
      </w:r>
    </w:p>
    <w:p>
      <w:pPr>
        <w:pStyle w:val="NormalBold"/>
      </w:pPr>
      <w:r>
        <w:rPr>
          <w:rStyle w:val="HideTWBExt"/>
        </w:rPr>
        <w:t>&lt;RepeatBlock-By&gt;</w:t>
      </w:r>
      <w:r>
        <w:rPr>
          <w:rStyle w:val="HideTWBExt"/>
        </w:rPr>
        <w:t>&lt;Members&gt;</w:t>
      </w:r>
      <w:r>
        <w:t>Elżbieta Rafalska, Beata Szydło, Margarita de la Pisa Carrión, Anna Zalewska</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 – 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BAKSIDAN: Nationell information på det eller de nationella språk som ska beslutas av den utfärdande medlemsstaten.</w:t>
            </w:r>
          </w:p>
        </w:tc>
        <w:tc>
          <w:tcPr>
            <w:tcW w:w="4876" w:type="dxa"/>
          </w:tcPr>
          <w:p>
            <w:pPr>
              <w:pStyle w:val="Normal6a"/>
            </w:pPr>
            <w:r>
              <w:t>BAKSIDAN:Nationell information på det eller de nationella språk som ska beslutas av den utfärdande medlemsstaten</w:t>
            </w:r>
            <w:r>
              <w:rPr>
                <w:b/>
                <w:i/>
              </w:rPr>
              <w:t>, i enlighet med nationell rätt och praxis, t.ex. grad av funktionsnedsättning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453</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 – led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EU-intyget om funktionsnedsättning ska utformas i enlighet med ISO 7810-standarden.</w:t>
            </w:r>
          </w:p>
        </w:tc>
        <w:tc>
          <w:tcPr>
            <w:tcW w:w="4876" w:type="dxa"/>
          </w:tcPr>
          <w:p>
            <w:pPr>
              <w:pStyle w:val="Normal6a"/>
            </w:pPr>
            <w:r>
              <w:t>1.</w:t>
            </w:r>
            <w:r>
              <w:tab/>
            </w:r>
            <w:r>
              <w:t xml:space="preserve">EU-intyget om funktionsnedsättning </w:t>
            </w:r>
            <w:r>
              <w:rPr>
                <w:b/>
                <w:i/>
              </w:rPr>
              <w:t>och för äldre</w:t>
            </w:r>
            <w:r>
              <w:t xml:space="preserve"> ska utformas i enlighet med ISO 7810-standarden.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454</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 – led 2a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För att säkerställa att uppgifterna är ordentligt skyddade mot försök till förfalskning eller bedräglig ändring rekommenderas det starkt att personuppgifter, inklusive fotografiet, och väsentliga uppgifter integreras i handlingens grundmaterial.</w:t>
            </w:r>
            <w:r>
              <w:rPr>
                <w:b/>
                <w:i/>
              </w:rPr>
              <w:t>Det finns en mängd olika tekniker för att individualisera handlingen på detta sätt (t.ex. lasergravyr) som inte hindrar användningen och utvecklingen av ny teknik.</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Fält för individanpassning: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Intyget ska ha ett 21 x 28 mm vitt fält på vilket fotografiet av innehavaren ska tryckas.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Intyget ska ha fem vita fält på 4 x 52 mm.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Texten, tryckt i svart, ska vara på det nationella språket och på (kursivt) engelska och placeras på två rader.</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Typsnittet ska vara Arial fetstil 4pt och vara vänsterjusterad i fältet.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Personaliserade uppgifter ska anges i Arial 12pt och vara högerjusterade i fältet.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Uppgifter på handlingens framsida: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Fotografi på den enda innehavaren.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Fält 1:</w:t>
            </w:r>
            <w:r>
              <w:rPr>
                <w:b/>
                <w:i/>
              </w:rPr>
              <w:t>Kortinnehavarens förnamn.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Fält 2:</w:t>
            </w:r>
            <w:r>
              <w:rPr>
                <w:b/>
                <w:i/>
              </w:rPr>
              <w:t>Kortinnehavarens efternamn.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Fält 3:</w:t>
            </w:r>
            <w:r>
              <w:rPr>
                <w:b/>
                <w:i/>
              </w:rPr>
              <w:t>Födelsedatum.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Fält 4:</w:t>
            </w:r>
            <w:r>
              <w:rPr>
                <w:b/>
                <w:i/>
              </w:rPr>
              <w:t>Handlingens serienummer.</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Fält 5:</w:t>
            </w:r>
            <w:r>
              <w:rPr>
                <w:b/>
                <w:i/>
              </w:rPr>
              <w:t>Den sista giltighetsdagen för handlingen.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Anm.: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Högsta antalet tecken för tryck av förnamn och efternamn är 25 .</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Datumet ska anges i formatet ddnmmnåå där n är ”.” eller mellanslag.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455</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 – led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Kortet ska ha följande:</w:t>
            </w:r>
          </w:p>
        </w:tc>
        <w:tc>
          <w:tcPr>
            <w:tcW w:w="4876" w:type="dxa"/>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 En bild av kortinnehavaren.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 Kortinnehavarens för- och efternamn.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 Kortinnehavarens födelsedatum.</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 Kortets serienummer.</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456</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 – led 4 – inledningen</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rPr>
                <w:b/>
                <w:i/>
              </w:rPr>
              <w:t>Kortets färgsättning ska gå i ljus- och mörkblått enligt bilden och med följande referenser:</w:t>
            </w:r>
          </w:p>
        </w:tc>
        <w:tc>
          <w:tcPr>
            <w:tcW w:w="4876" w:type="dxa"/>
          </w:tcPr>
          <w:p>
            <w:pPr>
              <w:pStyle w:val="Normal6a"/>
            </w:pPr>
            <w:r>
              <w:t>4.</w:t>
            </w:r>
            <w:r>
              <w:tab/>
            </w:r>
            <w:r>
              <w:rPr>
                <w:b/>
                <w:i/>
              </w:rPr>
              <w:t>Säkerhetstryckets bakgrund ska innehålla ett rutmönster som är tryckt med en pantone-färg.</w:t>
            </w:r>
            <w:r>
              <w:t xml:space="preserve"> </w:t>
            </w:r>
            <w:r>
              <w:rPr>
                <w:b/>
                <w:i/>
              </w:rPr>
              <w:t>Områden med olika färger uppnås och består av linjer med olika tjocklek och steg.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Bakgrunden ska bestå av mikrotext med orden " INTYG OM FUNKTIONSNEDSÄTTNING". Bakgrundstrycket ska ha ett grafiskt inslag som tryckts med en osynlig UV-färg (gul) och som utgörs av en cirkel där bokstäverna "EU" syns i mitten och förekommer flera gånger.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Endast en färg används för säkerhetsbakgrunden.</w:t>
      </w:r>
    </w:p>
    <w:p>
      <w:r>
        <w:rPr>
          <w:rStyle w:val="HideTWBExt"/>
        </w:rPr>
        <w:t>&lt;/Amend&gt;</w:t>
      </w:r>
    </w:p>
    <w:p>
      <w:pPr>
        <w:pStyle w:val="AmNumberTabs"/>
      </w:pPr>
      <w:r>
        <w:rPr>
          <w:rStyle w:val="HideTWBExt"/>
        </w:rPr>
        <w:t>&lt;Amend&gt;</w:t>
      </w:r>
      <w:r>
        <w:t>Ändringsförslag</w:t>
      </w:r>
      <w:r>
        <w:tab/>
      </w:r>
      <w:r>
        <w:tab/>
      </w:r>
      <w:r>
        <w:rPr>
          <w:rStyle w:val="HideTWBExt"/>
        </w:rPr>
        <w:t>&lt;NumAm&gt;</w:t>
      </w:r>
      <w:r>
        <w:t>457</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 – punkt 4 – strecksats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Mörkblå:</w:t>
            </w:r>
            <w:r>
              <w:t xml:space="preserve"> </w:t>
            </w:r>
            <w:r>
              <w:rPr>
                <w:b/>
                <w:i/>
              </w:rPr>
              <w:t>CMYK 100, 90, 10, 0</w:t>
            </w:r>
          </w:p>
        </w:tc>
        <w:tc>
          <w:tcPr>
            <w:tcW w:w="4876" w:type="dxa"/>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0, 68, 148</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458</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 – punkt 4 – strecksats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Ljusblå:</w:t>
            </w:r>
            <w:r>
              <w:t xml:space="preserve"> </w:t>
            </w:r>
            <w:r>
              <w:rPr>
                <w:b/>
                <w:i/>
              </w:rPr>
              <w:t>CMYK 94, 63, 7, 1</w:t>
            </w:r>
          </w:p>
        </w:tc>
        <w:tc>
          <w:tcPr>
            <w:tcW w:w="4876" w:type="dxa"/>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0, 110, 183</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459</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 – led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rPr>
                <w:b/>
                <w:i/>
              </w:rPr>
              <w:t>Kortet ska ange sista giltighetsdag</w:t>
            </w:r>
            <w:r>
              <w:t>.</w:t>
            </w:r>
          </w:p>
        </w:tc>
        <w:tc>
          <w:tcPr>
            <w:tcW w:w="4876" w:type="dxa"/>
          </w:tcPr>
          <w:p>
            <w:pPr>
              <w:pStyle w:val="Normal6a"/>
            </w:pPr>
            <w:r>
              <w:t>5.</w:t>
            </w:r>
            <w:r>
              <w:tab/>
            </w:r>
            <w:r>
              <w:rPr>
                <w:b/>
                <w:i/>
              </w:rPr>
              <w:t>Se det utkast som föreslås i punkt 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460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 – led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rPr>
                <w:b/>
                <w:i/>
              </w:rPr>
              <w:t>Kortet ska innehålla en landskod inringad i en blå cirkel</w:t>
            </w:r>
            <w:r>
              <w:t>.</w:t>
            </w:r>
          </w:p>
        </w:tc>
        <w:tc>
          <w:tcPr>
            <w:tcW w:w="4876" w:type="dxa"/>
          </w:tcPr>
          <w:p>
            <w:pPr>
              <w:pStyle w:val="Normal6a"/>
            </w:pPr>
            <w:r>
              <w:t>6.</w:t>
            </w:r>
            <w:r>
              <w:tab/>
            </w:r>
            <w:r>
              <w:rPr>
                <w:b/>
                <w:i/>
              </w:rPr>
              <w:t>Cirkeln med med den tvåsiffriga ISO-landskoden för det utfärdande landet inuti ska tryckas med Pantone Reflex Blue.</w:t>
            </w:r>
            <w:r>
              <w:t xml:space="preserve"> </w:t>
            </w:r>
            <w:r>
              <w:rPr>
                <w:b/>
                <w:i/>
              </w:rPr>
              <w:t>Cirkeln ska formas av 12 stjärnor.</w:t>
            </w:r>
            <w:r>
              <w:t xml:space="preserve"> </w:t>
            </w:r>
            <w:r>
              <w:rPr>
                <w:b/>
                <w:i/>
              </w:rPr>
              <w:t>De två bokstäverna i ISO-landskoden är vita</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Grafisk guide till det europeiska emblemet finns här:</w:t>
      </w:r>
    </w:p>
    <w:p>
      <w:pPr>
        <w:pStyle w:val="AmJustText"/>
      </w:pPr>
      <w:r>
        <w:t>https://publications.europa.eu/code/sv/sv-5000100.htm</w:t>
      </w:r>
    </w:p>
    <w:p>
      <w:r>
        <w:rPr>
          <w:rStyle w:val="HideTWBExt"/>
        </w:rPr>
        <w:t>&lt;/Amend&gt;</w:t>
      </w:r>
    </w:p>
    <w:p>
      <w:pPr>
        <w:pStyle w:val="AmNumberTabs"/>
      </w:pPr>
      <w:r>
        <w:rPr>
          <w:rStyle w:val="HideTWBExt"/>
        </w:rPr>
        <w:t>&lt;Amend&gt;</w:t>
      </w:r>
      <w:r>
        <w:t>Ändringsförslag</w:t>
      </w:r>
      <w:r>
        <w:tab/>
      </w:r>
      <w:r>
        <w:tab/>
      </w:r>
      <w:r>
        <w:rPr>
          <w:rStyle w:val="HideTWBExt"/>
        </w:rPr>
        <w:t>&lt;NumAm&gt;</w:t>
      </w:r>
      <w:r>
        <w:t>461</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 – led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Orden ”EU-intyget om funktionsnedsättning” ska skrivas i Arial medan punktskriften anges i typsnittsstandarden Marburg.</w:t>
            </w:r>
          </w:p>
        </w:tc>
        <w:tc>
          <w:tcPr>
            <w:tcW w:w="4876" w:type="dxa"/>
          </w:tcPr>
          <w:p>
            <w:pPr>
              <w:pStyle w:val="Normal6a"/>
            </w:pPr>
            <w:r>
              <w:t>8.</w:t>
            </w:r>
            <w:r>
              <w:tab/>
            </w:r>
            <w:r>
              <w:t xml:space="preserve">Orden ”EU-intyget om funktionsnedsättning” ska skrivas i Arial medan punktskriften anges i typsnittsstandarden Marburg </w:t>
            </w:r>
            <w:r>
              <w:rPr>
                <w:b/>
                <w:i/>
              </w:rPr>
              <w:t>som trycks med reflex blue</w:t>
            </w:r>
            <w:r>
              <w: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Marburg Medium: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Punktskillnad x-axel (a):</w:t>
            </w:r>
            <w:r>
              <w:rPr>
                <w:b/>
                <w:i/>
              </w:rPr>
              <w:t>2,5 mm (från mittpunkt till mittpunkt).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Punktskillnad y-axel (b):</w:t>
            </w:r>
            <w:r>
              <w:rPr>
                <w:b/>
                <w:i/>
              </w:rPr>
              <w:t>2,5 mm (från mittpunkt till mittpunkt).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Teckenavstånd (c):</w:t>
            </w:r>
            <w:r>
              <w:rPr>
                <w:b/>
                <w:i/>
              </w:rPr>
              <w:t>6,0 mm (från mittpunkt 1 i det första tecknet till mittpunkt 1 i följande tecken).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Måttet (d) mellan sluttecknets mittpunkt och mittpunkten på första bokstaven i följande ord är 2 x c, 6,0 mm x 2 = 12,0 mm.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Avstånd mellan linjer (e):</w:t>
            </w:r>
            <w:r>
              <w:rPr>
                <w:b/>
                <w:i/>
              </w:rPr>
              <w:t>10,0 mm (från mittpunkt 1 till mittpunkt 1 på följande linje).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Punktens diameter:</w:t>
            </w:r>
            <w:r>
              <w:rPr>
                <w:b/>
                <w:i/>
              </w:rPr>
              <w:t>cirka 1,3 mm (punktens diameter på basen av en prägling) eller 1,6 mm (punktens diameter på en hona).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Punktskrift för ”EU-INTYGET OM FUNKTIONSNEDSÄTTNING” anges i typsnittsstandarden Marburg.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462</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 – led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Orden ”EU-intyget om funktionsnedsättning” ska skrivas i Arial medan punktskriften anges i typsnittsstandarden Marburg.</w:t>
            </w:r>
          </w:p>
        </w:tc>
        <w:tc>
          <w:tcPr>
            <w:tcW w:w="4876" w:type="dxa"/>
          </w:tcPr>
          <w:p>
            <w:pPr>
              <w:pStyle w:val="Normal6a"/>
            </w:pPr>
            <w:r>
              <w:t>8.</w:t>
            </w:r>
            <w:r>
              <w:tab/>
            </w:r>
            <w:r>
              <w:t xml:space="preserve">Orden ”EU-intyget om funktionsnedsättning </w:t>
            </w:r>
            <w:r>
              <w:rPr>
                <w:b/>
                <w:i/>
              </w:rPr>
              <w:t>och för äldre</w:t>
            </w:r>
            <w:r>
              <w:t>” ska skrivas i Arial medan punktskriften anges i typsnittsstandarden Marburg.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463</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 – led 10a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10a.</w:t>
            </w:r>
            <w:r>
              <w:tab/>
            </w:r>
            <w:r>
              <w:rPr>
                <w:b/>
                <w:i/>
              </w:rPr>
              <w:t>Hologram: Ett hologram med metallisering ska finnas på framsidan.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Hologrammet ska innehålla orden ”EU-intyg om funktionsnedsättning” och en cirkel bestående av 12 vita stjärnor.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464</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Ia (ny)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Det ska finnas en QR-kod på kortet som innehåller alla uppgifter i kortet, i ett tillgängligt format som har fastställts och markerats med en präglad stämpel som är helt förenlig med dataskyddslagstiftningen.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465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II – underrubrik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EU-PARKERINGSTILLSTÅND FÖR PERSONER MED FUNKTIONSNEDSÄTTNING</w:t>
            </w:r>
          </w:p>
        </w:tc>
        <w:tc>
          <w:tcPr>
            <w:tcW w:w="4876" w:type="dxa"/>
          </w:tcPr>
          <w:p>
            <w:pPr>
              <w:pStyle w:val="Normal6a"/>
            </w:pPr>
            <w:r>
              <w:t xml:space="preserve">EU-PARKERINGSTILLSTÅND FÖR PERSONER MED FUNKTIONSNEDSÄTTNING </w:t>
            </w:r>
            <w:r>
              <w:rPr>
                <w:b/>
                <w:i/>
              </w:rPr>
              <w:t>OCH FÖR ÄLDRE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466</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II – underrubrik 1a (ny)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Orden ”EU-parkeringstillstånd” ska visas i punktskrift och anges i typsnittsstandarden Marburg.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467</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II – led 1 – inledningen</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EU-parkeringstillståndet för personer med funktionsnedsättning ska ha följande mått:</w:t>
            </w:r>
          </w:p>
        </w:tc>
        <w:tc>
          <w:tcPr>
            <w:tcW w:w="4876" w:type="dxa"/>
          </w:tcPr>
          <w:p>
            <w:pPr>
              <w:pStyle w:val="Normal6a"/>
            </w:pPr>
            <w:r>
              <w:t>1.</w:t>
            </w:r>
            <w:r>
              <w:tab/>
            </w:r>
            <w:r>
              <w:t xml:space="preserve">EU-parkeringstillståndet för personer med funktionsnedsättning </w:t>
            </w:r>
            <w:r>
              <w:rPr>
                <w:b/>
                <w:i/>
              </w:rPr>
              <w:t>och för äldre</w:t>
            </w:r>
            <w:r>
              <w:t xml:space="preserve"> ska ha följande mått: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468</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II – led 2 – inledningen</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rPr>
                <w:b/>
                <w:i/>
              </w:rPr>
              <w:t>Kortets färg ska vara mörkblå och gul enligt bilden ovan och följande referenser:</w:t>
            </w:r>
          </w:p>
        </w:tc>
        <w:tc>
          <w:tcPr>
            <w:tcW w:w="4876" w:type="dxa"/>
          </w:tcPr>
          <w:p>
            <w:pPr>
              <w:pStyle w:val="Normal6a"/>
            </w:pPr>
            <w:r>
              <w:t>2.</w:t>
            </w:r>
            <w:r>
              <w:tab/>
            </w:r>
            <w:r>
              <w:rPr>
                <w:b/>
                <w:i/>
              </w:rPr>
              <w:t>Pantone blue reflex och pantone yellow kan användas för handlingens högra sida, eftersom dessa färger ska representera EU-flaggan enligt kommissionens 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Säkerhetstryckets bakgrund ska innehålla ett rutmönster som är tryckt med pantone-färgerna.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Bakgrunden ska innehålla mikrotext med orden ”EU-PARKERINGSTILLSTÅND".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469</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II – punkt 2 – strecksats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Mörkblå:</w:t>
            </w:r>
            <w:r>
              <w:t xml:space="preserve"> </w:t>
            </w:r>
            <w:r>
              <w:rPr>
                <w:b/>
                <w:i/>
              </w:rPr>
              <w:t>CMYK 100, 90, 10, 0</w:t>
            </w:r>
          </w:p>
        </w:tc>
        <w:tc>
          <w:tcPr>
            <w:tcW w:w="4876" w:type="dxa"/>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0, 68, 148</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470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II – punkt 2 – strecksats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Gul:</w:t>
            </w:r>
            <w:r>
              <w:t xml:space="preserve"> </w:t>
            </w:r>
            <w:r>
              <w:rPr>
                <w:b/>
                <w:i/>
              </w:rPr>
              <w:t>CMYK 0 0 100 0</w:t>
            </w:r>
          </w:p>
        </w:tc>
        <w:tc>
          <w:tcPr>
            <w:tcW w:w="4876" w:type="dxa"/>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255, 237, 0</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471</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II – led 3 – inledningen</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EU-parkeringstillståndet för personer med funktionshinder ska ha en fram- och en baksida, var och en vertikalt avdelad i två delar.</w:t>
            </w:r>
          </w:p>
        </w:tc>
        <w:tc>
          <w:tcPr>
            <w:tcW w:w="4876" w:type="dxa"/>
          </w:tcPr>
          <w:p>
            <w:pPr>
              <w:pStyle w:val="Normal6a"/>
            </w:pPr>
            <w:r>
              <w:t>3.</w:t>
            </w:r>
            <w:r>
              <w:tab/>
            </w:r>
            <w:r>
              <w:t xml:space="preserve">EU-parkeringstillståndet för personer med funktionshinder </w:t>
            </w:r>
            <w:r>
              <w:rPr>
                <w:b/>
                <w:i/>
              </w:rPr>
              <w:t>och för äldre</w:t>
            </w:r>
            <w:r>
              <w:t xml:space="preserve"> ska ha en fram- och en baksida, var och en vertikalt avdelad i två delar.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472</w:t>
      </w:r>
      <w:r>
        <w:rPr>
          <w:rStyle w:val="HideTWBExt"/>
        </w:rPr>
        <w:t>&lt;/NumAm&gt;</w:t>
      </w:r>
    </w:p>
    <w:p>
      <w:pPr>
        <w:pStyle w:val="NormalBold"/>
      </w:pPr>
      <w:r>
        <w:rPr>
          <w:rStyle w:val="HideTWBExt"/>
        </w:rPr>
        <w:t>&lt;RepeatBlock-By&gt;</w:t>
      </w:r>
      <w:r>
        <w:rPr>
          <w:rStyle w:val="HideTWBExt"/>
        </w:rPr>
        <w:t>&lt;Members&gt;</w:t>
      </w:r>
      <w:r>
        <w:t>Jarosław Duda</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II – punkt 3 – led a – strecksats 5a (ny)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w:t>
            </w:r>
            <w:r>
              <w:tab/>
            </w:r>
            <w:r>
              <w:rPr>
                <w:b/>
                <w:i/>
              </w:rPr>
              <w:t>Orden ”EU-parkeringstillstånd” ska visas i punktskrift och anges i typsnittsstandarden Marburg.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473</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II – punkt 3 – led b – strecksats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t>Upplysningen ”EU-parkeringstillstånd för personer med funktionsnedsättning” tryckt med stor stil på den medlemsstats språk som utfärdar parkeringstillståndet. Efter ett lämpligt mellanrum ska samma text anges med liten stil på Europeiska unionens övriga språk.</w:t>
            </w:r>
          </w:p>
        </w:tc>
        <w:tc>
          <w:tcPr>
            <w:tcW w:w="4876" w:type="dxa"/>
          </w:tcPr>
          <w:p>
            <w:pPr>
              <w:pStyle w:val="Normal6a"/>
            </w:pPr>
            <w:r>
              <w:rPr>
                <w:b/>
                <w:i/>
              </w:rPr>
              <w:t>–</w:t>
            </w:r>
            <w:r>
              <w:tab/>
            </w:r>
            <w:r>
              <w:t xml:space="preserve">Upplysningen ”EU-parkeringstillstånd för personer med funktionsnedsättning” tryckt med stor stil på den medlemsstats språk som utfärdar parkeringstillståndet. Efter ett lämpligt mellanrum ska samma text anges med liten stil på Europeiska unionens övriga språk. </w:t>
            </w:r>
            <w:r>
              <w:rPr>
                <w:b/>
                <w:i/>
              </w:rPr>
              <w:t>Orden ”EU-parkeringstillstånd” ska visas i punktskrift och anges i typsnittsstandarden Marburg.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474</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II – punkt 3 – led b – strecksats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t>Upplysningen ”EU-parkeringstillstånd för personer med funktionsnedsättning” tryckt med stor stil på den medlemsstats språk som utfärdar parkeringstillståndet. Efter ett lämpligt mellanrum ska samma text anges med liten stil på Europeiska unionens övriga språk.</w:t>
            </w:r>
          </w:p>
        </w:tc>
        <w:tc>
          <w:tcPr>
            <w:tcW w:w="4876" w:type="dxa"/>
          </w:tcPr>
          <w:p>
            <w:pPr>
              <w:pStyle w:val="Normal6a"/>
            </w:pPr>
            <w:r>
              <w:rPr>
                <w:b/>
                <w:i/>
              </w:rPr>
              <w:t>–</w:t>
            </w:r>
            <w:r>
              <w:tab/>
            </w:r>
            <w:r>
              <w:t xml:space="preserve">Upplysningen ”EU-parkeringstillstånd för personer med funktionsnedsättning” tryckt med stor stil på den medlemsstats språk som utfärdar parkeringstillståndet </w:t>
            </w:r>
            <w:r>
              <w:rPr>
                <w:b/>
                <w:i/>
              </w:rPr>
              <w:t>medan punktskriften anges i typsnittsstandarden Marburg</w:t>
            </w:r>
            <w:r>
              <w:t>. Efter ett lämpligt mellanrum ska samma text anges med liten stil på Europeiska unionens övriga språk.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475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II – punkt 3 – led b – strecksats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t>Upplysningen ”EU-parkeringstillstånd för personer med funktionsnedsättning” tryckt med stor stil på den medlemsstats språk som utfärdar parkeringstillståndet. Efter ett lämpligt mellanrum ska samma text anges med liten stil på Europeiska unionens övriga språk.</w:t>
            </w:r>
          </w:p>
        </w:tc>
        <w:tc>
          <w:tcPr>
            <w:tcW w:w="4876" w:type="dxa"/>
          </w:tcPr>
          <w:p>
            <w:pPr>
              <w:pStyle w:val="Normal6a"/>
            </w:pPr>
            <w:r>
              <w:rPr>
                <w:b/>
                <w:i/>
              </w:rPr>
              <w:t>–</w:t>
            </w:r>
            <w:r>
              <w:tab/>
            </w:r>
            <w:r>
              <w:t xml:space="preserve">Upplysningen ”EU-parkeringstillstånd för personer med funktionsnedsättning </w:t>
            </w:r>
            <w:r>
              <w:rPr>
                <w:b/>
                <w:i/>
              </w:rPr>
              <w:t>och för äldre</w:t>
            </w:r>
            <w:r>
              <w:t>” tryckt med stor stil på den medlemsstats språk som utfärdar parkeringstillståndet. Efter ett lämpligt mellanrum ska samma text anges med liten stil på Europeiska unionens övriga språk.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476</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II – punkt 3 – led b – strecksats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t>Upplysningen ”EU-parkeringstillstånd för personer med funktionsnedsättning” tryckt med stor stil på den medlemsstats språk som utfärdar parkeringstillståndet. Efter ett lämpligt mellanrum ska samma text anges med liten stil på Europeiska unionens övriga språk.</w:t>
            </w:r>
          </w:p>
        </w:tc>
        <w:tc>
          <w:tcPr>
            <w:tcW w:w="4876" w:type="dxa"/>
          </w:tcPr>
          <w:p>
            <w:pPr>
              <w:pStyle w:val="Normal6a"/>
            </w:pPr>
            <w:r>
              <w:rPr>
                <w:b/>
                <w:i/>
              </w:rPr>
              <w:t>–</w:t>
            </w:r>
            <w:r>
              <w:tab/>
            </w:r>
            <w:r>
              <w:t xml:space="preserve">Upplysningen ”EU-parkeringstillstånd för personer med funktionsnedsättning” tryckt med stor stil på den medlemsstats språk som utfärdar parkeringstillståndet </w:t>
            </w:r>
            <w:r>
              <w:rPr>
                <w:b/>
                <w:i/>
              </w:rPr>
              <w:t>och i punktskrift</w:t>
            </w:r>
            <w:r>
              <w:t>. Efter ett lämpligt mellanrum ska samma text anges med liten stil på Europeiska unionens övriga språk.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477</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II – punkt 3 – led c – strecksats 7a (ny)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w:t>
            </w:r>
            <w:r>
              <w:tab/>
            </w:r>
            <w:r>
              <w:rPr>
                <w:b/>
                <w:i/>
              </w:rPr>
              <w:t>Sekundärt id-kortsnummer.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Vi föreslår att en ny punkt läggs till som anger ett valfritt fält som kan användas när medlemsstaten använder ytterligare ett id-nummer.</w:t>
      </w:r>
    </w:p>
    <w:p>
      <w:r>
        <w:rPr>
          <w:rStyle w:val="HideTWBExt"/>
        </w:rPr>
        <w:t>&lt;/Amend&gt;</w:t>
      </w:r>
    </w:p>
    <w:p>
      <w:pPr>
        <w:pStyle w:val="AmNumberTabs"/>
      </w:pPr>
      <w:r>
        <w:rPr>
          <w:rStyle w:val="HideTWBExt"/>
        </w:rPr>
        <w:t>&lt;Amend&gt;</w:t>
      </w:r>
      <w:r>
        <w:t>Ändringsförslag</w:t>
      </w:r>
      <w:r>
        <w:tab/>
      </w:r>
      <w:r>
        <w:tab/>
      </w:r>
      <w:r>
        <w:rPr>
          <w:rStyle w:val="HideTWBExt"/>
        </w:rPr>
        <w:t>&lt;NumAm&gt;</w:t>
      </w:r>
      <w:r>
        <w:t>478</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II – punkt 3 – led d – strecksats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t>Texten ”Detta kort berättigar innehavaren rätt till de parkeringsvillkor och -möjligheter som reserveras för personer med funktionsnedsättning i den berörda medlemsstaten”.</w:t>
            </w:r>
          </w:p>
        </w:tc>
        <w:tc>
          <w:tcPr>
            <w:tcW w:w="4876" w:type="dxa"/>
          </w:tcPr>
          <w:p>
            <w:pPr>
              <w:pStyle w:val="Normal6a"/>
            </w:pPr>
            <w:r>
              <w:rPr>
                <w:b/>
                <w:i/>
              </w:rPr>
              <w:t>–</w:t>
            </w:r>
            <w:r>
              <w:tab/>
            </w:r>
            <w:r>
              <w:t xml:space="preserve">Texten ”Detta kort berättigar innehavaren rätt till de parkeringsvillkor och -möjligheter som reserveras för personer med funktionsnedsättning </w:t>
            </w:r>
            <w:r>
              <w:rPr>
                <w:b/>
                <w:i/>
              </w:rPr>
              <w:t>och för äldre</w:t>
            </w:r>
            <w:r>
              <w:t xml:space="preserve"> i den berörda medlemsstaten”.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479</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II – led 5a (nytt)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Material.</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För att säkerställa att uppgifterna är ordentligt skyddade mot försök till förfalskning eller bedräglig ändring rekommenderas starkt att säkerhetsmaterial med säkerhetsdetaljer mot förfalskning används.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Exempel 1:</w:t>
            </w:r>
            <w:r>
              <w:rPr>
                <w:b/>
                <w:i/>
              </w:rPr>
              <w:t>Säkerhetspapper med vattenmärke och säkerhetsfibrer.</w:t>
            </w:r>
            <w:r>
              <w:rPr>
                <w:b/>
                <w:i/>
              </w:rPr>
              <w:t>Holografisk detalj eller en likvärdig säkerhetsdetalj.</w:t>
            </w:r>
            <w:r>
              <w:rPr>
                <w:b/>
                <w:i/>
              </w:rPr>
              <w:t>Laminering kan läggas till för att skydda handlingen.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Exempel 2:</w:t>
            </w:r>
            <w:r>
              <w:t xml:space="preserve"> </w:t>
            </w:r>
            <w:r>
              <w:rPr>
                <w:b/>
                <w:i/>
              </w:rPr>
              <w:t>Polykarbonat eller likvärdigt material.</w:t>
            </w:r>
            <w:r>
              <w:t xml:space="preserve"> </w:t>
            </w:r>
            <w:r>
              <w:rPr>
                <w:b/>
                <w:i/>
              </w:rPr>
              <w:t>För att i detta fall säkerställa att uppgifterna är ordentligt skyddade mot försök till förfalskning eller bedräglig ändring rekommenderas det starkt att personuppgifter, inklusive fotografiet, och väsentliga uppgifter integreras i handlingens grundmaterial.</w:t>
            </w:r>
            <w:r>
              <w:t xml:space="preserve"> </w:t>
            </w:r>
            <w:r>
              <w:rPr>
                <w:b/>
                <w:i/>
              </w:rPr>
              <w:t>En holografisk detalj eller ett likvärdigt säkerhetsinslag kan integreras i handlingens struktur.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Förslagets syfte är att uttryckligen beskriva säkerhetsmaterialen i detta avsnitt.</w:t>
      </w:r>
    </w:p>
    <w:p>
      <w:r>
        <w:rPr>
          <w:rStyle w:val="HideTWBExt"/>
        </w:rPr>
        <w:t>&lt;/Amend&gt;</w:t>
      </w:r>
    </w:p>
    <w:p>
      <w:pPr>
        <w:pStyle w:val="AmNumberTabs"/>
      </w:pPr>
      <w:r>
        <w:rPr>
          <w:rStyle w:val="HideTWBExt"/>
        </w:rPr>
        <w:t>&lt;Amend&gt;</w:t>
      </w:r>
      <w:r>
        <w:t>Ändringsförslag</w:t>
      </w:r>
      <w:r>
        <w:tab/>
      </w:r>
      <w:r>
        <w:tab/>
      </w:r>
      <w:r>
        <w:rPr>
          <w:rStyle w:val="HideTWBExt"/>
        </w:rPr>
        <w:t>&lt;NumAm&gt;</w:t>
      </w:r>
      <w:r>
        <w:t>480</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Bilaga IIa (ny)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Kommissionens förslag</w:t>
            </w:r>
          </w:p>
        </w:tc>
        <w:tc>
          <w:tcPr>
            <w:tcW w:w="4876" w:type="dxa"/>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Det ska finnas en QR-kod på kortet som innehåller alla uppgifter i kortet i tillgängligt format som har fastställts och markerats med en präglad stämpel som är helt förenlig med dataskyddslagstiftningen.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756.072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52</w:t>
    </w:r>
    <w:r>
      <w:fldChar w:fldCharType="end"/>
    </w:r>
    <w:r>
      <w:t>/</w:t>
    </w:r>
    <w:r>
      <w:fldChar w:fldCharType="begin"/>
    </w:r>
    <w:r>
      <w:instrText xml:space="preserve"> NUMPAGES </w:instrText>
    </w:r>
    <w:r>
      <w:fldChar w:fldCharType="separate"/>
    </w:r>
    <w:r>
      <w:t>53</w:t>
    </w:r>
    <w:r>
      <w:fldChar w:fldCharType="end"/>
    </w:r>
    <w:r>
      <w:tab/>
    </w:r>
    <w:r>
      <w:rPr>
        <w:rStyle w:val="HideTWBExt"/>
      </w:rPr>
      <w:t>&lt;PathFdR&gt;</w:t>
    </w:r>
    <w:r>
      <w:t>AM\1289917SV.docx</w:t>
    </w:r>
    <w:r>
      <w:rPr>
        <w:rStyle w:val="HideTWBExt"/>
      </w:rPr>
      <w:t>&lt;/PathFdR&gt;</w:t>
    </w:r>
  </w:p>
  <w:p>
    <w:pPr>
      <w:pStyle w:val="EPFooter2"/>
    </w:pPr>
    <w:r>
      <w:t>SV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AM\1289917SV.docx</w:t>
    </w:r>
    <w:r>
      <w:rPr>
        <w:rStyle w:val="HideTWBExt"/>
      </w:rPr>
      <w:t>&lt;/PathFdR&gt;</w:t>
    </w:r>
    <w:r>
      <w:tab/>
    </w:r>
    <w:r>
      <w:fldChar w:fldCharType="begin"/>
    </w:r>
    <w:r>
      <w:instrText xml:space="preserve"> PAGE </w:instrText>
    </w:r>
    <w:r>
      <w:fldChar w:fldCharType="separate"/>
    </w:r>
    <w:r>
      <w:t>53</w:t>
    </w:r>
    <w:r>
      <w:fldChar w:fldCharType="end"/>
    </w:r>
    <w:r>
      <w:t>/</w:t>
    </w:r>
    <w:r>
      <w:fldChar w:fldCharType="begin"/>
    </w:r>
    <w:r>
      <w:instrText xml:space="preserve"> NUMPAGES </w:instrText>
    </w:r>
    <w:r>
      <w:fldChar w:fldCharType="separate"/>
    </w:r>
    <w:r>
      <w:t>53</w:t>
    </w:r>
    <w:r>
      <w:fldChar w:fldCharType="end"/>
    </w:r>
    <w:r>
      <w:tab/>
    </w:r>
    <w:r>
      <w:t>PE</w:t>
    </w:r>
    <w:r>
      <w:rPr>
        <w:rStyle w:val="HideTWBExt"/>
      </w:rPr>
      <w:t>&lt;NoPE&gt;</w:t>
    </w:r>
    <w:r>
      <w:t>756.072</w:t>
    </w:r>
    <w:r>
      <w:rPr>
        <w:rStyle w:val="HideTWBExt"/>
      </w:rPr>
      <w:t>&lt;/NoPE&gt;</w:t>
    </w:r>
    <w:r>
      <w:rPr>
        <w:rStyle w:val="HideTWBExt"/>
      </w:rPr>
      <w:t>&lt;Version&gt;</w:t>
    </w:r>
    <w:r>
      <w:t>v01-00</w:t>
    </w:r>
    <w:r>
      <w:rPr>
        <w:rStyle w:val="HideTWBExt"/>
      </w:rPr>
      <w:t>&lt;/Version&gt;</w:t>
    </w:r>
  </w:p>
  <w:p>
    <w:pPr>
      <w:pStyle w:val="EPFooter2"/>
    </w:pPr>
    <w:r>
      <w:tab/>
    </w:r>
    <w:r>
      <w:tab/>
    </w:r>
    <w:r>
      <w:t>SV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AM\1289917SV.docx</w:t>
    </w:r>
    <w:r>
      <w:rPr>
        <w:rStyle w:val="HideTWBExt"/>
      </w:rPr>
      <w:t>&lt;/PathFdR&gt;</w:t>
    </w:r>
    <w:r>
      <w:tab/>
    </w:r>
    <w:r>
      <w:tab/>
    </w:r>
    <w:r>
      <w:t>PE</w:t>
    </w:r>
    <w:r>
      <w:rPr>
        <w:rStyle w:val="HideTWBExt"/>
      </w:rPr>
      <w:t>&lt;NoPE&gt;</w:t>
    </w:r>
    <w:r>
      <w:t>756.072</w:t>
    </w:r>
    <w:r>
      <w:rPr>
        <w:rStyle w:val="HideTWBExt"/>
      </w:rPr>
      <w:t>&lt;/NoPE&gt;</w:t>
    </w:r>
    <w:r>
      <w:rPr>
        <w:rStyle w:val="HideTWBExt"/>
      </w:rPr>
      <w:t>&lt;Version&gt;</w:t>
    </w:r>
    <w:r>
      <w:t>v01-00</w:t>
    </w:r>
    <w:r>
      <w:rPr>
        <w:rStyle w:val="HideTWBExt"/>
      </w:rPr>
      <w:t>&lt;/Version&gt;</w:t>
    </w:r>
  </w:p>
  <w:p>
    <w:pPr>
      <w:pStyle w:val="EPFooter2"/>
    </w:pPr>
    <w:r>
      <w:t>SV</w:t>
    </w:r>
    <w:r>
      <w:tab/>
    </w:r>
    <w:r>
      <w:rPr>
        <w:rStyle w:val="EPFooter2Motto"/>
      </w:rPr>
      <w:t>Förenade i mångfalden</w:t>
    </w:r>
    <w:r>
      <w:tab/>
    </w:r>
    <w:r>
      <w:t>SV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EPBody">
    <w:name w:val="EPBody"/>
    <w:basedOn w:val="Normal"/>
    <w:pPr>
      <w:widowControl w:val="0"/>
      <w:jc w:val="center"/>
    </w:pPr>
    <w:rPr>
      <w:rFonts w:ascii="Arial" w:eastAsia="Arial" w:hAnsi="Arial" w:cs="Arial"/>
      <w:i/>
      <w:sz w:val="22"/>
    </w:rPr>
  </w:style>
  <w:style w:type="paragraph" w:customStyle="1" w:styleId="CoverBold">
    <w:name w:val="CoverBold"/>
    <w:basedOn w:val="Normal"/>
    <w:pPr>
      <w:widowControl w:val="0"/>
      <w:ind w:left="1416"/>
    </w:pPr>
    <w:rPr>
      <w:b/>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53</Pages>
  <Words>10067</Words>
  <Characters>64572</Characters>
  <Application>Microsoft Office Word</Application>
  <DocSecurity>0</DocSecurity>
  <Lines>1</Lines>
  <Paragraphs>1041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1289917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34666</vt:lpwstr>
  </property>
  <property fmtid="{D5CDD505-2E9C-101B-9397-08002B2CF9AE}" pid="7" name="dmxml.render.traceId">
    <vt:lpwstr>655df5b179b46bc30ccaf40f34b16407</vt:lpwstr>
  </property>
  <property fmtid="{D5CDD505-2E9C-101B-9397-08002B2CF9AE}" pid="8" name="FooterPath">
    <vt:lpwstr>AM\1289917SV.docx</vt:lpwstr>
  </property>
  <property fmtid="{D5CDD505-2E9C-101B-9397-08002B2CF9AE}" pid="9" name="PE Number">
    <vt:lpwstr>756.072</vt:lpwstr>
  </property>
  <property fmtid="{D5CDD505-2E9C-101B-9397-08002B2CF9AE}" pid="10" name="UID">
    <vt:lpwstr>eu.europa.europarl-DIN1-2023-0000149720_02.00-sv-01.00_text-xml</vt:lpwstr>
  </property>
</Properties>
</file>