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Европейски парламент</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{EMPL}</w:t>
      </w:r>
      <w:r>
        <w:t>Комисия по заетост и социални въпроси</w:t>
      </w:r>
      <w:r>
        <w:rPr>
          <w:rStyle w:val="HideTWBExt"/>
        </w:rPr>
        <w:t>&lt;/Commission&gt;</w:t>
      </w:r>
    </w:p>
    <w:p>
      <w:pPr>
        <w:pStyle w:val="LineBottom"/>
      </w:pPr>
      <w:r>
        <w:t xml:space="preserve"> </w:t>
      </w:r>
    </w:p>
    <w:p>
      <w:pPr>
        <w:pStyle w:val="CoverReference"/>
      </w:pPr>
      <w:r>
        <w:rPr>
          <w:rStyle w:val="HideTWBExt"/>
        </w:rPr>
        <w:t>&lt;RefProc&gt;</w:t>
      </w:r>
      <w:r>
        <w:t>2024/2084</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{10/01/2025}</w:t>
      </w:r>
      <w:r>
        <w:t>10.1.2025</w:t>
      </w:r>
      <w:r>
        <w:rPr>
          <w:rStyle w:val="HideTWBExt"/>
        </w:rPr>
        <w:t>&lt;/Date&gt;</w:t>
      </w:r>
    </w:p>
    <w:p>
      <w:pPr>
        <w:pStyle w:val="CoverDocType"/>
      </w:pPr>
      <w:r>
        <w:rPr>
          <w:rStyle w:val="HideTWBExt"/>
        </w:rPr>
        <w:t>&lt;TypeAM&gt;</w:t>
      </w:r>
      <w:r>
        <w:t>ИЗМЕНЕНИЯ</w:t>
      </w:r>
      <w:r>
        <w:rPr>
          <w:rStyle w:val="HideTWBExt"/>
        </w:rPr>
        <w:t>&lt;/TypeAM&gt;</w:t>
      </w:r>
    </w:p>
    <w:p>
      <w:pPr>
        <w:pStyle w:val="CoverDocType24a"/>
      </w:pPr>
      <w:r>
        <w:rPr>
          <w:rStyle w:val="HideTWBExt"/>
        </w:rPr>
        <w:t>&lt;RangeAM&gt;</w:t>
      </w:r>
      <w:r>
        <w:t>1</w:t>
      </w:r>
      <w:r>
        <w:t xml:space="preserve"> - </w:t>
      </w:r>
      <w:r>
        <w:t>271</w:t>
      </w:r>
      <w:r>
        <w:rPr>
          <w:rStyle w:val="HideTWBExt"/>
        </w:rPr>
        <w:t>&lt;/RangeAM&gt;</w:t>
      </w:r>
    </w:p>
    <w:p>
      <w:pPr>
        <w:pStyle w:val="CoverBold"/>
      </w:pPr>
      <w:r>
        <w:rPr>
          <w:rStyle w:val="HideTWBExt"/>
        </w:rPr>
        <w:t>&lt;TitreType&gt;</w:t>
      </w:r>
      <w:r>
        <w:t>Проект на доклад</w:t>
      </w:r>
      <w:r>
        <w:rPr>
          <w:rStyle w:val="HideTWBExt"/>
        </w:rPr>
        <w:t>&lt;/TitreType&gt;</w:t>
      </w:r>
    </w:p>
    <w:p>
      <w:pPr>
        <w:pStyle w:val="CoverBold"/>
      </w:pPr>
      <w:r>
        <w:rPr>
          <w:rStyle w:val="HideTWBExt"/>
        </w:rPr>
        <w:t>&lt;Rapporteur&gt;</w:t>
      </w:r>
      <w:r>
        <w:t>Маравиляс Абадия Ховер</w:t>
      </w:r>
      <w:r>
        <w:rPr>
          <w:rStyle w:val="HideTWBExt"/>
        </w:rPr>
        <w:t>&lt;/Rapporteur&gt;</w:t>
      </w:r>
    </w:p>
    <w:p>
      <w:pPr>
        <w:pStyle w:val="CoverNormal24a"/>
      </w:pPr>
      <w:r>
        <w:rPr>
          <w:rStyle w:val="HideTWBExt"/>
        </w:rPr>
        <w:t>&lt;DocRefPE&gt;</w:t>
      </w:r>
      <w:r>
        <w:t>(PE766.649v02-00)</w:t>
      </w:r>
      <w:r>
        <w:rPr>
          <w:rStyle w:val="HideTWBExt"/>
        </w:rPr>
        <w:t>&lt;/DocRefPE&gt;</w:t>
      </w:r>
    </w:p>
    <w:p>
      <w:pPr>
        <w:pStyle w:val="CoverNormal"/>
      </w:pPr>
      <w:r>
        <w:rPr>
          <w:rStyle w:val="HideTWBExt"/>
        </w:rPr>
        <w:t>&lt;Titre&gt;</w:t>
      </w:r>
      <w:r>
        <w:t>Европейски семестър за координация на икономическите политики: социални приоритети и приоритети в областта на заетостта за 2025 г.</w:t>
      </w:r>
      <w:r>
        <w:rPr>
          <w:rStyle w:val="HideTWBExt"/>
        </w:rPr>
        <w:t>&lt;/Titre&gt;</w:t>
      </w:r>
    </w:p>
    <w:p>
      <w:pPr>
        <w:pStyle w:val="CoverNormal24a"/>
      </w:pPr>
      <w:r>
        <w:rPr>
          <w:rStyle w:val="HideTWBExt"/>
        </w:rPr>
        <w:t>&lt;DocRef&gt;</w:t>
      </w:r>
      <w:r>
        <w:t>(2024/2084(INI))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Изменение</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2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Европейския стълб на социалните права (ЕССП), представен и подписан от Съвета, Парламента и Комисията на 17 ноември 2017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Нилс Гойкинг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2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членове 121 и 148 от Договора за функционирането на Европейския съюз (ДФЕС),</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Нилс Гойкинг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2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основните принципи на Европейския стълб на социалните права, по-конкретно принцип 11 относно грижите за деца и подкрепата за деца,</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2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набора от социални показатели на ЕС и неговите водещи и вторични показатели,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2 в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съобщението на Комисията от 4 март 2021 г., озаглавено „План за действие на Европейския стълб на социалните права“ (COM (2021) 0102), и предложените в него водещи цели за 2030 г. в областта на заетостта, уменията и намаляването на бедността,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Нилс Гойкинг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2 в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Плана за действие за 2021 г. на Европейския стълб на социалните права за насърчаване на възходяща социална конвергенция до 2030 г. и по-конкретно неговата водеща цел 3,</w:t>
            </w:r>
            <w:r>
              <w:t xml:space="preserve"> </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2 г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Декларацията от Ла Юлп относно бъдещето на Европейския стълб на социалните права, подписана на 16 април 2024 г. от Парламента, Комисията, Европейския икономически и социален комитет и Съвета,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2 д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Регламент (ЕС) 2023/955 на Европейския парламент и на Съвета от 10 май 2023 година за създаване на Социален фонд за климата и за изменение на Регламент (ЕС) 2021/1060</w:t>
            </w:r>
            <w:r>
              <w:rPr>
                <w:b/>
                <w:i/>
                <w:vertAlign w:val="superscript"/>
              </w:rPr>
              <w:t>1а</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1а</w:t>
            </w:r>
            <w:r>
              <w:t xml:space="preserve"> </w:t>
            </w:r>
            <w:r>
              <w:rPr>
                <w:b/>
                <w:i/>
              </w:rPr>
              <w:t>ОВ L 130, 16.5.2023 г., стр.</w:t>
            </w:r>
            <w:r>
              <w:t xml:space="preserve"> </w:t>
            </w:r>
            <w:r>
              <w:rPr>
                <w:b/>
                <w:i/>
              </w:rPr>
              <w:t>1–51.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2 е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Регламент (ЕС) 2024/1263 на Европейския парламент и на Съвета от 29 април 2024 година за ефективна координация на икономическите политики и за многостранно бюджетно наблюдение и за отмяна на Регламент (ЕО) № 1466/97 на Съвета и по-специално членове 3, 4, 13 и 27</w:t>
            </w:r>
            <w:r>
              <w:rPr>
                <w:b/>
                <w:i/>
                <w:vertAlign w:val="superscript"/>
              </w:rPr>
              <w:t>2a</w:t>
            </w:r>
            <w:r>
              <w:rPr>
                <w:b/>
                <w:i/>
              </w:rPr>
              <w:t> от него,</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2a</w:t>
            </w:r>
            <w:r>
              <w:t xml:space="preserve"> </w:t>
            </w:r>
            <w:r>
              <w:rPr>
                <w:b/>
                <w:i/>
              </w:rPr>
              <w:t>OВ L, 2024/1263, 30.4.2024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2 ж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съобщението на Комисията от 7 октомври 2020 г., озаглавено „Съюз на равенство: стратегическа рамка на ЕС за равенство, приобщаване и участие на ромите за 2020 –2030 г. “ ((COM(2020) 620 final),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2 з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съобщението на Комисията от 3 март 2021 г., озаглавено „Съюз на равенство: Стратегия за правата на хората с увреждания за периода 2021—2030 г.“ (COM(2021)0101 final),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2 и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съобщението на Комисията от 17 януари 2023 г., озаглавено „Оптимално използване на талантите в регионите на Европа“ (COM(2023) 32 final),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2 й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съобщението на Комисията от 20 март 2023 г., озаглавено „Недостиг на работна ръка и умения в ЕС: план за действие“ (COM(2024) 131 final),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2 к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доклада на Комисията от 19 септември 2024 г., озаглавен „Заетост и социално развитие в Европа (ESDE): възходяща социална конвергенция в ЕС и ролята на социалните инвестиции“,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3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съобщението на Комисията от 26 ноември 2024 г., озаглавено „Европейски семестър за 2025 г.: привеждане в действие на новата рамка за икономическо управление“ (COM(2024) 705 final),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3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съобщението на Комисията от 17 декември 2024 г., озаглавено „Европейски семестър 2025 г. — есенен пакет“ (COM(2024)700 final),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 xml:space="preserve">като взе предвид предложението на Комисията от </w:t>
            </w:r>
            <w:r>
              <w:rPr>
                <w:b/>
                <w:i/>
              </w:rPr>
              <w:t>ХХХ</w:t>
            </w:r>
            <w:r>
              <w:t xml:space="preserve"> 2024 г. за съвместен доклад за заетостта </w:t>
            </w:r>
            <w:r>
              <w:rPr>
                <w:b/>
                <w:i/>
              </w:rPr>
              <w:t>от</w:t>
            </w:r>
            <w:r>
              <w:t xml:space="preserve"> Комисията и Съвета (</w:t>
            </w:r>
            <w:r>
              <w:rPr>
                <w:b/>
                <w:i/>
              </w:rPr>
              <w:t>COM(2024)ХХХ</w:t>
            </w:r>
            <w:r>
              <w:t>),</w:t>
            </w:r>
          </w:p>
        </w:tc>
        <w:tc>
          <w:tcPr>
            <w:tcW w:w="4876" w:type="dxa"/>
            <w:tcBorders>
              <w:top w:val="nil"/>
              <w:left w:val="nil"/>
              <w:bottom w:val="nil"/>
              <w:right w:val="nil"/>
            </w:tcBorders>
          </w:tcPr>
          <w:p>
            <w:pPr>
              <w:pStyle w:val="Normal6a"/>
            </w:pPr>
            <w:r>
              <w:rPr>
                <w:b/>
                <w:i/>
              </w:rPr>
              <w:t>–</w:t>
            </w:r>
            <w:r>
              <w:tab/>
            </w:r>
            <w:r>
              <w:t xml:space="preserve">като взе предвид предложението на Комисията от </w:t>
            </w:r>
            <w:r>
              <w:rPr>
                <w:b/>
                <w:i/>
              </w:rPr>
              <w:t>17 декември</w:t>
            </w:r>
            <w:r>
              <w:t xml:space="preserve"> 2024 г. за съвместен доклад за заетостта </w:t>
            </w:r>
            <w:r>
              <w:rPr>
                <w:b/>
                <w:i/>
              </w:rPr>
              <w:t>на</w:t>
            </w:r>
            <w:r>
              <w:t xml:space="preserve"> Комисията и Съвета (</w:t>
            </w:r>
            <w:r>
              <w:rPr>
                <w:b/>
                <w:i/>
              </w:rPr>
              <w:t>COM(2020)701 final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 xml:space="preserve">като взе предвид препоръката на Комисията от </w:t>
            </w:r>
            <w:r>
              <w:rPr>
                <w:b/>
                <w:i/>
              </w:rPr>
              <w:t>ХХХ</w:t>
            </w:r>
            <w:r>
              <w:t xml:space="preserve"> 2024 г. за препоръка на Съвета относно икономическата политика на еврозоната (COM(2024)</w:t>
            </w:r>
            <w:r>
              <w:rPr>
                <w:b/>
                <w:i/>
              </w:rPr>
              <w:t>ХХХ</w:t>
            </w:r>
            <w:r>
              <w:t>),</w:t>
            </w:r>
          </w:p>
        </w:tc>
        <w:tc>
          <w:tcPr>
            <w:tcW w:w="4876" w:type="dxa"/>
            <w:tcBorders>
              <w:top w:val="nil"/>
              <w:left w:val="nil"/>
              <w:bottom w:val="nil"/>
              <w:right w:val="nil"/>
            </w:tcBorders>
          </w:tcPr>
          <w:p>
            <w:pPr>
              <w:pStyle w:val="Normal6a"/>
            </w:pPr>
            <w:r>
              <w:rPr>
                <w:b/>
                <w:i/>
              </w:rPr>
              <w:t>–</w:t>
            </w:r>
            <w:r>
              <w:tab/>
            </w:r>
            <w:r>
              <w:t xml:space="preserve">като взе предвид препоръката на Комисията от </w:t>
            </w:r>
            <w:r>
              <w:rPr>
                <w:b/>
                <w:i/>
              </w:rPr>
              <w:t>17 декември</w:t>
            </w:r>
            <w:r>
              <w:t xml:space="preserve"> 2024 г. за препоръка на Съвета относно икономическата политика на еврозоната (COM(2024)</w:t>
            </w:r>
            <w:r>
              <w:rPr>
                <w:b/>
                <w:i/>
              </w:rPr>
              <w:t> 704 final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 xml:space="preserve">като взе предвид доклада на Комисията от </w:t>
            </w:r>
            <w:r>
              <w:rPr>
                <w:b/>
                <w:i/>
              </w:rPr>
              <w:t>ХХХ</w:t>
            </w:r>
            <w:r>
              <w:t xml:space="preserve"> 2024 г., озаглавен „Доклад за механизма за предупреждение за 2025 г.“,</w:t>
            </w:r>
          </w:p>
        </w:tc>
        <w:tc>
          <w:tcPr>
            <w:tcW w:w="4876" w:type="dxa"/>
            <w:tcBorders>
              <w:top w:val="nil"/>
              <w:left w:val="nil"/>
              <w:bottom w:val="nil"/>
              <w:right w:val="nil"/>
            </w:tcBorders>
          </w:tcPr>
          <w:p>
            <w:pPr>
              <w:pStyle w:val="Normal6a"/>
            </w:pPr>
            <w:r>
              <w:rPr>
                <w:b/>
                <w:i/>
              </w:rPr>
              <w:t>–</w:t>
            </w:r>
            <w:r>
              <w:tab/>
            </w:r>
            <w:r>
              <w:t xml:space="preserve">като взе предвид доклада на Комисията от </w:t>
            </w:r>
            <w:r>
              <w:rPr>
                <w:b/>
                <w:i/>
              </w:rPr>
              <w:t>17 декември</w:t>
            </w:r>
            <w:r>
              <w:t xml:space="preserve"> 2024 г., озаглавен „Доклад за механизма за предупреждение за 2025 г.“ </w:t>
            </w:r>
            <w:r>
              <w:rPr>
                <w:b/>
                <w:i/>
              </w:rPr>
              <w:t>(COM(2024) 702 final)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 xml:space="preserve">като взе предвид проекта на работен документ на службите на Комисията относно </w:t>
            </w:r>
            <w:r>
              <w:rPr>
                <w:b/>
                <w:i/>
              </w:rPr>
              <w:t>планираните преразглеждания на</w:t>
            </w:r>
            <w:r>
              <w:t xml:space="preserve"> таблицата с показатели за процедурата при макроикономически дисбаланси </w:t>
            </w:r>
            <w:r>
              <w:rPr>
                <w:b/>
                <w:i/>
              </w:rPr>
              <w:t>в контекста на процеса на редовен преглед</w:t>
            </w:r>
            <w:r>
              <w:t xml:space="preserve"> (SWD (2024) </w:t>
            </w:r>
            <w:r>
              <w:rPr>
                <w:b/>
                <w:i/>
              </w:rPr>
              <w:t>XXX</w:t>
            </w:r>
            <w:r>
              <w:t>),</w:t>
            </w:r>
          </w:p>
        </w:tc>
        <w:tc>
          <w:tcPr>
            <w:tcW w:w="4876" w:type="dxa"/>
            <w:tcBorders>
              <w:top w:val="nil"/>
              <w:left w:val="nil"/>
              <w:bottom w:val="nil"/>
              <w:right w:val="nil"/>
            </w:tcBorders>
          </w:tcPr>
          <w:p>
            <w:pPr>
              <w:pStyle w:val="Normal6a"/>
            </w:pPr>
            <w:r>
              <w:rPr>
                <w:b/>
                <w:i/>
              </w:rPr>
              <w:t>–</w:t>
            </w:r>
            <w:r>
              <w:tab/>
            </w:r>
            <w:r>
              <w:t xml:space="preserve">като взе предвид проекта на работен документ на службите на Комисията относно </w:t>
            </w:r>
            <w:r>
              <w:rPr>
                <w:b/>
                <w:i/>
              </w:rPr>
              <w:t>промените в</w:t>
            </w:r>
            <w:r>
              <w:t xml:space="preserve"> таблицата с показатели за процедурата при макроикономически дисбаланси (SWD (2024) </w:t>
            </w:r>
            <w:r>
              <w:rPr>
                <w:b/>
                <w:i/>
              </w:rPr>
              <w:t>702 final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Бранислав Ондруш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11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междуинституционалната декларация от Ла Юлп относно бъдещето на Европейския стълб на социалните права, подписана от институциите на ЕС, социалните партньори и гражданското общество (2024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Регламент (ЕС) 2024/1263 на Европейския парламент и на Съвета от 29 април 2024 година за ефективна координация на икономическите политики и за многостранно бюджетно наблюдение и за отмяна на Регламент (ЕО) № 1466/97 на Съвета,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Декларацията от Будапеща относно Новия европейски пакт за конкурентоспособност от 8 ноември 2024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решението на Съвета относно насоките за заетостта, прието на 2 декември 2024 г. от Съвета по заетост, социална политика, здравеопазване и потребителски въпроси, с което се установяват приоритети в областта на заетостта и социалните въпроси в съответствие с принципите на Европейския стълб на социалните права,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доклада на Комисията относно Employment and Social Developments in Europe (Заетост и социални тенденции в Европа), публикуван през септември 2024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 в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Декларацията от Ла Юлп относно бъдещето на Европейския стълб на социалните права</w:t>
            </w:r>
            <w:r>
              <w:rPr>
                <w:b/>
                <w:i/>
                <w:vertAlign w:val="superscript"/>
              </w:rPr>
              <w:t>2a</w:t>
            </w:r>
            <w:r>
              <w:t xml:space="preserve"> </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2a</w:t>
            </w:r>
            <w:r>
              <w:t xml:space="preserve"> </w:t>
            </w:r>
            <w:r>
              <w:rPr>
                <w:b/>
                <w:i/>
              </w:rPr>
              <w:t>https://wayback.archive-it.org/12710/20240718201828/https://belgian-presidency.consilium.europa.eu/media/bj0adazv/declaration-finale.pdf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 г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тристранната декларация за процъфтяващ европейски социален диалог и като взе предвид предстоящия Пакт за социален диалог,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 д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Европейската програма за умения от 2020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 е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съобщението на Комисията от 7 септември 2022 г. относно европейската стратегия за полагане на грижи (COM(2022)440 final),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 ж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Европейския стълб на социалните права (ЕССП), провъзгласен от Съвета, Парламента и Комисията през ноември 2017 г., и придружаващия го план за действие, приет през 2021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 з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съобщението на Комисията от 17 декември 2024 г., озаглавено „Европейски семестър 2025 г. — есенен пакет“ (COM(2024)700 final),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 и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предложението на Комисията от 17 декември 2025 г. за съвместен доклад за заетостта за 2025 г. (COM (2024) 701),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 й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Директива (ЕС) 2022/2041 на Европейския парламент и на Съвета от 19 октомври 2022 г. относно адекватните минимални работни заплати в Европейския съюз,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 к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Европейската социална харта (ЕСХ), посочена в преамбюла на Европейския стълб на социалните права,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 л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препоръката на Съвета относно достъпа до финансово приемливи висококачествени дългосрочни грижи,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 м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Целите на ООН за устойчиво развитие (ЦУР),</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 н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Стратегията за равенство между половете за периода 2020 – 2025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 о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Плана за действие на ЕС за борба с расизма за периода 2020 – 2025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 п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Стратегическата рамка на ЕС за равенство, приобщаване и участие на ромите за периода 2020 – 2030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 р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Стратегията за равнопоставеност на ЛГБТИК за 2020 – 2025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 с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Стратегията за правата на хората с увреждания за периода 2021 – 2030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Идоя Мендия Куева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 т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Регламент (ЕС) 2024/1263 на Европейския парламент и на Съвета от 29 април 2024 година за ефективна координация на икономическите политики и за многостранно бюджетно наблюдение и за отмяна на Регламент (ЕО) № 1466/97 на Съвета,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А.</w:t>
            </w:r>
            <w:r>
              <w:tab/>
            </w:r>
            <w:r>
              <w:t xml:space="preserve">като има предвид, че </w:t>
            </w:r>
            <w:r>
              <w:rPr>
                <w:b/>
                <w:i/>
              </w:rPr>
              <w:t>въпреки въздействието на високата инфлация и въпреки несигурността, породена от агресивната война на Русия срещу Украйна</w:t>
            </w:r>
            <w:r>
              <w:t xml:space="preserve">, </w:t>
            </w:r>
            <w:r>
              <w:rPr>
                <w:b/>
                <w:i/>
              </w:rPr>
              <w:t>е постигнат напредък към реализирането на целите на ЕС в областта на заетостта</w:t>
            </w:r>
            <w:r>
              <w:t xml:space="preserve">; като има предвид, че </w:t>
            </w:r>
            <w:r>
              <w:rPr>
                <w:b/>
                <w:i/>
              </w:rPr>
              <w:t>през 2023 г.</w:t>
            </w:r>
            <w:r>
              <w:t xml:space="preserve"> </w:t>
            </w:r>
            <w:r>
              <w:rPr>
                <w:b/>
                <w:i/>
              </w:rPr>
              <w:t>растежът на заетостта в ЕС остава стабилен</w:t>
            </w:r>
            <w:r>
              <w:t xml:space="preserve">, въпреки </w:t>
            </w:r>
            <w:r>
              <w:rPr>
                <w:b/>
                <w:i/>
              </w:rPr>
              <w:t>че в някои държави членки равнищата на безработица</w:t>
            </w:r>
            <w:r>
              <w:t xml:space="preserve"> продължават да са </w:t>
            </w:r>
            <w:r>
              <w:rPr>
                <w:b/>
                <w:i/>
              </w:rPr>
              <w:t>високи, по-специално на безработицата</w:t>
            </w:r>
            <w:r>
              <w:t xml:space="preserve"> сред младите хора, </w:t>
            </w:r>
            <w:r>
              <w:rPr>
                <w:b/>
                <w:i/>
              </w:rPr>
              <w:t>и въпреки че се запазват значителни</w:t>
            </w:r>
            <w:r>
              <w:t xml:space="preserve"> неравенства </w:t>
            </w:r>
            <w:r>
              <w:rPr>
                <w:b/>
                <w:i/>
              </w:rPr>
              <w:t>между</w:t>
            </w:r>
            <w:r>
              <w:t xml:space="preserve"> секторите </w:t>
            </w:r>
            <w:r>
              <w:rPr>
                <w:b/>
                <w:i/>
              </w:rPr>
              <w:t>и регионите</w:t>
            </w:r>
            <w:r>
              <w:t xml:space="preserve">, които биха могли да окажат </w:t>
            </w:r>
            <w:r>
              <w:rPr>
                <w:b/>
                <w:i/>
              </w:rPr>
              <w:t>дългосрочно</w:t>
            </w:r>
            <w:r>
              <w:t xml:space="preserve"> отрицателно въздействие върху социалното сближаване и благосъстоянието на европейските граждани;</w:t>
            </w:r>
          </w:p>
        </w:tc>
        <w:tc>
          <w:tcPr>
            <w:tcW w:w="4876" w:type="dxa"/>
            <w:tcBorders>
              <w:top w:val="nil"/>
              <w:left w:val="nil"/>
              <w:bottom w:val="nil"/>
              <w:right w:val="nil"/>
            </w:tcBorders>
          </w:tcPr>
          <w:p>
            <w:pPr>
              <w:pStyle w:val="Normal6a"/>
            </w:pPr>
            <w:r>
              <w:t>А.</w:t>
            </w:r>
            <w:r>
              <w:tab/>
            </w:r>
            <w:r>
              <w:t xml:space="preserve">като има предвид, че </w:t>
            </w:r>
            <w:r>
              <w:rPr>
                <w:b/>
                <w:i/>
              </w:rPr>
              <w:t>според икономическата прогноза на Комисията за есента на 2025 г. равнището на заетост в ЕС е достигнало 75</w:t>
            </w:r>
            <w:r>
              <w:t>,</w:t>
            </w:r>
            <w:r>
              <w:rPr>
                <w:b/>
                <w:i/>
              </w:rPr>
              <w:t>3%;</w:t>
            </w:r>
            <w:r>
              <w:t xml:space="preserve"> </w:t>
            </w:r>
            <w:r>
              <w:rPr>
                <w:b/>
                <w:i/>
              </w:rPr>
              <w:t>като има предвид, че трябва да се придаде стойност на икономическата възвращаемост на инвестициите в социално благосъстояние, които не само подобряват стандартите на живот, но и водят до икономически растеж и по-високи равнища на заетост</w:t>
            </w:r>
            <w:r>
              <w:t xml:space="preserve">; като има предвид, че </w:t>
            </w:r>
            <w:r>
              <w:rPr>
                <w:b/>
                <w:i/>
              </w:rPr>
              <w:t>някои държави членки достигат безпрецедентни равнища на заетост и отбелязват растеж в равнищата на заетост</w:t>
            </w:r>
            <w:r>
              <w:t xml:space="preserve">, въпреки </w:t>
            </w:r>
            <w:r>
              <w:rPr>
                <w:b/>
                <w:i/>
              </w:rPr>
              <w:t>несигурността, породена от агресивната война на Русия срещу Украйна и въздействието на високата инфлация;</w:t>
            </w:r>
            <w:r>
              <w:t xml:space="preserve"> </w:t>
            </w:r>
            <w:r>
              <w:rPr>
                <w:b/>
                <w:i/>
              </w:rPr>
              <w:t>въпреки това</w:t>
            </w:r>
            <w:r>
              <w:t xml:space="preserve"> продължават да са </w:t>
            </w:r>
            <w:r>
              <w:rPr>
                <w:b/>
                <w:i/>
              </w:rPr>
              <w:t>налице значителни предизвикателства в ЕС, включително високите равнища на безработица</w:t>
            </w:r>
            <w:r>
              <w:t xml:space="preserve"> сред младите хора, </w:t>
            </w:r>
            <w:r>
              <w:rPr>
                <w:b/>
                <w:i/>
              </w:rPr>
              <w:t>жените, възрастните хора, ниско- и средноквалифицираните, мигрантите и хората с увреждания, заедно с несигурните условия на труд, структурните</w:t>
            </w:r>
            <w:r>
              <w:t xml:space="preserve"> неравенства </w:t>
            </w:r>
            <w:r>
              <w:rPr>
                <w:b/>
                <w:i/>
              </w:rPr>
              <w:t>и пропуските в социалната закрила в</w:t>
            </w:r>
            <w:r>
              <w:t xml:space="preserve"> секторите</w:t>
            </w:r>
            <w:r>
              <w:rPr>
                <w:b/>
                <w:i/>
              </w:rPr>
              <w:t>, регионите и социалните групи</w:t>
            </w:r>
            <w:r>
              <w:t xml:space="preserve">, които биха могли да окажат отрицателно въздействие върху социалното сближаване и благосъстоянието на европейските граждани </w:t>
            </w:r>
            <w:r>
              <w:rPr>
                <w:b/>
                <w:i/>
              </w:rPr>
              <w:t>в дългосрочен план</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А.</w:t>
            </w:r>
            <w:r>
              <w:tab/>
            </w:r>
            <w:r>
              <w:t>като има предвид, че въпреки въздействието на високата инфлация и въпреки несигурността, породена от агресивната война на Русия срещу Украйна, е постигнат напредък към реализирането на целите на ЕС в областта на заетостта</w:t>
            </w:r>
            <w:r>
              <w:rPr>
                <w:b/>
                <w:i/>
              </w:rPr>
              <w:t>;</w:t>
            </w:r>
            <w:r>
              <w:t xml:space="preserve"> като има предвид, че през 2023 г. растежът на заетостта в ЕС остава стабилен, </w:t>
            </w:r>
            <w:r>
              <w:rPr>
                <w:b/>
                <w:i/>
              </w:rPr>
              <w:t>въпреки че в някои държави</w:t>
            </w:r>
            <w:r>
              <w:t xml:space="preserve"> членки </w:t>
            </w:r>
            <w:r>
              <w:rPr>
                <w:b/>
                <w:i/>
              </w:rPr>
              <w:t>равнищата на безработица</w:t>
            </w:r>
            <w:r>
              <w:t xml:space="preserve"> продължават да </w:t>
            </w:r>
            <w:r>
              <w:rPr>
                <w:b/>
                <w:i/>
              </w:rPr>
              <w:t>са</w:t>
            </w:r>
            <w:r>
              <w:t xml:space="preserve"> високи</w:t>
            </w:r>
            <w:r>
              <w:rPr>
                <w:b/>
                <w:i/>
              </w:rPr>
              <w:t>, по-специално на безработицата</w:t>
            </w:r>
            <w:r>
              <w:t xml:space="preserve"> сред младите хора, </w:t>
            </w:r>
            <w:r>
              <w:rPr>
                <w:b/>
                <w:i/>
              </w:rPr>
              <w:t>и въпреки че се запазват</w:t>
            </w:r>
            <w:r>
              <w:t xml:space="preserve"> значителни </w:t>
            </w:r>
            <w:r>
              <w:rPr>
                <w:b/>
                <w:i/>
              </w:rPr>
              <w:t>неравенства</w:t>
            </w:r>
            <w:r>
              <w:t xml:space="preserve"> между секторите и регионите, които </w:t>
            </w:r>
            <w:r>
              <w:rPr>
                <w:b/>
                <w:i/>
              </w:rPr>
              <w:t>биха могли</w:t>
            </w:r>
            <w:r>
              <w:t xml:space="preserve"> да окажат </w:t>
            </w:r>
            <w:r>
              <w:rPr>
                <w:b/>
                <w:i/>
              </w:rPr>
              <w:t>дългосрочно</w:t>
            </w:r>
            <w:r>
              <w:t xml:space="preserve"> отрицателно въздействие върху социалното сближаване и благосъстоянието на европейските граждани;</w:t>
            </w:r>
          </w:p>
        </w:tc>
        <w:tc>
          <w:tcPr>
            <w:tcW w:w="4876" w:type="dxa"/>
            <w:tcBorders>
              <w:top w:val="nil"/>
              <w:left w:val="nil"/>
              <w:bottom w:val="nil"/>
              <w:right w:val="nil"/>
            </w:tcBorders>
          </w:tcPr>
          <w:p>
            <w:pPr>
              <w:pStyle w:val="Normal6a"/>
            </w:pPr>
            <w:r>
              <w:t>А.</w:t>
            </w:r>
            <w:r>
              <w:tab/>
            </w:r>
            <w:r>
              <w:t>като има предвид, че въпреки въздействието на високата инфлация</w:t>
            </w:r>
            <w:r>
              <w:rPr>
                <w:b/>
                <w:i/>
              </w:rPr>
              <w:t>, икономическата стагнация</w:t>
            </w:r>
            <w:r>
              <w:t xml:space="preserve"> и въпреки несигурността, породена от агресивната война на Русия срещу Украйна, е постигнат напредък към реализирането на целите на ЕС в областта на заетостта</w:t>
            </w:r>
            <w:r>
              <w:rPr>
                <w:b/>
                <w:i/>
              </w:rPr>
              <w:t>, а именно, че най-малко 78% от хората на възраст между 20 и 64 години следва да бъдат заети до 2030 г., и</w:t>
            </w:r>
            <w:r>
              <w:t xml:space="preserve"> като има предвид, че през 2023 г. растежът на заетостта в ЕС остава стабилен, </w:t>
            </w:r>
            <w:r>
              <w:rPr>
                <w:b/>
                <w:i/>
              </w:rPr>
              <w:t>достигайки рекордно равнище от 75,3%;</w:t>
            </w:r>
            <w:r>
              <w:t xml:space="preserve"> </w:t>
            </w:r>
            <w:r>
              <w:rPr>
                <w:b/>
                <w:i/>
              </w:rPr>
              <w:t>като има предвид, че държавите членки са се ангажирали с национални цели, за да постигнат тази водеща цел, и като има предвид, че през 2023 г. в две трети от държавите</w:t>
            </w:r>
            <w:r>
              <w:t xml:space="preserve"> членки </w:t>
            </w:r>
            <w:r>
              <w:rPr>
                <w:b/>
                <w:i/>
              </w:rPr>
              <w:t>ръстът на заетостта беше на път да постигне националната цел за 2030 г.;</w:t>
            </w:r>
            <w:r>
              <w:t xml:space="preserve"> </w:t>
            </w:r>
            <w:r>
              <w:rPr>
                <w:b/>
                <w:i/>
              </w:rPr>
              <w:t>като има предвид обаче, че в някои държави членки</w:t>
            </w:r>
            <w:r>
              <w:t xml:space="preserve"> продължават да </w:t>
            </w:r>
            <w:r>
              <w:rPr>
                <w:b/>
                <w:i/>
              </w:rPr>
              <w:t>съществуват</w:t>
            </w:r>
            <w:r>
              <w:t xml:space="preserve"> високи </w:t>
            </w:r>
            <w:r>
              <w:rPr>
                <w:b/>
                <w:i/>
              </w:rPr>
              <w:t>равнища на безработица, по-специално</w:t>
            </w:r>
            <w:r>
              <w:t xml:space="preserve"> сред младите хора, </w:t>
            </w:r>
            <w:r>
              <w:rPr>
                <w:b/>
                <w:i/>
              </w:rPr>
              <w:t>хората с увреждания, по-възрастните работници и жените, както и</w:t>
            </w:r>
            <w:r>
              <w:t xml:space="preserve"> значителни </w:t>
            </w:r>
            <w:r>
              <w:rPr>
                <w:b/>
                <w:i/>
              </w:rPr>
              <w:t>различия</w:t>
            </w:r>
            <w:r>
              <w:t xml:space="preserve"> между секторите и регионите, които </w:t>
            </w:r>
            <w:r>
              <w:rPr>
                <w:b/>
                <w:i/>
              </w:rPr>
              <w:t>могат</w:t>
            </w:r>
            <w:r>
              <w:t xml:space="preserve"> да окажат отрицателно въздействие върху социалното сближаване и благосъстоянието на европейските граждани </w:t>
            </w:r>
            <w:r>
              <w:rPr>
                <w:b/>
                <w:i/>
              </w:rPr>
              <w:t>в дългосрочен план</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А.</w:t>
            </w:r>
            <w:r>
              <w:tab/>
            </w:r>
            <w:r>
              <w:t>като има предвид, че въпреки въздействието на високата инфлация и въпреки несигурността, породена от агресивната война на Русия срещу Украйна, е постигнат напредък към реализирането на целите на ЕС в областта на заетостта; като има предвид, че през 2023 г. растежът на заетостта в ЕС остава стабилен</w:t>
            </w:r>
            <w:r>
              <w:rPr>
                <w:b/>
                <w:i/>
              </w:rPr>
              <w:t>, въпреки че в някои държави членки равнищата на</w:t>
            </w:r>
            <w:r>
              <w:t xml:space="preserve"> безработица </w:t>
            </w:r>
            <w:r>
              <w:rPr>
                <w:b/>
                <w:i/>
              </w:rPr>
              <w:t>продължават да са високи, по-специално на безработицата сред младите хора, и въпреки че</w:t>
            </w:r>
            <w:r>
              <w:t xml:space="preserve"> се запазват значителни неравенства между секторите и регионите, които биха могли да окажат дългосрочно отрицателно въздействие върху социалното сближаване и благосъстоянието на европейските граждани;</w:t>
            </w:r>
          </w:p>
        </w:tc>
        <w:tc>
          <w:tcPr>
            <w:tcW w:w="4876" w:type="dxa"/>
            <w:tcBorders>
              <w:top w:val="nil"/>
              <w:left w:val="nil"/>
              <w:bottom w:val="nil"/>
              <w:right w:val="nil"/>
            </w:tcBorders>
          </w:tcPr>
          <w:p>
            <w:pPr>
              <w:pStyle w:val="Normal6a"/>
            </w:pPr>
            <w:r>
              <w:t>А.</w:t>
            </w:r>
            <w:r>
              <w:tab/>
            </w:r>
            <w:r>
              <w:t>като има предвид, че въпреки въздействието на високата инфлация и въпреки несигурността, породена от агресивната война на Русия срещу Украйна, е постигнат напредък към реализирането на целите на ЕС в областта на заетостта; като има предвид, че през 2023 г. растежът на заетостта в ЕС остава стабилен</w:t>
            </w:r>
            <w:r>
              <w:rPr>
                <w:b/>
                <w:i/>
              </w:rPr>
              <w:t> и сега надхвърля 75% според Евростат;</w:t>
            </w:r>
            <w:r>
              <w:t xml:space="preserve"> </w:t>
            </w:r>
            <w:r>
              <w:rPr>
                <w:b/>
                <w:i/>
              </w:rPr>
              <w:t>като има предвид, че равнището на дългосрочната безработица в ЕС през 2023 г. беше 2,1%, което е исторически ниска стойност от 2009 г. насам, и че равнището на младежката</w:t>
            </w:r>
            <w:r>
              <w:t xml:space="preserve"> безработица </w:t>
            </w:r>
            <w:r>
              <w:rPr>
                <w:b/>
                <w:i/>
              </w:rPr>
              <w:t>в ЕС беше 6,3%, т.е. най-ниската измерена стойност;</w:t>
            </w:r>
            <w:r>
              <w:t xml:space="preserve"> </w:t>
            </w:r>
            <w:r>
              <w:rPr>
                <w:b/>
                <w:i/>
              </w:rPr>
              <w:t>като има предвид, че пазарите на труда продължиха да бъдат забележително устойчиви и социалните резултати показаха някои признаци на подобрение, икономическият растеж в ЕС през 2024 г. изостава в сравнение с други развити икономики като</w:t>
            </w:r>
            <w:r>
              <w:t xml:space="preserve"> се запазват значителни неравенства между секторите и регионите, които биха могли да окажат дългосрочно отрицателно въздействие върху социалното сближаване и благосъстоянието на европейските граждани;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Мириам Лексман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А.</w:t>
            </w:r>
            <w:r>
              <w:tab/>
            </w:r>
            <w:r>
              <w:t>като има предвид, че въпреки въздействието на високата инфлация и въпреки несигурността, породена от агресивната война на Русия срещу Украйна, е постигнат напредък към реализирането на целите на ЕС в областта на заетостта; като има предвид, че през 2023 г. растежът на заетостта в ЕС остава стабилен, въпреки че в някои държави членки равнищата на безработица продължават да са високи, по-специално на безработицата сред младите хора, и въпреки че се запазват значителни неравенства между секторите и регионите, които биха могли да окажат дългосрочно отрицателно въздействие върху социалното сближаване и благосъстоянието на европейските граждани;</w:t>
            </w:r>
          </w:p>
        </w:tc>
        <w:tc>
          <w:tcPr>
            <w:tcW w:w="4876" w:type="dxa"/>
            <w:tcBorders>
              <w:top w:val="nil"/>
              <w:left w:val="nil"/>
              <w:bottom w:val="nil"/>
              <w:right w:val="nil"/>
            </w:tcBorders>
          </w:tcPr>
          <w:p>
            <w:pPr>
              <w:pStyle w:val="Normal6a"/>
            </w:pPr>
            <w:r>
              <w:t>А.</w:t>
            </w:r>
            <w:r>
              <w:tab/>
            </w:r>
            <w:r>
              <w:t xml:space="preserve">като има предвид, че въпреки въздействието на високата инфлация и въпреки несигурността, породена от агресивната война на Русия срещу Украйна, е постигнат напредък към реализирането на целите на ЕС в областта на заетостта; като има предвид, че през 2023 г. растежът на заетостта в ЕС остава стабилен, въпреки че в някои държави членки равнищата на безработица продължават да са високи, по-специално на безработицата сред младите хора, </w:t>
            </w:r>
            <w:r>
              <w:rPr>
                <w:b/>
                <w:i/>
              </w:rPr>
              <w:t>както и равнищата на безработица на хората с увреждания,</w:t>
            </w:r>
            <w:r>
              <w:t xml:space="preserve"> и въпреки че се запазват значителни неравенства между секторите и регионите, които биха могли да окажат дългосрочно отрицателно въздействие върху социалното сближаване и благосъстоянието на европейските граждани;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Бранислав Ондруш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А.</w:t>
            </w:r>
            <w:r>
              <w:tab/>
            </w:r>
            <w:r>
              <w:t>като има предвид, че въпреки въздействието на високата инфлация и въпреки несигурността, породена от агресивната война на Русия срещу Украйна, е постигнат напредък към реализирането на целите на ЕС в областта на заетостта; като има предвид, че през 2023 г. растежът на заетостта в ЕС остава стабилен, въпреки че в някои държави членки равнищата на безработица продължават да са високи, по-специално на безработицата сред младите хора, и въпреки че се запазват значителни неравенства между секторите и регионите, които биха могли да окажат дългосрочно отрицателно въздействие върху социалното сближаване и благосъстоянието на европейските граждани;</w:t>
            </w:r>
          </w:p>
        </w:tc>
        <w:tc>
          <w:tcPr>
            <w:tcW w:w="4876" w:type="dxa"/>
            <w:tcBorders>
              <w:top w:val="nil"/>
              <w:left w:val="nil"/>
              <w:bottom w:val="nil"/>
              <w:right w:val="nil"/>
            </w:tcBorders>
          </w:tcPr>
          <w:p>
            <w:pPr>
              <w:pStyle w:val="Normal6a"/>
            </w:pPr>
            <w:r>
              <w:t>А.</w:t>
            </w:r>
            <w:r>
              <w:tab/>
            </w:r>
            <w:r>
              <w:t xml:space="preserve">като има предвид, че въпреки въздействието на високата инфлация и въпреки несигурността, породена от агресивната война на Русия срещу Украйна, е постигнат </w:t>
            </w:r>
            <w:r>
              <w:rPr>
                <w:b/>
                <w:i/>
              </w:rPr>
              <w:t>известен</w:t>
            </w:r>
            <w:r>
              <w:t xml:space="preserve"> напредък към реализирането на целите на ЕС в областта на заетостта; като има предвид, че през 2023 г. растежът на заетостта в ЕС остава стабилен, въпреки че в някои държави членки равнищата на безработица продължават да са високи, по-специално на безработицата сред младите хора, и въпреки че се запазват значителни неравенства между секторите и регионите, които биха могли да окажат дългосрочно отрицателно въздействие върху социалното сближаване и благосъстоянието на европейските граждани;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Мари Доши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А.</w:t>
            </w:r>
            <w:r>
              <w:tab/>
            </w:r>
            <w:r>
              <w:t xml:space="preserve">като има предвид, че въпреки </w:t>
            </w:r>
            <w:r>
              <w:rPr>
                <w:b/>
                <w:i/>
              </w:rPr>
              <w:t>въздействието на високата инфлация и въпреки несигурността</w:t>
            </w:r>
            <w:r>
              <w:t xml:space="preserve">, </w:t>
            </w:r>
            <w:r>
              <w:rPr>
                <w:b/>
                <w:i/>
              </w:rPr>
              <w:t>породена</w:t>
            </w:r>
            <w:r>
              <w:t xml:space="preserve"> от агресивната война на Русия срещу Украйна, е постигнат напредък към реализирането на целите на ЕС в областта на заетостта; като има предвид, че през 2023 г. растежът на заетостта в ЕС остава стабилен, въпреки че в някои държави членки равнищата на безработица продължават да са високи, по-специално на безработицата сред младите хора, и въпреки че се запазват значителни неравенства между секторите и регионите, които биха могли да окажат дългосрочно отрицателно въздействие върху социалното сближаване и благосъстоянието на европейските граждани;</w:t>
            </w:r>
          </w:p>
        </w:tc>
        <w:tc>
          <w:tcPr>
            <w:tcW w:w="4876" w:type="dxa"/>
            <w:tcBorders>
              <w:top w:val="nil"/>
              <w:left w:val="nil"/>
              <w:bottom w:val="nil"/>
              <w:right w:val="nil"/>
            </w:tcBorders>
          </w:tcPr>
          <w:p>
            <w:pPr>
              <w:pStyle w:val="Normal6a"/>
            </w:pPr>
            <w:r>
              <w:t>А.</w:t>
            </w:r>
            <w:r>
              <w:tab/>
            </w:r>
            <w:r>
              <w:t xml:space="preserve">като има предвид, че въпреки </w:t>
            </w:r>
            <w:r>
              <w:rPr>
                <w:b/>
                <w:i/>
              </w:rPr>
              <w:t>сериозната инфлационна криза, предизвикана, наред с други фактори</w:t>
            </w:r>
            <w:r>
              <w:t>, от агресивната война на Русия срещу Украйна, е постигнат напредък към реализирането на целите на ЕС в областта на заетостта; като има предвид, че през 2023 г. растежът на заетостта в ЕС остава стабилен, въпреки че в някои държави членки равнищата на безработица продължават да са високи, по-специално на безработицата сред младите хора, и въпреки че се запазват значителни неравенства между секторите и регионите, които биха могли да окажат дългосрочно отрицателно въздействие върху социалното сближаване и благосъстоянието на европейските граждани;</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Аа.</w:t>
            </w:r>
            <w:r>
              <w:tab/>
            </w:r>
            <w:r>
              <w:rPr>
                <w:b/>
                <w:i/>
              </w:rPr>
              <w:t>като има предвид, че европейският семестър съчетава различни инструменти в интегрирана рамка за многостранна координация и наблюдение на икономическите политики, политиките в областта на заетостта, социалните политики и политиките в областта на околната среда в рамките на ЕС и че той трябва да се превърне в ключов инструмент за насърчаване на възходящата социална конвергенция, като гарантира, че икономическите и фискалните политики не само стимулират растежа, но и допринасят за социален и устойчив ЕС;</w:t>
            </w:r>
            <w:r>
              <w:t xml:space="preserve"> </w:t>
            </w:r>
            <w:r>
              <w:rPr>
                <w:b/>
                <w:i/>
              </w:rPr>
              <w:t>като има предвид, че в контекста на европейския семестър част от интегрирания анализ на тенденциите в заетостта и социалната сфера следва да оценява рисковете за възходящата социална конвергенция в държавите членки и следва да се наблюдава напредъкът в прилагането на принципите на Европейския стълб на социалните права въз основа на набора от социални показатели и принципите на Рамката за социална конвергенция;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Аа.</w:t>
            </w:r>
            <w:r>
              <w:tab/>
            </w:r>
            <w:r>
              <w:rPr>
                <w:b/>
                <w:i/>
              </w:rPr>
              <w:t>като има предвид, че Европейският съюз е приел целта до 2030 г. най-малко 60% от възрастните ежегодно да участват в обучение;</w:t>
            </w:r>
            <w:r>
              <w:t xml:space="preserve"> </w:t>
            </w:r>
            <w:r>
              <w:rPr>
                <w:b/>
                <w:i/>
              </w:rPr>
              <w:t>като има предвид, че държавите членки са се ангажирали с национални цели, за да постигнат тази водеща цел, и като има предвид, че мнозинството от държавите членки изостава в постигането на националните си цели;</w:t>
            </w:r>
            <w:r>
              <w:t xml:space="preserve"> </w:t>
            </w:r>
            <w:r>
              <w:rPr>
                <w:b/>
                <w:i/>
              </w:rPr>
              <w:t>като има предвид, че през 2022 г. процентът на участие на възрастните в учене е бил 39,5%, което все още е доста под целта на ЕС за 2030 г.;</w:t>
            </w:r>
            <w:r>
              <w:t xml:space="preserve"> </w:t>
            </w:r>
            <w:r>
              <w:rPr>
                <w:b/>
                <w:i/>
              </w:rPr>
              <w:t>като има предвид, че са необходими значителни допълнителни усилия, за да се гарантира предоставянето и достъпът до качествени политики за обучение, които насърчават ученето през целия живот и укрепват конкурентоспособността, устойчивостта и приобщаващия характер на работната сила в ЕС;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Аб.</w:t>
            </w:r>
            <w:r>
              <w:tab/>
            </w:r>
            <w:r>
              <w:rPr>
                <w:b/>
                <w:i/>
              </w:rPr>
              <w:t>като има предвид, че Европейският съюз прие за 2030 г. целта да се намали броят на хората, изложени на риск от бедност и социално изключване, с най-малко 15 милиона в сравнение с 2019 г., като в тази цел се включват най-малко 5 милиона деца;</w:t>
            </w:r>
            <w:r>
              <w:t xml:space="preserve"> </w:t>
            </w:r>
            <w:r>
              <w:rPr>
                <w:b/>
                <w:i/>
              </w:rPr>
              <w:t>като има предвид, че държавите членки са се ангажирали с национални цели, за да постигнат тази водеща цел, и като има предвид, че тенденцията е обратна за почти половината държави членки;</w:t>
            </w:r>
            <w:r>
              <w:t xml:space="preserve"> </w:t>
            </w:r>
            <w:r>
              <w:rPr>
                <w:b/>
                <w:i/>
              </w:rPr>
              <w:t>като има предвид, че през 2023 г. 94,6 милиона души в ЕС (21,4% от населението)</w:t>
            </w:r>
            <w:r>
              <w:rPr>
                <w:b/>
                <w:i/>
                <w:vertAlign w:val="superscript"/>
              </w:rPr>
              <w:t>3a</w:t>
            </w:r>
            <w:r>
              <w:t xml:space="preserve"> </w:t>
            </w:r>
            <w:r>
              <w:rPr>
                <w:b/>
                <w:i/>
              </w:rPr>
              <w:t>са били изложени на риск от бедност или социално изключване, което е само малко по-ниско от равнището през 2019 г.;</w:t>
            </w:r>
            <w:r>
              <w:t xml:space="preserve"> </w:t>
            </w:r>
            <w:r>
              <w:rPr>
                <w:b/>
                <w:i/>
              </w:rPr>
              <w:t>като има предвид, че ако не се промени подходът към борбата с бедността на европейско равнище, няма да бъде възможно да се обърне тенденцията и да се гарантира, че всеки гражданин има равни възможности да участва в обществото;</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3a</w:t>
            </w:r>
            <w:r>
              <w:t xml:space="preserve"> </w:t>
            </w:r>
            <w:r>
              <w:rPr>
                <w:b/>
                <w:i/>
              </w:rPr>
              <w:t>People at risk of poverty or social exclusion in 2023 (Хора, изложени на риск от бедност или социално изключване през 2023 г.), Евростат, https://ec.europa.eu/eurostat/web/products-eurostat-news/w/ddn-20240612-1#:~:text=In%202023%2C%2094.6%20million%20people,household%20with%20very%20low%20work.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Аб.</w:t>
            </w:r>
            <w:r>
              <w:tab/>
            </w:r>
            <w:r>
              <w:rPr>
                <w:b/>
                <w:i/>
              </w:rPr>
              <w:t>като има предвид, че Европейският стълб на социалните права (EPRS) трябва да бъде ориентир за водещи социални и икономически политики на ЕС, като гарантира, че Съюзът играе водеща роля в насърчаването на социалния напредък;</w:t>
            </w:r>
            <w:r>
              <w:t xml:space="preserve"> </w:t>
            </w:r>
            <w:r>
              <w:rPr>
                <w:b/>
                <w:i/>
              </w:rPr>
              <w:t>като има предвид, че Европейската комисия, като използва набора от социални показатели и Рамката за социална конвергенция, трябва да оцени рисковете за възходящата социална конвергенция в държавите членки и да наблюдава напредъка в прилагането на Европейския стълб на социалните права;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 в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Ав.</w:t>
            </w:r>
            <w:r>
              <w:tab/>
            </w:r>
            <w:r>
              <w:rPr>
                <w:b/>
                <w:i/>
              </w:rPr>
              <w:t>като има предвид, че в Европейския съюз едно на всеки четири деца продължава да е изложено на риск от бедност и социално изключване, и като има предвид, че настоящата тенденция няма да доведе до постигането на целта броят на децата, живеещи в бедност, да бъде намален до 2030 г. с най-малко 5 милиона;</w:t>
            </w:r>
            <w:r>
              <w:t xml:space="preserve"> </w:t>
            </w:r>
            <w:r>
              <w:rPr>
                <w:b/>
                <w:i/>
              </w:rPr>
              <w:t>като има предвид, че се наблюдават значителни различия между децата от етнически или мигрантски произход и децата с увреждания;</w:t>
            </w:r>
            <w:r>
              <w:t xml:space="preserve"> </w:t>
            </w:r>
            <w:r>
              <w:rPr>
                <w:b/>
                <w:i/>
              </w:rPr>
              <w:t>като има предвид, че 83% от ромските деца живеят в домакинства, изложени на риск от бедност;</w:t>
            </w:r>
            <w:r>
              <w:t xml:space="preserve"> </w:t>
            </w:r>
            <w:r>
              <w:rPr>
                <w:b/>
                <w:i/>
              </w:rPr>
              <w:t>като има предвид, че ресурсите на ЕС и националните ресурси, които понастоящем се използват, по никакъв начин не са достатъчни за справяне с предизвикателството, което поставя детската бедност в ЕС, и следователно както в настоящата, така и в следващата многогодишна финансова рамка от първостепенно значение е създаването на специален инструмент за финансиране на Европейската гаранция за децата, както и полезните взаимодействия с други европейски и национални фондове;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 в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Ав.</w:t>
            </w:r>
            <w:r>
              <w:tab/>
            </w:r>
            <w:r>
              <w:rPr>
                <w:b/>
                <w:i/>
              </w:rPr>
              <w:t>като има предвид, че Рамката за социална конвергенция предлага ключов инструмент за оценка на социалните предизвикателства и възходящата конвергенция в рамките на европейския семестър и за наблюдение на социалните различия между държавите членки;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 г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Аг.</w:t>
            </w:r>
            <w:r>
              <w:tab/>
            </w:r>
            <w:r>
              <w:rPr>
                <w:b/>
                <w:i/>
              </w:rPr>
              <w:t>като има предвид, че публичните разходи за деца и младежи не следва да се разглеждат само като социални разходи, а като инвестиция в бъдещето;</w:t>
            </w:r>
            <w:r>
              <w:t xml:space="preserve"> </w:t>
            </w:r>
            <w:r>
              <w:rPr>
                <w:b/>
                <w:i/>
              </w:rPr>
              <w:t>като има предвид, че за децата социалните инвестиции водят до по-добро образование и перспективи за работа, което от своя страна стимулира икономическите показатели;</w:t>
            </w:r>
            <w:r>
              <w:t xml:space="preserve"> </w:t>
            </w:r>
            <w:r>
              <w:rPr>
                <w:b/>
                <w:i/>
              </w:rPr>
              <w:t>като има предвид, че децата, които могат да извлекат най-голяма полза от посещаването на образование и грижи в ранна детска възраст, например децата в неравностойно положение, обикновено участват най-малко и продължават да се сблъскват с пречки пред достъпа;</w:t>
            </w:r>
            <w:r>
              <w:t xml:space="preserve"> </w:t>
            </w:r>
            <w:r>
              <w:rPr>
                <w:b/>
                <w:i/>
              </w:rPr>
              <w:t>като има предвид, че за да бъдат постигнати целите от Барселона за 2030 г. за образование и грижи в ранна детска възраст, ЕС следва да инвестира допълнителни 11 милиарда евро годишно</w:t>
            </w:r>
            <w:r>
              <w:rPr>
                <w:b/>
                <w:i/>
                <w:vertAlign w:val="superscript"/>
              </w:rPr>
              <w:t>4a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4a</w:t>
            </w:r>
            <w:r>
              <w:t xml:space="preserve"> </w:t>
            </w:r>
            <w:r>
              <w:rPr>
                <w:b/>
                <w:i/>
              </w:rPr>
              <w:t>Employment and Social Developments in Europe (ESDE) 2024 (Заетост и социални тенденции в Европа за 2024 г.), Европейска комисия, септември 2024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 г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Аг.</w:t>
            </w:r>
            <w:r>
              <w:tab/>
            </w:r>
            <w:r>
              <w:rPr>
                <w:b/>
                <w:i/>
              </w:rPr>
              <w:t>като има предвид, че справянето с предизвикателствата, посочени в съвместния доклад за заетостта, ще допринесе за постигане на възходяща социална конвергенция, подкрепа за справедлив екологичен и цифров преход, справяне с демографските промени и ще допринесе за постигането на целите за устойчиво развитие;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 д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Aд.</w:t>
            </w:r>
            <w:r>
              <w:tab/>
            </w:r>
            <w:r>
              <w:rPr>
                <w:b/>
                <w:i/>
              </w:rPr>
              <w:t>като има предвид, че 1,4 милиона души продължават да пребивават в институции в ЕС;</w:t>
            </w:r>
            <w:r>
              <w:t xml:space="preserve"> </w:t>
            </w:r>
            <w:r>
              <w:rPr>
                <w:b/>
                <w:i/>
              </w:rPr>
              <w:t>като има предвид, че живеещите в институции са изолирани от по-широката общност и нямат достатъчен контрол върху живота си и решенията, които ги засягат;</w:t>
            </w:r>
            <w:r>
              <w:t xml:space="preserve"> </w:t>
            </w:r>
            <w:r>
              <w:rPr>
                <w:b/>
                <w:i/>
              </w:rPr>
              <w:t>като има предвид, че въпреки факта, че Европейският съюз отдавна е ангажиран с процеса на деинституционализация, продължават да са необходими усилия както на европейско, така и на национално равнище, за да се даде възможност на уязвимите групи да живеят независимо в общностна среда;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Идоя Мендия Куева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 д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Aд.</w:t>
            </w:r>
            <w:r>
              <w:tab/>
            </w:r>
            <w:r>
              <w:rPr>
                <w:b/>
                <w:i/>
              </w:rPr>
              <w:t>като има предвид, че процентът на самостоятелно заетите лица намалява, включително сред младите хора, и че нискокачествените работни места сред самостоятелно заетите лица са непропорционално широко разпространени;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 xml:space="preserve">като има предвид, че демографските предизвикателства, сред които застаряването на населението, ниската раждаемост и обезлюдяването на селските райони, оказват дълбоко въздействие върху устойчивостта на социалните системи и поради това представляват структурно предизвикателство за икономиката на ЕС; като има предвид, че в доклада на Марио Драги се подчертава, че устойчивият растеж в Европа в голяма степен </w:t>
            </w:r>
            <w:r>
              <w:rPr>
                <w:b/>
                <w:i/>
              </w:rPr>
              <w:t>зависи</w:t>
            </w:r>
            <w:r>
              <w:t xml:space="preserve"> от включването на активното население на пазара на труда и от стабилната социална система;</w:t>
            </w:r>
          </w:p>
        </w:tc>
        <w:tc>
          <w:tcPr>
            <w:tcW w:w="4876" w:type="dxa"/>
            <w:tcBorders>
              <w:top w:val="nil"/>
              <w:left w:val="nil"/>
              <w:bottom w:val="nil"/>
              <w:right w:val="nil"/>
            </w:tcBorders>
          </w:tcPr>
          <w:p>
            <w:pPr>
              <w:pStyle w:val="Normal6a"/>
            </w:pPr>
            <w:r>
              <w:t>Б.</w:t>
            </w:r>
            <w:r>
              <w:tab/>
            </w:r>
            <w:r>
              <w:t xml:space="preserve">като има предвид, че демографските предизвикателства, сред които застаряването на населението, ниската раждаемост и обезлюдяването на селските райони, оказват дълбоко въздействие върху </w:t>
            </w:r>
            <w:r>
              <w:rPr>
                <w:b/>
                <w:i/>
              </w:rPr>
              <w:t>размера на работната сила, производителността на ЕС, пазарите на труда, където недостигът на работна ръка и умения остават на исторически високи равнища, и съответно върху</w:t>
            </w:r>
            <w:r>
              <w:t xml:space="preserve"> устойчивостта на социалните системи и поради това </w:t>
            </w:r>
            <w:r>
              <w:rPr>
                <w:b/>
                <w:i/>
              </w:rPr>
              <w:t>същевременно</w:t>
            </w:r>
            <w:r>
              <w:t xml:space="preserve"> представляват структурно предизвикателство за икономиката на ЕС; като има предвид, че в доклада на Марио Драги се подчертава, че устойчивият растеж </w:t>
            </w:r>
            <w:r>
              <w:rPr>
                <w:b/>
                <w:i/>
              </w:rPr>
              <w:t>и конкурентоспособността</w:t>
            </w:r>
            <w:r>
              <w:t xml:space="preserve"> в Европа </w:t>
            </w:r>
            <w:r>
              <w:rPr>
                <w:b/>
                <w:i/>
              </w:rPr>
              <w:t>зависят </w:t>
            </w:r>
            <w:r>
              <w:t xml:space="preserve">в голяма степен </w:t>
            </w:r>
            <w:r>
              <w:rPr>
                <w:b/>
                <w:i/>
              </w:rPr>
              <w:t>от адаптирането на системите за образование и обучение към променящите се потребности от умения, даването на предимство на ученето за възрастни и професионалното образование и обучение,</w:t>
            </w:r>
            <w:r>
              <w:t> от включването на активното население на пазара на труда и от стабилната социална система</w:t>
            </w:r>
            <w:r>
              <w:rPr>
                <w:b/>
                <w:i/>
              </w:rPr>
              <w:t>, предоставяща силни обществени услуги;</w:t>
            </w:r>
            <w:r>
              <w:t xml:space="preserve"> </w:t>
            </w:r>
            <w:r>
              <w:rPr>
                <w:b/>
                <w:i/>
              </w:rPr>
              <w:t>като има предвид, че инвестициите на ЕСФ + в активни политики по заетостта се очаква да увеличат заетостта след инвестиционния период, особено за групите с по-ниски доходи</w:t>
            </w:r>
            <w:r>
              <w:rPr>
                <w:b/>
                <w:i/>
                <w:vertAlign w:val="superscript"/>
              </w:rPr>
              <w:t>5a</w:t>
            </w:r>
            <w:r>
              <w:rPr>
                <w:b/>
                <w:i/>
              </w:rPr>
              <w:t>;</w:t>
            </w:r>
            <w:r>
              <w:t xml:space="preserve"> </w:t>
            </w:r>
            <w:r>
              <w:rPr>
                <w:b/>
                <w:i/>
              </w:rPr>
              <w:t>като има предвид, че до 2030 г. се очаква работещото население на ЕС да намалее със 7 милиона работници</w:t>
            </w:r>
            <w:r>
              <w:rPr>
                <w:b/>
                <w:i/>
                <w:vertAlign w:val="superscript"/>
              </w:rPr>
              <w:t>6a</w:t>
            </w:r>
            <w:r>
              <w:t xml:space="preserve"> </w:t>
            </w:r>
            <w:r>
              <w:rPr>
                <w:b/>
                <w:i/>
              </w:rPr>
              <w:t>и като има предвид, че се очаква този брой да достигне още 35 милиона души до 2050 г.</w:t>
            </w:r>
            <w:r>
              <w:rPr>
                <w:b/>
                <w:i/>
                <w:vertAlign w:val="superscript"/>
              </w:rPr>
              <w:t>7a</w:t>
            </w:r>
            <w:r>
              <w:rPr>
                <w:b/>
                <w:i/>
              </w:rPr>
              <w:t>, което показва, че законната трудова миграция ще бъде необходима за допълване на европейската работна сила</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5a</w:t>
            </w:r>
            <w:r>
              <w:t xml:space="preserve"> </w:t>
            </w:r>
            <w:r>
              <w:rPr>
                <w:b/>
                <w:i/>
              </w:rPr>
              <w:t>Employment and Social Developments in Europe (ESDE) 2024 (Заетост и социални тенденции в Европа за 2024 г.), Европейска комисия, септември 2024 г.</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6a</w:t>
            </w:r>
            <w:r>
              <w:t xml:space="preserve"> </w:t>
            </w:r>
            <w:r>
              <w:rPr>
                <w:b/>
                <w:i/>
              </w:rPr>
              <w:t>Employment and Social Developments in Europe (ESDE) 2023 (Заетост и социални тенденции в Европа за 2023 г.), Европейска комисия, юли 2023 г.</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7a</w:t>
            </w:r>
            <w:r>
              <w:t xml:space="preserve"> </w:t>
            </w:r>
            <w:r>
              <w:rPr>
                <w:b/>
                <w:i/>
              </w:rPr>
              <w:t>Съобщение на Комисията „Оптимално използване на талантите в регионите на Европа“ (COM (2023) 32 final).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 xml:space="preserve">като има предвид, че демографските предизвикателства, сред които застаряването на населението, ниската раждаемост и обезлюдяването на селските райони, оказват дълбоко въздействие върху </w:t>
            </w:r>
            <w:r>
              <w:rPr>
                <w:b/>
                <w:i/>
              </w:rPr>
              <w:t>устойчивостта на социалните системи</w:t>
            </w:r>
            <w:r>
              <w:t xml:space="preserve"> и поради това представляват структурно предизвикателство за икономиката на ЕС; като има предвид, че в доклада на Марио Драги се подчертава, че устойчивият растеж в Европа </w:t>
            </w:r>
            <w:r>
              <w:rPr>
                <w:b/>
                <w:i/>
              </w:rPr>
              <w:t>в голяма степен зависи от</w:t>
            </w:r>
            <w:r>
              <w:t xml:space="preserve"> включването на активното население на пазара на труда и от стабилната социална система;</w:t>
            </w:r>
          </w:p>
        </w:tc>
        <w:tc>
          <w:tcPr>
            <w:tcW w:w="4876" w:type="dxa"/>
            <w:tcBorders>
              <w:top w:val="nil"/>
              <w:left w:val="nil"/>
              <w:bottom w:val="nil"/>
              <w:right w:val="nil"/>
            </w:tcBorders>
          </w:tcPr>
          <w:p>
            <w:pPr>
              <w:pStyle w:val="Normal6a"/>
            </w:pPr>
            <w:r>
              <w:t>Б.</w:t>
            </w:r>
            <w:r>
              <w:tab/>
            </w:r>
            <w:r>
              <w:t xml:space="preserve">като има предвид, че демографските предизвикателства, сред които застаряването на населението, ниската раждаемост и обезлюдяването на селските райони, </w:t>
            </w:r>
            <w:r>
              <w:rPr>
                <w:b/>
                <w:i/>
              </w:rPr>
              <w:t>особено придвижването на младите хора към градските райони,</w:t>
            </w:r>
            <w:r>
              <w:t xml:space="preserve"> оказват дълбоко въздействие върху </w:t>
            </w:r>
            <w:r>
              <w:rPr>
                <w:b/>
                <w:i/>
              </w:rPr>
              <w:t>икономическата жизнеспособност и привлекателност на териториите на ЕС</w:t>
            </w:r>
            <w:r>
              <w:t xml:space="preserve"> и поради това представляват структурно предизвикателство за икономиката на ЕС; като има предвид, че в доклада на Марио Драги се подчертава, че устойчивият растеж в Европа </w:t>
            </w:r>
            <w:r>
              <w:rPr>
                <w:b/>
                <w:i/>
              </w:rPr>
              <w:t>зависи от запазването на силна система за социална закрила, от достъпността на обществените услуги,</w:t>
            </w:r>
            <w:r>
              <w:t xml:space="preserve"> включването на активното население на пазара на труда и от стабилната социална система;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като има предвид, че демографските предизвикателства, сред които застаряването на населението, ниската раждаемост и обезлюдяването на селските райони, оказват дълбоко въздействие върху устойчивостта на социалните системи и поради това представляват структурно предизвикателство за икономиката на ЕС; като има предвид, че в доклада на Марио Драги се подчертава, че устойчивият растеж в Европа в голяма степен зависи от включването на активното население на пазара на труда и от стабилната социална система;</w:t>
            </w:r>
          </w:p>
        </w:tc>
        <w:tc>
          <w:tcPr>
            <w:tcW w:w="4876" w:type="dxa"/>
            <w:tcBorders>
              <w:top w:val="nil"/>
              <w:left w:val="nil"/>
              <w:bottom w:val="nil"/>
              <w:right w:val="nil"/>
            </w:tcBorders>
          </w:tcPr>
          <w:p>
            <w:pPr>
              <w:pStyle w:val="Normal6a"/>
            </w:pPr>
            <w:r>
              <w:t>Б.</w:t>
            </w:r>
            <w:r>
              <w:tab/>
            </w:r>
            <w:r>
              <w:t xml:space="preserve">като има предвид, че демографските предизвикателства, сред които застаряването на населението, ниската раждаемост и обезлюдяването на селските райони, оказват дълбоко въздействие върху устойчивостта на социалните системи и поради това представляват структурно предизвикателство за икономиката на ЕС; като има предвид, че в доклада на Марио Драги се подчертава, че устойчивият растеж в Европа в голяма степен зависи от включването на активното население на пазара на труда и от стабилната социална система; </w:t>
            </w:r>
            <w:r>
              <w:rPr>
                <w:b/>
                <w:i/>
              </w:rPr>
              <w:t>като има предвид, че някои сектори се нуждаят от по-бърза автоматизация и роботизация, за да се избегне драстичен спад в производителността поради липсата на служители;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Мари Доши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като има предвид, че демографските предизвикателства, сред които застаряването на населението, ниската раждаемост и обезлюдяването на селските райони, оказват дълбоко въздействие върху устойчивостта на социалните системи и поради това представляват структурно предизвикателство за икономиката на ЕС; като има предвид, че в доклада на Марио Драги се подчертава, че устойчивият растеж в Европа в голяма степен зависи от включването на активното население на пазара на труда и от стабилната социална система;</w:t>
            </w:r>
          </w:p>
        </w:tc>
        <w:tc>
          <w:tcPr>
            <w:tcW w:w="4876" w:type="dxa"/>
            <w:tcBorders>
              <w:top w:val="nil"/>
              <w:left w:val="nil"/>
              <w:bottom w:val="nil"/>
              <w:right w:val="nil"/>
            </w:tcBorders>
          </w:tcPr>
          <w:p>
            <w:pPr>
              <w:pStyle w:val="Normal6a"/>
            </w:pPr>
            <w:r>
              <w:t>Б.</w:t>
            </w:r>
            <w:r>
              <w:tab/>
            </w:r>
            <w:r>
              <w:t xml:space="preserve">като има предвид, че демографските предизвикателства, сред които застаряването на населението, ниската раждаемост и обезлюдяването на селските райони, оказват дълбоко въздействие върху устойчивостта на социалните системи и поради това представляват структурно предизвикателство за икономиката на ЕС; като има предвид, че в доклада на Марио Драги се подчертава, че устойчивият растеж в Европа в голяма степен зависи от включването на активното население </w:t>
            </w:r>
            <w:r>
              <w:rPr>
                <w:b/>
                <w:i/>
              </w:rPr>
              <w:t>първо на национално, а после и на европейско равнище</w:t>
            </w:r>
            <w:r>
              <w:t xml:space="preserve"> на пазара на труда и от стабилната социална система</w:t>
            </w:r>
            <w:r>
              <w:rPr>
                <w:b/>
                <w:i/>
              </w:rPr>
              <w:t>, която по никакъв начин не би замествала националните специфики</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Марлена Малонг, Джорджиана Теодореску, Елена Донацан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като има предвид, че демографските предизвикателства, сред които застаряването на населението, ниската раждаемост и обезлюдяването на селските райони, оказват дълбоко въздействие върху устойчивостта на социалните системи и поради това представляват структурно предизвикателство за икономиката на ЕС; като има предвид, че в доклада на Марио Драги се подчертава, че устойчивият растеж в Европа в голяма степен зависи от включването на активното население на пазара на труда и от стабилната социална система;</w:t>
            </w:r>
          </w:p>
        </w:tc>
        <w:tc>
          <w:tcPr>
            <w:tcW w:w="4876" w:type="dxa"/>
            <w:tcBorders>
              <w:top w:val="nil"/>
              <w:left w:val="nil"/>
              <w:bottom w:val="nil"/>
              <w:right w:val="nil"/>
            </w:tcBorders>
          </w:tcPr>
          <w:p>
            <w:pPr>
              <w:pStyle w:val="Normal6a"/>
            </w:pPr>
            <w:r>
              <w:t>Б.</w:t>
            </w:r>
            <w:r>
              <w:tab/>
            </w:r>
            <w:r>
              <w:t xml:space="preserve">като има предвид, че демографските предизвикателства, сред които застаряването на населението, ниската раждаемост и обезлюдяването на селските райони, оказват дълбоко въздействие върху устойчивостта на социалните системи и </w:t>
            </w:r>
            <w:r>
              <w:rPr>
                <w:b/>
                <w:i/>
              </w:rPr>
              <w:t>засилват допълнително регионалните различия в ЕС, и</w:t>
            </w:r>
            <w:r>
              <w:t xml:space="preserve"> поради това представляват структурно предизвикателство за икономиката на ЕС; като има предвид, че в доклада на Марио Драги се подчертава, че устойчивият растеж в Европа в голяма степен зависи от включването на активното население на пазара на труда и от стабилната социална система;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 xml:space="preserve">като има предвид, че демографските </w:t>
            </w:r>
            <w:r>
              <w:rPr>
                <w:b/>
                <w:i/>
              </w:rPr>
              <w:t>предизвикателства, сред които застаряването на населението, ниската раждаемост</w:t>
            </w:r>
            <w:r>
              <w:t xml:space="preserve"> и обезлюдяването на селските райони, оказват дълбоко въздействие върху устойчивостта на </w:t>
            </w:r>
            <w:r>
              <w:rPr>
                <w:b/>
                <w:i/>
              </w:rPr>
              <w:t>социалните системи</w:t>
            </w:r>
            <w:r>
              <w:t xml:space="preserve"> и поради това представляват структурно предизвикателство за </w:t>
            </w:r>
            <w:r>
              <w:rPr>
                <w:b/>
                <w:i/>
              </w:rPr>
              <w:t>икономиката на ЕС</w:t>
            </w:r>
            <w:r>
              <w:t xml:space="preserve">; като има предвид, че в доклада на Марио Драги се подчертава, че устойчивият растеж в Европа в голяма степен зависи от </w:t>
            </w:r>
            <w:r>
              <w:rPr>
                <w:b/>
                <w:i/>
              </w:rPr>
              <w:t>включването на активното население</w:t>
            </w:r>
            <w:r>
              <w:t xml:space="preserve"> на пазара на труда и от стабилната социална система;</w:t>
            </w:r>
          </w:p>
        </w:tc>
        <w:tc>
          <w:tcPr>
            <w:tcW w:w="4876" w:type="dxa"/>
            <w:tcBorders>
              <w:top w:val="nil"/>
              <w:left w:val="nil"/>
              <w:bottom w:val="nil"/>
              <w:right w:val="nil"/>
            </w:tcBorders>
          </w:tcPr>
          <w:p>
            <w:pPr>
              <w:pStyle w:val="Normal6a"/>
            </w:pPr>
            <w:r>
              <w:t>Б.</w:t>
            </w:r>
            <w:r>
              <w:tab/>
            </w:r>
            <w:r>
              <w:t xml:space="preserve">като има предвид, че демографските </w:t>
            </w:r>
            <w:r>
              <w:rPr>
                <w:b/>
                <w:i/>
              </w:rPr>
              <w:t>тенденции, увеличаването на продължителността на живота</w:t>
            </w:r>
            <w:r>
              <w:t xml:space="preserve"> и обезлюдяването на селските райони, оказват дълбоко въздействие върху устойчивостта на </w:t>
            </w:r>
            <w:r>
              <w:rPr>
                <w:b/>
                <w:i/>
              </w:rPr>
              <w:t>системите за социална закрила и за социални услуги</w:t>
            </w:r>
            <w:r>
              <w:t xml:space="preserve"> и поради това представляват структурно предизвикателство за </w:t>
            </w:r>
            <w:r>
              <w:rPr>
                <w:b/>
                <w:i/>
              </w:rPr>
              <w:t>ЕС от гледна точка на икономиката</w:t>
            </w:r>
            <w:r>
              <w:t xml:space="preserve">; като има предвид, че в доклада на Марио Драги се подчертава, че устойчивият растеж в Европа в голяма степен зависи от </w:t>
            </w:r>
            <w:r>
              <w:rPr>
                <w:b/>
                <w:i/>
              </w:rPr>
              <w:t>ефективното и справедливо включване</w:t>
            </w:r>
            <w:r>
              <w:t xml:space="preserve"> на пазара на труда</w:t>
            </w:r>
            <w:r>
              <w:rPr>
                <w:b/>
                <w:i/>
              </w:rPr>
              <w:t>, както</w:t>
            </w:r>
            <w:r>
              <w:t xml:space="preserve"> и от стабилната социална система;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Идоя Мендия Куева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Б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Ба.</w:t>
            </w:r>
            <w:r>
              <w:tab/>
            </w:r>
            <w:r>
              <w:rPr>
                <w:b/>
                <w:i/>
              </w:rPr>
              <w:t>като има предвид, че в доклада на Марио Драги се подчертава, че работниците мигранти са важен фактор за намаляване на недостига на работна ръка и е по-вероятно да работят в професии с постоянен недостиг, отколкото работниците, родени в ЕС;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Идоя Мендия Куева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Б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Бб.</w:t>
            </w:r>
            <w:r>
              <w:tab/>
            </w:r>
            <w:r>
              <w:rPr>
                <w:b/>
                <w:i/>
              </w:rPr>
              <w:t>като има предвид, че 70% от работниците в Европа имат качествени работни места, 30% са на напрегнати работни места, където търсенето е по-голямо от наличните ресурси за неговото удовлетворяване, което като цяло води до лошо качество на работните места.</w:t>
            </w:r>
            <w:r>
              <w:t xml:space="preserve"> </w:t>
            </w:r>
            <w:r>
              <w:rPr>
                <w:b/>
                <w:i/>
              </w:rPr>
              <w:t>В много професии, страдащи от постоянен недостиг на работна ръка, делът на нискокачествените работни места е по-висок от 30%;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 xml:space="preserve">като има предвид, че в доклада на Енрико Лета се изразява съжаление относно намаляването на раждаемостта, като се отбелязва колко е важно да се създаде рамка за подкрепа на всички семейства, която да е част от стратегия за приобщаващ растеж, и се подчертава необходимостта от насърчаване на политиките, благоприятстващи </w:t>
            </w:r>
            <w:r>
              <w:rPr>
                <w:b/>
                <w:i/>
              </w:rPr>
              <w:t>семейството и</w:t>
            </w:r>
            <w:r>
              <w:t xml:space="preserve"> съчетаването на професионалния и личния живот;</w:t>
            </w:r>
          </w:p>
        </w:tc>
        <w:tc>
          <w:tcPr>
            <w:tcW w:w="4876" w:type="dxa"/>
            <w:tcBorders>
              <w:top w:val="nil"/>
              <w:left w:val="nil"/>
              <w:bottom w:val="nil"/>
              <w:right w:val="nil"/>
            </w:tcBorders>
          </w:tcPr>
          <w:p>
            <w:pPr>
              <w:pStyle w:val="Normal6a"/>
            </w:pPr>
            <w:r>
              <w:t>В.</w:t>
            </w:r>
            <w:r>
              <w:tab/>
            </w:r>
            <w:r>
              <w:t xml:space="preserve">като има предвид, че в доклада на Енрико Лета се изразява съжаление относно намаляването на раждаемостта, като се отбелязва колко е важно да се създаде рамка за </w:t>
            </w:r>
            <w:r>
              <w:rPr>
                <w:b/>
                <w:i/>
              </w:rPr>
              <w:t>подобряване на равенството между половете и за</w:t>
            </w:r>
            <w:r>
              <w:t xml:space="preserve"> подкрепа на всички </w:t>
            </w:r>
            <w:r>
              <w:rPr>
                <w:b/>
                <w:i/>
              </w:rPr>
              <w:t>видове</w:t>
            </w:r>
            <w:r>
              <w:t xml:space="preserve"> семейства </w:t>
            </w:r>
            <w:r>
              <w:rPr>
                <w:b/>
                <w:i/>
              </w:rPr>
              <w:t>и физически лица, включително самотните родители</w:t>
            </w:r>
            <w:r>
              <w:t xml:space="preserve">, която да е част от стратегия за приобщаващ растеж, и се подчертава необходимостта от насърчаване на политиките, благоприятстващи съчетаването на професионалния и личния живот </w:t>
            </w:r>
            <w:r>
              <w:rPr>
                <w:b/>
                <w:i/>
              </w:rPr>
              <w:t>като се гарантират достъпни и професионални системи за полагане на грижи, както и качествено обществено образование, отпуск по семейни причини и гъвкави схеми на работа в съответствие с Европейската стратегия за грижите;</w:t>
            </w:r>
            <w:r>
              <w:t xml:space="preserve"> </w:t>
            </w:r>
            <w:r>
              <w:rPr>
                <w:b/>
                <w:i/>
              </w:rPr>
              <w:t>като има предвид, че Евростат подчертава увеличаването на населението на ЕС поради миграцията и необходимостта от отделяне на повече усилия за тяхната интеграция</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 xml:space="preserve">като има предвид, че в доклада на Енрико Лета се </w:t>
            </w:r>
            <w:r>
              <w:rPr>
                <w:b/>
                <w:i/>
              </w:rPr>
              <w:t>изразява съжаление относно намаляването на раждаемостта, като се отбелязва колко е важно</w:t>
            </w:r>
            <w:r>
              <w:t xml:space="preserve"> да се </w:t>
            </w:r>
            <w:r>
              <w:rPr>
                <w:b/>
                <w:i/>
              </w:rPr>
              <w:t>създаде рамка за подкрепа на всички семейства, която да е част от стратегия</w:t>
            </w:r>
            <w:r>
              <w:t xml:space="preserve"> за приобщаващ растеж</w:t>
            </w:r>
            <w:r>
              <w:rPr>
                <w:b/>
                <w:i/>
              </w:rPr>
              <w:t>, и се подчертава необходимостта от насърчаване на политиките, благоприятстващи семейството и съчетаването на професионалния и личния живот</w:t>
            </w:r>
            <w:r>
              <w:t>;</w:t>
            </w:r>
          </w:p>
        </w:tc>
        <w:tc>
          <w:tcPr>
            <w:tcW w:w="4876" w:type="dxa"/>
            <w:tcBorders>
              <w:top w:val="nil"/>
              <w:left w:val="nil"/>
              <w:bottom w:val="nil"/>
              <w:right w:val="nil"/>
            </w:tcBorders>
          </w:tcPr>
          <w:p>
            <w:pPr>
              <w:pStyle w:val="Normal6a"/>
            </w:pPr>
            <w:r>
              <w:t>В.</w:t>
            </w:r>
            <w:r>
              <w:tab/>
            </w:r>
            <w:r>
              <w:t xml:space="preserve">като има предвид, че в доклада на Енрико Лета се </w:t>
            </w:r>
            <w:r>
              <w:rPr>
                <w:b/>
                <w:i/>
              </w:rPr>
              <w:t>подчертава необходимостта от силно социално измерение на единния пазар на ЕС, за да се предотвратят големи икономически и социални дисбаланси, да се насърчава просперитетът,</w:t>
            </w:r>
            <w:r>
              <w:t xml:space="preserve"> да се </w:t>
            </w:r>
            <w:r>
              <w:rPr>
                <w:b/>
                <w:i/>
              </w:rPr>
              <w:t>гарантират справедливи възможности, права на работниците и социална закрила за всички, като същевременно се допринася</w:t>
            </w:r>
            <w:r>
              <w:t xml:space="preserve"> за приобщаващ растеж </w:t>
            </w:r>
            <w:r>
              <w:rPr>
                <w:b/>
                <w:i/>
              </w:rPr>
              <w:t>и конкурентоспособност в съответствие със Стълба на социалните права;</w:t>
            </w:r>
            <w:r>
              <w:t xml:space="preserve"> </w:t>
            </w:r>
            <w:r>
              <w:rPr>
                <w:b/>
                <w:i/>
              </w:rPr>
              <w:t>като има предвид, че в доклада се отбелязва, че свободното движение на хора остава най-слабо развитото от четирите свободи, и се настоява за намаляване на пречките пред професионалната мобилност в рамките на ЕС</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 xml:space="preserve">като има предвид, че в доклада на Енрико Лета се </w:t>
            </w:r>
            <w:r>
              <w:rPr>
                <w:b/>
                <w:i/>
              </w:rPr>
              <w:t>изразява съжаление относно</w:t>
            </w:r>
            <w:r>
              <w:t xml:space="preserve"> намаляването на раждаемостта, </w:t>
            </w:r>
            <w:r>
              <w:rPr>
                <w:b/>
                <w:i/>
              </w:rPr>
              <w:t>като се отбелязва</w:t>
            </w:r>
            <w:r>
              <w:t xml:space="preserve"> колко е важно да се създаде рамка за подкрепа на всички </w:t>
            </w:r>
            <w:r>
              <w:rPr>
                <w:b/>
                <w:i/>
              </w:rPr>
              <w:t>семейства</w:t>
            </w:r>
            <w:r>
              <w:t xml:space="preserve">, която да е част от стратегия за приобщаващ растеж, и се подчертава необходимостта от насърчаване на политиките, благоприятстващи </w:t>
            </w:r>
            <w:r>
              <w:rPr>
                <w:b/>
                <w:i/>
              </w:rPr>
              <w:t>семейството и</w:t>
            </w:r>
            <w:r>
              <w:t xml:space="preserve"> съчетаването на професионалния и личния живот;</w:t>
            </w:r>
          </w:p>
        </w:tc>
        <w:tc>
          <w:tcPr>
            <w:tcW w:w="4876" w:type="dxa"/>
            <w:tcBorders>
              <w:top w:val="nil"/>
              <w:left w:val="nil"/>
              <w:bottom w:val="nil"/>
              <w:right w:val="nil"/>
            </w:tcBorders>
          </w:tcPr>
          <w:p>
            <w:pPr>
              <w:pStyle w:val="Normal6a"/>
            </w:pPr>
            <w:r>
              <w:t>В.</w:t>
            </w:r>
            <w:r>
              <w:tab/>
            </w:r>
            <w:r>
              <w:t xml:space="preserve">като има предвид, че в доклада на Енрико Лета се </w:t>
            </w:r>
            <w:r>
              <w:rPr>
                <w:b/>
                <w:i/>
              </w:rPr>
              <w:t>отбелязва</w:t>
            </w:r>
            <w:r>
              <w:t xml:space="preserve"> намаляването на раждаемостта, </w:t>
            </w:r>
            <w:r>
              <w:rPr>
                <w:b/>
                <w:i/>
              </w:rPr>
              <w:t>подчертава се</w:t>
            </w:r>
            <w:r>
              <w:t xml:space="preserve"> колко е важно да се създаде рамка за подкрепа на всички </w:t>
            </w:r>
            <w:r>
              <w:rPr>
                <w:b/>
                <w:i/>
              </w:rPr>
              <w:t>в нашите общества по време на тази безпрецедентна криза, свързана с издръжката на живота</w:t>
            </w:r>
            <w:r>
              <w:t xml:space="preserve">, която </w:t>
            </w:r>
            <w:r>
              <w:rPr>
                <w:b/>
                <w:i/>
              </w:rPr>
              <w:t>рамка</w:t>
            </w:r>
            <w:r>
              <w:t xml:space="preserve"> да е част от стратегия за приобщаващ растеж, и се подчертава необходимостта от насърчаване на политиките, благоприятстващи съчетаването на професионалния и личния живот </w:t>
            </w:r>
            <w:r>
              <w:rPr>
                <w:b/>
                <w:i/>
              </w:rPr>
              <w:t>за всички хора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Бранислав Ондруш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като има предвид, че в доклада на Енрико Лета се изразява съжаление относно намаляването на раждаемостта, като се отбелязва колко е важно да се създаде рамка за подкрепа на всички семейства, която да е част от стратегия за приобщаващ растеж, и се подчертава необходимостта от насърчаване на политиките, благоприятстващи семейството и съчетаването на професионалния и личния живот;</w:t>
            </w:r>
          </w:p>
        </w:tc>
        <w:tc>
          <w:tcPr>
            <w:tcW w:w="4876" w:type="dxa"/>
            <w:tcBorders>
              <w:top w:val="nil"/>
              <w:left w:val="nil"/>
              <w:bottom w:val="nil"/>
              <w:right w:val="nil"/>
            </w:tcBorders>
          </w:tcPr>
          <w:p>
            <w:pPr>
              <w:pStyle w:val="Normal6a"/>
            </w:pPr>
            <w:r>
              <w:t>В.</w:t>
            </w:r>
            <w:r>
              <w:tab/>
            </w:r>
            <w:r>
              <w:t xml:space="preserve">като има предвид, че в доклада на Енрико Лета се изразява съжаление относно намаляването на раждаемостта, като се отбелязва колко е важно да се създаде </w:t>
            </w:r>
            <w:r>
              <w:rPr>
                <w:b/>
                <w:i/>
              </w:rPr>
              <w:t>всеобхватна</w:t>
            </w:r>
            <w:r>
              <w:t xml:space="preserve"> рамка за подкрепа на всички семейства, която да е част от стратегия за приобщаващ растеж, и се подчертава необходимостта от насърчаване на политиките, благоприятстващи семейството и съчетаването на професионалния и личния живот;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Мари Доши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 xml:space="preserve">като има предвид, че в доклада на Енрико Лета се изразява съжаление относно намаляването на раждаемостта, като се отбелязва колко е важно да се създаде рамка за подкрепа на всички семейства, която да е част от стратегия за приобщаващ растеж, и се подчертава необходимостта от насърчаване на политиките, благоприятстващи семейството </w:t>
            </w:r>
            <w:r>
              <w:rPr>
                <w:b/>
                <w:i/>
              </w:rPr>
              <w:t>и съчетаването на професионалния и личния живот</w:t>
            </w:r>
            <w:r>
              <w:t>;</w:t>
            </w:r>
          </w:p>
        </w:tc>
        <w:tc>
          <w:tcPr>
            <w:tcW w:w="4876" w:type="dxa"/>
            <w:tcBorders>
              <w:top w:val="nil"/>
              <w:left w:val="nil"/>
              <w:bottom w:val="nil"/>
              <w:right w:val="nil"/>
            </w:tcBorders>
          </w:tcPr>
          <w:p>
            <w:pPr>
              <w:pStyle w:val="Normal6a"/>
            </w:pPr>
            <w:r>
              <w:t>В.</w:t>
            </w:r>
            <w:r>
              <w:tab/>
            </w:r>
            <w:r>
              <w:t xml:space="preserve">като има предвид, че в доклада на Енрико Лета се изразява съжаление относно намаляването на раждаемостта, като се отбелязва колко е важно да се създаде рамка за подкрепа на всички семейства </w:t>
            </w:r>
            <w:r>
              <w:rPr>
                <w:b/>
                <w:i/>
              </w:rPr>
              <w:t>на европейски граждани</w:t>
            </w:r>
            <w:r>
              <w:t>, която да е част от стратегия за приобщаващ растеж, и се подчертава необходимостта от насърчаване на политиките, благоприятстващи семейството;</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Нилс Гойкинг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В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Вa.</w:t>
            </w:r>
            <w:r>
              <w:tab/>
            </w:r>
            <w:r>
              <w:rPr>
                <w:b/>
                <w:i/>
              </w:rPr>
              <w:t>като има предвид, че насърчаването на силен, устойчив и приобщаващ икономически растеж със създаването на работни места, в съответствие с препоръките на европейския семестър, може да бъде успешно само ако децата могат да се развиват самостоятелно и да реализират пълния си (образователен) потенциал, за да бъдат подготвени за бъдещия пазар на умения, като същевременно се насърчават равните възможности и социалното сближаване и успоредно се намаляват здравните и социалните неравенства и се укрепват социалното приобщаване и благосъстоянието на децата;</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Нилс Гойкинг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В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Вб.</w:t>
            </w:r>
            <w:r>
              <w:tab/>
            </w:r>
            <w:r>
              <w:rPr>
                <w:b/>
                <w:i/>
              </w:rPr>
              <w:t>като има предвид, че за тази цел децата трябва да имат ефективен достъп до основни услуги за полагане на грижи, като образование и грижи в ранна детска възраст, образователни и училищни дейности, и по-специално основни здравни грижи, чрез ефективен достъп до здравословно хранене, включително поне едно здравословно хранене за всеки учебен ден, за да се изгради тяхната устойчивост;</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Нилс Гойкинг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В в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Вв.</w:t>
            </w:r>
            <w:r>
              <w:tab/>
            </w:r>
            <w:r>
              <w:rPr>
                <w:b/>
                <w:i/>
              </w:rPr>
              <w:t>като има предвид, че е необходимо целенасочено да се укрепят семействата, за да се гарантира по-добро развитие на бъдещите поколения;</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Нилс Гойкинг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В г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Вг.</w:t>
            </w:r>
            <w:r>
              <w:tab/>
            </w:r>
            <w:r>
              <w:rPr>
                <w:b/>
                <w:i/>
              </w:rPr>
              <w:t>като има предвид, че е необходим значителен напредък, за да се преодолее бедността сред децата и техните семейства и за да се допринесе за постигането на целта до 2030 г. във всички държави членки броят на хората, страдащи от бедност, да намалее най-малко с 15 милиона души, от които най-малко 5 милиона да са деца;</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Г.</w:t>
            </w:r>
            <w:r>
              <w:tab/>
            </w:r>
            <w:r>
              <w:t xml:space="preserve">като има предвид, че </w:t>
            </w:r>
            <w:r>
              <w:rPr>
                <w:b/>
                <w:i/>
              </w:rPr>
              <w:t>инфлацията</w:t>
            </w:r>
            <w:r>
              <w:t xml:space="preserve"> увеличи тежестта върху домакинствата, </w:t>
            </w:r>
            <w:r>
              <w:rPr>
                <w:b/>
                <w:i/>
              </w:rPr>
              <w:t>а</w:t>
            </w:r>
            <w:r>
              <w:t xml:space="preserve"> жилищните разходи </w:t>
            </w:r>
            <w:r>
              <w:rPr>
                <w:b/>
                <w:i/>
              </w:rPr>
              <w:t>и</w:t>
            </w:r>
            <w:r>
              <w:t xml:space="preserve"> енергийната бедност продължават да бъдат основни </w:t>
            </w:r>
            <w:r>
              <w:rPr>
                <w:b/>
                <w:i/>
              </w:rPr>
              <w:t>проблеми</w:t>
            </w:r>
            <w:r>
              <w:t>;</w:t>
            </w:r>
          </w:p>
        </w:tc>
        <w:tc>
          <w:tcPr>
            <w:tcW w:w="4876" w:type="dxa"/>
            <w:tcBorders>
              <w:top w:val="nil"/>
              <w:left w:val="nil"/>
              <w:bottom w:val="nil"/>
              <w:right w:val="nil"/>
            </w:tcBorders>
          </w:tcPr>
          <w:p>
            <w:pPr>
              <w:pStyle w:val="Normal6a"/>
            </w:pPr>
            <w:r>
              <w:t>Г.</w:t>
            </w:r>
            <w:r>
              <w:tab/>
            </w:r>
            <w:r>
              <w:t xml:space="preserve">като има предвид, че </w:t>
            </w:r>
            <w:r>
              <w:rPr>
                <w:b/>
                <w:i/>
              </w:rPr>
              <w:t>високата инфлация</w:t>
            </w:r>
            <w:r>
              <w:t xml:space="preserve"> увеличи </w:t>
            </w:r>
            <w:r>
              <w:rPr>
                <w:b/>
                <w:i/>
              </w:rPr>
              <w:t>издръжката на живота и</w:t>
            </w:r>
            <w:r>
              <w:t xml:space="preserve"> тежестта върху домакинствата, жилищните разходи</w:t>
            </w:r>
            <w:r>
              <w:rPr>
                <w:b/>
                <w:i/>
              </w:rPr>
              <w:t>,</w:t>
            </w:r>
            <w:r>
              <w:t xml:space="preserve"> енергийната бедност </w:t>
            </w:r>
            <w:r>
              <w:rPr>
                <w:b/>
                <w:i/>
              </w:rPr>
              <w:t>и социалното изключване, които</w:t>
            </w:r>
            <w:r>
              <w:t xml:space="preserve"> продължават да бъдат основни </w:t>
            </w:r>
            <w:r>
              <w:rPr>
                <w:b/>
                <w:i/>
              </w:rPr>
              <w:t>предизвикателства в ЕС, като засягат по-специално жените, младите хора, децата, хората с увреждания, ЛГБТИ лицата, хората с мигрантски произход и ромите, със значителни различия както между, така и в рамките на държавите членки и групите от населението;</w:t>
            </w:r>
            <w:r>
              <w:t xml:space="preserve"> </w:t>
            </w:r>
            <w:r>
              <w:rPr>
                <w:b/>
                <w:i/>
              </w:rPr>
              <w:t>като има предвид, че жилищата стават недостъпни за много европейци, живеещи в домакинства, в които жилищните разходи представляват 40% от общия им разполагаем доход;</w:t>
            </w:r>
            <w:r>
              <w:t xml:space="preserve"> </w:t>
            </w:r>
            <w:r>
              <w:rPr>
                <w:b/>
                <w:i/>
              </w:rPr>
              <w:t>като има предвид, че достойните, качествени и финансово достъпни жилища, включително чрез социални жилища, са основно условие за гарантиране на равни възможности и борба с бедността и/или социалното изключване</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Г.</w:t>
            </w:r>
            <w:r>
              <w:tab/>
            </w:r>
            <w:r>
              <w:t>като има предвид, че инфлацията увеличи тежестта върху домакинствата</w:t>
            </w:r>
            <w:r>
              <w:rPr>
                <w:b/>
                <w:i/>
              </w:rPr>
              <w:t>, а жилищните разходи</w:t>
            </w:r>
            <w:r>
              <w:t xml:space="preserve"> и енергийната бедност продължават да бъдат основни проблеми;</w:t>
            </w:r>
          </w:p>
        </w:tc>
        <w:tc>
          <w:tcPr>
            <w:tcW w:w="4876" w:type="dxa"/>
            <w:tcBorders>
              <w:top w:val="nil"/>
              <w:left w:val="nil"/>
              <w:bottom w:val="nil"/>
              <w:right w:val="nil"/>
            </w:tcBorders>
          </w:tcPr>
          <w:p>
            <w:pPr>
              <w:pStyle w:val="Normal6a"/>
            </w:pPr>
            <w:r>
              <w:t>Г.</w:t>
            </w:r>
            <w:r>
              <w:tab/>
            </w:r>
            <w:r>
              <w:t xml:space="preserve">като има предвид, че инфлацията увеличи тежестта върху домакинствата </w:t>
            </w:r>
            <w:r>
              <w:rPr>
                <w:b/>
                <w:i/>
              </w:rPr>
              <w:t>и МСП, като изостри рисковете от бедност и социално изключване;</w:t>
            </w:r>
            <w:r>
              <w:t xml:space="preserve"> </w:t>
            </w:r>
            <w:r>
              <w:rPr>
                <w:b/>
                <w:i/>
              </w:rPr>
              <w:t>като има предвид, че издръжката на живота, наличието и финансовата достъпността на жилищата, както</w:t>
            </w:r>
            <w:r>
              <w:t xml:space="preserve"> и енергийната </w:t>
            </w:r>
            <w:r>
              <w:rPr>
                <w:b/>
                <w:i/>
              </w:rPr>
              <w:t>и транспортната</w:t>
            </w:r>
            <w:r>
              <w:t xml:space="preserve"> бедност продължават да бъдат основни проблеми; </w:t>
            </w:r>
            <w:r>
              <w:rPr>
                <w:b/>
                <w:i/>
              </w:rPr>
              <w:t>като има предвид, че инвестициите в социални услуги и увеличаването на предлагането на жилища, включително социални жилища, както и жилищните помощи, играят ключова роля за намаляване на бедността на уязвимите домакинства и за подобряване на финансовата достъпност;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Г.</w:t>
            </w:r>
            <w:r>
              <w:tab/>
            </w:r>
            <w:r>
              <w:t xml:space="preserve">като има предвид, че инфлацията увеличи тежестта върху домакинствата, а жилищните разходи и енергийната бедност </w:t>
            </w:r>
            <w:r>
              <w:rPr>
                <w:b/>
                <w:i/>
              </w:rPr>
              <w:t>продължават да бъдат основни проблеми</w:t>
            </w:r>
            <w:r>
              <w:t>;</w:t>
            </w:r>
          </w:p>
        </w:tc>
        <w:tc>
          <w:tcPr>
            <w:tcW w:w="4876" w:type="dxa"/>
            <w:tcBorders>
              <w:top w:val="nil"/>
              <w:left w:val="nil"/>
              <w:bottom w:val="nil"/>
              <w:right w:val="nil"/>
            </w:tcBorders>
          </w:tcPr>
          <w:p>
            <w:pPr>
              <w:pStyle w:val="Normal6a"/>
            </w:pPr>
            <w:r>
              <w:t>Г.</w:t>
            </w:r>
            <w:r>
              <w:tab/>
            </w:r>
            <w:r>
              <w:t xml:space="preserve">като има предвид, че инфлацията увеличи тежестта върху домакинствата, а </w:t>
            </w:r>
            <w:r>
              <w:rPr>
                <w:b/>
                <w:i/>
              </w:rPr>
              <w:t>през 2023 г. </w:t>
            </w:r>
            <w:r>
              <w:t>жилищните разходи и енергийната бедност </w:t>
            </w:r>
            <w:r>
              <w:rPr>
                <w:b/>
                <w:i/>
              </w:rPr>
              <w:t>в ЕС се увеличиха за втора поредна година, отразявайки по този начин въздействието на високите разходи за енергия, което изисква активни мерки от страна на държавите членки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Мириам Лексман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Г.</w:t>
            </w:r>
            <w:r>
              <w:tab/>
            </w:r>
            <w:r>
              <w:t>като има предвид, че инфлацията увеличи тежестта върху домакинствата, а жилищните разходи и енергийната бедност продължават да бъдат основни проблеми;</w:t>
            </w:r>
          </w:p>
        </w:tc>
        <w:tc>
          <w:tcPr>
            <w:tcW w:w="4876" w:type="dxa"/>
            <w:tcBorders>
              <w:top w:val="nil"/>
              <w:left w:val="nil"/>
              <w:bottom w:val="nil"/>
              <w:right w:val="nil"/>
            </w:tcBorders>
          </w:tcPr>
          <w:p>
            <w:pPr>
              <w:pStyle w:val="Normal6a"/>
            </w:pPr>
            <w:r>
              <w:t>Г.</w:t>
            </w:r>
            <w:r>
              <w:tab/>
            </w:r>
            <w:r>
              <w:t xml:space="preserve">като има предвид, че инфлацията увеличи тежестта върху домакинствата, </w:t>
            </w:r>
            <w:r>
              <w:rPr>
                <w:b/>
                <w:i/>
              </w:rPr>
              <w:t>като оказва особено отрицателно въздействие върху самотните родители, многодетните семейства, възрастните хора или хората с увреждания,</w:t>
            </w:r>
            <w:r>
              <w:t xml:space="preserve"> а жилищните разходи и енергийната бедност продължават да бъдат основни проблеми;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Г.</w:t>
            </w:r>
            <w:r>
              <w:tab/>
            </w:r>
            <w:r>
              <w:t xml:space="preserve">като има предвид, че инфлацията </w:t>
            </w:r>
            <w:r>
              <w:rPr>
                <w:b/>
                <w:i/>
              </w:rPr>
              <w:t>увеличи тежестта</w:t>
            </w:r>
            <w:r>
              <w:t xml:space="preserve"> върху домакинствата, а жилищните разходи и енергийната бедност продължават да бъдат основни проблеми;</w:t>
            </w:r>
          </w:p>
        </w:tc>
        <w:tc>
          <w:tcPr>
            <w:tcW w:w="4876" w:type="dxa"/>
            <w:tcBorders>
              <w:top w:val="nil"/>
              <w:left w:val="nil"/>
              <w:bottom w:val="nil"/>
              <w:right w:val="nil"/>
            </w:tcBorders>
          </w:tcPr>
          <w:p>
            <w:pPr>
              <w:pStyle w:val="Normal6a"/>
            </w:pPr>
            <w:r>
              <w:t>Г.</w:t>
            </w:r>
            <w:r>
              <w:tab/>
            </w:r>
            <w:r>
              <w:t xml:space="preserve">като има предвид, че инфлацията </w:t>
            </w:r>
            <w:r>
              <w:rPr>
                <w:b/>
                <w:i/>
              </w:rPr>
              <w:t>и липсата на политики за преразпределение увеличиха икономическата тежест</w:t>
            </w:r>
            <w:r>
              <w:t xml:space="preserve"> върху домакинствата, </w:t>
            </w:r>
            <w:r>
              <w:rPr>
                <w:b/>
                <w:i/>
              </w:rPr>
              <w:t>особено за най-уязвимите от тях;</w:t>
            </w:r>
            <w:r>
              <w:t xml:space="preserve"> а жилищните разходи и енергийната бедност продължават да бъдат основни проблеми </w:t>
            </w:r>
            <w:r>
              <w:rPr>
                <w:b/>
                <w:i/>
              </w:rPr>
              <w:t>в целия ЕС</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Мари Доши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Г.</w:t>
            </w:r>
            <w:r>
              <w:tab/>
            </w:r>
            <w:r>
              <w:t>като има предвид, че инфлацията увеличи тежестта върху домакинствата, а жилищните разходи и енергийната бедност продължават да бъдат основни проблеми;</w:t>
            </w:r>
          </w:p>
        </w:tc>
        <w:tc>
          <w:tcPr>
            <w:tcW w:w="4876" w:type="dxa"/>
            <w:tcBorders>
              <w:top w:val="nil"/>
              <w:left w:val="nil"/>
              <w:bottom w:val="nil"/>
              <w:right w:val="nil"/>
            </w:tcBorders>
          </w:tcPr>
          <w:p>
            <w:pPr>
              <w:pStyle w:val="Normal6a"/>
            </w:pPr>
            <w:r>
              <w:t>Г.</w:t>
            </w:r>
            <w:r>
              <w:tab/>
            </w:r>
            <w:r>
              <w:t>като има предвид, че инфлацията увеличи тежестта върху домакинствата, а жилищните разходи и енергийната бедност продължават да бъдат основни проблеми</w:t>
            </w:r>
            <w:r>
              <w:rPr>
                <w:b/>
                <w:i/>
              </w:rPr>
              <w:t>, когато са свързани с прекомерни стандарти по отношение на жилищното настаняване и енергията</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Г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Га.</w:t>
            </w:r>
            <w:r>
              <w:tab/>
            </w:r>
            <w:r>
              <w:rPr>
                <w:b/>
                <w:i/>
              </w:rPr>
              <w:t>като има предвид, че средносрочните фискални структурни планове представят фискални траектории, които потвърждават възникващия компромис между увеличаването на инвестициите и адекватните равнища на социалните разходи;</w:t>
            </w:r>
            <w:r>
              <w:t xml:space="preserve"> </w:t>
            </w:r>
            <w:r>
              <w:rPr>
                <w:b/>
                <w:i/>
              </w:rPr>
              <w:t>те също така показват слаба съгласуваност между реформите и инвестициите и публичните инвестиции и целите на публичните финанси;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Г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Га.</w:t>
            </w:r>
            <w:r>
              <w:tab/>
            </w:r>
            <w:r>
              <w:rPr>
                <w:b/>
                <w:i/>
              </w:rPr>
              <w:t>като има предвид, че въпреки минималното намаляване на броя на хората, изложени на риск от бедност или социално изключване в ЕС през 2023 г., приблизително 1 на всеки 5 души все още е изправен пред това предизвикателство, като се наблюдават значителни различия за децата, младите и възрастните хора, хората с увреждания, ЛГБТИ лицата, родените извън ЕС лица и ромските общности;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Г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Гб.</w:t>
            </w:r>
            <w:r>
              <w:tab/>
            </w:r>
            <w:r>
              <w:rPr>
                <w:b/>
                <w:i/>
              </w:rPr>
              <w:t>като има предвид, че европейските микро-, малки и средни предприятия са изправени пред особени предизвикателства, като запазване на конкурентоспособността спрямо участници от трети държави, поддържане на равнищата на производство при все по-високи разходи за енергия и намиране на необходимите умения за екологичния и цифровия преход;</w:t>
            </w:r>
            <w:r>
              <w:t xml:space="preserve"> </w:t>
            </w:r>
            <w:r>
              <w:rPr>
                <w:b/>
                <w:i/>
              </w:rPr>
              <w:t>като има предвид, че те се нуждаят от финансова и техническа подкрепа, за да спазят регулаторните изисквания, произтичащи от възможностите, предлагани от двойния преход;</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t xml:space="preserve">като има предвид, че </w:t>
            </w:r>
            <w:r>
              <w:rPr>
                <w:b/>
                <w:i/>
              </w:rPr>
              <w:t>недостигът на работна ръка и умения продължава да бъде</w:t>
            </w:r>
            <w:r>
              <w:t xml:space="preserve"> проблем на всички равнища, изострен от липсата на кандидати за критични позиции в ключови сектори като </w:t>
            </w:r>
            <w:r>
              <w:rPr>
                <w:b/>
                <w:i/>
              </w:rPr>
              <w:t>образованието, здравеопазването и строителството</w:t>
            </w:r>
            <w:r>
              <w:t>, особено в райони, засегнати от обезлюдяване;</w:t>
            </w:r>
          </w:p>
        </w:tc>
        <w:tc>
          <w:tcPr>
            <w:tcW w:w="4876" w:type="dxa"/>
            <w:tcBorders>
              <w:top w:val="nil"/>
              <w:left w:val="nil"/>
              <w:bottom w:val="nil"/>
              <w:right w:val="nil"/>
            </w:tcBorders>
          </w:tcPr>
          <w:p>
            <w:pPr>
              <w:pStyle w:val="Normal6a"/>
            </w:pPr>
            <w:r>
              <w:t>Д.</w:t>
            </w:r>
            <w:r>
              <w:tab/>
            </w:r>
            <w:r>
              <w:t xml:space="preserve">като има предвид, че </w:t>
            </w:r>
            <w:r>
              <w:rPr>
                <w:b/>
                <w:i/>
              </w:rPr>
              <w:t>липсата на привлекателност и инвестиции в качествени обществени услуги, лошите условия на труд и ниските заплати продължават да бъдат</w:t>
            </w:r>
            <w:r>
              <w:t xml:space="preserve"> проблем на всички равнища, изострен от липсата на кандидати за критични позиции в </w:t>
            </w:r>
            <w:r>
              <w:rPr>
                <w:b/>
                <w:i/>
              </w:rPr>
              <w:t>някои</w:t>
            </w:r>
            <w:r>
              <w:t xml:space="preserve"> ключови сектори като </w:t>
            </w:r>
            <w:r>
              <w:rPr>
                <w:b/>
                <w:i/>
              </w:rPr>
              <w:t>науките и технологиите</w:t>
            </w:r>
            <w:r>
              <w:t xml:space="preserve">, особено в райони, засегнати от обезлюдяване; </w:t>
            </w:r>
            <w:r>
              <w:rPr>
                <w:b/>
                <w:i/>
              </w:rPr>
              <w:t>като има предвид, че способността на ЕС да се справя с бъдещи сътресения, кризи и многостранни кризи, докато осъществява демографския, цифровия и екологичния преход, до голяма степен ще зависи от условията, при които работниците от критично значение ще бъдат в състояние да извършват своята работа;</w:t>
            </w:r>
            <w:r>
              <w:t xml:space="preserve"> </w:t>
            </w:r>
            <w:r>
              <w:rPr>
                <w:b/>
                <w:i/>
              </w:rPr>
              <w:t>като има предвид, че справянето с недостига и задържането на всички видове таланти изискват достойни условия на труд, достъп до системи за социална закрила и възможности за развитие на умения, съобразени с нуждите;</w:t>
            </w:r>
            <w:r>
              <w:t xml:space="preserve"> </w:t>
            </w:r>
            <w:r>
              <w:rPr>
                <w:b/>
                <w:i/>
              </w:rPr>
              <w:t>и като има предвид, че справянето с недостига на умения е от решаващо значение за осъществяването на цифровия и екологичния преход, за постигането на приобщаващ и устойчив растеж и за повишаването на конкурентоспособността на ЕС;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t xml:space="preserve">като има предвид, че </w:t>
            </w:r>
            <w:r>
              <w:rPr>
                <w:b/>
                <w:i/>
              </w:rPr>
              <w:t>недостигът на работна ръка и умения продължава да бъде проблем на всички равнища, изострен</w:t>
            </w:r>
            <w:r>
              <w:t xml:space="preserve"> от липсата на кандидати за критични позиции в ключови сектори като </w:t>
            </w:r>
            <w:r>
              <w:rPr>
                <w:b/>
                <w:i/>
              </w:rPr>
              <w:t>образованието, здравеопазването и строителството</w:t>
            </w:r>
            <w:r>
              <w:t>, особено в райони, засегнати от обезлюдяване;</w:t>
            </w:r>
          </w:p>
        </w:tc>
        <w:tc>
          <w:tcPr>
            <w:tcW w:w="4876" w:type="dxa"/>
            <w:tcBorders>
              <w:top w:val="nil"/>
              <w:left w:val="nil"/>
              <w:bottom w:val="nil"/>
              <w:right w:val="nil"/>
            </w:tcBorders>
          </w:tcPr>
          <w:p>
            <w:pPr>
              <w:pStyle w:val="Normal6a"/>
            </w:pPr>
            <w:r>
              <w:t>Д.</w:t>
            </w:r>
            <w:r>
              <w:tab/>
            </w:r>
            <w:r>
              <w:t xml:space="preserve">като има предвид, че </w:t>
            </w:r>
            <w:r>
              <w:rPr>
                <w:b/>
                <w:i/>
              </w:rPr>
              <w:t>дружества от всякакъв мащаб и сектори съобщават за недостиг на работна ръка и умения, който се изостря</w:t>
            </w:r>
            <w:r>
              <w:t xml:space="preserve"> от липсата на кандидати за критични позиции в ключови сектори като </w:t>
            </w:r>
            <w:r>
              <w:rPr>
                <w:b/>
                <w:i/>
              </w:rPr>
              <w:t>образование, здравеопазване, строителство, хотелиерство, грижи, транспорт, научни технологии и инженерство</w:t>
            </w:r>
            <w:r>
              <w:t xml:space="preserve">, особено в райони, засегнати от обезлюдяване; </w:t>
            </w:r>
            <w:r>
              <w:rPr>
                <w:b/>
                <w:i/>
              </w:rPr>
              <w:t>като има предвид, че ЕС стартира няколко инициативи за справяне с недостига на умения, като Европейската програма за умения, Пакта за умения, „стреми се, учи, овладей, постигай“ (ALMA) и академиите за промишленост с нулеви нетни емисии;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t xml:space="preserve">като има предвид, че недостигът на работна ръка и умения продължава да бъде проблем на всички равнища, </w:t>
            </w:r>
            <w:r>
              <w:rPr>
                <w:b/>
                <w:i/>
              </w:rPr>
              <w:t>изострен от</w:t>
            </w:r>
            <w:r>
              <w:t xml:space="preserve"> липсата на кандидати за критични позиции в ключови сектори като образованието, здравеопазването и строителството, особено в райони, засегнати от обезлюдяване;</w:t>
            </w:r>
          </w:p>
        </w:tc>
        <w:tc>
          <w:tcPr>
            <w:tcW w:w="4876" w:type="dxa"/>
            <w:tcBorders>
              <w:top w:val="nil"/>
              <w:left w:val="nil"/>
              <w:bottom w:val="nil"/>
              <w:right w:val="nil"/>
            </w:tcBorders>
          </w:tcPr>
          <w:p>
            <w:pPr>
              <w:pStyle w:val="Normal6a"/>
            </w:pPr>
            <w:r>
              <w:t>Д.</w:t>
            </w:r>
            <w:r>
              <w:tab/>
            </w:r>
            <w:r>
              <w:t>като има предвид, че недостигът на работна ръка и умения</w:t>
            </w:r>
            <w:r>
              <w:rPr>
                <w:b/>
                <w:i/>
              </w:rPr>
              <w:t>, предизвикан от трудните условия на труд, непривлекателните заплати, недостига на обучения, пречките пред достъпа до средно и висше образование и липсата на признаване на умения и образование,</w:t>
            </w:r>
            <w:r>
              <w:t xml:space="preserve"> продължава да бъде проблем на всички равнища, </w:t>
            </w:r>
            <w:r>
              <w:rPr>
                <w:b/>
                <w:i/>
              </w:rPr>
              <w:t>което води до</w:t>
            </w:r>
            <w:r>
              <w:t xml:space="preserve"> липсата на кандидати за критични позиции в ключови сектори като образованието, здравеопазването и строителството, особено в райони, засегнати от обезлюдяване;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t xml:space="preserve">като има предвид, че недостигът на работна ръка и умения продължава да бъде проблем на всички равнища, </w:t>
            </w:r>
            <w:r>
              <w:rPr>
                <w:b/>
                <w:i/>
              </w:rPr>
              <w:t>изострен от</w:t>
            </w:r>
            <w:r>
              <w:t xml:space="preserve"> липсата на кандидати за критични позиции в </w:t>
            </w:r>
            <w:r>
              <w:rPr>
                <w:b/>
                <w:i/>
              </w:rPr>
              <w:t>ключови сектори</w:t>
            </w:r>
            <w:r>
              <w:t xml:space="preserve"> като образованието, здравеопазването и строителството, особено в райони, засегнати от обезлюдяване;</w:t>
            </w:r>
          </w:p>
        </w:tc>
        <w:tc>
          <w:tcPr>
            <w:tcW w:w="4876" w:type="dxa"/>
            <w:tcBorders>
              <w:top w:val="nil"/>
              <w:left w:val="nil"/>
              <w:bottom w:val="nil"/>
              <w:right w:val="nil"/>
            </w:tcBorders>
          </w:tcPr>
          <w:p>
            <w:pPr>
              <w:pStyle w:val="Normal6a"/>
            </w:pPr>
            <w:r>
              <w:t>Д.</w:t>
            </w:r>
            <w:r>
              <w:tab/>
            </w:r>
            <w:r>
              <w:t xml:space="preserve">като има предвид, че недостигът на работна ръка и умения продължава да бъде проблем на всички равнища, </w:t>
            </w:r>
            <w:r>
              <w:rPr>
                <w:b/>
                <w:i/>
              </w:rPr>
              <w:t>същевременно участието на възрастните в образованието и обучението остава доста под целта на ЕС, което води до</w:t>
            </w:r>
            <w:r>
              <w:t xml:space="preserve"> липсата на кандидати за критични позиции в </w:t>
            </w:r>
            <w:r>
              <w:rPr>
                <w:b/>
                <w:i/>
              </w:rPr>
              <w:t>сектори, особено в тези, в които е трудно да се замени работата на живо,</w:t>
            </w:r>
            <w:r>
              <w:t xml:space="preserve"> като образованието, здравеопазването и строителството, особено в райони, засегнати от обезлюдяване;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Мириам Лексман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t>като има предвид, че недостигът на работна ръка и умения продължава да бъде проблем на всички равнища, изострен от липсата на кандидати за критични позиции в ключови сектори като образованието, здравеопазването и строителството, особено в райони, засегнати от обезлюдяване;</w:t>
            </w:r>
          </w:p>
        </w:tc>
        <w:tc>
          <w:tcPr>
            <w:tcW w:w="4876" w:type="dxa"/>
            <w:tcBorders>
              <w:top w:val="nil"/>
              <w:left w:val="nil"/>
              <w:bottom w:val="nil"/>
              <w:right w:val="nil"/>
            </w:tcBorders>
          </w:tcPr>
          <w:p>
            <w:pPr>
              <w:pStyle w:val="Normal6a"/>
            </w:pPr>
            <w:r>
              <w:t>Д.</w:t>
            </w:r>
            <w:r>
              <w:tab/>
            </w:r>
            <w:r>
              <w:t>като има предвид, че недостигът на работна ръка и умения продължава да бъде проблем на всички равнища, изострен от липсата на кандидати за критични позиции в ключови сектори като образованието, здравеопазването</w:t>
            </w:r>
            <w:r>
              <w:rPr>
                <w:b/>
                <w:i/>
              </w:rPr>
              <w:t>, сектора на грижите</w:t>
            </w:r>
            <w:r>
              <w:t xml:space="preserve"> и строителството, особено в райони, засегнати от обезлюдяване;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Бранислав Ондруш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t xml:space="preserve">като има предвид, че </w:t>
            </w:r>
            <w:r>
              <w:rPr>
                <w:b/>
                <w:i/>
              </w:rPr>
              <w:t>недостигът на работна ръка и умения продължава да бъде проблем на всички равнища, изострен от липсата на кандидати за</w:t>
            </w:r>
            <w:r>
              <w:t xml:space="preserve"> критични позиции в ключови сектори като образованието, здравеопазването и строителството, особено в райони, засегнати от обезлюдяване;</w:t>
            </w:r>
          </w:p>
        </w:tc>
        <w:tc>
          <w:tcPr>
            <w:tcW w:w="4876" w:type="dxa"/>
            <w:tcBorders>
              <w:top w:val="nil"/>
              <w:left w:val="nil"/>
              <w:bottom w:val="nil"/>
              <w:right w:val="nil"/>
            </w:tcBorders>
          </w:tcPr>
          <w:p>
            <w:pPr>
              <w:pStyle w:val="Normal6a"/>
            </w:pPr>
            <w:r>
              <w:t>Д.</w:t>
            </w:r>
            <w:r>
              <w:tab/>
            </w:r>
            <w:r>
              <w:t xml:space="preserve">като има предвид, че </w:t>
            </w:r>
            <w:r>
              <w:rPr>
                <w:b/>
                <w:i/>
              </w:rPr>
              <w:t>липсата на адекватно възнаграждение и достойни условия на труд допринасят значително за недостига на работна ръка и умения на</w:t>
            </w:r>
            <w:r>
              <w:t xml:space="preserve"> критични позиции в ключови сектори като образованието, здравеопазването и строителството, особено в райони, засегнати от обезлюдяване;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Да.</w:t>
            </w:r>
            <w:r>
              <w:tab/>
            </w:r>
            <w:r>
              <w:rPr>
                <w:b/>
                <w:i/>
              </w:rPr>
              <w:t>като има предвид, че насърчаването на мобилността в рамките на ЕС и обмислянето на възможността да се привличат квалифицирани работници, които са граждани на трети държави, като в допълнение се гарантират зачитането и прилагането на трудовите и социалните права и гражданите на трети държави, влизащи в ЕС чрез законни пътища за миграция, се насочват към професии, изпитващи недостиг, подкрепени от ефективна политика за интеграция при пълно взаимно допълване с мобилизирането на таланти от Съюза;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Да.</w:t>
            </w:r>
            <w:r>
              <w:tab/>
            </w:r>
            <w:r>
              <w:rPr>
                <w:b/>
                <w:i/>
              </w:rPr>
              <w:t>като има предвид, че квалифицираните работници и достъпът до качествено образование, професионално образование и обучение, както и ученето през целия живот, са от решаващо значение за гарантирането на устойчив и справедлив двоен преход на европейската икономика;</w:t>
            </w:r>
            <w:r>
              <w:t xml:space="preserve"> </w:t>
            </w:r>
            <w:r>
              <w:rPr>
                <w:b/>
                <w:i/>
              </w:rPr>
              <w:t>като има предвид, че програмите за повишаване на квалификацията, преквалификация и обучение трябва да са на разположение на всички работници, включително тези с увреждания, и също така да бъдат адаптирани към нуждите и способностите на работниците;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Дб.</w:t>
            </w:r>
            <w:r>
              <w:tab/>
            </w:r>
            <w:r>
              <w:rPr>
                <w:b/>
                <w:i/>
              </w:rPr>
              <w:t>като има предвид, че през 2022 г. средният резултат по Програмата за международно оценяване на учениците (PISA), с която се измерват основните умения (четене, математика и природни науки) на 15-годишните е намалял с 10 пункта в сравнение с последното измерване през 2018 г.;</w:t>
            </w:r>
            <w:r>
              <w:t xml:space="preserve"> </w:t>
            </w:r>
            <w:r>
              <w:rPr>
                <w:b/>
                <w:i/>
              </w:rPr>
              <w:t>като има предвид, че слабите резултати са широко разпространени сред учащите се в неравностойно положение, което показва увеличаване на неравенствата в образованието;</w:t>
            </w:r>
            <w:r>
              <w:t xml:space="preserve"> </w:t>
            </w:r>
            <w:r>
              <w:rPr>
                <w:b/>
                <w:i/>
              </w:rPr>
              <w:t>като има предвид, че това тревожно влошаване изисква реформи и инвестиции в образованието и обучението;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Дб.</w:t>
            </w:r>
            <w:r>
              <w:tab/>
            </w:r>
            <w:r>
              <w:rPr>
                <w:b/>
                <w:i/>
              </w:rPr>
              <w:t>като има предвид, че разликите в заплащането на жените и мъжете продължават да бъдат значителни в повечето държави — членки на ЕС, и като има предвид, че отговорностите за полагане на грижи са важен фактор, който продължава да ограничава жените до заетост на непълно работно време или води до тяхното изключване от пазара на труда, което води до по-голяма разлика в заетостта между жените и мъжете;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 в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Дв.</w:t>
            </w:r>
            <w:r>
              <w:tab/>
            </w:r>
            <w:r>
              <w:rPr>
                <w:b/>
                <w:i/>
              </w:rPr>
              <w:t>като има предвид, че екологичният и цифровият преход трябва да бъдат социално справедливи и приобщаващи за всички, като се използва възможността за създаване на качествени работни места, справяне с дискриминацията на работното място, защита на правата на работниците и повишаване на трудовите стандарти;</w:t>
            </w:r>
            <w:r>
              <w:t xml:space="preserve"> </w:t>
            </w:r>
            <w:r>
              <w:rPr>
                <w:b/>
                <w:i/>
              </w:rPr>
              <w:t>като има предвид, че от съществено значение е да се насърчава създаването на качествени работни места, стабилна социална закрила и целенасочени инвестиции в умения, които отговарят на нововъзникващите възможности за труд в екологичния и цифровия сектор, в съчетание с помощи за образование за възрастни, за да се гарантира достъп до качествено повишаване на квалификацията и преквалификация за всички;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 г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Дг.</w:t>
            </w:r>
            <w:r>
              <w:tab/>
            </w:r>
            <w:r>
              <w:rPr>
                <w:b/>
                <w:i/>
              </w:rPr>
              <w:t>като има предвид, че в съвместния доклад за заетостта се подчертава правото на откъсване от работната среда, по-специално в контекста на дистанционната работа, като се признава решаващата роля на това право за гарантиране на равновесието между професионалния и личния живот в контекста на нарастващата цифровизация и дистанционна работа;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Идоя Мендия Куева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 д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Дд.</w:t>
            </w:r>
            <w:r>
              <w:tab/>
            </w:r>
            <w:r>
              <w:rPr>
                <w:b/>
                <w:i/>
              </w:rPr>
              <w:t>като има предвид, че през 2024 г. станаха очевидни предизвикателствата пред няколко сектора, като автомобилостроенето и енергоемките отрасли, и че дружествата обявиха мащабно преструктуриране;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Идоя Мендия Куева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 е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Де.</w:t>
            </w:r>
            <w:r>
              <w:tab/>
            </w:r>
            <w:r>
              <w:rPr>
                <w:b/>
                <w:i/>
              </w:rPr>
              <w:t>като има предвид, че понастоящем на равнище ЕС не съществува редовно събиране на данни за инвестициите и обхвата на социалните услуги.</w:t>
            </w:r>
            <w:r>
              <w:t xml:space="preserve"> </w:t>
            </w:r>
            <w:r>
              <w:rPr>
                <w:b/>
                <w:i/>
              </w:rPr>
              <w:t>Събирането на такива данни е от ключово значение за основан на доказателства анализ на националните социални политики в рамките на анализа на европейския семестър.</w:t>
            </w:r>
            <w:r>
              <w:t xml:space="preserve"> </w:t>
            </w:r>
            <w:r>
              <w:rPr>
                <w:b/>
                <w:i/>
              </w:rPr>
              <w:t>По този въпрос следва да бъдат взети марки чрез съвместно договорени критерии и стандарти за събиране на данни за инвестициите и обхвата на социалните услуги в държавите – членки на ЕС.</w:t>
            </w:r>
            <w:r>
              <w:t xml:space="preserve"> </w:t>
            </w:r>
            <w:r>
              <w:rPr>
                <w:b/>
                <w:i/>
              </w:rPr>
              <w:t>Индексът за социалните услуги на Европейската социална мрежа е пример как такова събиране на данни може да допринесе за анализа в контекста на европейския семестър.</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Идоя Мендия Куева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 ж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Дж.</w:t>
            </w:r>
            <w:r>
              <w:tab/>
            </w:r>
            <w:r>
              <w:rPr>
                <w:b/>
                <w:i/>
              </w:rPr>
              <w:t>като има предвид, че чрез европейския семестър трябва да бъдат преодолени различията, които съществуват в обхвата на социалните услуги, включително дългосрочните грижи, закрилата на децата, подкрепата при домашното насилие и помощта при бездомничеството,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Идоя Мендия Куева, Алисия Омс Хинел, Изилда Гомеш,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Е.</w:t>
            </w:r>
            <w:r>
              <w:tab/>
            </w:r>
            <w:r>
              <w:t xml:space="preserve">като има предвид, че </w:t>
            </w:r>
            <w:r>
              <w:rPr>
                <w:b/>
                <w:i/>
              </w:rPr>
              <w:t>кризата, свързана с приемствеността между поколенията и лошия</w:t>
            </w:r>
            <w:r>
              <w:t xml:space="preserve"> достъп до </w:t>
            </w:r>
            <w:r>
              <w:rPr>
                <w:b/>
                <w:i/>
              </w:rPr>
              <w:t>обществени услуги, доведе до повишен риск</w:t>
            </w:r>
            <w:r>
              <w:t xml:space="preserve"> от бедност и социално изключване, като </w:t>
            </w:r>
            <w:r>
              <w:rPr>
                <w:b/>
                <w:i/>
              </w:rPr>
              <w:t>засегна особено</w:t>
            </w:r>
            <w:r>
              <w:t xml:space="preserve"> децата и възрастните хора</w:t>
            </w:r>
            <w:r>
              <w:rPr>
                <w:b/>
                <w:i/>
              </w:rPr>
              <w:t>;</w:t>
            </w:r>
          </w:p>
        </w:tc>
        <w:tc>
          <w:tcPr>
            <w:tcW w:w="4876" w:type="dxa"/>
            <w:tcBorders>
              <w:top w:val="nil"/>
              <w:left w:val="nil"/>
              <w:bottom w:val="nil"/>
              <w:right w:val="nil"/>
            </w:tcBorders>
          </w:tcPr>
          <w:p>
            <w:pPr>
              <w:pStyle w:val="Normal6a"/>
            </w:pPr>
            <w:r>
              <w:t>Е.</w:t>
            </w:r>
            <w:r>
              <w:tab/>
            </w:r>
            <w:r>
              <w:t xml:space="preserve">като има предвид, че </w:t>
            </w:r>
            <w:r>
              <w:rPr>
                <w:b/>
                <w:i/>
              </w:rPr>
              <w:t>икономическите и социалните неравенства, както и ограниченият</w:t>
            </w:r>
            <w:r>
              <w:t xml:space="preserve"> достъп до </w:t>
            </w:r>
            <w:r>
              <w:rPr>
                <w:b/>
                <w:i/>
              </w:rPr>
              <w:t>финансиране и обществени услуги увеличиха риска</w:t>
            </w:r>
            <w:r>
              <w:t xml:space="preserve"> от бедност и социално изключване, като </w:t>
            </w:r>
            <w:r>
              <w:rPr>
                <w:b/>
                <w:i/>
              </w:rPr>
              <w:t>засегнаха по-специално</w:t>
            </w:r>
            <w:r>
              <w:t xml:space="preserve"> децата</w:t>
            </w:r>
            <w:r>
              <w:rPr>
                <w:b/>
                <w:i/>
              </w:rPr>
              <w:t>, домакинствата с един родител, младите</w:t>
            </w:r>
            <w:r>
              <w:t xml:space="preserve"> и възрастните хора </w:t>
            </w:r>
            <w:r>
              <w:rPr>
                <w:b/>
                <w:i/>
              </w:rPr>
              <w:t>и други уязвими групи като мигрантите, ромите, хората, живеещи в обезлюдени райони, и хората с увреждания,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Е.</w:t>
            </w:r>
            <w:r>
              <w:tab/>
            </w:r>
            <w:r>
              <w:t xml:space="preserve">като има предвид, че </w:t>
            </w:r>
            <w:r>
              <w:rPr>
                <w:b/>
                <w:i/>
              </w:rPr>
              <w:t>кризата, свързана с приемствеността между поколенията и лошия достъп до обществени услуги, доведе до повишен</w:t>
            </w:r>
            <w:r>
              <w:t xml:space="preserve"> риск от бедност </w:t>
            </w:r>
            <w:r>
              <w:rPr>
                <w:b/>
                <w:i/>
              </w:rPr>
              <w:t>и социално изключване, като засегна особено децата и възрастните хора</w:t>
            </w:r>
            <w:r>
              <w:t>;</w:t>
            </w:r>
          </w:p>
        </w:tc>
        <w:tc>
          <w:tcPr>
            <w:tcW w:w="4876" w:type="dxa"/>
            <w:tcBorders>
              <w:top w:val="nil"/>
              <w:left w:val="nil"/>
              <w:bottom w:val="nil"/>
              <w:right w:val="nil"/>
            </w:tcBorders>
          </w:tcPr>
          <w:p>
            <w:pPr>
              <w:pStyle w:val="Normal6a"/>
            </w:pPr>
            <w:r>
              <w:t>Е.</w:t>
            </w:r>
            <w:r>
              <w:tab/>
            </w:r>
            <w:r>
              <w:t xml:space="preserve">като има предвид, че </w:t>
            </w:r>
            <w:r>
              <w:rPr>
                <w:b/>
                <w:i/>
              </w:rPr>
              <w:t>липсата на достатъчно социални инвестиции изостри риска от бедност и социално изключване, като засегна особено децата, семействата с един родител и възрастните хора;</w:t>
            </w:r>
            <w:r>
              <w:t xml:space="preserve"> </w:t>
            </w:r>
            <w:r>
              <w:rPr>
                <w:b/>
                <w:i/>
              </w:rPr>
              <w:t>като има предвид, че това явление засяга и част от работната сила, като през 2023 г. един на всеки 12 работници е живеел в домакинство, изложено на</w:t>
            </w:r>
            <w:r>
              <w:t xml:space="preserve"> риск от бедност</w:t>
            </w:r>
            <w:r>
              <w:rPr>
                <w:b/>
                <w:i/>
              </w:rPr>
              <w:t>;</w:t>
            </w:r>
            <w:r>
              <w:t xml:space="preserve"> </w:t>
            </w:r>
            <w:r>
              <w:rPr>
                <w:b/>
                <w:i/>
              </w:rPr>
              <w:t>като има предвид, че една амбициозна стратегия на ЕС за борба с бедността ще бъде от съществено значение за обръщане на тази тенденция и за предоставянето на отговори на многоизмерното явление бедност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Е.</w:t>
            </w:r>
            <w:r>
              <w:tab/>
            </w:r>
            <w:r>
              <w:t xml:space="preserve">като има предвид, че кризата, свързана с приемствеността между поколенията и лошия достъп до обществени услуги, доведе до повишен риск от бедност и социално изключване, като засегна особено децата </w:t>
            </w:r>
            <w:r>
              <w:rPr>
                <w:b/>
                <w:i/>
              </w:rPr>
              <w:t>и</w:t>
            </w:r>
            <w:r>
              <w:t xml:space="preserve"> възрастните хора;</w:t>
            </w:r>
          </w:p>
        </w:tc>
        <w:tc>
          <w:tcPr>
            <w:tcW w:w="4876" w:type="dxa"/>
            <w:tcBorders>
              <w:top w:val="nil"/>
              <w:left w:val="nil"/>
              <w:bottom w:val="nil"/>
              <w:right w:val="nil"/>
            </w:tcBorders>
          </w:tcPr>
          <w:p>
            <w:pPr>
              <w:pStyle w:val="Normal6a"/>
            </w:pPr>
            <w:r>
              <w:t>Е.</w:t>
            </w:r>
            <w:r>
              <w:tab/>
            </w:r>
            <w:r>
              <w:t xml:space="preserve">като има предвид, че кризата, свързана с приемствеността между поколенията и лошия достъп до обществени услуги </w:t>
            </w:r>
            <w:r>
              <w:rPr>
                <w:b/>
                <w:i/>
              </w:rPr>
              <w:t>поради липсата на дългосрочно и устойчиво планиране в областта на жилищното настаняване, инфраструктурата и развитието на общностите</w:t>
            </w:r>
            <w:r>
              <w:t>, доведе до повишен риск от бедност и социално изключване, като засегна особено децата</w:t>
            </w:r>
            <w:r>
              <w:rPr>
                <w:b/>
                <w:i/>
              </w:rPr>
              <w:t>,</w:t>
            </w:r>
            <w:r>
              <w:t xml:space="preserve"> възрастните хора </w:t>
            </w:r>
            <w:r>
              <w:rPr>
                <w:b/>
                <w:i/>
              </w:rPr>
              <w:t>и лицата от маргинализирани среди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Мириам Лексман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Е.</w:t>
            </w:r>
            <w:r>
              <w:tab/>
            </w:r>
            <w:r>
              <w:t>като има предвид, че кризата, свързана с приемствеността между поколенията и лошия достъп до обществени услуги, доведе до повишен риск от бедност и социално изключване, като засегна особено децата и възрастните хора;</w:t>
            </w:r>
          </w:p>
        </w:tc>
        <w:tc>
          <w:tcPr>
            <w:tcW w:w="4876" w:type="dxa"/>
            <w:tcBorders>
              <w:top w:val="nil"/>
              <w:left w:val="nil"/>
              <w:bottom w:val="nil"/>
              <w:right w:val="nil"/>
            </w:tcBorders>
          </w:tcPr>
          <w:p>
            <w:pPr>
              <w:pStyle w:val="Normal6a"/>
            </w:pPr>
            <w:r>
              <w:t>Е.</w:t>
            </w:r>
            <w:r>
              <w:tab/>
            </w:r>
            <w:r>
              <w:t>като има предвид, че кризата, свързана с приемствеността между поколенията и лошия достъп до обществени услуги, доведе до повишен риск от бедност и социално изключване, като засегна особено децата и възрастните хора</w:t>
            </w:r>
            <w:r>
              <w:rPr>
                <w:b/>
                <w:i/>
              </w:rPr>
              <w:t>, домакинствата с един родител и многодетните семейства, както и хората с увреждания</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Е.</w:t>
            </w:r>
            <w:r>
              <w:tab/>
            </w:r>
            <w:r>
              <w:t xml:space="preserve">като има предвид, че </w:t>
            </w:r>
            <w:r>
              <w:rPr>
                <w:b/>
                <w:i/>
              </w:rPr>
              <w:t>кризата, свързана с приемствеността между поколенията и лошия достъп до</w:t>
            </w:r>
            <w:r>
              <w:t xml:space="preserve"> обществени услуги</w:t>
            </w:r>
            <w:r>
              <w:rPr>
                <w:b/>
                <w:i/>
              </w:rPr>
              <w:t>, доведе</w:t>
            </w:r>
            <w:r>
              <w:t xml:space="preserve"> до повишен риск от бедност и социално изключване, като </w:t>
            </w:r>
            <w:r>
              <w:rPr>
                <w:b/>
                <w:i/>
              </w:rPr>
              <w:t>засегна</w:t>
            </w:r>
            <w:r>
              <w:t xml:space="preserve"> особено децата </w:t>
            </w:r>
            <w:r>
              <w:rPr>
                <w:b/>
                <w:i/>
              </w:rPr>
              <w:t>и</w:t>
            </w:r>
            <w:r>
              <w:t xml:space="preserve"> възрастните хора;</w:t>
            </w:r>
          </w:p>
        </w:tc>
        <w:tc>
          <w:tcPr>
            <w:tcW w:w="4876" w:type="dxa"/>
            <w:tcBorders>
              <w:top w:val="nil"/>
              <w:left w:val="nil"/>
              <w:bottom w:val="nil"/>
              <w:right w:val="nil"/>
            </w:tcBorders>
          </w:tcPr>
          <w:p>
            <w:pPr>
              <w:pStyle w:val="Normal6a"/>
            </w:pPr>
            <w:r>
              <w:t>Е.</w:t>
            </w:r>
            <w:r>
              <w:tab/>
            </w:r>
            <w:r>
              <w:t xml:space="preserve">като има предвид, че </w:t>
            </w:r>
            <w:r>
              <w:rPr>
                <w:b/>
                <w:i/>
              </w:rPr>
              <w:t>демографските промени, лошият достъп до и недостатъчните инвестиции в</w:t>
            </w:r>
            <w:r>
              <w:t xml:space="preserve"> обществени услуги </w:t>
            </w:r>
            <w:r>
              <w:rPr>
                <w:b/>
                <w:i/>
              </w:rPr>
              <w:t>доведоха</w:t>
            </w:r>
            <w:r>
              <w:t xml:space="preserve"> до повишен риск от бедност и социално изключване, като </w:t>
            </w:r>
            <w:r>
              <w:rPr>
                <w:b/>
                <w:i/>
              </w:rPr>
              <w:t>засегнаха</w:t>
            </w:r>
            <w:r>
              <w:t xml:space="preserve"> особено децата</w:t>
            </w:r>
            <w:r>
              <w:rPr>
                <w:b/>
                <w:i/>
              </w:rPr>
              <w:t>,</w:t>
            </w:r>
            <w:r>
              <w:t xml:space="preserve"> възрастните хора </w:t>
            </w:r>
            <w:r>
              <w:rPr>
                <w:b/>
                <w:i/>
              </w:rPr>
              <w:t>и уязвимите групи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Е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Еа.</w:t>
            </w:r>
            <w:r>
              <w:tab/>
            </w:r>
            <w:r>
              <w:rPr>
                <w:b/>
                <w:i/>
              </w:rPr>
              <w:t>като има предвид, че в проучването на Евробарометър от април 2024 г. се подчертава, че 88% от европейските граждани считат, че социална Европа е важна лично за тях</w:t>
            </w:r>
            <w:r>
              <w:rPr>
                <w:b/>
                <w:i/>
                <w:vertAlign w:val="superscript"/>
              </w:rPr>
              <w:t>8a</w:t>
            </w:r>
            <w:r>
              <w:rPr>
                <w:b/>
                <w:i/>
              </w:rPr>
              <w:t>;</w:t>
            </w:r>
            <w:r>
              <w:t xml:space="preserve"> </w:t>
            </w:r>
            <w:r>
              <w:rPr>
                <w:b/>
                <w:i/>
              </w:rPr>
              <w:t>като има предвид, че този резултат беше потвърден от проучването на ЕС след изборите през 2024 г., в което европейските граждани определиха нарастващите цени и издръжката на живота (42%) и икономическото положение (41%) като основни теми, които са ги мотивирали да гласуват на последните европейски избори</w:t>
            </w:r>
            <w:r>
              <w:rPr>
                <w:b/>
                <w:i/>
                <w:vertAlign w:val="superscript"/>
              </w:rPr>
              <w:t>9a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8a</w:t>
            </w:r>
            <w:r>
              <w:t xml:space="preserve"> </w:t>
            </w:r>
            <w:r>
              <w:rPr>
                <w:b/>
                <w:i/>
              </w:rPr>
              <w:t>https://europa.eu/eurobarometer/surveys/detail/3187.</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9a</w:t>
            </w:r>
            <w:r>
              <w:t xml:space="preserve"> </w:t>
            </w:r>
            <w:r>
              <w:rPr>
                <w:b/>
                <w:i/>
              </w:rPr>
              <w:t>https://europa.eu/eurobarometer/surveys/detail/3292.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Ж.</w:t>
            </w:r>
            <w:r>
              <w:tab/>
            </w:r>
            <w:r>
              <w:t xml:space="preserve">като има предвид, че социалният напредък в ЕС </w:t>
            </w:r>
            <w:r>
              <w:rPr>
                <w:b/>
                <w:i/>
              </w:rPr>
              <w:t>трябва да се осъществява така, че да отговаря на целите за стабилност на критериите от Маастрихт, като се гарантира, че икономическата интеграция не изостря неравенствата</w:t>
            </w:r>
            <w:r>
              <w:t xml:space="preserve"> между поколенията и </w:t>
            </w:r>
            <w:r>
              <w:rPr>
                <w:b/>
                <w:i/>
              </w:rPr>
              <w:t>регионите</w:t>
            </w:r>
            <w:r>
              <w:t>;</w:t>
            </w:r>
          </w:p>
        </w:tc>
        <w:tc>
          <w:tcPr>
            <w:tcW w:w="4876" w:type="dxa"/>
            <w:tcBorders>
              <w:top w:val="nil"/>
              <w:left w:val="nil"/>
              <w:bottom w:val="nil"/>
              <w:right w:val="nil"/>
            </w:tcBorders>
          </w:tcPr>
          <w:p>
            <w:pPr>
              <w:pStyle w:val="Normal6a"/>
            </w:pPr>
            <w:r>
              <w:t>Ж.</w:t>
            </w:r>
            <w:r>
              <w:tab/>
            </w:r>
            <w:r>
              <w:t xml:space="preserve">като има предвид, че </w:t>
            </w:r>
            <w:r>
              <w:rPr>
                <w:b/>
                <w:i/>
              </w:rPr>
              <w:t>съгласно член 3 от ДЕС</w:t>
            </w:r>
            <w:r>
              <w:t xml:space="preserve"> социалният напредък в ЕС </w:t>
            </w:r>
            <w:r>
              <w:rPr>
                <w:b/>
                <w:i/>
              </w:rPr>
              <w:t>е една от целите на силно конкурентна социална пазарна икономика, заедно с пълна заетост, високо равнище на защита и подобряване на качеството на околната среда;</w:t>
            </w:r>
            <w:r>
              <w:t xml:space="preserve"> </w:t>
            </w:r>
            <w:r>
              <w:rPr>
                <w:b/>
                <w:i/>
              </w:rPr>
              <w:t>като има предвид, че в член 3 също така се посочва, че ЕС се бори срещу социалното изключване и дискриминацията и насърчава социалната справедливост и закрила, равенството между жените и мъжете, солидарността</w:t>
            </w:r>
            <w:r>
              <w:t xml:space="preserve"> между поколенията и </w:t>
            </w:r>
            <w:r>
              <w:rPr>
                <w:b/>
                <w:i/>
              </w:rPr>
              <w:t>защитата на правата на детето</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Ж.</w:t>
            </w:r>
            <w:r>
              <w:tab/>
            </w:r>
            <w:r>
              <w:t xml:space="preserve">като има предвид, че социалният напредък в ЕС трябва да </w:t>
            </w:r>
            <w:r>
              <w:rPr>
                <w:b/>
                <w:i/>
              </w:rPr>
              <w:t>се осъществява така, че да отговаря на целите за стабилност на критериите от Маастрихт, като се</w:t>
            </w:r>
            <w:r>
              <w:t xml:space="preserve"> гарантира, че икономическата интеграция не изостря неравенствата между поколенията и регионите;</w:t>
            </w:r>
          </w:p>
        </w:tc>
        <w:tc>
          <w:tcPr>
            <w:tcW w:w="4876" w:type="dxa"/>
            <w:tcBorders>
              <w:top w:val="nil"/>
              <w:left w:val="nil"/>
              <w:bottom w:val="nil"/>
              <w:right w:val="nil"/>
            </w:tcBorders>
          </w:tcPr>
          <w:p>
            <w:pPr>
              <w:pStyle w:val="Normal6a"/>
            </w:pPr>
            <w:r>
              <w:t>Ж.</w:t>
            </w:r>
            <w:r>
              <w:tab/>
            </w:r>
            <w:r>
              <w:t>като има предвид, че социалният напредък в ЕС трябва да гарантира, че икономическата интеграция не изостря неравенствата между поколенията и регионите;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Ж.</w:t>
            </w:r>
            <w:r>
              <w:tab/>
            </w:r>
            <w:r>
              <w:t xml:space="preserve">като има предвид, че социалният напредък в ЕС </w:t>
            </w:r>
            <w:r>
              <w:rPr>
                <w:b/>
                <w:i/>
              </w:rPr>
              <w:t>трябва да се осъществява така, че да отговаря на целите за стабилност на критериите от Маастрихт,</w:t>
            </w:r>
            <w:r>
              <w:t xml:space="preserve"> като се гарантира, че </w:t>
            </w:r>
            <w:r>
              <w:rPr>
                <w:b/>
                <w:i/>
              </w:rPr>
              <w:t>икономическата</w:t>
            </w:r>
            <w:r>
              <w:t xml:space="preserve"> интеграция не изостря </w:t>
            </w:r>
            <w:r>
              <w:rPr>
                <w:b/>
                <w:i/>
              </w:rPr>
              <w:t>неравенствата</w:t>
            </w:r>
            <w:r>
              <w:t xml:space="preserve"> между поколенията и регионите;</w:t>
            </w:r>
          </w:p>
        </w:tc>
        <w:tc>
          <w:tcPr>
            <w:tcW w:w="4876" w:type="dxa"/>
            <w:tcBorders>
              <w:top w:val="nil"/>
              <w:left w:val="nil"/>
              <w:bottom w:val="nil"/>
              <w:right w:val="nil"/>
            </w:tcBorders>
          </w:tcPr>
          <w:p>
            <w:pPr>
              <w:pStyle w:val="Normal6a"/>
            </w:pPr>
            <w:r>
              <w:t>Ж.</w:t>
            </w:r>
            <w:r>
              <w:tab/>
            </w:r>
            <w:r>
              <w:t xml:space="preserve">като има предвид, че социалният напредък в ЕС </w:t>
            </w:r>
            <w:r>
              <w:rPr>
                <w:b/>
                <w:i/>
              </w:rPr>
              <w:t>представлява най-конкретните и ефикасни инвестиции в дългосрочната издръжливост и устойчивост на нашите общества;</w:t>
            </w:r>
            <w:r>
              <w:t xml:space="preserve"> като се гарантира, че </w:t>
            </w:r>
            <w:r>
              <w:rPr>
                <w:b/>
                <w:i/>
              </w:rPr>
              <w:t>по-нататъшната икономическа</w:t>
            </w:r>
            <w:r>
              <w:t xml:space="preserve"> интеграция не изостря </w:t>
            </w:r>
            <w:r>
              <w:rPr>
                <w:b/>
                <w:i/>
              </w:rPr>
              <w:t>социалните неравенства</w:t>
            </w:r>
            <w:r>
              <w:t xml:space="preserve"> между поколенията и регионите;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Бранислав Ондруш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Ж.</w:t>
            </w:r>
            <w:r>
              <w:tab/>
            </w:r>
            <w:r>
              <w:t xml:space="preserve">като има предвид, че социалният напредък в ЕС трябва да </w:t>
            </w:r>
            <w:r>
              <w:rPr>
                <w:b/>
                <w:i/>
              </w:rPr>
              <w:t>се осъществява така, че да отговаря на</w:t>
            </w:r>
            <w:r>
              <w:t xml:space="preserve"> целите за стабилност на критериите от Маастрихт, като се гарантира, че икономическата интеграция не изостря неравенствата между поколенията и регионите;</w:t>
            </w:r>
          </w:p>
        </w:tc>
        <w:tc>
          <w:tcPr>
            <w:tcW w:w="4876" w:type="dxa"/>
            <w:tcBorders>
              <w:top w:val="nil"/>
              <w:left w:val="nil"/>
              <w:bottom w:val="nil"/>
              <w:right w:val="nil"/>
            </w:tcBorders>
          </w:tcPr>
          <w:p>
            <w:pPr>
              <w:pStyle w:val="Normal6a"/>
            </w:pPr>
            <w:r>
              <w:t>Ж.</w:t>
            </w:r>
            <w:r>
              <w:tab/>
            </w:r>
            <w:r>
              <w:t xml:space="preserve">като има предвид, че социалният напредък в ЕС </w:t>
            </w:r>
            <w:r>
              <w:rPr>
                <w:b/>
                <w:i/>
              </w:rPr>
              <w:t>не</w:t>
            </w:r>
            <w:r>
              <w:t xml:space="preserve"> трябва да </w:t>
            </w:r>
            <w:r>
              <w:rPr>
                <w:b/>
                <w:i/>
              </w:rPr>
              <w:t>бъде компрометиран от</w:t>
            </w:r>
            <w:r>
              <w:t xml:space="preserve"> целите за стабилност на критериите от Маастрихт, като се гарантира, че икономическата интеграция не изостря неравенствата между поколенията и регионите;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Жа.</w:t>
            </w:r>
            <w:r>
              <w:tab/>
            </w:r>
            <w:r>
              <w:rPr>
                <w:b/>
                <w:i/>
              </w:rPr>
              <w:t>като има предвид, че новата рамка на ЕС за икономическо управление влезе в сила през април 2024 г. и има за цел да насърчи устойчивия и приобщаващ растеж, както и да предостави повече пространство за социални инвестиции и постигане на целите на Европейския стълб на социалните права;</w:t>
            </w:r>
            <w:r>
              <w:t xml:space="preserve"> </w:t>
            </w:r>
            <w:r>
              <w:rPr>
                <w:b/>
                <w:i/>
              </w:rPr>
              <w:t>като има предвид, че преразглеждането за първи път включва рамка за социална конвергенция като неразделна част от европейския семестър;</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Жа.</w:t>
            </w:r>
            <w:r>
              <w:tab/>
            </w:r>
            <w:r>
              <w:rPr>
                <w:b/>
                <w:i/>
              </w:rPr>
              <w:t>като има предвид, че по време на макроикономическия диалог европейските социални партньори осъдиха последното участие на социалните партньори в изготвянето на средносрочните фискални структурни планове, а Европейската конфедерация на профсъюзите (ETUC), Европейската асоциация на занаятчиите, малките и средните предприятия (SMEUnited) и Европейският център на работодателите и предприятията, предоставящи публични услуги и услуги от общ интерес (SGIEurope) подписаха съвместно изявление за материално и реално участие на социалните партньори в икономическото управление и европейския семестър;</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Жа.</w:t>
            </w:r>
            <w:r>
              <w:tab/>
            </w:r>
            <w:r>
              <w:rPr>
                <w:b/>
                <w:i/>
              </w:rPr>
              <w:t>като има предвид, че рискът от бедност или социално изключване е по-голям за жените, младежите, хората с ниско равнище на образование и безработните лица;</w:t>
            </w:r>
            <w:r>
              <w:t xml:space="preserve"> </w:t>
            </w:r>
            <w:r>
              <w:rPr>
                <w:b/>
                <w:i/>
              </w:rPr>
              <w:t>като има предвид, че продължават да съществуват много пропуски в достъпа до обезщетения за безработица, като 66% от безработните лица съобщават, че не получават обезщетения или помощ</w:t>
            </w:r>
            <w:r>
              <w:rPr>
                <w:b/>
                <w:i/>
                <w:vertAlign w:val="superscript"/>
              </w:rPr>
              <w:t>1а</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1а</w:t>
            </w:r>
            <w:r>
              <w:t xml:space="preserve"> </w:t>
            </w:r>
            <w:r>
              <w:rPr>
                <w:b/>
                <w:i/>
              </w:rPr>
              <w:t>Social protection 2.0:</w:t>
            </w:r>
            <w:r>
              <w:t xml:space="preserve"> </w:t>
            </w:r>
            <w:r>
              <w:rPr>
                <w:b/>
                <w:i/>
              </w:rPr>
              <w:t>Unemployment and minimum income benefits (Социална закрила 2.0: Обезщетения за безработица и минимален доход)</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Жа.</w:t>
            </w:r>
            <w:r>
              <w:tab/>
            </w:r>
            <w:r>
              <w:rPr>
                <w:b/>
                <w:i/>
              </w:rPr>
              <w:t>като има предвид, че структурните реформи трябва да дадат приоритет на социалния напредък, като гарантират достъп до адекватна социална закрила, финансово достъпни и достойни жилища и основни услуги за всички видове семейства, включително уязвимите групи, като домакинствата с един родител и хората с увреждания;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Жа.</w:t>
            </w:r>
            <w:r>
              <w:tab/>
            </w:r>
            <w:r>
              <w:rPr>
                <w:b/>
                <w:i/>
              </w:rPr>
              <w:t>като има предвид, че Съюзът следва да стане по-конкурентоспособен, продуктивен, иновативен и устойчив, като се основава на икономическото, социалното и териториалното сближаване и гарантира сближаване и еднакви условия на конкуренция както в рамките на Съюза, така и в световен мащаб;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Жб.</w:t>
            </w:r>
            <w:r>
              <w:tab/>
            </w:r>
            <w:r>
              <w:rPr>
                <w:b/>
                <w:i/>
              </w:rPr>
              <w:t>като има предвид, че според ОИСР средно в държавите от ОИСР професиите с най-висок риск от автоматизация представляват около 28% от заетостта;</w:t>
            </w:r>
            <w:r>
              <w:rPr>
                <w:b/>
                <w:i/>
                <w:vertAlign w:val="superscript"/>
              </w:rPr>
              <w:t>2a</w:t>
            </w:r>
            <w:r>
              <w:t xml:space="preserve"> </w:t>
            </w:r>
            <w:r>
              <w:rPr>
                <w:b/>
                <w:i/>
              </w:rPr>
              <w:t>като има предвид, че социалният диалог и колективното договаряне са от решаващо значение в този контекст, за да се гарантира основан на участието подход към управлението на промените, породени от технологичното развитие, и към преодоляване на потенциалните опасения, като се насърчава адаптацията на работниците (включително чрез осигуряване на умения);</w:t>
            </w:r>
            <w:r>
              <w:t xml:space="preserve"> </w:t>
            </w:r>
            <w:r>
              <w:rPr>
                <w:b/>
                <w:i/>
              </w:rPr>
              <w:t>като има предвид, че цифровизацията, роботизацията, автоматизацията и изкуственият интелект трябва да са в полза на работниците и обществото чрез подобряване на условията на труд и качеството на живот, като осигуряват добър баланс между професионалния и личния живот, създават по-добри възможности за заетост и допринасят за социално-икономическото сближаване;</w:t>
            </w:r>
            <w:r>
              <w:t xml:space="preserve"> </w:t>
            </w:r>
            <w:r>
              <w:rPr>
                <w:b/>
                <w:i/>
              </w:rPr>
              <w:t>като има предвид, че работниците и техните синдикални организации ще играят решаваща роля за предвиждане и преодоляване на рисковете, произтичащи от тези предизвикателства;</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2a</w:t>
            </w:r>
            <w:r>
              <w:t xml:space="preserve"> </w:t>
            </w:r>
            <w:r>
              <w:rPr>
                <w:b/>
                <w:i/>
              </w:rPr>
              <w:t>OECD Social, Employment and Migration Working Papers No. 282 (Работни документи на ОИСР относно социалните въпроси, заетостта и миграцията № 282)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Жб.</w:t>
            </w:r>
            <w:r>
              <w:tab/>
            </w:r>
            <w:r>
              <w:rPr>
                <w:b/>
                <w:i/>
              </w:rPr>
              <w:t>като има предвид, че съгласно новата рамка на ЕС за икономическо управление всички държави членки трябва да включат реформи и инвестиции в своите средносрочни планове, насочени към общите приоритети на ЕС и предизвикателствата, посочени в специфичните за всяка държава препоръки в контекста на европейския семестър;</w:t>
            </w:r>
            <w:r>
              <w:t xml:space="preserve"> </w:t>
            </w:r>
            <w:r>
              <w:rPr>
                <w:b/>
                <w:i/>
              </w:rPr>
              <w:t>като има предвид, че общите приоритети на ЕС включват социална и икономическа устойчивост, включително Европейския стълб на социалните права;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Жб.</w:t>
            </w:r>
            <w:r>
              <w:tab/>
            </w:r>
            <w:r>
              <w:rPr>
                <w:b/>
                <w:i/>
              </w:rPr>
              <w:t>като има предвид, че политиките на ЕС като NextGenerationEU и SURE осигуриха растеж и икономическа устойчивост, намалявайки неравенствата;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Жб.</w:t>
            </w:r>
            <w:r>
              <w:tab/>
            </w:r>
            <w:r>
              <w:rPr>
                <w:b/>
                <w:i/>
              </w:rPr>
              <w:t>като има предвид, че трябва да работим в единство и солидарност в полза на всички граждани на ЕС, на всички предприятия и на всички държави членки;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 в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Жв.</w:t>
            </w:r>
            <w:r>
              <w:tab/>
            </w:r>
            <w:r>
              <w:rPr>
                <w:b/>
                <w:i/>
              </w:rPr>
              <w:t>като има предвид, че през 2021 г. в ЕС–27 все още е имало над 3 300 злополуки с фатален изход и почти 3 милиона злополуки с нефатален изход;</w:t>
            </w:r>
            <w:r>
              <w:t xml:space="preserve"> </w:t>
            </w:r>
            <w:r>
              <w:rPr>
                <w:b/>
                <w:i/>
              </w:rPr>
              <w:t>като има предвид, че всяка година над 200 000 работници умират от свързани с работата заболявания;</w:t>
            </w:r>
            <w:r>
              <w:t xml:space="preserve"> </w:t>
            </w:r>
            <w:r>
              <w:rPr>
                <w:b/>
                <w:i/>
              </w:rPr>
              <w:t>като има предвид, че тези данни не отчитат всички злополуки, възникнали при недеклариран труд, от което може правдоподобно да се предположи, че действителният брой на злополуките е много по-голям от официалните данни;</w:t>
            </w:r>
            <w:r>
              <w:t xml:space="preserve"> </w:t>
            </w:r>
            <w:r>
              <w:rPr>
                <w:b/>
                <w:i/>
              </w:rPr>
              <w:t>като има предвид, че през 2017 г., според Eurofound, 20% от работните места в Европа са били с „лошо качество“ и са излагали работниците на повишен риск по отношение на тяхното физическо или психично здраве;</w:t>
            </w:r>
            <w:r>
              <w:t xml:space="preserve"> </w:t>
            </w:r>
            <w:r>
              <w:rPr>
                <w:b/>
                <w:i/>
              </w:rPr>
              <w:t>като има предвид, че 14% от работниците са изложени на високо равнище на психосоциални рискове;</w:t>
            </w:r>
            <w:r>
              <w:t xml:space="preserve"> </w:t>
            </w:r>
            <w:r>
              <w:rPr>
                <w:b/>
                <w:i/>
              </w:rPr>
              <w:t>като има предвид, че 23% от европейските работници считат, че тяхната безопасност или здраве са изложени на риск заради работата им;</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 в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Жв.</w:t>
            </w:r>
            <w:r>
              <w:tab/>
            </w:r>
            <w:r>
              <w:rPr>
                <w:b/>
                <w:i/>
              </w:rPr>
              <w:t>като има предвид, че публичните инвестиции се очаква да нараснат през 2025 г. в почти всички държави членки, със значителен принос от Механизма за възстановяване и устойчивост (МВУ) на NextGenerationEU и фондовете на ЕС в няколко държави членки;</w:t>
            </w:r>
            <w:r>
              <w:t xml:space="preserve"> </w:t>
            </w:r>
            <w:r>
              <w:rPr>
                <w:b/>
                <w:i/>
              </w:rPr>
              <w:t>като има предвид, че около 162,5 милиарда евро, отпуснати на държавите членки по линия на МВУ, допринасят за социалните разходи, което възлиза на около 25% от общите прогнозни разходи</w:t>
            </w:r>
            <w:r>
              <w:rPr>
                <w:b/>
                <w:i/>
                <w:vertAlign w:val="superscript"/>
              </w:rPr>
              <w:t>10a</w:t>
            </w:r>
            <w:r>
              <w:rPr>
                <w:b/>
                <w:i/>
              </w:rPr>
              <w:t>;</w:t>
            </w:r>
            <w:r>
              <w:t xml:space="preserve"> </w:t>
            </w:r>
            <w:r>
              <w:rPr>
                <w:b/>
                <w:i/>
              </w:rPr>
              <w:t>като има предвид, че социалните инвестиции и реформите в ключови области могат да стимулират заетостта, социалното приобщаване, конкурентоспособността и икономическия растеж</w:t>
            </w:r>
            <w:r>
              <w:rPr>
                <w:b/>
                <w:i/>
                <w:vertAlign w:val="superscript"/>
              </w:rPr>
              <w:t>11a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10a</w:t>
            </w:r>
            <w:r>
              <w:t xml:space="preserve"> </w:t>
            </w:r>
            <w:r>
              <w:rPr>
                <w:b/>
                <w:i/>
              </w:rPr>
              <w:t>Европейски семестър за 2025г.:</w:t>
            </w:r>
            <w:r>
              <w:t xml:space="preserve"> </w:t>
            </w:r>
            <w:r>
              <w:rPr>
                <w:b/>
                <w:i/>
              </w:rPr>
              <w:t>Предложение за съвместен доклад за заетостта.</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11a</w:t>
            </w:r>
            <w:r>
              <w:t xml:space="preserve"> </w:t>
            </w:r>
            <w:r>
              <w:rPr>
                <w:b/>
                <w:i/>
              </w:rPr>
              <w:t>Employment and Social Developments in Europe (ESDE) 2024 (Заетост и социални тенденции в Европа за 2024 г.), Европейска комисия, септември 2024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 в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Жв.</w:t>
            </w:r>
            <w:r>
              <w:tab/>
            </w:r>
            <w:r>
              <w:rPr>
                <w:b/>
                <w:i/>
              </w:rPr>
              <w:t>като има предвид, че социалният диалог и колективното договаряне са от съществено значение за конкурентоспособността, производителността на труда и социалното сближаване в ЕС;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 в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Жв.</w:t>
            </w:r>
            <w:r>
              <w:tab/>
            </w:r>
            <w:r>
              <w:rPr>
                <w:b/>
                <w:i/>
              </w:rPr>
              <w:t>като има предвид, че следва да се стремим да постигнем  до 2050 г. двойната цел за стратегически енергиен суверенитет и неутралност по отношение на климата;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Идоя Мендия Куева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 г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Жг.</w:t>
            </w:r>
            <w:r>
              <w:tab/>
            </w:r>
            <w:r>
              <w:rPr>
                <w:b/>
                <w:i/>
              </w:rPr>
              <w:t>като има предвид, че социалните партньори са от съществено значение за разработването и прилагането на политики, които насърчават устойчивия и приобщаващ растеж, достойния и качествен труд и справедливия преход, и трябва да участват на всички равнища на управление в съответствие с ДФЕС;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Идоя Мендия Куева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 д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Жд.</w:t>
            </w:r>
            <w:r>
              <w:tab/>
            </w:r>
            <w:r>
              <w:rPr>
                <w:b/>
                <w:i/>
              </w:rPr>
              <w:t>като има предвид, че държавите членки следва незабавно да приложат Директивата относно адекватните минимални работни заплати и да изготвят планове за действие, с които да се увеличи обхватът на колективното договаряне в съответствие с директивата, когато е приложимо;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Идоя Мендия Куева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 е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Же.</w:t>
            </w:r>
            <w:r>
              <w:tab/>
            </w:r>
            <w:r>
              <w:rPr>
                <w:b/>
                <w:i/>
              </w:rPr>
              <w:t>като има предвид, че проучване на Eurofound показва, че от 2021 г. насам процентът на самоубийствата се покачва след десетилетия на спад; следователно е необходимо да се направи повече за справяне с причините за проблемите с психичното здраве в условията на труд и живот (социалното приобщаване е важно), същевременно хората с лошо психично здраве продължават да срещат проблеми с достъпа до подкрепа;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счита, че</w:t>
            </w:r>
            <w:r>
              <w:t xml:space="preserve"> Комисията и </w:t>
            </w:r>
            <w:r>
              <w:rPr>
                <w:b/>
                <w:i/>
              </w:rPr>
              <w:t>Съветът следва</w:t>
            </w:r>
            <w:r>
              <w:t xml:space="preserve"> да продължат да прилагат Европейския стълб на социалните права в съответствие с плана за действие от март 2021 г.;</w:t>
            </w:r>
          </w:p>
        </w:tc>
        <w:tc>
          <w:tcPr>
            <w:tcW w:w="4876" w:type="dxa"/>
            <w:tcBorders>
              <w:top w:val="nil"/>
              <w:left w:val="nil"/>
              <w:bottom w:val="nil"/>
              <w:right w:val="nil"/>
            </w:tcBorders>
          </w:tcPr>
          <w:p>
            <w:pPr>
              <w:pStyle w:val="Normal6a"/>
            </w:pPr>
            <w:r>
              <w:t>1.</w:t>
            </w:r>
            <w:r>
              <w:tab/>
            </w:r>
            <w:r>
              <w:rPr>
                <w:b/>
                <w:i/>
              </w:rPr>
              <w:t>призовава</w:t>
            </w:r>
            <w:r>
              <w:t xml:space="preserve"> Комисията и </w:t>
            </w:r>
            <w:r>
              <w:rPr>
                <w:b/>
                <w:i/>
              </w:rPr>
              <w:t>държавите членки</w:t>
            </w:r>
            <w:r>
              <w:t xml:space="preserve"> да продължат да прилагат Европейския стълб на социалните права </w:t>
            </w:r>
            <w:r>
              <w:rPr>
                <w:b/>
                <w:i/>
              </w:rPr>
              <w:t>(ЕССП)</w:t>
            </w:r>
            <w:r>
              <w:t xml:space="preserve"> в съответствие с плана за действие от март 2021 г. </w:t>
            </w:r>
            <w:r>
              <w:rPr>
                <w:b/>
                <w:i/>
              </w:rPr>
              <w:t>и Декларацията от Ла Юлп, за да постигнат водещите цели за 2030 г.;</w:t>
            </w:r>
            <w:r>
              <w:t xml:space="preserve"> </w:t>
            </w:r>
            <w:r>
              <w:rPr>
                <w:b/>
                <w:i/>
              </w:rPr>
              <w:t>във връзка с това приветства обявяването на нов план за действие относно прилагането на ЕССП</w:t>
            </w:r>
            <w:r>
              <w:rPr>
                <w:b/>
                <w:i/>
                <w:vertAlign w:val="superscript"/>
              </w:rPr>
              <w:t>12a</w:t>
            </w:r>
            <w:r>
              <w:t xml:space="preserve"> </w:t>
            </w:r>
            <w:r>
              <w:rPr>
                <w:b/>
                <w:i/>
              </w:rPr>
              <w:t>за 2025 г., за да се даде нов тласък на социалния напредък;</w:t>
            </w:r>
            <w:r>
              <w:t xml:space="preserve"> </w:t>
            </w:r>
            <w:r>
              <w:rPr>
                <w:b/>
                <w:i/>
              </w:rPr>
              <w:t>подчертава необходимостта актуализираният план за действие да съдържа амбициозни предложения за справяне с бедността и социалното изключване и мерки за подкрепа на работниците, за да се справят с двойния преход, по-специално по отношение на уменията, професионалното образование и обучение и ученето през целия живот</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12a</w:t>
            </w:r>
            <w:r>
              <w:t xml:space="preserve"> </w:t>
            </w:r>
            <w:r>
              <w:rPr>
                <w:b/>
                <w:i/>
              </w:rPr>
              <w:t>Изборът на Европа, Политически насоки за следващата Европейска комисия за периода 2024 – 2029 г., Урсула фон дер Лайен (юли 2024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счита, че Комисията и Съветът следва да </w:t>
            </w:r>
            <w:r>
              <w:rPr>
                <w:b/>
                <w:i/>
              </w:rPr>
              <w:t>продължат да прилагат</w:t>
            </w:r>
            <w:r>
              <w:t xml:space="preserve"> Европейския стълб на социалните права в съответствие с плана за действие от март 2021 г.;</w:t>
            </w:r>
          </w:p>
        </w:tc>
        <w:tc>
          <w:tcPr>
            <w:tcW w:w="4876" w:type="dxa"/>
            <w:tcBorders>
              <w:top w:val="nil"/>
              <w:left w:val="nil"/>
              <w:bottom w:val="nil"/>
              <w:right w:val="nil"/>
            </w:tcBorders>
          </w:tcPr>
          <w:p>
            <w:pPr>
              <w:pStyle w:val="Normal6a"/>
            </w:pPr>
            <w:r>
              <w:t>1.</w:t>
            </w:r>
            <w:r>
              <w:tab/>
            </w:r>
            <w:r>
              <w:t xml:space="preserve">счита, че Комисията и Съветът следва да </w:t>
            </w:r>
            <w:r>
              <w:rPr>
                <w:b/>
                <w:i/>
              </w:rPr>
              <w:t>ускорят пълното прилагане на</w:t>
            </w:r>
            <w:r>
              <w:t xml:space="preserve"> Европейския стълб на социалните права в съответствие с плана за действие от март 2021 г.; </w:t>
            </w:r>
            <w:r>
              <w:rPr>
                <w:b/>
                <w:i/>
              </w:rPr>
              <w:t>призовава Комисията да представи актуализиран план за Европейския стълб на социалните права за периода 2025 – 2029 г., като гарантира интегрирането на нови приоритети;</w:t>
            </w:r>
            <w:r>
              <w:t xml:space="preserve"> </w:t>
            </w:r>
            <w:r>
              <w:rPr>
                <w:b/>
                <w:i/>
              </w:rPr>
              <w:t>подчертава значението на използването на набора от социални показатели и Рамката за социална конвергенция, за да се идентифицират рисковете и да се проследява напредъкът в намаляването на неравенствата, укрепването на системите за социална закрила и насърчаването на добри условия на труд;</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счита, че Комисията и Съветът следва да продължат да прилагат Европейския стълб на социалните права в съответствие с плана за действие от март 2021 г.;</w:t>
            </w:r>
          </w:p>
        </w:tc>
        <w:tc>
          <w:tcPr>
            <w:tcW w:w="4876" w:type="dxa"/>
            <w:tcBorders>
              <w:top w:val="nil"/>
              <w:left w:val="nil"/>
              <w:bottom w:val="nil"/>
              <w:right w:val="nil"/>
            </w:tcBorders>
          </w:tcPr>
          <w:p>
            <w:pPr>
              <w:pStyle w:val="Normal6a"/>
            </w:pPr>
            <w:r>
              <w:t>1.</w:t>
            </w:r>
            <w:r>
              <w:tab/>
            </w:r>
            <w:r>
              <w:t xml:space="preserve">счита, че Комисията и Съветът следва да продължат да прилагат Европейския стълб на социалните права в съответствие с плана за действие от март 2021 г.; </w:t>
            </w:r>
            <w:r>
              <w:rPr>
                <w:b/>
                <w:i/>
              </w:rPr>
              <w:t>призовава за укрепване на социалния диалог, като същевременно се защитават равните възможности и се намаляват неравенствата в съответствие с Европейския стълб на социалните права, успоредно със зачитането на правомощията на държавите членки;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Мари Доши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счита, че Комисията и Съветът следва да продължат да прилагат Европейския стълб на социалните права в съответствие с плана за действие от март 2021 г.;</w:t>
            </w:r>
          </w:p>
        </w:tc>
        <w:tc>
          <w:tcPr>
            <w:tcW w:w="4876" w:type="dxa"/>
            <w:tcBorders>
              <w:top w:val="nil"/>
              <w:left w:val="nil"/>
              <w:bottom w:val="nil"/>
              <w:right w:val="nil"/>
            </w:tcBorders>
          </w:tcPr>
          <w:p>
            <w:pPr>
              <w:pStyle w:val="Normal6a"/>
            </w:pPr>
            <w:r>
              <w:t>1.</w:t>
            </w:r>
            <w:r>
              <w:tab/>
            </w:r>
            <w:r>
              <w:t>счита, че Комисията и Съветът следва да продължат да прилагат Европейския стълб на социалните права в съответствие с плана за действие от март 2021 г.</w:t>
            </w:r>
            <w:r>
              <w:rPr>
                <w:b/>
                <w:i/>
              </w:rPr>
              <w:t>, като съблюдават в максимална степен националното законодателство и като прилагането е допълващо, а не принудително</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счита, че Комисията и Съветът следва да </w:t>
            </w:r>
            <w:r>
              <w:rPr>
                <w:b/>
                <w:i/>
              </w:rPr>
              <w:t>продължат да прилагат</w:t>
            </w:r>
            <w:r>
              <w:t xml:space="preserve"> Европейския стълб на социалните права </w:t>
            </w:r>
            <w:r>
              <w:rPr>
                <w:b/>
                <w:i/>
              </w:rPr>
              <w:t>в съответствие с</w:t>
            </w:r>
            <w:r>
              <w:t xml:space="preserve"> плана за действие </w:t>
            </w:r>
            <w:r>
              <w:rPr>
                <w:b/>
                <w:i/>
              </w:rPr>
              <w:t>от март 2021</w:t>
            </w:r>
            <w:r>
              <w:t xml:space="preserve"> г.;</w:t>
            </w:r>
          </w:p>
        </w:tc>
        <w:tc>
          <w:tcPr>
            <w:tcW w:w="4876" w:type="dxa"/>
            <w:tcBorders>
              <w:top w:val="nil"/>
              <w:left w:val="nil"/>
              <w:bottom w:val="nil"/>
              <w:right w:val="nil"/>
            </w:tcBorders>
          </w:tcPr>
          <w:p>
            <w:pPr>
              <w:pStyle w:val="Normal6a"/>
            </w:pPr>
            <w:r>
              <w:t>1.</w:t>
            </w:r>
            <w:r>
              <w:tab/>
            </w:r>
            <w:r>
              <w:t xml:space="preserve">счита, че Комисията и Съветът следва да </w:t>
            </w:r>
            <w:r>
              <w:rPr>
                <w:b/>
                <w:i/>
              </w:rPr>
              <w:t>увеличат усилията си за прилагане на</w:t>
            </w:r>
            <w:r>
              <w:t xml:space="preserve"> Европейския стълб на социалните права </w:t>
            </w:r>
            <w:r>
              <w:rPr>
                <w:b/>
                <w:i/>
              </w:rPr>
              <w:t>с оглед на предстоящото преразглеждане на</w:t>
            </w:r>
            <w:r>
              <w:t xml:space="preserve"> плана за действие </w:t>
            </w:r>
            <w:r>
              <w:rPr>
                <w:b/>
                <w:i/>
              </w:rPr>
              <w:t>през 2025</w:t>
            </w:r>
            <w:r>
              <w:t>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припомня, че европейските граждани многократно са посочвали като приоритет целите за една социална Европа;</w:t>
            </w:r>
            <w:r>
              <w:t xml:space="preserve"> </w:t>
            </w:r>
            <w:r>
              <w:rPr>
                <w:b/>
                <w:i/>
              </w:rPr>
              <w:t>подчертава, че за да се превърне социална Европа в реалност и да се гарантира високо равнище на социална закрила при преходите, е необходимо да се гарантира устойчива, справедлива и приобщаваща Европа, в която социалните права са напълно защитени и гарантирани на същото равнище като икономическите свободи, и е необходимо да се обмислят методи за гарантиране на европейския социален договор;</w:t>
            </w:r>
            <w:r>
              <w:t xml:space="preserve"> </w:t>
            </w:r>
            <w:r>
              <w:rPr>
                <w:b/>
                <w:i/>
              </w:rPr>
              <w:t>във връзка с това отново призовава за протокол за социален напредък, който да бъде приложен към Договорите</w:t>
            </w:r>
            <w:r>
              <w:rPr>
                <w:b/>
                <w:i/>
                <w:vertAlign w:val="superscript"/>
              </w:rPr>
              <w:t>13a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13a</w:t>
            </w:r>
            <w:r>
              <w:t xml:space="preserve"> </w:t>
            </w:r>
            <w:r>
              <w:rPr>
                <w:b/>
                <w:i/>
              </w:rPr>
              <w:t>Резолюция на Европейския парламент от 22 ноември 2023 г. относно предложения на Европейския парламент за преразглеждане на Договорите (2022/2051 (INL)).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Нилс Гойкинг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призовава за прилагане на възходяща конвергенция чрез незабавни мерки за гарантиране на висококачествени обществени грижи, образование и умения за следващото поколение, и по-специално чрез по-нататъшни инвестиции в ефективен достъп до здравословно хранене под формата на предоставяне най-малко веднъж на ден на безплатна топла храна за всяко дете в ЕС във всички детски заведения и училища;</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призовава Комисията да гарантира, че в съвместния доклад за заетостта за 2026 г. се анализира прилагането на всички принципи на ЕССП в съответствие с Регламент 2024/1263, и да включи в съвместния доклад за заетостта анализ на социалното измерение на националните средносрочни фискално-структурни планове, свързани със социалната устойчивост, включително Европейския стълб на социалните права;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1б.</w:t>
            </w:r>
            <w:r>
              <w:tab/>
            </w:r>
            <w:r>
              <w:rPr>
                <w:b/>
                <w:i/>
              </w:rPr>
              <w:t>изразява загриженост, че през 2023 г. 94,6 милиона души в ЕС все още са били изложени на риск от бедност или социално изключване;</w:t>
            </w:r>
            <w:r>
              <w:t xml:space="preserve"> </w:t>
            </w:r>
            <w:r>
              <w:rPr>
                <w:b/>
                <w:i/>
              </w:rPr>
              <w:t>подчертава, че без промяна на парадигмата в подхода за борба с бедността Европейският съюз и неговите държави членки няма да постигнат своите цели за намаляване на бедността;</w:t>
            </w:r>
            <w:r>
              <w:t xml:space="preserve"> </w:t>
            </w:r>
            <w:r>
              <w:rPr>
                <w:b/>
                <w:i/>
              </w:rPr>
              <w:t>счита, че обявяването на първата по рода си Стратегия на ЕС за борба с бедността е стъпка в правилната посока към обръщане на тенденцията, но трябва да се осигури всеобхватен подход за справяне с многоизмерните аспекти на бедността и социалното изключване чрез конкретни действия, силно прилагане и наблюдение;</w:t>
            </w:r>
            <w:r>
              <w:t xml:space="preserve"> </w:t>
            </w:r>
            <w:r>
              <w:rPr>
                <w:b/>
                <w:i/>
              </w:rPr>
              <w:t>призовава тази стратегия да обхваща всички хора, живеещи в бедност и социално изключване, преди всичко хората в най-неравностойно положение, но също така специфични мерки за различните групи, като лицата, засегнати от бедност сред работещите, бездомните, хората с увреждания, семействата с един родител и преди всичко децата, за да се прекъсне устойчиво цикълът на бедността;</w:t>
            </w:r>
            <w:r>
              <w:t xml:space="preserve"> </w:t>
            </w:r>
            <w:r>
              <w:rPr>
                <w:b/>
                <w:i/>
              </w:rPr>
              <w:t>подчертава, че транспонирането на Директивата относно адекватните минимални работни заплати ще бъде от ключово значение за предотвратяването и борбата с рисковете от бедност сред работниците, като същевременно ще засили стимулите за работа, и приветства факта, че няколко държави членки са изменили или планират да изменят своите рамки за минимална работна заплата;</w:t>
            </w:r>
            <w:r>
              <w:t xml:space="preserve"> </w:t>
            </w:r>
            <w:r>
              <w:rPr>
                <w:b/>
                <w:i/>
              </w:rPr>
              <w:t>подчертава, че рамкова директива на ЕС относно адекватния минимален доход и активното приобщаване, в съответствие с принципа на субсидиарност, би допринесла за постигането на целите за намаляване на бедността и за насърчаването на интеграцията на хората, които отсъстват от пазара на труда;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1б.</w:t>
            </w:r>
            <w:r>
              <w:tab/>
            </w:r>
            <w:r>
              <w:rPr>
                <w:b/>
                <w:i/>
              </w:rPr>
              <w:t>изразява съжаление относно липсата на данни и анализ на неравенството в богатството и концентрацията на богатство в ЕС, тъй като това е един от основните фактори за бедността;</w:t>
            </w:r>
            <w:r>
              <w:t xml:space="preserve"> </w:t>
            </w:r>
            <w:r>
              <w:rPr>
                <w:b/>
                <w:i/>
              </w:rPr>
              <w:t>посочва, че според сметките за разпределено богатство (DWA), набор от данни, разработен от Европейската система на централните банки (ЕСЦБ), делът на богатството, притежавано от най-богатите 10%, е бил 56% през четвъртото тримесечие на 2023 г., докато долната половина е притежавала само 5% от богатството;</w:t>
            </w:r>
            <w:r>
              <w:t xml:space="preserve"> </w:t>
            </w:r>
            <w:r>
              <w:rPr>
                <w:b/>
                <w:i/>
              </w:rPr>
              <w:t>призовава Комисията и държавите членки да направят оценка на социално-икономическото въздействие на неравенствата в богатството и спешно да предложат мерки, които да гарантират по-справедливо разпределение на богатството и ресурсите, за да се даде възможност за напредък към целта за намаляване на бедността с 15 милиона души през 2030 г., както и за разширяване на средната класа;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1в.</w:t>
            </w:r>
            <w:r>
              <w:tab/>
            </w:r>
            <w:r>
              <w:rPr>
                <w:b/>
                <w:i/>
              </w:rPr>
              <w:t>призовава отново Комисията внимателно да наблюдава прилагането на Гаранцията за децата във всички държави членки като част от европейския семестър и специфичните за всяка държава препоръки;</w:t>
            </w:r>
            <w:r>
              <w:t xml:space="preserve"> </w:t>
            </w:r>
            <w:r>
              <w:rPr>
                <w:b/>
                <w:i/>
              </w:rPr>
              <w:t>отново призовава да се увеличи финансирането за Европейската гаранция за децата, като се осигури специален бюджет от най-малко 20 милиарда евро, а всички държави членки да насочват поне 5% от разпределените им средства по ЕСФ + за борба с детската бедност и насърчаване на благосъстоянието на децата;</w:t>
            </w:r>
            <w:r>
              <w:t xml:space="preserve"> </w:t>
            </w:r>
            <w:r>
              <w:rPr>
                <w:b/>
                <w:i/>
              </w:rPr>
              <w:t>счита, че специфичните за всяка държава препоръки следва да отразяват спазването в бюджета от страна на държавите членки на минималното изискване за отпускане на средства за справяне с детската бедност, определено в Регламента за ЕСФ +</w:t>
            </w:r>
            <w:r>
              <w:rPr>
                <w:b/>
                <w:i/>
                <w:vertAlign w:val="superscript"/>
              </w:rPr>
              <w:t>14a</w:t>
            </w:r>
            <w:r>
              <w:rPr>
                <w:b/>
                <w:i/>
              </w:rPr>
              <w:t>;</w:t>
            </w:r>
            <w:r>
              <w:t xml:space="preserve"> </w:t>
            </w:r>
            <w:r>
              <w:rPr>
                <w:b/>
                <w:i/>
              </w:rPr>
              <w:t>призовава Комисията да предостави амбициозен бюджет за Гаранцията за децата в следващата многогодишна финансова рамка, за да се отговори на нарастващото предизвикателство, свързано с детската бедност и социалното изключване;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14a</w:t>
            </w:r>
            <w:r>
              <w:t xml:space="preserve"> </w:t>
            </w:r>
            <w:r>
              <w:rPr>
                <w:b/>
                <w:i/>
              </w:rPr>
              <w:t>Регламент (ЕС) 2021/1057 за създаване на Европейския социален фонд плюс, член 7, параграф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1в.</w:t>
            </w:r>
            <w:r>
              <w:tab/>
            </w:r>
            <w:r>
              <w:rPr>
                <w:b/>
                <w:i/>
              </w:rPr>
              <w:t>приветства включването в съвместния доклад за заетостта за 2025 г. на анализ на положителния принос на ЦУР и европейските стратегии за равенство и призовава Комисията да гарантира, че съвместният доклад за заетостта за 2026 г. включва както раздел, в който се анализира напредъкът към постигането на ЦУР, свързани със заетостта и социалната политика, така и раздел относно напредъка към премахване на социалната и трудовата дискриминация в съответствие със Стратегията за равенство между половете за периода 2020 – 2025 г., Плана за действие на ЕС за борба с расизма за периода 2020 – 2025 г., Стратегическата рамка на ЕС за равенство, приобщаване и участие на ромите за периода 2020 – 2030 г., Стратегия за равнопоставеност на ЛГБТИК за 2020 – 2025 г. и Стратегия за правата на хората с увреждания за периода 2021 – 2030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 г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1г.</w:t>
            </w:r>
            <w:r>
              <w:tab/>
            </w:r>
            <w:r>
              <w:rPr>
                <w:b/>
                <w:i/>
              </w:rPr>
              <w:t>изразява загриженост във връзка с продължаващото затваряне на фабрики в различни сектори в Европейския съюз и въздействието върху работниците, изправени пред загуба на работни места;</w:t>
            </w:r>
            <w:r>
              <w:t xml:space="preserve"> </w:t>
            </w:r>
            <w:r>
              <w:rPr>
                <w:b/>
                <w:i/>
              </w:rPr>
              <w:t>призовава Комисията да гарантира, че политиките за квалификация и обучение на работниците и създаването на качествени работни места са интегрирани в предстоящия „Пакт за чиста промишленост“ в съответствие с доклада на Марио Драги;</w:t>
            </w:r>
            <w:r>
              <w:t xml:space="preserve"> </w:t>
            </w:r>
            <w:r>
              <w:rPr>
                <w:b/>
                <w:i/>
              </w:rPr>
              <w:t>припомня важната роля, която Европейският фонд за приспособяване към глобализацията за съкратени работници (ЕФПГ) може да играе за подкрепата и преквалификацията на работниците, съкратени в резултат на големи преструктурирания, свързани например с глобализацията, прехода към нисковъглеродна икономика или вследствие на цифровизацията или автоматизацията;</w:t>
            </w:r>
            <w:r>
              <w:t xml:space="preserve"> </w:t>
            </w:r>
            <w:r>
              <w:rPr>
                <w:b/>
                <w:i/>
              </w:rPr>
              <w:t>призовава държавите членки да използват Фонда и да разпространяват широко информация относно възможностите за подкрепа на работниците;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 г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1г.</w:t>
            </w:r>
            <w:r>
              <w:tab/>
            </w:r>
            <w:r>
              <w:rPr>
                <w:b/>
                <w:i/>
              </w:rPr>
              <w:t>призовава държавите членки да прилагат актуализираните насоки за заетостта, с акцент върху образованието и обучението за всички, новите технологии, като изкуствения интелект, както и неотдавнашните политически инициативи относно работата през платформи, финансово достъпното и достойно жилищно настаняване и справянето с недостига на работна ръка и умения;</w:t>
            </w:r>
            <w:r>
              <w:t xml:space="preserve"> </w:t>
            </w:r>
            <w:r>
              <w:rPr>
                <w:b/>
                <w:i/>
              </w:rPr>
              <w:t>с оглед на укрепването на демократичния процес на вземане на решения;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 д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1д.</w:t>
            </w:r>
            <w:r>
              <w:tab/>
            </w:r>
            <w:r>
              <w:rPr>
                <w:b/>
                <w:i/>
              </w:rPr>
              <w:t>подчертава необходимостта от значителни инвестиции в уменията на работниците и от установяване на индивидуално право на обучение и учене през целия живот;</w:t>
            </w:r>
            <w:r>
              <w:t xml:space="preserve"> </w:t>
            </w:r>
            <w:r>
              <w:rPr>
                <w:b/>
                <w:i/>
              </w:rPr>
              <w:t>призовава държавите членки да разработят мерки за повишаване на квалификацията и преквалификация в сътрудничество с местните заинтересовани страни, включително органите за образование и обучение и социалните партньори, за да се укрепи връзката между системите за образование и обучение и пазара на труда и да се предвидят потребностите на пазара на труда;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 e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1е.</w:t>
            </w:r>
            <w:r>
              <w:tab/>
            </w:r>
            <w:r>
              <w:rPr>
                <w:b/>
                <w:i/>
              </w:rPr>
              <w:t>приветства обявяването на пътна карта за качествени работни места, за да се гарантира справедлив преход за всички чрез подкрепа за справедливи заплати, добри условия на труд, обучение и справедлив преход от едно работно място към друго за работниците и самостоятелно заетите лица, по-специално чрез увеличаване на обхвата на колективното договаряне;</w:t>
            </w:r>
            <w:r>
              <w:t xml:space="preserve"> </w:t>
            </w:r>
            <w:r>
              <w:rPr>
                <w:b/>
                <w:i/>
              </w:rPr>
              <w:t>призовава Комисията да разработи тази пътна карта в сътрудничество със социалните партньори;</w:t>
            </w:r>
            <w:r>
              <w:t xml:space="preserve"> </w:t>
            </w:r>
            <w:r>
              <w:rPr>
                <w:b/>
                <w:i/>
              </w:rPr>
              <w:t>освен това призовава Комисията да включи в тази пътна карта съображения за мерки, включително законодателни предложения, свързани с използването на изкуствен интелект и алгоритмично управление в сферата на труда, така че новите технологии да се използват за подобряване на условията на труд и производителността, като същевременно се зачитат правата на работниците и равновесието между професионалния и личния живот;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 ж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1ж.</w:t>
            </w:r>
            <w:r>
              <w:tab/>
            </w:r>
            <w:r>
              <w:rPr>
                <w:b/>
                <w:i/>
              </w:rPr>
              <w:t>приветства факта, че се очаква почти всички държави членки да увеличат публичните инвестиции през 2025 г.</w:t>
            </w:r>
            <w:r>
              <w:rPr>
                <w:b/>
                <w:i/>
                <w:vertAlign w:val="superscript"/>
              </w:rPr>
              <w:t>15a</w:t>
            </w:r>
            <w:r>
              <w:rPr>
                <w:b/>
                <w:i/>
              </w:rPr>
              <w:t>, което е необходимо за гарантиране на достъп до качествени обществени услуги и постигане на целите на ЕССП;</w:t>
            </w:r>
            <w:r>
              <w:t xml:space="preserve"> </w:t>
            </w:r>
            <w:r>
              <w:rPr>
                <w:b/>
                <w:i/>
              </w:rPr>
              <w:t>припомня, че Механизмът за възстановяване и устойчивост (МВУ) може да бъде мобилизиран от държавите членки до 31 декември 2026 г., и ги призовава да използват пълноценно и целенасочено тези средства, за да се справят с предизвикателствата, посочени в специфичните за всяка държава препоръки в рамките на европейския семестър, и да създадат политики за интелигентен, устойчив и приобщаващ растеж и за следващото поколение, децата и младите хора, както е предвидено в Регламента за МВУ</w:t>
            </w:r>
            <w:r>
              <w:rPr>
                <w:b/>
                <w:i/>
                <w:vertAlign w:val="superscript"/>
              </w:rPr>
              <w:t>16a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15a</w:t>
            </w:r>
            <w:r>
              <w:t xml:space="preserve"> </w:t>
            </w:r>
            <w:r>
              <w:rPr>
                <w:b/>
                <w:i/>
              </w:rPr>
              <w:t>Съобщението на Комисията „Европейски семестър за 2025 г.: привеждане в действие на новата рамка за икономическо управление“ (COM(2024) 705 final)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16a</w:t>
            </w:r>
            <w:r>
              <w:t xml:space="preserve"> </w:t>
            </w:r>
            <w:r>
              <w:rPr>
                <w:b/>
                <w:i/>
              </w:rPr>
              <w:t>Регламент (ЕС) 2021/241 за създаване на Механизъм за възстановяване и устойчивост, член 3, букви в) и 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 з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1з.</w:t>
            </w:r>
            <w:r>
              <w:tab/>
            </w:r>
            <w:r>
              <w:rPr>
                <w:b/>
                <w:i/>
              </w:rPr>
              <w:t>приветства съобщението на Комисията за публикуването на компас за конкурентоспособността през януари 2025 г.;</w:t>
            </w:r>
            <w:r>
              <w:t xml:space="preserve"> </w:t>
            </w:r>
            <w:r>
              <w:rPr>
                <w:b/>
                <w:i/>
              </w:rPr>
              <w:t>счита, че целта на Европейския съюз за конкурентоспособност не може да бъде постигната без наличието на подходящи умения за европейските работници;</w:t>
            </w:r>
            <w:r>
              <w:t xml:space="preserve"> </w:t>
            </w:r>
            <w:r>
              <w:rPr>
                <w:b/>
                <w:i/>
              </w:rPr>
              <w:t>призовава Комисията да включи в настоящия компас за конкурентоспособност мерки относно развитието на уменията на европейската работна сила;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повтаря, че е важно да се подкрепя развитието на уменията </w:t>
            </w:r>
            <w:r>
              <w:rPr>
                <w:b/>
                <w:i/>
              </w:rPr>
              <w:t>на работната сила</w:t>
            </w:r>
            <w:r>
              <w:t xml:space="preserve">, за да се подобри конкурентоспособността и да се гарантира качествена заетост; призовава настоятелно държавите членки да засилят </w:t>
            </w:r>
            <w:r>
              <w:rPr>
                <w:b/>
                <w:i/>
              </w:rPr>
              <w:t>професионалното и цифровото</w:t>
            </w:r>
            <w:r>
              <w:t xml:space="preserve"> обучение, като същевременно насърчават приобщаването на хората с увреждания в работната сила, за да се преодолее недостигът на работна ръка и да се подкрепят равните възможности на пазара на труда, като се има предвид, че въпреки положителното развитие, хората с увреждания продължават да са изправени пред значителни пречки на пазара на труда;</w:t>
            </w:r>
          </w:p>
        </w:tc>
        <w:tc>
          <w:tcPr>
            <w:tcW w:w="4876" w:type="dxa"/>
            <w:tcBorders>
              <w:top w:val="nil"/>
              <w:left w:val="nil"/>
              <w:bottom w:val="nil"/>
              <w:right w:val="nil"/>
            </w:tcBorders>
          </w:tcPr>
          <w:p>
            <w:pPr>
              <w:pStyle w:val="Normal6a"/>
            </w:pPr>
            <w:r>
              <w:t>2.</w:t>
            </w:r>
            <w:r>
              <w:tab/>
            </w:r>
            <w:r>
              <w:t>повтаря, че е важно да се подкрепя развитието на уменията </w:t>
            </w:r>
            <w:r>
              <w:rPr>
                <w:b/>
                <w:i/>
              </w:rPr>
              <w:t>и висококачествено и свързано с професията обучение, предоставяно в работно време и финансирано от работодателя</w:t>
            </w:r>
            <w:r>
              <w:t xml:space="preserve">, за да се подобри конкурентоспособността и да се гарантира </w:t>
            </w:r>
            <w:r>
              <w:rPr>
                <w:b/>
                <w:i/>
              </w:rPr>
              <w:t>приобщаваща и справедлива</w:t>
            </w:r>
            <w:r>
              <w:t xml:space="preserve"> качествена заетост; призовава настоятелно </w:t>
            </w:r>
            <w:r>
              <w:rPr>
                <w:b/>
                <w:i/>
              </w:rPr>
              <w:t>Комисията и</w:t>
            </w:r>
            <w:r>
              <w:t xml:space="preserve"> държавите членки да засилят </w:t>
            </w:r>
            <w:r>
              <w:rPr>
                <w:b/>
                <w:i/>
              </w:rPr>
              <w:t>висококачественото и приобщаващо професионално и цифрово право на</w:t>
            </w:r>
            <w:r>
              <w:t xml:space="preserve"> обучение </w:t>
            </w:r>
            <w:r>
              <w:rPr>
                <w:b/>
                <w:i/>
              </w:rPr>
              <w:t>за всички</w:t>
            </w:r>
            <w:r>
              <w:t xml:space="preserve">, като същевременно насърчават приобщаването на хората с увреждания </w:t>
            </w:r>
            <w:r>
              <w:rPr>
                <w:b/>
                <w:i/>
              </w:rPr>
              <w:t>и младите и по-възрастните работници</w:t>
            </w:r>
            <w:r>
              <w:t xml:space="preserve"> в работната сила, за да се преодолее недостигът на работна ръка и да се подкрепят равните възможности на пазара на труда</w:t>
            </w:r>
            <w:r>
              <w:rPr>
                <w:b/>
                <w:i/>
              </w:rPr>
              <w:t>;</w:t>
            </w:r>
            <w:r>
              <w:t xml:space="preserve"> </w:t>
            </w:r>
            <w:r>
              <w:rPr>
                <w:b/>
                <w:i/>
              </w:rPr>
              <w:t>това трябва да включва осигуряване на достъп до платени, качествени и приобщаващи стажове и чиракуване за младите хора, като им се даде възможност да придобият значим първи професионален опит и се улесни преходът им от образование към заетост и се създадат условия на труд, които дават възможност на застаряващата работна сила да остане здравословно и доброволно на пазара на труда;</w:t>
            </w:r>
            <w:r>
              <w:t xml:space="preserve"> </w:t>
            </w:r>
            <w:r>
              <w:rPr>
                <w:b/>
                <w:i/>
              </w:rPr>
              <w:t>подчертава необходимостта от увеличаване на възможностите за развитие на умения през целия живот</w:t>
            </w:r>
            <w:r>
              <w:t>, като се има предвид, че въпреки положителното развитие, хората с увреждания</w:t>
            </w:r>
            <w:r>
              <w:rPr>
                <w:b/>
                <w:i/>
              </w:rPr>
              <w:t>, особено жените с увреждания,</w:t>
            </w:r>
            <w:r>
              <w:t xml:space="preserve"> продължават да са изправени пред значителни пречки на пазара на труда;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повтаря, че е важно да се подкрепя развитието на уменията на работната сила, за да се подобри конкурентоспособността и да се гарантира качествена заетост; призовава настоятелно държавите членки да засилят професионалното и цифровото обучение, като същевременно насърчават приобщаването на хората с увреждания в работната сила, за да се преодолее недостигът на работна ръка и да се подкрепят равните възможности на пазара на труда</w:t>
            </w:r>
            <w:r>
              <w:rPr>
                <w:b/>
                <w:i/>
              </w:rPr>
              <w:t>, като се има предвид, че въпреки положителното развитие</w:t>
            </w:r>
            <w:r>
              <w:t xml:space="preserve">, хората с увреждания </w:t>
            </w:r>
            <w:r>
              <w:rPr>
                <w:b/>
                <w:i/>
              </w:rPr>
              <w:t>продължават да са изправени пред значителни пречки</w:t>
            </w:r>
            <w:r>
              <w:t xml:space="preserve"> на пазара на труда;</w:t>
            </w:r>
          </w:p>
        </w:tc>
        <w:tc>
          <w:tcPr>
            <w:tcW w:w="4876" w:type="dxa"/>
            <w:tcBorders>
              <w:top w:val="nil"/>
              <w:left w:val="nil"/>
              <w:bottom w:val="nil"/>
              <w:right w:val="nil"/>
            </w:tcBorders>
          </w:tcPr>
          <w:p>
            <w:pPr>
              <w:pStyle w:val="Normal6a"/>
            </w:pPr>
            <w:r>
              <w:t>2.</w:t>
            </w:r>
            <w:r>
              <w:tab/>
            </w:r>
            <w:r>
              <w:t xml:space="preserve">повтаря, че е важно да се подкрепя развитието на уменията на работната сила, за да се подобри конкурентоспособността и да се гарантира качествена заетост; призовава настоятелно държавите членки да засилят професионалното и цифровото обучение, като същевременно насърчават приобщаването на хората </w:t>
            </w:r>
            <w:r>
              <w:rPr>
                <w:b/>
                <w:i/>
              </w:rPr>
              <w:t>от групи в неравностойно положение, като хората</w:t>
            </w:r>
            <w:r>
              <w:t xml:space="preserve"> с увреждания</w:t>
            </w:r>
            <w:r>
              <w:rPr>
                <w:b/>
                <w:i/>
              </w:rPr>
              <w:t>,</w:t>
            </w:r>
            <w:r>
              <w:t xml:space="preserve"> в работната сила, за да се преодолее недостигът на работна ръка и да се подкрепят равните възможности на пазара на труда</w:t>
            </w:r>
            <w:r>
              <w:rPr>
                <w:b/>
                <w:i/>
              </w:rPr>
              <w:t>;</w:t>
            </w:r>
            <w:r>
              <w:t xml:space="preserve"> </w:t>
            </w:r>
            <w:r>
              <w:rPr>
                <w:b/>
                <w:i/>
              </w:rPr>
              <w:t>призовава държавите членки да засилят мерките за обучение, повишаване на квалификацията и преквалификация, както и активните политики по заетостта, насочени към неактивната работна сила и групите със слабо участие на пазара на труда, включително жените</w:t>
            </w:r>
            <w:r>
              <w:t>, хората с увреждания</w:t>
            </w:r>
            <w:r>
              <w:rPr>
                <w:b/>
                <w:i/>
              </w:rPr>
              <w:t>, хората с по-ниска образователна степен, младите хора и незаетите с работа, учене или обучение, по-възрастните работници и хората с мигрантски или етнически малцинствен произход, например ромите;</w:t>
            </w:r>
            <w:r>
              <w:t xml:space="preserve"> </w:t>
            </w:r>
            <w:r>
              <w:rPr>
                <w:b/>
                <w:i/>
              </w:rPr>
              <w:t>подчертава, че борбата с всички форми на дискриминация и стереотипи е от решаващо значение, за да се гарантира приобщаването на тези групи</w:t>
            </w:r>
            <w:r>
              <w:t xml:space="preserve"> на пазара на труда;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повтаря, че е важно да се подкрепя развитието на уменията на работната сила, за да се </w:t>
            </w:r>
            <w:r>
              <w:rPr>
                <w:b/>
                <w:i/>
              </w:rPr>
              <w:t>подобри</w:t>
            </w:r>
            <w:r>
              <w:t xml:space="preserve"> конкурентоспособността и да се гарантира качествена заетост; призовава настоятелно държавите членки да засилят професионалното и цифровото обучение, като същевременно насърчават приобщаването </w:t>
            </w:r>
            <w:r>
              <w:rPr>
                <w:b/>
                <w:i/>
              </w:rPr>
              <w:t>на хората с увреждания в работната сила</w:t>
            </w:r>
            <w:r>
              <w:t xml:space="preserve">, за да се преодолее недостигът на работна ръка и да се подкрепят равните възможности на пазара на труда, като се </w:t>
            </w:r>
            <w:r>
              <w:rPr>
                <w:b/>
                <w:i/>
              </w:rPr>
              <w:t>има</w:t>
            </w:r>
            <w:r>
              <w:t xml:space="preserve"> предвид</w:t>
            </w:r>
            <w:r>
              <w:rPr>
                <w:b/>
                <w:i/>
              </w:rPr>
              <w:t>, че въпреки положителното развитие, хората с увреждания</w:t>
            </w:r>
            <w:r>
              <w:t xml:space="preserve"> продължават да са изправени </w:t>
            </w:r>
            <w:r>
              <w:rPr>
                <w:b/>
                <w:i/>
              </w:rPr>
              <w:t>пред значителни пречки</w:t>
            </w:r>
            <w:r>
              <w:t xml:space="preserve"> на пазара на труда;</w:t>
            </w:r>
          </w:p>
        </w:tc>
        <w:tc>
          <w:tcPr>
            <w:tcW w:w="4876" w:type="dxa"/>
            <w:tcBorders>
              <w:top w:val="nil"/>
              <w:left w:val="nil"/>
              <w:bottom w:val="nil"/>
              <w:right w:val="nil"/>
            </w:tcBorders>
          </w:tcPr>
          <w:p>
            <w:pPr>
              <w:pStyle w:val="Normal6a"/>
            </w:pPr>
            <w:r>
              <w:t>2.</w:t>
            </w:r>
            <w:r>
              <w:tab/>
            </w:r>
            <w:r>
              <w:t>повтаря, че е важно да се подкрепя развитието на уменията</w:t>
            </w:r>
            <w:r>
              <w:rPr>
                <w:b/>
                <w:i/>
              </w:rPr>
              <w:t>, преквалификацията и повишаването на квалификацията</w:t>
            </w:r>
            <w:r>
              <w:t xml:space="preserve"> на работната сила, за да се </w:t>
            </w:r>
            <w:r>
              <w:rPr>
                <w:b/>
                <w:i/>
              </w:rPr>
              <w:t>подобрят</w:t>
            </w:r>
            <w:r>
              <w:t xml:space="preserve"> конкурентоспособността и </w:t>
            </w:r>
            <w:r>
              <w:rPr>
                <w:b/>
                <w:i/>
              </w:rPr>
              <w:t>дългосрочната устойчивост на европейската промишленост и малките и средните предприятия и</w:t>
            </w:r>
            <w:r>
              <w:t xml:space="preserve"> да се гарантира качествена заетост </w:t>
            </w:r>
            <w:r>
              <w:rPr>
                <w:b/>
                <w:i/>
              </w:rPr>
              <w:t>за работниците, особено за тези в секторите в преход</w:t>
            </w:r>
            <w:r>
              <w:t xml:space="preserve">; призовава настоятелно държавите членки да засилят професионалното и цифровото обучение, като същевременно насърчават приобщаването </w:t>
            </w:r>
            <w:r>
              <w:rPr>
                <w:b/>
                <w:i/>
              </w:rPr>
              <w:t>в работната сила на всички групи, които понастоящем изпитват затруднения в достъпа до пазара на труда, включително хората с увреждания</w:t>
            </w:r>
            <w:r>
              <w:t xml:space="preserve">, за да се преодолее недостигът на работна ръка и да се подкрепят равните възможности на пазара на труда, като се </w:t>
            </w:r>
            <w:r>
              <w:rPr>
                <w:b/>
                <w:i/>
              </w:rPr>
              <w:t>имат</w:t>
            </w:r>
            <w:r>
              <w:t xml:space="preserve"> предвид </w:t>
            </w:r>
            <w:r>
              <w:rPr>
                <w:b/>
                <w:i/>
              </w:rPr>
              <w:t>значителните пречки, пред които</w:t>
            </w:r>
            <w:r>
              <w:t xml:space="preserve"> продължават да са изправени </w:t>
            </w:r>
            <w:r>
              <w:rPr>
                <w:b/>
                <w:i/>
              </w:rPr>
              <w:t>хората с увреждания</w:t>
            </w:r>
            <w:r>
              <w:t xml:space="preserve"> на пазара на труда;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Мириам Лексман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повтаря, че е важно да се подкрепя развитието на уменията на работната сила, за да се подобри конкурентоспособността и да се гарантира качествена заетост; призовава настоятелно държавите членки да засилят професионалното и цифровото обучение, като същевременно насърчават приобщаването на хората с увреждания в работната сила, за да се преодолее недостигът на работна ръка и да се подкрепят равните възможности на пазара на труда, като се има предвид, че въпреки положителното развитие, хората с увреждания продължават да са изправени пред значителни пречки на пазара на труда;</w:t>
            </w:r>
          </w:p>
        </w:tc>
        <w:tc>
          <w:tcPr>
            <w:tcW w:w="4876" w:type="dxa"/>
            <w:tcBorders>
              <w:top w:val="nil"/>
              <w:left w:val="nil"/>
              <w:bottom w:val="nil"/>
              <w:right w:val="nil"/>
            </w:tcBorders>
          </w:tcPr>
          <w:p>
            <w:pPr>
              <w:pStyle w:val="Normal6a"/>
            </w:pPr>
            <w:r>
              <w:t>2.</w:t>
            </w:r>
            <w:r>
              <w:tab/>
            </w:r>
            <w:r>
              <w:t>повтаря, че е важно да се подкрепя развитието на уменията на работната сила, за да се подобри конкурентоспособността и да се гарантира качествена заетост</w:t>
            </w:r>
            <w:r>
              <w:rPr>
                <w:b/>
                <w:i/>
              </w:rPr>
              <w:t>, като същевременно се зачитат индивидуалните стремежи на работниците</w:t>
            </w:r>
            <w:r>
              <w:t>; призовава настоятелно държавите членки да засилят професионалното и цифровото обучение, като същевременно насърчават приобщаването на хората с увреждания</w:t>
            </w:r>
            <w:r>
              <w:rPr>
                <w:b/>
                <w:i/>
              </w:rPr>
              <w:t>, включително хората с хронични заболявания,</w:t>
            </w:r>
            <w:r>
              <w:t xml:space="preserve"> в работната сила </w:t>
            </w:r>
            <w:r>
              <w:rPr>
                <w:b/>
                <w:i/>
              </w:rPr>
              <w:t>и реинтегрирането на работниците след дълго отсъствие</w:t>
            </w:r>
            <w:r>
              <w:t>, за да се преодолее недостигът на работна ръка и да се подкрепят равните възможности на пазара на труда, като се има предвид, че въпреки положителното развитие, хората с увреждания продължават да са изправени пред значителни пречки на пазара на труда;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повтаря, че е важно да се подкрепя развитието на уменията на работната сила, за да се подобри конкурентоспособността и да се гарантира качествена заетост; призовава настоятелно държавите членки да засилят професионалното и цифровото обучение, като същевременно насърчават приобщаването на хората с увреждания </w:t>
            </w:r>
            <w:r>
              <w:rPr>
                <w:b/>
                <w:i/>
              </w:rPr>
              <w:t>в работната сила</w:t>
            </w:r>
            <w:r>
              <w:t>, за да се преодолее недостигът на работна ръка и да се подкрепят равните възможности на пазара на труда, като се има предвид, че въпреки положителното развитие, хората с увреждания продължават да са изправени пред значителни пречки на пазара на труда;</w:t>
            </w:r>
          </w:p>
        </w:tc>
        <w:tc>
          <w:tcPr>
            <w:tcW w:w="4876" w:type="dxa"/>
            <w:tcBorders>
              <w:top w:val="nil"/>
              <w:left w:val="nil"/>
              <w:bottom w:val="nil"/>
              <w:right w:val="nil"/>
            </w:tcBorders>
          </w:tcPr>
          <w:p>
            <w:pPr>
              <w:pStyle w:val="Normal6a"/>
            </w:pPr>
            <w:r>
              <w:t>2.</w:t>
            </w:r>
            <w:r>
              <w:tab/>
            </w:r>
            <w:r>
              <w:t>повтаря, че е важно да се подкрепя развитието на уменията на работната сила, за да се подобри конкурентоспособността и да се гарантира качествена заетост; призовава настоятелно държавите членки да засилят професионалното и цифровото обучение, като същевременно насърчават приобщаването </w:t>
            </w:r>
            <w:r>
              <w:rPr>
                <w:b/>
                <w:i/>
              </w:rPr>
              <w:t>в работната сила</w:t>
            </w:r>
            <w:r>
              <w:t xml:space="preserve"> на хората с увреждания </w:t>
            </w:r>
            <w:r>
              <w:rPr>
                <w:b/>
                <w:i/>
              </w:rPr>
              <w:t>и лицата от групи в неравностойно положение или от маргинализирани среди</w:t>
            </w:r>
            <w:r>
              <w:t>, за да се преодолее недостигът на работна ръка и да се подкрепят равните възможности на пазара на труда, като се има предвид, че въпреки положителното развитие, хората с увреждания продължават да са изправени пред значителни пречки на пазара на труда;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Бранислав Ондруш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повтаря, че </w:t>
            </w:r>
            <w:r>
              <w:rPr>
                <w:b/>
                <w:i/>
              </w:rPr>
              <w:t>е важно</w:t>
            </w:r>
            <w:r>
              <w:t xml:space="preserve"> да се </w:t>
            </w:r>
            <w:r>
              <w:rPr>
                <w:b/>
                <w:i/>
              </w:rPr>
              <w:t>подкрепя развитието на</w:t>
            </w:r>
            <w:r>
              <w:t xml:space="preserve"> уменията на работната сила, </w:t>
            </w:r>
            <w:r>
              <w:rPr>
                <w:b/>
                <w:i/>
              </w:rPr>
              <w:t>за да се</w:t>
            </w:r>
            <w:r>
              <w:t xml:space="preserve"> подобри конкурентоспособността и </w:t>
            </w:r>
            <w:r>
              <w:rPr>
                <w:b/>
                <w:i/>
              </w:rPr>
              <w:t>да се</w:t>
            </w:r>
            <w:r>
              <w:t xml:space="preserve"> гарантира качествена заетост; призовава настоятелно държавите членки да засилят професионалното и цифровото обучение, като същевременно насърчават приобщаването на хората с увреждания в работната сила, за да се преодолее недостигът на работна ръка и да се подкрепят равните възможности на пазара на труда, като се има предвид, че въпреки положителното развитие, хората с увреждания продължават да са изправени пред значителни пречки на пазара на труда;</w:t>
            </w:r>
          </w:p>
        </w:tc>
        <w:tc>
          <w:tcPr>
            <w:tcW w:w="4876" w:type="dxa"/>
            <w:tcBorders>
              <w:top w:val="nil"/>
              <w:left w:val="nil"/>
              <w:bottom w:val="nil"/>
              <w:right w:val="nil"/>
            </w:tcBorders>
          </w:tcPr>
          <w:p>
            <w:pPr>
              <w:pStyle w:val="Normal6a"/>
            </w:pPr>
            <w:r>
              <w:t>2.</w:t>
            </w:r>
            <w:r>
              <w:tab/>
            </w:r>
            <w:r>
              <w:t xml:space="preserve">повтаря, че </w:t>
            </w:r>
            <w:r>
              <w:rPr>
                <w:b/>
                <w:i/>
              </w:rPr>
              <w:t>принципът на споделяне на разходите между държавните и частните субекти е важен, за</w:t>
            </w:r>
            <w:r>
              <w:t xml:space="preserve"> да се </w:t>
            </w:r>
            <w:r>
              <w:rPr>
                <w:b/>
                <w:i/>
              </w:rPr>
              <w:t>развиват</w:t>
            </w:r>
            <w:r>
              <w:t xml:space="preserve"> уменията на работната сила, </w:t>
            </w:r>
            <w:r>
              <w:rPr>
                <w:b/>
                <w:i/>
              </w:rPr>
              <w:t>което ще</w:t>
            </w:r>
            <w:r>
              <w:t xml:space="preserve"> подобри конкурентоспособността и </w:t>
            </w:r>
            <w:r>
              <w:rPr>
                <w:b/>
                <w:i/>
              </w:rPr>
              <w:t>ще</w:t>
            </w:r>
            <w:r>
              <w:t xml:space="preserve"> гарантира качествена заетост; призовава настоятелно държавите членки да засилят професионалното и цифровото обучение, като същевременно насърчават приобщаването на хората с увреждания в работната сила, за да се преодолее недостигът на работна ръка и да се подкрепят равните възможности на пазара на труда, като се има предвид, че въпреки положителното развитие, хората с увреждания продължават да са изправени пред значителни пречки на пазара на труда;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повтаря, че е важно</w:t>
            </w:r>
            <w:r>
              <w:t xml:space="preserve"> да се </w:t>
            </w:r>
            <w:r>
              <w:rPr>
                <w:b/>
                <w:i/>
              </w:rPr>
              <w:t>подкрепя развитието на уменията на работната сила, за да се подобри</w:t>
            </w:r>
            <w:r>
              <w:t xml:space="preserve"> конкурентоспособността и </w:t>
            </w:r>
            <w:r>
              <w:rPr>
                <w:b/>
                <w:i/>
              </w:rPr>
              <w:t>да се гарантира</w:t>
            </w:r>
            <w:r>
              <w:t xml:space="preserve"> качествена заетост; призовава настоятелно държавите членки да засилят професионалното и цифровото обучение, като същевременно насърчават приобщаването на хората с увреждания в работната сила, за да се преодолее недостигът на работна ръка и да се подкрепят равните възможности на пазара на труда, като се има предвид, че въпреки положителното развитие, хората с увреждания продължават да са изправени пред значителни пречки на пазара на труда;</w:t>
            </w:r>
          </w:p>
        </w:tc>
        <w:tc>
          <w:tcPr>
            <w:tcW w:w="4876" w:type="dxa"/>
            <w:tcBorders>
              <w:top w:val="nil"/>
              <w:left w:val="nil"/>
              <w:bottom w:val="nil"/>
              <w:right w:val="nil"/>
            </w:tcBorders>
          </w:tcPr>
          <w:p>
            <w:pPr>
              <w:pStyle w:val="Normal6a"/>
            </w:pPr>
            <w:r>
              <w:t>2.</w:t>
            </w:r>
            <w:r>
              <w:tab/>
            </w:r>
            <w:r>
              <w:rPr>
                <w:b/>
                <w:i/>
              </w:rPr>
              <w:t>призовава за оползотворяване на талантите на Европа и инвестиране в умения, за</w:t>
            </w:r>
            <w:r>
              <w:t xml:space="preserve"> да се </w:t>
            </w:r>
            <w:r>
              <w:rPr>
                <w:b/>
                <w:i/>
              </w:rPr>
              <w:t>насърчат висококачествени работни места в целия Съюз с цел подобряване на</w:t>
            </w:r>
            <w:r>
              <w:t xml:space="preserve"> конкурентоспособността и </w:t>
            </w:r>
            <w:r>
              <w:rPr>
                <w:b/>
                <w:i/>
              </w:rPr>
              <w:t>гарантиране на</w:t>
            </w:r>
            <w:r>
              <w:t xml:space="preserve"> качествена заетост; призовава настоятелно държавите членки да засилят професионалното и цифровото обучение, като същевременно насърчават приобщаването на хората с увреждания в работната сила, за да се преодолее недостигът на работна ръка и да се подкрепят равните възможности на пазара на труда, като се има предвид, че въпреки положителното развитие, хората с увреждания продължават да са изправени пред значителни пречки на пазара на труда;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Мари Доши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повтаря, че е важно да се подкрепя развитието на уменията на </w:t>
            </w:r>
            <w:r>
              <w:rPr>
                <w:b/>
                <w:i/>
              </w:rPr>
              <w:t>работната</w:t>
            </w:r>
            <w:r>
              <w:t xml:space="preserve"> сила, за да се подобри конкурентоспособността и да се гарантира качествена заетост; призовава настоятелно държавите членки да засилят професионалното и цифровото обучение, като същевременно насърчават приобщаването на хората с увреждания в работната сила, за да се преодолее недостигът на работна ръка и да се подкрепят равните възможности на пазара на труда, като се има предвид, че въпреки положителното развитие, хората с увреждания продължават да са изправени пред значителни пречки на пазара на труда;</w:t>
            </w:r>
          </w:p>
        </w:tc>
        <w:tc>
          <w:tcPr>
            <w:tcW w:w="4876" w:type="dxa"/>
            <w:tcBorders>
              <w:top w:val="nil"/>
              <w:left w:val="nil"/>
              <w:bottom w:val="nil"/>
              <w:right w:val="nil"/>
            </w:tcBorders>
          </w:tcPr>
          <w:p>
            <w:pPr>
              <w:pStyle w:val="Normal6a"/>
            </w:pPr>
            <w:r>
              <w:t>2.</w:t>
            </w:r>
            <w:r>
              <w:tab/>
            </w:r>
            <w:r>
              <w:t xml:space="preserve">повтаря, че е важно да се подкрепя развитието на уменията на </w:t>
            </w:r>
            <w:r>
              <w:rPr>
                <w:b/>
                <w:i/>
              </w:rPr>
              <w:t>европейската работна</w:t>
            </w:r>
            <w:r>
              <w:t xml:space="preserve"> сила, за да се подобри конкурентоспособността и да се гарантира качествена заетост; призовава настоятелно държавите членки да засилят професионалното и цифровото обучение, като същевременно насърчават приобщаването на хората с увреждания в работната сила, за да се преодолее недостигът на работна ръка и да се подкрепят равните възможности на пазара на труда, като се има предвид, че въпреки положителното развитие, хората с увреждания продължават да са изправени пред значителни пречки на пазара на труда;</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припомня продължаващата разлика в заетостта на хората с увреждания, като в ЕС едва 51,3% от активните лица с увреждания в трудоспособна възраст заемат платени работни места;</w:t>
            </w:r>
            <w:r>
              <w:t xml:space="preserve"> </w:t>
            </w:r>
            <w:r>
              <w:rPr>
                <w:b/>
                <w:i/>
              </w:rPr>
              <w:t>призовава Комисията да актуализира стратегията на ЕС за хората с увреждания с нови водещи инициативи и действия от 2025 г. нататък;</w:t>
            </w:r>
            <w:r>
              <w:t xml:space="preserve"> </w:t>
            </w:r>
            <w:r>
              <w:rPr>
                <w:b/>
                <w:i/>
              </w:rPr>
              <w:t>подчертава, че Комисията следва да представи предложения, за да се гарантира спазването от страна на ЕС и държавите членки на Конвенцията на ООН за правата на хората с увреждания, и по-специално да се обърне внимание на социалното приобщаване и независимия живот на хората с увреждания, оставащите пречки пред свободното им движение и да се гарантира достъпът им до качествено образование, обучение и заетост чрез насоки за запазване на помощите за хора с увреждания и създаване на Европейска гаранция за заетост и умения за хората с увреждания;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изразява загриженост относно увеличаването на броя на нестандартните договори, при които работниците са изправени пред бедност на работното място и се оказват без адекватна правна защита;</w:t>
            </w:r>
            <w:r>
              <w:t xml:space="preserve"> </w:t>
            </w:r>
            <w:r>
              <w:rPr>
                <w:b/>
                <w:i/>
              </w:rPr>
              <w:t>припомня, че подобно намаляване на стандартите за заетост не само оказва въздействие върху финансовата стабилност на хората, но и подкопава по-широката социална структура, тъй като все по-голям брой работници са изправени пред предизвикателства при достъпа до основни обезщетения като здравеопазване, пенсионни планове и обучение, свързано с работата;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подчертава необходимостта да се обърне внимание на социалните и екологичните аспекти на конкурентоспособността, като подчертава необходимостта от инвестиции в образование и обучение за всички, за да се гарантира всеобщ достъп до висококачествени публични програми за образование и професионално обучение, както и необходимостта от устойчиви практики за насърчаване на приобщаващ растеж; подчертава, че социалните партньори следва да играят ключова роля за определянето и посрещането на потребностите от умения в целия ЕС;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подчертава ролята на социалните инвестиции и значението на реформите и инвестициите в ключови области като повишаването на квалификацията и преквалификацията, ученето през целия живот, активните политики на пазара на труда, политиките в областта на образованието и грижите в ранна детска възраст, които могат да бъдат допълнени с по-големи инвестиции във финансово достъпни жилища и социална закрила;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2б.</w:t>
            </w:r>
            <w:r>
              <w:tab/>
            </w:r>
            <w:r>
              <w:rPr>
                <w:b/>
                <w:i/>
              </w:rPr>
              <w:t>изразява загриженост, че ромите продължават да се сблъскват със значителни пречки пред заетостта, като трайните предубеждения ограничават техните перспективи;</w:t>
            </w:r>
            <w:r>
              <w:t xml:space="preserve"> </w:t>
            </w:r>
            <w:r>
              <w:rPr>
                <w:b/>
                <w:i/>
              </w:rPr>
              <w:t>отбелязва, че Стратегическата рамка на ЕС за равенство, приобщаване и участие на ромите подчертава липсата на напредък по отношение на достъпа до заетост и нарастващия дял на младите роми, които не участват в никаква форма на заетост, образование или обучение;</w:t>
            </w:r>
            <w:r>
              <w:t xml:space="preserve"> </w:t>
            </w:r>
            <w:r>
              <w:rPr>
                <w:b/>
                <w:i/>
              </w:rPr>
              <w:t>подчертава целта на рамката да се намали наполовина разликата в заетостта между ромите и населението като цяло и да се гарантира, че до 2030 г. поне 60% от ромите извършват платен труд;</w:t>
            </w:r>
            <w:r>
              <w:t xml:space="preserve"> </w:t>
            </w:r>
            <w:r>
              <w:rPr>
                <w:b/>
                <w:i/>
              </w:rPr>
              <w:t>настоятелно призовава държавите членки да възприемат интегриран, ориентиран към равенството подход и да гарантират, че обществените политики и услуги достигат ефективно до всички роми, включително до тези в отдалечените селски райони;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2в.</w:t>
            </w:r>
            <w:r>
              <w:tab/>
            </w:r>
            <w:r>
              <w:rPr>
                <w:b/>
                <w:i/>
              </w:rPr>
              <w:t>подчертава, че отговорът на недостига на работна ръка в Европейския съюз включва също така подобряване и улесняване на трудовата мобилност в рамките на Съюза;</w:t>
            </w:r>
            <w:r>
              <w:t xml:space="preserve"> </w:t>
            </w:r>
            <w:r>
              <w:rPr>
                <w:b/>
                <w:i/>
              </w:rPr>
              <w:t>призовава държавите членки да засилят и улеснят признаването на уменията и квалификациите в Съюза, включително за гражданите на трети държави;</w:t>
            </w:r>
            <w:r>
              <w:t xml:space="preserve"> </w:t>
            </w:r>
            <w:r>
              <w:rPr>
                <w:b/>
                <w:i/>
              </w:rPr>
              <w:t>призовава Комисията да анализира ефективността на Европейския портал за професионална мобилност (EURES) с оглед на евентуално преразглеждане на неговото функциониране;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 г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2г.</w:t>
            </w:r>
            <w:r>
              <w:tab/>
            </w:r>
            <w:r>
              <w:rPr>
                <w:b/>
                <w:i/>
              </w:rPr>
              <w:t>изразява загриженост относно влошаващите се образователни резултати на младите хора, особено по отношение на основните умения</w:t>
            </w:r>
            <w:r>
              <w:rPr>
                <w:b/>
                <w:i/>
                <w:vertAlign w:val="superscript"/>
              </w:rPr>
              <w:t>17a</w:t>
            </w:r>
            <w:r>
              <w:rPr>
                <w:b/>
                <w:i/>
              </w:rPr>
              <w:t>;</w:t>
            </w:r>
            <w:r>
              <w:t xml:space="preserve"> </w:t>
            </w:r>
            <w:r>
              <w:rPr>
                <w:b/>
                <w:i/>
              </w:rPr>
              <w:t>във връзка с това приветства обявяването на План за действие относно основните умения и Стратегически план за образованието по НТИМ</w:t>
            </w:r>
            <w:r>
              <w:rPr>
                <w:b/>
                <w:i/>
                <w:vertAlign w:val="superscript"/>
              </w:rPr>
              <w:t>18a</w:t>
            </w:r>
            <w:r>
              <w:rPr>
                <w:b/>
                <w:i/>
              </w:rPr>
              <w:t>;</w:t>
            </w:r>
            <w:r>
              <w:t xml:space="preserve"> </w:t>
            </w:r>
            <w:r>
              <w:rPr>
                <w:b/>
                <w:i/>
              </w:rPr>
              <w:t>призовава държавите членки да инвестират в програми, които да предоставят на учащите се основни, цифрови и трансверсални умения, необходими за света на труда и неговата цифровизация, както и за да допринасят пълноценно за обществото;</w:t>
            </w:r>
            <w:r>
              <w:t xml:space="preserve"> </w:t>
            </w:r>
            <w:r>
              <w:rPr>
                <w:b/>
                <w:i/>
              </w:rPr>
              <w:t>счита, че цифровите и трансверсалните умения трябва да включват компонент за критично мислене и медийна грамотност, за да може да се противодейства на заплахата от невярна информация;</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17a</w:t>
            </w:r>
            <w:r>
              <w:t xml:space="preserve"> </w:t>
            </w:r>
            <w:r>
              <w:rPr>
                <w:b/>
                <w:i/>
              </w:rPr>
              <w:t>Генерална дирекция „Образование, младеж, спорт и култура, Education and training monitor 2024 – Comparative report (Мониторинг на образованието и обучението за 2024 г. – Сравнителен доклад), Служба за публикации на Европейския съюз, 2024 г.</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18a</w:t>
            </w:r>
            <w:r>
              <w:t xml:space="preserve"> </w:t>
            </w:r>
            <w:r>
              <w:rPr>
                <w:b/>
                <w:i/>
              </w:rPr>
              <w:t>Писмо за определяне на ресора до изпълнителния заместник-председател за социалните права и уменията, качествените работни места и подготовката, декември 2024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 д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2д.</w:t>
            </w:r>
            <w:r>
              <w:tab/>
            </w:r>
            <w:r>
              <w:rPr>
                <w:b/>
                <w:i/>
              </w:rPr>
              <w:t>отбелязва, че броят на преждевременно напускащите системата на образованието и обучението продължава да бъде висок в няколко държави членки, въпреки низходящата тенденция в Европейския съюз;</w:t>
            </w:r>
            <w:r>
              <w:t xml:space="preserve"> </w:t>
            </w:r>
            <w:r>
              <w:rPr>
                <w:b/>
                <w:i/>
              </w:rPr>
              <w:t>отбелязва, че това явление засяга по-специално младите мъже, като през 2023 г. 11,3% от младите мъже и 7,7% от младите жени в Съюза са напуснали преждевременно системата на образованието и обучението;</w:t>
            </w:r>
            <w:r>
              <w:t xml:space="preserve"> </w:t>
            </w:r>
            <w:r>
              <w:rPr>
                <w:b/>
                <w:i/>
              </w:rPr>
              <w:t>изразява загриженост относно въздействието на отпадането от училище върху бъдещето на тези млади хора, като се има предвид, че едва 1 от 2 бивши преждевременно напуснали училище е на работа, че почти 1 от 3 бивши преждевременно напуснали образователната система не може да си намери работа, въпреки желанието си, и че 1 от 5 решава да остане неактивен;</w:t>
            </w:r>
            <w:r>
              <w:t xml:space="preserve"> </w:t>
            </w:r>
            <w:r>
              <w:rPr>
                <w:b/>
                <w:i/>
              </w:rPr>
              <w:t>призовава държавите членки да се справят с това положение и да разработят персонализирани решения за задържане на децата и младите хора в училище;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 e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2е.</w:t>
            </w:r>
            <w:r>
              <w:tab/>
            </w:r>
            <w:r>
              <w:rPr>
                <w:b/>
                <w:i/>
              </w:rPr>
              <w:t>изразява загриженост относно равнището на младежката безработица, което остава много високо в няколко държави членки и е повече от два пъти по-високо от общото ниво на безработица на равнище ЕС;</w:t>
            </w:r>
            <w:r>
              <w:t xml:space="preserve"> </w:t>
            </w:r>
            <w:r>
              <w:rPr>
                <w:b/>
                <w:i/>
              </w:rPr>
              <w:t>припомня ангажимента, който държавите членки поеха към младите хора като създадоха Гаранцията за младежта, така че всички младежи на възраст под 30 години да получават качествено предложение за работа, продължаване на образованието, чиракуване или стаж в срок от четири месеца, след като останат без работа или напуснат образователната система;</w:t>
            </w:r>
            <w:r>
              <w:t xml:space="preserve"> </w:t>
            </w:r>
            <w:r>
              <w:rPr>
                <w:b/>
                <w:i/>
              </w:rPr>
              <w:t>счита, че между инструментите Гаранция за децата и Гаранция за младежта са необходими повече полезни взаимодействия, за да се осигури подходяща подкрепа за нуждаещите се млади хора през цялото им личностно и професионално развитие;</w:t>
            </w:r>
            <w:r>
              <w:t xml:space="preserve"> </w:t>
            </w:r>
            <w:r>
              <w:rPr>
                <w:b/>
                <w:i/>
              </w:rPr>
              <w:t>приветства факта, че резултатите в областта на заетостта за наскоро завършилите професионално образование и обучение (ПОО) продължават да се подобряват в целия ЕС;</w:t>
            </w:r>
            <w:r>
              <w:t xml:space="preserve"> </w:t>
            </w:r>
            <w:r>
              <w:rPr>
                <w:b/>
                <w:i/>
              </w:rPr>
              <w:t>повтаря ключовата роля на професионалното образование и обучение за предоставянето на знания, умения и компетентности, необходими на младите хора, навлизащи на пазара на труда;</w:t>
            </w:r>
            <w:r>
              <w:t xml:space="preserve"> </w:t>
            </w:r>
            <w:r>
              <w:rPr>
                <w:b/>
                <w:i/>
              </w:rPr>
              <w:t>подчертава необходимостта да се инвестира в качеството и привлекателността на професионалното образование и обучение чрез ЕСФ+ и подсилената Гаранция за младежта;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призовава Комисията да включи в европейския семестър конкретни препоръки относно </w:t>
            </w:r>
            <w:r>
              <w:rPr>
                <w:b/>
                <w:i/>
              </w:rPr>
              <w:t>ценовата</w:t>
            </w:r>
            <w:r>
              <w:t xml:space="preserve"> достъпност на жилищата и да насърчава </w:t>
            </w:r>
            <w:r>
              <w:rPr>
                <w:b/>
                <w:i/>
              </w:rPr>
              <w:t>инвестициите</w:t>
            </w:r>
            <w:r>
              <w:t xml:space="preserve"> в жилища, включително чрез финансовите инструменти на Европейската инвестиционна банка; счита, че преразглеждането на регулаторната рамка на ЕС за жилищния сектор следва да </w:t>
            </w:r>
            <w:r>
              <w:rPr>
                <w:b/>
                <w:i/>
              </w:rPr>
              <w:t>защити собствениците на жилища от по-нататъшно намаляване на предлагането и да</w:t>
            </w:r>
            <w:r>
              <w:t xml:space="preserve"> улесни изграждането на </w:t>
            </w:r>
            <w:r>
              <w:rPr>
                <w:b/>
                <w:i/>
              </w:rPr>
              <w:t>достъпни</w:t>
            </w:r>
            <w:r>
              <w:t xml:space="preserve"> и енергийно ефективни жилища, които отговарят на нуждите на младите хора, хората с намалена подвижност и семействата, изложени на риск;</w:t>
            </w:r>
          </w:p>
        </w:tc>
        <w:tc>
          <w:tcPr>
            <w:tcW w:w="4876" w:type="dxa"/>
            <w:tcBorders>
              <w:top w:val="nil"/>
              <w:left w:val="nil"/>
              <w:bottom w:val="nil"/>
              <w:right w:val="nil"/>
            </w:tcBorders>
          </w:tcPr>
          <w:p>
            <w:pPr>
              <w:pStyle w:val="Normal6a"/>
            </w:pPr>
            <w:r>
              <w:t>3.</w:t>
            </w:r>
            <w:r>
              <w:tab/>
            </w:r>
            <w:r>
              <w:t xml:space="preserve">призовава Комисията </w:t>
            </w:r>
            <w:r>
              <w:rPr>
                <w:b/>
                <w:i/>
              </w:rPr>
              <w:t>и държавите членки да направят жилищното настаняване основен елемент на европейските политики;</w:t>
            </w:r>
            <w:r>
              <w:t xml:space="preserve"> </w:t>
            </w:r>
            <w:r>
              <w:rPr>
                <w:b/>
                <w:i/>
              </w:rPr>
              <w:t>подчертава, че ЕС и неговите държави членки имат задължение към гражданите да осигурят техния универсален достъп до достойни финансово достъпни жилища и в съответствие с основните права, като членове 16, 30 и 31 от Европейската социална харта и Европейския стълб на социалните права;</w:t>
            </w:r>
            <w:r>
              <w:t xml:space="preserve"> </w:t>
            </w:r>
            <w:r>
              <w:rPr>
                <w:b/>
                <w:i/>
              </w:rPr>
              <w:t>подчертава, че инвестициите в социални и финансово достъпни жилища са от решаващо значение за осигуряване и подобряване на качеството на живот на всички граждани на ЕС;</w:t>
            </w:r>
            <w:r>
              <w:t xml:space="preserve"> </w:t>
            </w:r>
            <w:r>
              <w:rPr>
                <w:b/>
                <w:i/>
              </w:rPr>
              <w:t>призовава Комисията да създаде политика за социално жилищно настаняване в ЕС и</w:t>
            </w:r>
            <w:r>
              <w:t xml:space="preserve"> да включи в европейския семестър конкретни препоръки относно </w:t>
            </w:r>
            <w:r>
              <w:rPr>
                <w:b/>
                <w:i/>
              </w:rPr>
              <w:t>финансовата</w:t>
            </w:r>
            <w:r>
              <w:t xml:space="preserve"> достъпност на жилищата </w:t>
            </w:r>
            <w:r>
              <w:rPr>
                <w:b/>
                <w:i/>
              </w:rPr>
              <w:t>за всички </w:t>
            </w:r>
            <w:r>
              <w:t xml:space="preserve">и да насърчава </w:t>
            </w:r>
            <w:r>
              <w:rPr>
                <w:b/>
                <w:i/>
              </w:rPr>
              <w:t>публичните инвестиции</w:t>
            </w:r>
            <w:r>
              <w:t xml:space="preserve"> в жилища, включително чрез </w:t>
            </w:r>
            <w:r>
              <w:rPr>
                <w:b/>
                <w:i/>
              </w:rPr>
              <w:t>финансиране от ЕС и</w:t>
            </w:r>
            <w:r>
              <w:t xml:space="preserve"> финансовите инструменти на Европейската инвестиционна банка; счита, че преразглеждането на регулаторната рамка на ЕС за жилищния сектор следва да улесни изграждането на </w:t>
            </w:r>
            <w:r>
              <w:rPr>
                <w:b/>
                <w:i/>
              </w:rPr>
              <w:t>публични, достойни</w:t>
            </w:r>
            <w:r>
              <w:t xml:space="preserve"> и енергийно ефективни жилища </w:t>
            </w:r>
            <w:r>
              <w:rPr>
                <w:b/>
                <w:i/>
              </w:rPr>
              <w:t>с добро качество</w:t>
            </w:r>
            <w:r>
              <w:t xml:space="preserve">, които отговарят на нуждите на младите хора, хората с намалена подвижност и </w:t>
            </w:r>
            <w:r>
              <w:rPr>
                <w:b/>
                <w:i/>
              </w:rPr>
              <w:t>увреждания, по-възрастните хора и</w:t>
            </w:r>
            <w:r>
              <w:t xml:space="preserve"> семействата, изложени на риск</w:t>
            </w:r>
            <w:r>
              <w:rPr>
                <w:b/>
                <w:i/>
              </w:rPr>
              <w:t>:</w:t>
            </w:r>
            <w:r>
              <w:t xml:space="preserve"> </w:t>
            </w:r>
            <w:r>
              <w:rPr>
                <w:b/>
                <w:i/>
              </w:rPr>
              <w:t>призовава Комисията и държавите членки да предприемат решителни действия за осигуряване на финансово достъпни жилища за всички, като подкрепят силна европейска стратегия за жилищно настаняване</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призовава Комисията да включи в европейския семестър конкретни препоръки относно </w:t>
            </w:r>
            <w:r>
              <w:rPr>
                <w:b/>
                <w:i/>
              </w:rPr>
              <w:t>ценовата</w:t>
            </w:r>
            <w:r>
              <w:t xml:space="preserve"> достъпност на жилищата и да насърчава инвестициите в жилища, включително чрез финансовите инструменти на Европейската инвестиционна банка; счита, че преразглеждането на регулаторната рамка на ЕС за жилищния сектор следва да </w:t>
            </w:r>
            <w:r>
              <w:rPr>
                <w:b/>
                <w:i/>
              </w:rPr>
              <w:t>защити собствениците на жилища от по-нататъшно намаляване на предлагането и да улесни</w:t>
            </w:r>
            <w:r>
              <w:t xml:space="preserve"> изграждането на достъпни и енергийно ефективни жилища, които отговарят на нуждите на младите хора, хората с намалена подвижност и семействата, изложени на риск;</w:t>
            </w:r>
          </w:p>
        </w:tc>
        <w:tc>
          <w:tcPr>
            <w:tcW w:w="4876" w:type="dxa"/>
            <w:tcBorders>
              <w:top w:val="nil"/>
              <w:left w:val="nil"/>
              <w:bottom w:val="nil"/>
              <w:right w:val="nil"/>
            </w:tcBorders>
          </w:tcPr>
          <w:p>
            <w:pPr>
              <w:pStyle w:val="Normal6a"/>
            </w:pPr>
            <w:r>
              <w:t>3.</w:t>
            </w:r>
            <w:r>
              <w:tab/>
            </w:r>
            <w:r>
              <w:t xml:space="preserve">призовава Комисията да </w:t>
            </w:r>
            <w:r>
              <w:rPr>
                <w:b/>
                <w:i/>
              </w:rPr>
              <w:t>признае добрите практики на държавите членки в борбата срещу енергийната бедност, като ценови субсидии за битови потребители;</w:t>
            </w:r>
            <w:r>
              <w:t xml:space="preserve"> </w:t>
            </w:r>
            <w:r>
              <w:rPr>
                <w:b/>
                <w:i/>
              </w:rPr>
              <w:t>да</w:t>
            </w:r>
            <w:r>
              <w:t xml:space="preserve"> включи в европейския семестър конкретни препоръки относно </w:t>
            </w:r>
            <w:r>
              <w:rPr>
                <w:b/>
                <w:i/>
              </w:rPr>
              <w:t>финансовата</w:t>
            </w:r>
            <w:r>
              <w:t xml:space="preserve"> достъпност на жилищата и да насърчава инвестициите в жилища, включително чрез финансовите инструменти на Европейската инвестиционна банка; счита, че преразглеждането на регулаторната рамка на ЕС за жилищния сектор следва да </w:t>
            </w:r>
            <w:r>
              <w:rPr>
                <w:b/>
                <w:i/>
              </w:rPr>
              <w:t>зачита правомощията на държавите членки като същевременно способства за</w:t>
            </w:r>
            <w:r>
              <w:t xml:space="preserve"> изграждането на достъпни и енергийно ефективни жилища, които отговарят на нуждите на младите хора, хората с намалена подвижност и семействата, изложени на риск</w:t>
            </w:r>
            <w:r>
              <w:rPr>
                <w:b/>
                <w:i/>
              </w:rPr>
              <w:t>, както и следва да защитава собствениците на жилища от по-нататъшно намаляване на предлагането;</w:t>
            </w:r>
            <w:r>
              <w:t xml:space="preserve"> </w:t>
            </w:r>
            <w:r>
              <w:rPr>
                <w:b/>
                <w:i/>
              </w:rPr>
              <w:t>призовава Комисията да избягва прехвърлянето на тежестта за повишаване на енергийната ефективност на жилищата върху семействата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призовава Комисията да включи в европейския семестър конкретни препоръки относно </w:t>
            </w:r>
            <w:r>
              <w:rPr>
                <w:b/>
                <w:i/>
              </w:rPr>
              <w:t>ценовата</w:t>
            </w:r>
            <w:r>
              <w:t xml:space="preserve"> достъпност на жилищата и да насърчава инвестициите в жилища, включително чрез финансовите инструменти на Европейската инвестиционна банка; счита, че </w:t>
            </w:r>
            <w:r>
              <w:rPr>
                <w:b/>
                <w:i/>
              </w:rPr>
              <w:t>преразглеждането на</w:t>
            </w:r>
            <w:r>
              <w:t xml:space="preserve"> регулаторната рамка на ЕС за жилищния сектор </w:t>
            </w:r>
            <w:r>
              <w:rPr>
                <w:b/>
                <w:i/>
              </w:rPr>
              <w:t>следва да защити собствениците на жилища от по-нататъшно намаляване на предлагането и да улесни изграждането</w:t>
            </w:r>
            <w:r>
              <w:t xml:space="preserve"> на достъпни и енергийно ефективни жилища, които отговарят на нуждите на младите хора, хората с намалена подвижност и семействата, изложени на риск;</w:t>
            </w:r>
          </w:p>
        </w:tc>
        <w:tc>
          <w:tcPr>
            <w:tcW w:w="4876" w:type="dxa"/>
            <w:tcBorders>
              <w:top w:val="nil"/>
              <w:left w:val="nil"/>
              <w:bottom w:val="nil"/>
              <w:right w:val="nil"/>
            </w:tcBorders>
          </w:tcPr>
          <w:p>
            <w:pPr>
              <w:pStyle w:val="Normal6a"/>
            </w:pPr>
            <w:r>
              <w:t>3.</w:t>
            </w:r>
            <w:r>
              <w:tab/>
            </w:r>
            <w:r>
              <w:t xml:space="preserve">призовава Комисията да включи в европейския семестър конкретни препоръки относно </w:t>
            </w:r>
            <w:r>
              <w:rPr>
                <w:b/>
                <w:i/>
              </w:rPr>
              <w:t>наличието и финансовата</w:t>
            </w:r>
            <w:r>
              <w:t xml:space="preserve"> достъпност на жилищата и да насърчава инвестициите в жилища, включително чрез финансовите инструменти на Европейската инвестиционна банка; счита, че </w:t>
            </w:r>
            <w:r>
              <w:rPr>
                <w:b/>
                <w:i/>
              </w:rPr>
              <w:t>оценката на политиките и фондовете на Съюза, включително пречките в</w:t>
            </w:r>
            <w:r>
              <w:t xml:space="preserve"> регулаторната рамка на ЕС за жилищния сектор</w:t>
            </w:r>
            <w:r>
              <w:rPr>
                <w:b/>
                <w:i/>
              </w:rPr>
              <w:t>, по-специално правилата за държавната помощ, следва да улесни изграждането, преобразуването и реновирането</w:t>
            </w:r>
            <w:r>
              <w:t xml:space="preserve"> на достъпни и енергийно ефективни жилища, </w:t>
            </w:r>
            <w:r>
              <w:rPr>
                <w:b/>
                <w:i/>
              </w:rPr>
              <w:t>включително социални жилища,</w:t>
            </w:r>
            <w:r>
              <w:t xml:space="preserve"> които отговарят на нуждите на </w:t>
            </w:r>
            <w:r>
              <w:rPr>
                <w:b/>
                <w:i/>
              </w:rPr>
              <w:t>групите с ниски и средни доходи, както и на</w:t>
            </w:r>
            <w:r>
              <w:t xml:space="preserve"> младите хора, хората с </w:t>
            </w:r>
            <w:r>
              <w:rPr>
                <w:b/>
                <w:i/>
              </w:rPr>
              <w:t>увреждания и с</w:t>
            </w:r>
            <w:r>
              <w:t xml:space="preserve"> намалена подвижност и семействата, изложени на риск</w:t>
            </w:r>
            <w:r>
              <w:rPr>
                <w:b/>
                <w:i/>
              </w:rPr>
              <w:t>, както и да защити бъдещите собственици на жилища от по-нататъшно намаляване на предлагането</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Мари Доши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призовава Комисията да включи в европейския семестър конкретни препоръки относно ценовата достъпност на жилищата и да насърчава инвестициите в жилища, включително чрез финансовите инструменти на Европейската инвестиционна банка; счита, че преразглеждането на регулаторната рамка на ЕС за жилищния сектор следва да защити собствениците на жилища от по-нататъшно намаляване на предлагането и да улесни изграждането на достъпни и енергийно ефективни жилища, които отговарят на нуждите на младите хора, хората с намалена подвижност и семействата, изложени на риск;</w:t>
            </w:r>
          </w:p>
        </w:tc>
        <w:tc>
          <w:tcPr>
            <w:tcW w:w="4876" w:type="dxa"/>
            <w:tcBorders>
              <w:top w:val="nil"/>
              <w:left w:val="nil"/>
              <w:bottom w:val="nil"/>
              <w:right w:val="nil"/>
            </w:tcBorders>
          </w:tcPr>
          <w:p>
            <w:pPr>
              <w:pStyle w:val="Normal6a"/>
            </w:pPr>
            <w:r>
              <w:t>3.</w:t>
            </w:r>
            <w:r>
              <w:tab/>
            </w:r>
            <w:r>
              <w:t xml:space="preserve">призовава Комисията да включи в европейския семестър конкретни препоръки относно ценовата достъпност на жилищата и да насърчава инвестициите в жилища, включително чрез финансовите инструменти на Европейската инвестиционна банка; счита, че преразглеждането на регулаторната рамка на ЕС за жилищния сектор следва да защити собствениците на жилища от по-нататъшно намаляване на предлагането и да улесни изграждането на достъпни и енергийно ефективни жилища, които отговарят на нуждите на младите хора, хората с намалена подвижност и семействата, изложени на риск; </w:t>
            </w:r>
            <w:r>
              <w:rPr>
                <w:b/>
                <w:i/>
              </w:rPr>
              <w:t>намаляване на предлагането би забавило прилагането на графика за слабо изолираните сгради, които са основен източник на несигурност и блокиране на пазара на отдаване под наем;</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призовава Комисията да включи в европейския семестър конкретни препоръки относно ценовата достъпност на жилищата и да насърчава инвестициите в жилища, включително чрез финансовите инструменти на Европейската инвестиционна банка; счита, че преразглеждането на регулаторната рамка на ЕС за жилищния сектор следва да защити собствениците на жилища от по-нататъшно намаляване на предлагането и да улесни изграждането на достъпни и енергийно ефективни жилища, които отговарят на нуждите на младите хора, хората с намалена подвижност и семействата, изложени на риск;</w:t>
            </w:r>
          </w:p>
        </w:tc>
        <w:tc>
          <w:tcPr>
            <w:tcW w:w="4876" w:type="dxa"/>
            <w:tcBorders>
              <w:top w:val="nil"/>
              <w:left w:val="nil"/>
              <w:bottom w:val="nil"/>
              <w:right w:val="nil"/>
            </w:tcBorders>
          </w:tcPr>
          <w:p>
            <w:pPr>
              <w:pStyle w:val="Normal6a"/>
            </w:pPr>
            <w:r>
              <w:t>3.</w:t>
            </w:r>
            <w:r>
              <w:tab/>
            </w:r>
            <w:r>
              <w:t xml:space="preserve">призовава Комисията да включи в европейския семестър конкретни препоръки относно ценовата достъпност на жилищата и да насърчава инвестициите в жилища, включително чрез финансовите инструменти на Европейската инвестиционна банка; счита, че преразглеждането на регулаторната рамка на ЕС за жилищния сектор следва да защити </w:t>
            </w:r>
            <w:r>
              <w:rPr>
                <w:b/>
                <w:i/>
              </w:rPr>
              <w:t>лицата, желаещи да станат</w:t>
            </w:r>
            <w:r>
              <w:t xml:space="preserve"> собствениците на жилища</w:t>
            </w:r>
            <w:r>
              <w:rPr>
                <w:b/>
                <w:i/>
              </w:rPr>
              <w:t>,</w:t>
            </w:r>
            <w:r>
              <w:t xml:space="preserve"> от по-нататъшно намаляване на предлагането и да улесни изграждането на достъпни</w:t>
            </w:r>
            <w:r>
              <w:rPr>
                <w:b/>
                <w:i/>
              </w:rPr>
              <w:t>, финансово приемливи</w:t>
            </w:r>
            <w:r>
              <w:t xml:space="preserve"> и енергийно ефективни жилища, които отговарят на нуждите на младите хора, хората с намалена подвижност и семействата, изложени на риск; </w:t>
            </w:r>
            <w:r>
              <w:rPr>
                <w:b/>
                <w:i/>
              </w:rPr>
              <w:t>призовава държавите членки и Комисията да признаят за право подходящото жилищно настаняване.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призовава Комисията да включи в европейския семестър конкретни препоръки относно ценовата достъпност на жилищата </w:t>
            </w:r>
            <w:r>
              <w:rPr>
                <w:b/>
                <w:i/>
              </w:rPr>
              <w:t>и да насърчава инвестициите в жилища, включително чрез финансовите инструменти на Европейската инвестиционна банка;</w:t>
            </w:r>
            <w:r>
              <w:t xml:space="preserve"> </w:t>
            </w:r>
            <w:r>
              <w:rPr>
                <w:b/>
                <w:i/>
              </w:rPr>
              <w:t>счита, че преразглеждането на регулаторната рамка на ЕС за жилищния сектор следва да защити собствениците на</w:t>
            </w:r>
            <w:r>
              <w:t xml:space="preserve"> жилища </w:t>
            </w:r>
            <w:r>
              <w:rPr>
                <w:b/>
                <w:i/>
              </w:rPr>
              <w:t>от по-нататъшно намаляване на предлагането и да улесни изграждането на достъпни и енергийно ефективни жилища, които отговарят на нуждите на младите хора, хората с намалена подвижност и семействата, изложени на риск</w:t>
            </w:r>
            <w:r>
              <w:t>;</w:t>
            </w:r>
          </w:p>
        </w:tc>
        <w:tc>
          <w:tcPr>
            <w:tcW w:w="4876" w:type="dxa"/>
            <w:tcBorders>
              <w:top w:val="nil"/>
              <w:left w:val="nil"/>
              <w:bottom w:val="nil"/>
              <w:right w:val="nil"/>
            </w:tcBorders>
          </w:tcPr>
          <w:p>
            <w:pPr>
              <w:pStyle w:val="Normal6a"/>
            </w:pPr>
            <w:r>
              <w:t>3.</w:t>
            </w:r>
            <w:r>
              <w:tab/>
            </w:r>
            <w:r>
              <w:t>призовава Комисията да включи в европейския семестър конкретни препоръки относно ценовата достъпност на жилищата</w:t>
            </w:r>
            <w:r>
              <w:rPr>
                <w:b/>
                <w:i/>
              </w:rPr>
              <w:t>;</w:t>
            </w:r>
            <w:r>
              <w:t xml:space="preserve"> </w:t>
            </w:r>
            <w:r>
              <w:rPr>
                <w:b/>
                <w:i/>
              </w:rPr>
              <w:t>припомня необходимостта от преодоляване на годишния недостиг на инвестиции в социални жилища на достъпни цени в размер на 57 милиарда евро и значението на обявената Паневропейска инвестиционна платформа за насърчаване на инвестициите в</w:t>
            </w:r>
            <w:r>
              <w:t xml:space="preserve"> жилища</w:t>
            </w:r>
            <w:r>
              <w:rPr>
                <w:b/>
                <w:i/>
              </w:rPr>
              <w:t>, включително чрез фондове на ЕС и финансовите инструменти на Европейската инвестиционна банка;</w:t>
            </w:r>
            <w:r>
              <w:t xml:space="preserve"> </w:t>
            </w:r>
            <w:r>
              <w:rPr>
                <w:b/>
                <w:i/>
              </w:rPr>
              <w:t>подчертава възможността, предоставена от удвояването на средствата на кохезионните фондове, предназначени за социални жилища на достъпни цени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Мириам Лексман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призовава Комисията да включи в европейския семестър конкретни препоръки относно ценовата достъпност на жилищата и да насърчава инвестициите в жилища, включително чрез финансовите инструменти на Европейската инвестиционна банка; счита, че преразглеждането на регулаторната рамка на ЕС за жилищния сектор следва да защити собствениците на жилища от по-нататъшно намаляване на предлагането и да улесни изграждането на достъпни и енергийно ефективни жилища, които отговарят на нуждите на младите хора, хората с намалена подвижност и семействата, изложени на риск;</w:t>
            </w:r>
          </w:p>
        </w:tc>
        <w:tc>
          <w:tcPr>
            <w:tcW w:w="4876" w:type="dxa"/>
            <w:tcBorders>
              <w:top w:val="nil"/>
              <w:left w:val="nil"/>
              <w:bottom w:val="nil"/>
              <w:right w:val="nil"/>
            </w:tcBorders>
          </w:tcPr>
          <w:p>
            <w:pPr>
              <w:pStyle w:val="Normal6a"/>
            </w:pPr>
            <w:r>
              <w:t>3.</w:t>
            </w:r>
            <w:r>
              <w:tab/>
            </w:r>
            <w:r>
              <w:t xml:space="preserve">призовава Комисията да включи в европейския семестър конкретни препоръки относно ценовата достъпност на жилищата и да насърчава инвестициите в жилища, включително чрез финансовите инструменти на Европейската инвестиционна банка; счита, че преразглеждането на регулаторната рамка на ЕС за жилищния сектор следва да защити собствениците на жилища от по-нататъшно намаляване на предлагането и да улесни изграждането на достъпни и енергийно ефективни жилища, които отговарят на нуждите на младите хора, хората с намалена подвижност и </w:t>
            </w:r>
            <w:r>
              <w:rPr>
                <w:b/>
                <w:i/>
              </w:rPr>
              <w:t>лицата с увреждания и</w:t>
            </w:r>
            <w:r>
              <w:t xml:space="preserve"> семействата, изложени на риск;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 – точка 1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изразява съжаление, че някои правила и директиви на ЕС, като например Директивата за необслужваните кредити и правилата на ЕС за фискалната и държавната помощ, изиграха роля за повишаването на цените на жилищата и бездомничеството в целия Съюз, тъй като те често могат да попречат на държавите членки да инвестират всеобхватно в справянето с нарастващите разходи за жилищно настаняване и нарастващия брой бездомни.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3а.</w:t>
            </w:r>
            <w:r>
              <w:tab/>
            </w:r>
            <w:r>
              <w:rPr>
                <w:b/>
                <w:i/>
              </w:rPr>
              <w:t>настоятелно призовава държавите членки да гарантират, че инвестициите в жилища подкрепят дългосрочни качествени решения за жилищно настаняване, които действително са достъпни за домакинствата с ниски и средни доходи, чрез социални условия и предпазни мерки срещу спекулативни действия;</w:t>
            </w:r>
            <w:r>
              <w:t xml:space="preserve"> </w:t>
            </w:r>
            <w:r>
              <w:rPr>
                <w:b/>
                <w:i/>
              </w:rPr>
              <w:t>счита, че справянето със спекулативните инвестиции и финансиализацията трябва да бъде централен елемент на Европейския план за жилища на достъпни цени;</w:t>
            </w:r>
            <w:r>
              <w:t xml:space="preserve"> </w:t>
            </w:r>
            <w:r>
              <w:rPr>
                <w:b/>
                <w:i/>
              </w:rPr>
              <w:t>във връзка с това приветства задълбочения анализ на въздействието на спекулацията с жилища и икономическите последици от нея с цел постигане на бърз отговор и последващи действия, когато е необходимо;</w:t>
            </w:r>
            <w:r>
              <w:t xml:space="preserve"> </w:t>
            </w:r>
            <w:r>
              <w:rPr>
                <w:b/>
                <w:i/>
              </w:rPr>
              <w:t>счита, че преразглеждането на регулаторната рамка на ЕС за жилищния сектор следва да улесни санирането и строителството - като се избягва използването на повече земя - на достъпни, финансово приемливи и енергийно ефективни жилища, които да отговарят на нуждите на младите хора, хората с намалена подвижност и хората в по-уязвимо положение;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3а.</w:t>
            </w:r>
            <w:r>
              <w:tab/>
            </w:r>
            <w:r>
              <w:rPr>
                <w:b/>
                <w:i/>
              </w:rPr>
              <w:t>счита, че бездомничеството е драматичен социален проблем в ЕС и една от най-крайните форми на социално изключване, която лишава хората от достоен живот и участието им на пазара на труда; призовава Комисията да разработи план за действие за прекратяване на бездомничеството в ЕС чрез насърчаване на достъпа до достойни жилища на достъпни цени;</w:t>
            </w:r>
            <w:r>
              <w:t xml:space="preserve"> </w:t>
            </w:r>
            <w:r>
              <w:rPr>
                <w:b/>
                <w:i/>
              </w:rPr>
              <w:t>призовава за единно определение на бездомничеството в ЕС, което ще даде възможност за систематично сравнение и оценка на степента на бездомничество в различните държави от ЕС</w:t>
            </w:r>
            <w:r>
              <w:t xml:space="preserve"> </w:t>
            </w:r>
            <w:r>
              <w:rPr>
                <w:b/>
                <w:i/>
              </w:rPr>
              <w:t>и ще позволи систематично да се наблюдава равнището на бездомничество на равнището на ЕС чрез институции като Евростат;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3а.</w:t>
            </w:r>
            <w:r>
              <w:tab/>
            </w:r>
            <w:r>
              <w:rPr>
                <w:b/>
                <w:i/>
              </w:rPr>
              <w:t>приветства обявения Европейски план за жилища на достъпни цени в подкрепа на държавите членки при справянето с жилищната криза и покачващите се цени на наемите и жилищата;</w:t>
            </w:r>
            <w:r>
              <w:t xml:space="preserve"> </w:t>
            </w:r>
            <w:r>
              <w:rPr>
                <w:b/>
                <w:i/>
              </w:rPr>
              <w:t>призовава Комисията да преразгледа правилата за държавна помощ, за да се даде възможност за мерки за подпомагане на жилищното настаняване и за социално жилищно настаняване;</w:t>
            </w:r>
            <w:r>
              <w:t xml:space="preserve"> </w:t>
            </w:r>
            <w:r>
              <w:rPr>
                <w:b/>
                <w:i/>
              </w:rPr>
              <w:t>припомня, че Социалният фонд за климата ще предоставя финансова помощ на държавите членки от 2026 г. в подкрепа на уязвимите домакинства с временно пряко подпомагане на доходите и мерки и инвестиции, предназначени за повишаване на енергийната ефективност на сградите, декарбонизация на тяхното отопление и охлаждане и интегриране в сградите за производство и съхранение на енергия от възобновяеми източници;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3а.</w:t>
            </w:r>
            <w:r>
              <w:tab/>
            </w:r>
            <w:r>
              <w:rPr>
                <w:b/>
                <w:i/>
              </w:rPr>
              <w:t>призовава Комисията да направи предложения относно укрепването на технологичните способности на ЕС, ускоряването на цифровата трансформация във всички отрасли, използването на възможностите на основаната на данни икономика, като същевременно се гарантира неприкосновеността на личния живот и сигурността и се насърчава развитието на иновативни технологии;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3б.</w:t>
            </w:r>
            <w:r>
              <w:tab/>
            </w:r>
            <w:r>
              <w:rPr>
                <w:b/>
                <w:i/>
              </w:rPr>
              <w:t>припомня целта на Съюза за преход от институционални грижи към грижи в общността или в семейството;</w:t>
            </w:r>
            <w:r>
              <w:t xml:space="preserve"> </w:t>
            </w:r>
            <w:r>
              <w:rPr>
                <w:b/>
                <w:i/>
              </w:rPr>
              <w:t>призовава Комисията да представи план за действие за деинституционализация;</w:t>
            </w:r>
            <w:r>
              <w:t xml:space="preserve"> </w:t>
            </w:r>
            <w:r>
              <w:rPr>
                <w:b/>
                <w:i/>
              </w:rPr>
              <w:t>подчертава, че този план за действие следва да обхваща всички групи, които все още живеят в институции, включително децата, хората с увреждания, хората, страдащи от проблеми с психичното здраве или от бездомност, и възрастните хора;</w:t>
            </w:r>
            <w:r>
              <w:t xml:space="preserve"> </w:t>
            </w:r>
            <w:r>
              <w:rPr>
                <w:b/>
                <w:i/>
              </w:rPr>
              <w:t>призовава държавите членки да използват пълноценно средствата от ЕСФ+, както и други съответни европейски и национални фондове, за да завършат процеса на деинституционализация, така че да се гарантира, че гражданите на ЕС могат да живеят в семейна или общностна среда;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3б.</w:t>
            </w:r>
            <w:r>
              <w:tab/>
            </w:r>
            <w:r>
              <w:rPr>
                <w:b/>
                <w:i/>
              </w:rPr>
              <w:t>счита, че са необходими спешни действия от страна на ЕС за справяне с трайно високите равнища на бедност и социално изключване в ЕС, особено сред децата, младите и възрастните хора, хората с увреждания, лицата, родени извън ЕС, ЛГБТИ лицата и ромските общности;</w:t>
            </w:r>
            <w:r>
              <w:t xml:space="preserve"> </w:t>
            </w:r>
            <w:r>
              <w:rPr>
                <w:b/>
                <w:i/>
              </w:rPr>
              <w:t>следва да се даде приоритет на достъпа до качествени социални услуги с обвързващи цели за намаляване на бездомничеството и гарантиране на енергийната сигурност за уязвимите домакинства;</w:t>
            </w:r>
            <w:r>
              <w:t xml:space="preserve"> </w:t>
            </w:r>
            <w:r>
              <w:rPr>
                <w:b/>
                <w:i/>
              </w:rPr>
              <w:t>призовава Комисията да приеме първата по рода си стратегия на ЕС за борба с бедността;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3б.</w:t>
            </w:r>
            <w:r>
              <w:tab/>
            </w:r>
            <w:r>
              <w:rPr>
                <w:b/>
                <w:i/>
              </w:rPr>
              <w:t>припомня целта да се работи за премахване на бездомничеството до 2030 г.;</w:t>
            </w:r>
            <w:r>
              <w:t xml:space="preserve"> </w:t>
            </w:r>
            <w:r>
              <w:rPr>
                <w:b/>
                <w:i/>
              </w:rPr>
              <w:t>призовава държавите членки да разработят национални стратегии за борба с бездомничеството, насочени към решения, основани на жилищното настаняване, за привеждане в съответствие с тази цел;</w:t>
            </w:r>
            <w:r>
              <w:t xml:space="preserve"> </w:t>
            </w:r>
            <w:r>
              <w:rPr>
                <w:b/>
                <w:i/>
              </w:rPr>
              <w:t>приветства намерението за представяне на препоръка на Съвета относно бездомничеството;</w:t>
            </w:r>
            <w:r>
              <w:t xml:space="preserve"> </w:t>
            </w:r>
            <w:r>
              <w:rPr>
                <w:b/>
                <w:i/>
              </w:rPr>
              <w:t>настоятелно призовава Комисията да увеличи допълнително амбицията на Европейската платформа за борба с бездомничеството, по-специално като ѝ предостави специален бюджет;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призовава, в съответствие с неотдавнашните препоръки на Комисията, да се въведе европейски план за действие за психичното здраве</w:t>
            </w:r>
            <w:r>
              <w:rPr>
                <w:vertAlign w:val="superscript"/>
              </w:rPr>
              <w:t>2</w:t>
            </w:r>
            <w:r>
              <w:t>; призовава да се вземат мерки в европейския семестър по отношение на социално-икономическото въздействие на самотата върху производителността и благосъстоянието, като се утвърди стратегия на ЕС за справяне с нежеланата самота</w:t>
            </w:r>
            <w:r>
              <w:rPr>
                <w:b/>
                <w:i/>
              </w:rPr>
              <w:t>;</w:t>
            </w:r>
            <w:r>
              <w:t xml:space="preserve"> </w:t>
            </w:r>
            <w:r>
              <w:rPr>
                <w:b/>
                <w:i/>
              </w:rPr>
              <w:t>тази стратегия от своя страна може да насърчи солидарността между поколенията и да укрепи програмите</w:t>
            </w:r>
            <w:r>
              <w:t xml:space="preserve"> за емоционална подкрепа за младите </w:t>
            </w:r>
            <w:r>
              <w:rPr>
                <w:b/>
                <w:i/>
              </w:rPr>
              <w:t>и по-възрастните хора</w:t>
            </w:r>
            <w:r>
              <w:t>;</w:t>
            </w:r>
          </w:p>
        </w:tc>
        <w:tc>
          <w:tcPr>
            <w:tcW w:w="4876" w:type="dxa"/>
            <w:tcBorders>
              <w:top w:val="nil"/>
              <w:left w:val="nil"/>
              <w:bottom w:val="nil"/>
              <w:right w:val="nil"/>
            </w:tcBorders>
          </w:tcPr>
          <w:p>
            <w:pPr>
              <w:pStyle w:val="Normal6a"/>
            </w:pPr>
            <w:r>
              <w:t>4.</w:t>
            </w:r>
            <w:r>
              <w:tab/>
            </w:r>
            <w:r>
              <w:t>призовава, в съответствие с неотдавнашните препоръки</w:t>
            </w:r>
            <w:r>
              <w:rPr>
                <w:vertAlign w:val="superscript"/>
              </w:rPr>
              <w:t>2</w:t>
            </w:r>
            <w:r>
              <w:t xml:space="preserve"> на Комисията, да се въведе </w:t>
            </w:r>
            <w:r>
              <w:rPr>
                <w:b/>
                <w:i/>
              </w:rPr>
              <w:t>всеобхватен</w:t>
            </w:r>
            <w:r>
              <w:t xml:space="preserve"> европейски план за действие за психичното здраве; призовава да се вземат мерки в европейския семестър по отношение на социално-икономическото въздействие на самотата върху производителността и благосъстоянието, като се утвърди стратегия на ЕС за справяне с нежеланата самота </w:t>
            </w:r>
            <w:r>
              <w:rPr>
                <w:b/>
                <w:i/>
              </w:rPr>
              <w:t>и солидарността между поколенията;</w:t>
            </w:r>
            <w:r>
              <w:t xml:space="preserve"> </w:t>
            </w:r>
            <w:r>
              <w:rPr>
                <w:b/>
                <w:i/>
              </w:rPr>
              <w:t>призовава държавите членки да засилят достъпа до услуги в областта на психичното здраве и програми</w:t>
            </w:r>
            <w:r>
              <w:t xml:space="preserve"> за емоционална подкрепа за </w:t>
            </w:r>
            <w:r>
              <w:rPr>
                <w:b/>
                <w:i/>
              </w:rPr>
              <w:t>децата,</w:t>
            </w:r>
            <w:r>
              <w:t xml:space="preserve"> младите </w:t>
            </w:r>
            <w:r>
              <w:rPr>
                <w:b/>
                <w:i/>
              </w:rPr>
              <w:t>хора и възрастните, особено в отдалечените и по-слабо развитите региони</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Съобщение на Комисията от 7 юни 2023 г. относно всеобхватен подход към психичното здраве (COM(2023)0298).</w:t>
            </w:r>
          </w:p>
        </w:tc>
        <w:tc>
          <w:tcPr>
            <w:tcW w:w="4876" w:type="dxa"/>
            <w:tcBorders>
              <w:top w:val="nil"/>
              <w:left w:val="nil"/>
              <w:bottom w:val="nil"/>
              <w:right w:val="nil"/>
            </w:tcBorders>
          </w:tcPr>
          <w:p>
            <w:pPr>
              <w:pStyle w:val="Normal6a"/>
            </w:pPr>
            <w:r>
              <w:rPr>
                <w:vertAlign w:val="superscript"/>
              </w:rPr>
              <w:t>2</w:t>
            </w:r>
            <w:r>
              <w:t xml:space="preserve"> </w:t>
            </w:r>
            <w:r>
              <w:t>Съобщение на Комисията от 7 юни 2023 г. относно всеобхватен подход към психичното здраве (COM(2023)0298).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призовава, в съответствие с неотдавнашните препоръки на Комисията, да се въведе европейски план за действие за психичното здраве</w:t>
            </w:r>
            <w:r>
              <w:rPr>
                <w:vertAlign w:val="superscript"/>
              </w:rPr>
              <w:t>2</w:t>
            </w:r>
            <w:r>
              <w:t xml:space="preserve">; призовава да се </w:t>
            </w:r>
            <w:r>
              <w:rPr>
                <w:b/>
                <w:i/>
              </w:rPr>
              <w:t>вземат мерки в европейския семестър по отношение на</w:t>
            </w:r>
            <w:r>
              <w:t xml:space="preserve"> социално-икономическото въздействие на самотата </w:t>
            </w:r>
            <w:r>
              <w:rPr>
                <w:b/>
                <w:i/>
              </w:rPr>
              <w:t>върху производителността и благосъстоянието, като се утвърди стратегия на ЕС за справяне с нежеланата самота;</w:t>
            </w:r>
            <w:r>
              <w:t xml:space="preserve"> </w:t>
            </w:r>
            <w:r>
              <w:rPr>
                <w:b/>
                <w:i/>
              </w:rPr>
              <w:t>тази стратегия от своя страна може да насърчи солидарността между поколенията и да укрепи програмите за емоционална подкрепа за младите и по-възрастните хора</w:t>
            </w:r>
            <w:r>
              <w:t>;</w:t>
            </w:r>
          </w:p>
        </w:tc>
        <w:tc>
          <w:tcPr>
            <w:tcW w:w="4876" w:type="dxa"/>
            <w:tcBorders>
              <w:top w:val="nil"/>
              <w:left w:val="nil"/>
              <w:bottom w:val="nil"/>
              <w:right w:val="nil"/>
            </w:tcBorders>
          </w:tcPr>
          <w:p>
            <w:pPr>
              <w:pStyle w:val="Normal6a"/>
            </w:pPr>
            <w:r>
              <w:t>4.</w:t>
            </w:r>
            <w:r>
              <w:tab/>
            </w:r>
            <w:r>
              <w:t>призовава, в съответствие с неотдавнашните препоръки</w:t>
            </w:r>
            <w:r>
              <w:rPr>
                <w:vertAlign w:val="superscript"/>
              </w:rPr>
              <w:t>2</w:t>
            </w:r>
            <w:r>
              <w:t xml:space="preserve"> на Комисията, да се въведе европейски план за действие за психичното здраве; призовава </w:t>
            </w:r>
            <w:r>
              <w:rPr>
                <w:b/>
                <w:i/>
              </w:rPr>
              <w:t>в европейския семестър</w:t>
            </w:r>
            <w:r>
              <w:t xml:space="preserve"> да се </w:t>
            </w:r>
            <w:r>
              <w:rPr>
                <w:b/>
                <w:i/>
              </w:rPr>
              <w:t>използва набора от социални показатели за справяне със</w:t>
            </w:r>
            <w:r>
              <w:t xml:space="preserve"> социално-икономическото въздействие на самотата </w:t>
            </w:r>
            <w:r>
              <w:rPr>
                <w:b/>
                <w:i/>
              </w:rPr>
              <w:t>и несигурните условия на живот и несигурността по отношение на благосъстоянието, психичното здраве и участието на хората в обществото и пазара на труда</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Съобщение на Комисията от 7 юни 2023 г. относно всеобхватен подход към психичното здраве (COM(2023)0298).</w:t>
            </w:r>
          </w:p>
        </w:tc>
        <w:tc>
          <w:tcPr>
            <w:tcW w:w="4876" w:type="dxa"/>
            <w:tcBorders>
              <w:top w:val="nil"/>
              <w:left w:val="nil"/>
              <w:bottom w:val="nil"/>
              <w:right w:val="nil"/>
            </w:tcBorders>
          </w:tcPr>
          <w:p>
            <w:pPr>
              <w:pStyle w:val="Normal6a"/>
            </w:pPr>
            <w:r>
              <w:rPr>
                <w:vertAlign w:val="superscript"/>
              </w:rPr>
              <w:t>2</w:t>
            </w:r>
            <w:r>
              <w:t xml:space="preserve"> </w:t>
            </w:r>
            <w:r>
              <w:t>Съобщение на Комисията от 7 юни 2023 г. относно всеобхватен подход към психичното здраве (COM(2023)0298).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Марлена Малонг, Джорджиана Теодореску, Елена Донацан, Киара Джема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призовава, в съответствие с неотдавнашните препоръки на Комисията, да се въведе европейски план за действие за психичното здраве</w:t>
            </w:r>
            <w:r>
              <w:rPr>
                <w:vertAlign w:val="superscript"/>
              </w:rPr>
              <w:t>2</w:t>
            </w:r>
            <w:r>
              <w:t>; призовава да се вземат мерки в европейския семестър по отношение на социално-икономическото въздействие на самотата върху производителността и благосъстоянието, като се утвърди стратегия на ЕС за справяне с нежеланата самота; тази стратегия от своя страна може да насърчи солидарността между поколенията и да укрепи програмите за емоционална подкрепа за младите и по-възрастните хора;</w:t>
            </w:r>
          </w:p>
        </w:tc>
        <w:tc>
          <w:tcPr>
            <w:tcW w:w="4876" w:type="dxa"/>
            <w:tcBorders>
              <w:top w:val="nil"/>
              <w:left w:val="nil"/>
              <w:bottom w:val="nil"/>
              <w:right w:val="nil"/>
            </w:tcBorders>
          </w:tcPr>
          <w:p>
            <w:pPr>
              <w:pStyle w:val="Normal6a"/>
            </w:pPr>
            <w:r>
              <w:t>4.</w:t>
            </w:r>
            <w:r>
              <w:tab/>
            </w:r>
            <w:r>
              <w:t>призовава, в съответствие с неотдавнашните препоръки на Комисията, да се въведе европейски план за действие за психичното здраве</w:t>
            </w:r>
            <w:r>
              <w:rPr>
                <w:vertAlign w:val="superscript"/>
              </w:rPr>
              <w:t>2</w:t>
            </w:r>
            <w:r>
              <w:t xml:space="preserve">; призовава да се вземат мерки в европейския семестър по отношение на социално-икономическото въздействие на самотата върху производителността и благосъстоянието, като се утвърди стратегия на ЕС за справяне с нежеланата самота; тази стратегия от своя страна може да насърчи солидарността между поколенията и </w:t>
            </w:r>
            <w:r>
              <w:rPr>
                <w:b/>
                <w:i/>
              </w:rPr>
              <w:t>сребърната икономика и</w:t>
            </w:r>
            <w:r>
              <w:t xml:space="preserve"> да укрепи програмите за емоционална подкрепа за младите и по-възрастните хора;</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Съобщение на Комисията от 7 юни 2023 г. относно всеобхватен подход към психичното здраве (COM(2023)0298).</w:t>
            </w:r>
          </w:p>
        </w:tc>
        <w:tc>
          <w:tcPr>
            <w:tcW w:w="4876" w:type="dxa"/>
            <w:tcBorders>
              <w:top w:val="nil"/>
              <w:left w:val="nil"/>
              <w:bottom w:val="nil"/>
              <w:right w:val="nil"/>
            </w:tcBorders>
          </w:tcPr>
          <w:p>
            <w:pPr>
              <w:pStyle w:val="Normal6a"/>
            </w:pPr>
            <w:r>
              <w:rPr>
                <w:vertAlign w:val="superscript"/>
              </w:rPr>
              <w:t>2</w:t>
            </w:r>
            <w:r>
              <w:t xml:space="preserve"> </w:t>
            </w:r>
            <w:r>
              <w:t>Съобщение на Комисията от 7 юни 2023 г. относно всеобхватен подход към психичното здраве (COM(2023)0298).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призовава</w:t>
            </w:r>
            <w:r>
              <w:rPr>
                <w:b/>
                <w:i/>
              </w:rPr>
              <w:t>,</w:t>
            </w:r>
            <w:r>
              <w:t xml:space="preserve"> в съответствие с неотдавнашните препоръки на Комисията</w:t>
            </w:r>
            <w:r>
              <w:rPr>
                <w:b/>
                <w:i/>
              </w:rPr>
              <w:t>, да се въведе европейски план за действие за</w:t>
            </w:r>
            <w:r>
              <w:t xml:space="preserve"> психичното здраве</w:t>
            </w:r>
            <w:r>
              <w:rPr>
                <w:vertAlign w:val="superscript"/>
              </w:rPr>
              <w:t>2</w:t>
            </w:r>
            <w:r>
              <w:t xml:space="preserve">; призовава </w:t>
            </w:r>
            <w:r>
              <w:rPr>
                <w:b/>
                <w:i/>
              </w:rPr>
              <w:t>да се</w:t>
            </w:r>
            <w:r>
              <w:t xml:space="preserve"> вземат мерки </w:t>
            </w:r>
            <w:r>
              <w:rPr>
                <w:b/>
                <w:i/>
              </w:rPr>
              <w:t>в европейския семестър</w:t>
            </w:r>
            <w:r>
              <w:t xml:space="preserve"> по отношение на социално-икономическото въздействие на самотата върху производителността и благосъстоянието, </w:t>
            </w:r>
            <w:r>
              <w:rPr>
                <w:b/>
                <w:i/>
              </w:rPr>
              <w:t>като се утвърди стратегия на ЕС за справяне с нежеланата самота;</w:t>
            </w:r>
            <w:r>
              <w:t xml:space="preserve"> </w:t>
            </w:r>
            <w:r>
              <w:rPr>
                <w:b/>
                <w:i/>
              </w:rPr>
              <w:t>тази стратегия от своя страна може да насърчи</w:t>
            </w:r>
            <w:r>
              <w:t xml:space="preserve"> солидарността между поколенията и да </w:t>
            </w:r>
            <w:r>
              <w:rPr>
                <w:b/>
                <w:i/>
              </w:rPr>
              <w:t>укрепи</w:t>
            </w:r>
            <w:r>
              <w:t xml:space="preserve"> програмите за емоционална подкрепа за младите и по-възрастните хора;</w:t>
            </w:r>
          </w:p>
        </w:tc>
        <w:tc>
          <w:tcPr>
            <w:tcW w:w="4876" w:type="dxa"/>
            <w:tcBorders>
              <w:top w:val="nil"/>
              <w:left w:val="nil"/>
              <w:bottom w:val="nil"/>
              <w:right w:val="nil"/>
            </w:tcBorders>
          </w:tcPr>
          <w:p>
            <w:pPr>
              <w:pStyle w:val="Normal6a"/>
            </w:pPr>
            <w:r>
              <w:t>4.</w:t>
            </w:r>
            <w:r>
              <w:tab/>
            </w:r>
            <w:r>
              <w:t xml:space="preserve">призовава </w:t>
            </w:r>
            <w:r>
              <w:rPr>
                <w:b/>
                <w:i/>
              </w:rPr>
              <w:t>за прилагането на европейски план за действие за психичното здраве</w:t>
            </w:r>
            <w:r>
              <w:t xml:space="preserve"> в съответствие с неотдавнашните препоръки на Комисията</w:t>
            </w:r>
            <w:r>
              <w:rPr>
                <w:vertAlign w:val="superscript"/>
              </w:rPr>
              <w:t>2</w:t>
            </w:r>
            <w:r>
              <w:t xml:space="preserve"> </w:t>
            </w:r>
            <w:r>
              <w:rPr>
                <w:b/>
                <w:i/>
              </w:rPr>
              <w:t>и за насърчаване на предписването на социални дейности като първа стъпка към</w:t>
            </w:r>
            <w:r>
              <w:t xml:space="preserve"> психичното здраве; призовава </w:t>
            </w:r>
            <w:r>
              <w:rPr>
                <w:b/>
                <w:i/>
              </w:rPr>
              <w:t>държавите членки да</w:t>
            </w:r>
            <w:r>
              <w:t xml:space="preserve"> вземат мерки по отношение на социално-икономическото въздействие на самотата върху производителността и благосъстоянието, </w:t>
            </w:r>
            <w:r>
              <w:rPr>
                <w:b/>
                <w:i/>
              </w:rPr>
              <w:t>да насърчат</w:t>
            </w:r>
            <w:r>
              <w:t xml:space="preserve"> солидарността между поколенията и да </w:t>
            </w:r>
            <w:r>
              <w:rPr>
                <w:b/>
                <w:i/>
              </w:rPr>
              <w:t>укрепят</w:t>
            </w:r>
            <w:r>
              <w:t xml:space="preserve"> програмите за емоционална подкрепа за младите и по-възрастните хора;</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Съобщение на Комисията от 7 юни 2023 г. относно всеобхватен подход към психичното здраве (COM(2023)0298).</w:t>
            </w:r>
          </w:p>
        </w:tc>
        <w:tc>
          <w:tcPr>
            <w:tcW w:w="4876" w:type="dxa"/>
            <w:tcBorders>
              <w:top w:val="nil"/>
              <w:left w:val="nil"/>
              <w:bottom w:val="nil"/>
              <w:right w:val="nil"/>
            </w:tcBorders>
          </w:tcPr>
          <w:p>
            <w:pPr>
              <w:pStyle w:val="Normal6a"/>
            </w:pPr>
            <w:r>
              <w:rPr>
                <w:vertAlign w:val="superscript"/>
              </w:rPr>
              <w:t>2</w:t>
            </w:r>
            <w:r>
              <w:t xml:space="preserve"> </w:t>
            </w:r>
            <w:r>
              <w:t>Съобщение на Комисията от 7 юни 2023 г. относно всеобхватен подход към психичното здраве (COM(2023)0298).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призовава, в съответствие с неотдавнашните препоръки на Комисията, да се въведе европейски план за действие за психичното здраве</w:t>
            </w:r>
            <w:r>
              <w:rPr>
                <w:vertAlign w:val="superscript"/>
              </w:rPr>
              <w:t>2</w:t>
            </w:r>
            <w:r>
              <w:t xml:space="preserve">; призовава </w:t>
            </w:r>
            <w:r>
              <w:rPr>
                <w:b/>
                <w:i/>
              </w:rPr>
              <w:t>да се вземат мерки в европейския семестър по отношение на социално-икономическото въздействие на самотата върху производителността и благосъстоянието, като се утвърди стратегия на ЕС за справяне с нежеланата самота;</w:t>
            </w:r>
            <w:r>
              <w:t xml:space="preserve"> </w:t>
            </w:r>
            <w:r>
              <w:rPr>
                <w:b/>
                <w:i/>
              </w:rPr>
              <w:t>тази стратегия от своя страна може да насърчи солидарността между поколенията и да укрепи програмите за емоционална подкрепа за младите и по-възрастните хора</w:t>
            </w:r>
            <w:r>
              <w:t>;</w:t>
            </w:r>
          </w:p>
        </w:tc>
        <w:tc>
          <w:tcPr>
            <w:tcW w:w="4876" w:type="dxa"/>
            <w:tcBorders>
              <w:top w:val="nil"/>
              <w:left w:val="nil"/>
              <w:bottom w:val="nil"/>
              <w:right w:val="nil"/>
            </w:tcBorders>
          </w:tcPr>
          <w:p>
            <w:pPr>
              <w:pStyle w:val="Normal6a"/>
            </w:pPr>
            <w:r>
              <w:t>4.</w:t>
            </w:r>
            <w:r>
              <w:tab/>
            </w:r>
            <w:r>
              <w:t>призовава, в съответствие с неотдавнашните препоръки на Комисията</w:t>
            </w:r>
            <w:r>
              <w:rPr>
                <w:vertAlign w:val="superscript"/>
              </w:rPr>
              <w:t>2</w:t>
            </w:r>
            <w:r>
              <w:t xml:space="preserve">, да се въведе европейски план за действие за психичното здраве; призовава </w:t>
            </w:r>
            <w:r>
              <w:rPr>
                <w:b/>
                <w:i/>
              </w:rPr>
              <w:t>за директива на равнището на ЕС относно психосоциалните рискове с цел справяне с нарасналото разпространение на някои психосоциални рискове на работните места в ЕС, за да се гарантира, че принципите за здравословни и безопасни условия на труд, залегнали в Рамковата директива, се прилагат ефективно и по отношение на психосоциалните рискове</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Съобщение на Комисията от 7 юни 2023 г. относно всеобхватен подход към психичното здраве (COM(2023)0298).</w:t>
            </w:r>
          </w:p>
        </w:tc>
        <w:tc>
          <w:tcPr>
            <w:tcW w:w="4876" w:type="dxa"/>
            <w:tcBorders>
              <w:top w:val="nil"/>
              <w:left w:val="nil"/>
              <w:bottom w:val="nil"/>
              <w:right w:val="nil"/>
            </w:tcBorders>
          </w:tcPr>
          <w:p>
            <w:pPr>
              <w:pStyle w:val="Normal6a"/>
            </w:pPr>
            <w:r>
              <w:rPr>
                <w:vertAlign w:val="superscript"/>
              </w:rPr>
              <w:t>2</w:t>
            </w:r>
            <w:r>
              <w:t xml:space="preserve"> </w:t>
            </w:r>
            <w:r>
              <w:t>Съобщение на Комисията от 7 юни 2023 г. относно всеобхватен подход към психичното здраве (COM(2023)0298).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призовава европейският семестър да разгледа социално-икономическите предизвикателства и възможности, породени от демографските промени, застаряването на населението и самотата, по отношение на производителността, благосъстоянието и социалното сближаване чрез насърчаване на цялостна стратегия на ЕС относно застаряването на населението, насочена към нежеланата самота, необходимостта от достойно, достъпно и адаптирано жилищно настаняване, достъп до професионални и приобщаващи услуги за полагане на грижи и дългосрочни грижи и насърчаване на активното приобщаване и равните възможности за по-възрастните работници на пазара на труда, което от своя страна може да насърчи солидарността между поколенията и да укрепи програмите за емоционална подкрепа за младежта и възрастните хора;</w:t>
            </w:r>
            <w:r>
              <w:t xml:space="preserve"> </w:t>
            </w:r>
            <w:r>
              <w:rPr>
                <w:b/>
                <w:i/>
              </w:rPr>
              <w:t>призовава за изпълнението на Европейската стратегия за грижите, по-специално по отношение на достъпността до висококачествени и финансово достъпни услуги за полагане на грижи в ранна детска възраст и дългосрочни грижи, и за гарантиране на справедливи условия на труд и обучение на персонала, полагащ грижи, включително неформални грижи;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Марлена Малонг, Джорджиана Теодореску, Елена Донацан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подчертава, че работодателите трябва да насърчават връзките между поколенията в рамките на дружеството и взаимното обучение между поколенията, като младите се учат от старите и обратното;</w:t>
            </w:r>
            <w:r>
              <w:t xml:space="preserve"> </w:t>
            </w:r>
            <w:r>
              <w:rPr>
                <w:b/>
                <w:i/>
              </w:rPr>
              <w:t>подчертава, че застаряващата работна сила може да помогне предприятията да разработят нови продукти и услуги, за да се адаптират към нуждите на застаряващото общество по по-креативен и продуктивен начин;</w:t>
            </w:r>
            <w:r>
              <w:t xml:space="preserve"> </w:t>
            </w:r>
            <w:r>
              <w:rPr>
                <w:b/>
                <w:i/>
              </w:rPr>
              <w:t>освен това призовава за създаване на стимули за насърчаване на доброволчеството и наставничеството, за да се стимулира предаването на знания между поколенията;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Мириам Лексман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призовава за инициативи за борба с изключването на работната сила вследствие на по-дълги периоди на отпуск по болест, причинени от сериозни незаразни болести като рак, сърдечносъдови заболявания, диабет, хронични респираторни заболявания, психично здраве и неврологични разстройства, както и ревматични и мускулно-скелетни заболявания, по-специално за инициативи, насочени към адаптиране на работното място, гъвкави условия на труд и стратегии за подпомагане на завръщането на работниците след продължително отсъствие;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призовава в европейския семестър да се вземат мерки по отношение на социално-икономическото въздействие на проблемите, свързани с психичното здраве на децата, юношите и младите хора, във връзка с тяхното дългосрочно благосъстояние и стандарт на живот.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4б.</w:t>
            </w:r>
            <w:r>
              <w:tab/>
            </w:r>
            <w:r>
              <w:rPr>
                <w:b/>
                <w:i/>
              </w:rPr>
              <w:t>предупреждава, че според докладите на ЕЦБ реалните заплати все още са под равнището отпреди пандемията, докато производителността е приблизително същата;</w:t>
            </w:r>
            <w:r>
              <w:t xml:space="preserve"> </w:t>
            </w:r>
            <w:r>
              <w:rPr>
                <w:b/>
                <w:i/>
              </w:rPr>
              <w:t>изразява съгласие, че това създава възможност за неинфлационно възстановяване на реалните заплати, и предупреждава, че ако не се възстановят реалните заплати, това ще увеличи риска от продължителна икономическа слабост, което би могло да доведе до отрицателни последици и допълнително би намалило производителността в еврозоната в сравнение с други части на света;</w:t>
            </w:r>
            <w:r>
              <w:t xml:space="preserve"> </w:t>
            </w:r>
            <w:r>
              <w:rPr>
                <w:b/>
                <w:i/>
              </w:rPr>
              <w:t>счита, че увеличаването на размера на минималните работни заплати и засилването на обхвата на колективното договаряне могат да окажат благоприятно въздействие върху равнищата на неравенство в заплащането, по-специално като помогнат на по-уязвимите работници в дъното на разпределението на заплатите, които биват все повече пренебрегвани;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4б.</w:t>
            </w:r>
            <w:r>
              <w:tab/>
            </w:r>
            <w:r>
              <w:rPr>
                <w:b/>
                <w:i/>
              </w:rPr>
              <w:t>призовава държавите членки и Комисията да обмислят план за действие за справяне с изолацията и самотата в селските райони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4в.</w:t>
            </w:r>
            <w:r>
              <w:tab/>
            </w:r>
            <w:r>
              <w:rPr>
                <w:b/>
                <w:i/>
              </w:rPr>
              <w:t>призовава държавите членки да гарантират достойни условия на труд, включващи, наред с другото, достойни заплати, достъп до социална закрила, възможности за учене през целия живот, здравословни и безопасни условия на труд, добро равновесие между професионалния и личния живот и правото на откъсване от работната среда, разумно работно време, представителство на работниците, демокрация на работното място и колективни трудови договори.</w:t>
            </w:r>
            <w:r>
              <w:t xml:space="preserve"> </w:t>
            </w:r>
            <w:r>
              <w:rPr>
                <w:b/>
                <w:i/>
              </w:rPr>
              <w:t>Държавите членки трябва да насърчават демокрацията на работното място, социалния диалог и колективното договаряне и да защитават правата на работниците, особено в контекста на екологичния и цифровия преход.</w:t>
            </w:r>
            <w:r>
              <w:t xml:space="preserve"> </w:t>
            </w:r>
            <w:r>
              <w:rPr>
                <w:b/>
                <w:i/>
              </w:rPr>
              <w:t>Те следва също така да гарантират равно заплащане за равен труд на мъжете и жените, да повишат прозрачността в заплащането и да се справят с неравенството, основано на пола, за да се преодолее разликата в заплащането на жените и мъжете в ЕС;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4в.</w:t>
            </w:r>
            <w:r>
              <w:tab/>
            </w:r>
            <w:r>
              <w:rPr>
                <w:b/>
                <w:i/>
              </w:rPr>
              <w:t>призовава държавите членки и Комисията да признаят предизвиканите от работата стрес и психични заболявания;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 г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4г.</w:t>
            </w:r>
            <w:r>
              <w:tab/>
            </w:r>
            <w:r>
              <w:rPr>
                <w:b/>
                <w:i/>
              </w:rPr>
              <w:t>подчертава, че ролята на социалния диалог и социалните партньори следва да бъде систематично интегрирана в разработването и прилагането на социалните политики и политиките в областта на заетостта, като се гарантира участието на социалните партньори на всички равнища;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 д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4д.</w:t>
            </w:r>
            <w:r>
              <w:tab/>
            </w:r>
            <w:r>
              <w:rPr>
                <w:b/>
                <w:i/>
              </w:rPr>
              <w:t>подчертава важността на въвеждането на специфични мерки за справяне с регионалните неравенства в образованието и обучението, като се гарантира равен достъп до висококачествено и финансово достъпно образование за всички;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 e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4е.</w:t>
            </w:r>
            <w:r>
              <w:tab/>
            </w:r>
            <w:r>
              <w:rPr>
                <w:b/>
                <w:i/>
              </w:rPr>
              <w:t>Схемите за социална закрила на държавите членки следва да гарантират подходящи обезщетения за осигуряване на минимален доход за всеки, който не разполага с достатъчно средства, и да способстват за социалното приобщаване, като подкрепят и насърчават хората в трудоспособна възраст да участват активно на пазара на труда и в обществото, включително чрез целенасочено предоставяне на социални услуги;</w:t>
            </w:r>
            <w:r>
              <w:t xml:space="preserve"> </w:t>
            </w:r>
            <w:r>
              <w:rPr>
                <w:b/>
                <w:i/>
              </w:rPr>
              <w:t>подчертава, че в това отношение е необходимо държавите членки бързо и ефективно да приложат Директивата относно адекватните минимални работни заплати в ЕС, за да постигнат достоен стандарт на живот, да намалят бедността сред работещите и да насърчат социалното сближаване;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призовава за прилагането на политики, които насърчават равновесието между професионалния и личния живот, за да се подобри качеството на живот за всички семейства; призовава Комисията да представи законодателно предложение за създаването на европейска карта за многодетни семейства и европейски план за действие за самотните родители, с които да се предлагат данъчни, образователни и социални предимства;</w:t>
            </w:r>
          </w:p>
        </w:tc>
        <w:tc>
          <w:tcPr>
            <w:tcW w:w="4876" w:type="dxa"/>
            <w:tcBorders>
              <w:top w:val="nil"/>
              <w:left w:val="nil"/>
              <w:bottom w:val="nil"/>
              <w:right w:val="nil"/>
            </w:tcBorders>
          </w:tcPr>
          <w:p>
            <w:pPr>
              <w:pStyle w:val="Normal6a"/>
            </w:pPr>
            <w:r>
              <w:t>5.</w:t>
            </w:r>
            <w:r>
              <w:tab/>
            </w:r>
            <w:r>
              <w:t xml:space="preserve">призовава за прилагането на политики, които насърчават равновесието между професионалния и личния живот </w:t>
            </w:r>
            <w:r>
              <w:rPr>
                <w:b/>
                <w:i/>
              </w:rPr>
              <w:t>и правото на откъсване от работната среда, със специален акцент върху политиките за работното време и намаляването и по-голямата гъвкавост на работното време, както и на мерки, насърчаващи по-равномерното поделяне на платеното и неплатеното работно време между мъжете и жените</w:t>
            </w:r>
            <w:r>
              <w:t xml:space="preserve">, за да се подобри качеството на живот за всички </w:t>
            </w:r>
            <w:r>
              <w:rPr>
                <w:b/>
                <w:i/>
              </w:rPr>
              <w:t>видове</w:t>
            </w:r>
            <w:r>
              <w:t xml:space="preserve"> семейства </w:t>
            </w:r>
            <w:r>
              <w:rPr>
                <w:b/>
                <w:i/>
              </w:rPr>
              <w:t>и лица</w:t>
            </w:r>
            <w:r>
              <w:t xml:space="preserve">; призовава Комисията да представи законодателно предложение за създаването на европейска карта за </w:t>
            </w:r>
            <w:r>
              <w:rPr>
                <w:b/>
                <w:i/>
              </w:rPr>
              <w:t>всички видове семейства или</w:t>
            </w:r>
            <w:r>
              <w:t xml:space="preserve"> многодетни семейства и европейски план за действие за самотните родители, с които да се предлагат данъчни, образователни и социални предимства </w:t>
            </w:r>
            <w:r>
              <w:rPr>
                <w:b/>
                <w:i/>
              </w:rPr>
              <w:t>и предимства, свързани с полагането на грижи;</w:t>
            </w:r>
            <w:r>
              <w:t xml:space="preserve"> </w:t>
            </w:r>
            <w:r>
              <w:rPr>
                <w:b/>
                <w:i/>
              </w:rPr>
              <w:t>подчертава, че през 2023 г. 24,8% от децата на възраст под 18 години в ЕС са били изложени на риск от бедност или социално изключване, което представлява увеличение според съвместния доклад за заетостта;</w:t>
            </w:r>
            <w:r>
              <w:t xml:space="preserve"> </w:t>
            </w:r>
            <w:r>
              <w:rPr>
                <w:b/>
                <w:i/>
              </w:rPr>
              <w:t>подчертава значението на прилагането на Европейската гаранция за децата като крайъгълен камък за справяне с високите равнища на детска бедност във всички държави членки, включително мерки за укрепване на гаранцията за децата чрез увеличаване на нейния специален бюджет на най-малко 20 милиарда евро</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призовава за прилагането на политики, които насърчават равновесието между професионалния и личния живот, за да се подобри качеството на живот за всички </w:t>
            </w:r>
            <w:r>
              <w:rPr>
                <w:b/>
                <w:i/>
              </w:rPr>
              <w:t>семейства</w:t>
            </w:r>
            <w:r>
              <w:t xml:space="preserve">; призовава Комисията да </w:t>
            </w:r>
            <w:r>
              <w:rPr>
                <w:b/>
                <w:i/>
              </w:rPr>
              <w:t>представи законодателно предложение за създаването на европейска карта за многодетни семейства и европейски план за действие за самотните родители, с които да се предлагат данъчни, образователни и социални предимства</w:t>
            </w:r>
            <w:r>
              <w:t>;</w:t>
            </w:r>
          </w:p>
        </w:tc>
        <w:tc>
          <w:tcPr>
            <w:tcW w:w="4876" w:type="dxa"/>
            <w:tcBorders>
              <w:top w:val="nil"/>
              <w:left w:val="nil"/>
              <w:bottom w:val="nil"/>
              <w:right w:val="nil"/>
            </w:tcBorders>
          </w:tcPr>
          <w:p>
            <w:pPr>
              <w:pStyle w:val="Normal6a"/>
            </w:pPr>
            <w:r>
              <w:t>5.</w:t>
            </w:r>
            <w:r>
              <w:tab/>
            </w:r>
            <w:r>
              <w:t xml:space="preserve">призовава за прилагането на политики, които насърчават равновесието между професионалния и личния живот, за да се подобри качеството на живот за всички </w:t>
            </w:r>
            <w:r>
              <w:rPr>
                <w:b/>
                <w:i/>
              </w:rPr>
              <w:t>работещи</w:t>
            </w:r>
            <w:r>
              <w:t xml:space="preserve">; призовава Комисията да </w:t>
            </w:r>
            <w:r>
              <w:rPr>
                <w:b/>
                <w:i/>
              </w:rPr>
              <w:t>гарантира прилагането на Директивата относно равновесието между професионалния и личния живот и Европейската стратегия за грижите, както и да предложи рамка за справяне с предизвикателствата, свързани с работната сила в областта на дългосрочните грижи, включително улесняване на признаването на уменията и квалификациите, подкрепа за придобиването на умения и професионалното развитие и подобряване на условията на труд;</w:t>
            </w:r>
            <w:r>
              <w:t xml:space="preserve"> </w:t>
            </w:r>
            <w:r>
              <w:rPr>
                <w:b/>
                <w:i/>
              </w:rPr>
              <w:t>призовава Комисията да предложи директива за регулиране на условията на дистанционна работа и правото на откъсване от работната среда в целия ЕС като съществена мярка за гарантиране на психичното благополучие на работниците в ЕС и за допълване на Директивата относно равновесието между професионалния и личния живот;</w:t>
            </w:r>
            <w:r>
              <w:t xml:space="preserve"> </w:t>
            </w:r>
            <w:r>
              <w:rPr>
                <w:b/>
                <w:i/>
              </w:rPr>
              <w:t>освен това призовава за директива относно психосоциалните рискове и благополучието на работното място</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Мириам Лексман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призовава за прилагането на политики, които насърчават равновесието между професионалния и личния живот, за да се подобри качеството на живот за всички семейства; призовава Комисията да представи законодателно предложение за създаването на европейска карта за многодетни семейства и европейски план за действие за самотните родители, с които да се предлагат данъчни, образователни и социални предимства;</w:t>
            </w:r>
          </w:p>
        </w:tc>
        <w:tc>
          <w:tcPr>
            <w:tcW w:w="4876" w:type="dxa"/>
            <w:tcBorders>
              <w:top w:val="nil"/>
              <w:left w:val="nil"/>
              <w:bottom w:val="nil"/>
              <w:right w:val="nil"/>
            </w:tcBorders>
          </w:tcPr>
          <w:p>
            <w:pPr>
              <w:pStyle w:val="Normal6a"/>
            </w:pPr>
            <w:r>
              <w:t>5.</w:t>
            </w:r>
            <w:r>
              <w:tab/>
            </w:r>
            <w:r>
              <w:t xml:space="preserve">призовава за прилагането на политики, които насърчават равновесието между професионалния и личния живот, за да се подобри качеството на живот за всички семейства; призовава </w:t>
            </w:r>
            <w:r>
              <w:rPr>
                <w:b/>
                <w:i/>
              </w:rPr>
              <w:t>за допълнителни инициативи в подкрепа на лицата, полагащи професионални и неформални грижи, на техните условия на труд и равновесието между професионалния и личния им живот, адекватното им възнаграждение, както и достойнството на лицата, зависими от техните грижи;</w:t>
            </w:r>
            <w:r>
              <w:t xml:space="preserve"> </w:t>
            </w:r>
            <w:r>
              <w:rPr>
                <w:b/>
                <w:i/>
              </w:rPr>
              <w:t>призовава</w:t>
            </w:r>
            <w:r>
              <w:t xml:space="preserve"> Комисията да представи законодателно предложение за създаването на европейска карта за многодетни семейства и европейски план за действие за самотните родители, с които да се предлагат данъчни, образователни и социални предимства;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призовава за прилагането на политики, които насърчават равновесието между професионалния и личния живот, за да се подобри качеството на живот </w:t>
            </w:r>
            <w:r>
              <w:rPr>
                <w:b/>
                <w:i/>
              </w:rPr>
              <w:t>за всички семейства;</w:t>
            </w:r>
            <w:r>
              <w:t xml:space="preserve"> </w:t>
            </w:r>
            <w:r>
              <w:rPr>
                <w:b/>
                <w:i/>
              </w:rPr>
              <w:t>призовава Комисията да представи законодателно предложение за създаването на европейска карта за многодетни</w:t>
            </w:r>
            <w:r>
              <w:t xml:space="preserve"> семейства и </w:t>
            </w:r>
            <w:r>
              <w:rPr>
                <w:b/>
                <w:i/>
              </w:rPr>
              <w:t>европейски план за действие за самотните</w:t>
            </w:r>
            <w:r>
              <w:t xml:space="preserve"> родители</w:t>
            </w:r>
            <w:r>
              <w:rPr>
                <w:b/>
                <w:i/>
              </w:rPr>
              <w:t>, с</w:t>
            </w:r>
            <w:r>
              <w:t xml:space="preserve"> които </w:t>
            </w:r>
            <w:r>
              <w:rPr>
                <w:b/>
                <w:i/>
              </w:rPr>
              <w:t>да се</w:t>
            </w:r>
            <w:r>
              <w:t xml:space="preserve"> предлагат данъчни, образователни и социални </w:t>
            </w:r>
            <w:r>
              <w:rPr>
                <w:b/>
                <w:i/>
              </w:rPr>
              <w:t>предимства</w:t>
            </w:r>
            <w:r>
              <w:t>;</w:t>
            </w:r>
          </w:p>
        </w:tc>
        <w:tc>
          <w:tcPr>
            <w:tcW w:w="4876" w:type="dxa"/>
            <w:tcBorders>
              <w:top w:val="nil"/>
              <w:left w:val="nil"/>
              <w:bottom w:val="nil"/>
              <w:right w:val="nil"/>
            </w:tcBorders>
          </w:tcPr>
          <w:p>
            <w:pPr>
              <w:pStyle w:val="Normal6a"/>
            </w:pPr>
            <w:r>
              <w:t>5.</w:t>
            </w:r>
            <w:r>
              <w:tab/>
            </w:r>
            <w:r>
              <w:t xml:space="preserve">призовава за прилагането на политики, които насърчават равновесието между професионалния и личния живот, за да се подобри качеството на живот </w:t>
            </w:r>
            <w:r>
              <w:rPr>
                <w:b/>
                <w:i/>
              </w:rPr>
              <w:t>на работниците, включително на всички</w:t>
            </w:r>
            <w:r>
              <w:t xml:space="preserve"> семейства и </w:t>
            </w:r>
            <w:r>
              <w:rPr>
                <w:b/>
                <w:i/>
              </w:rPr>
              <w:t>самотни</w:t>
            </w:r>
            <w:r>
              <w:t xml:space="preserve"> родители </w:t>
            </w:r>
            <w:r>
              <w:rPr>
                <w:b/>
                <w:i/>
              </w:rPr>
              <w:t>и</w:t>
            </w:r>
            <w:r>
              <w:t xml:space="preserve"> които предлагат данъчни, образователни и социални </w:t>
            </w:r>
            <w:r>
              <w:rPr>
                <w:b/>
                <w:i/>
              </w:rPr>
              <w:t>обезщетения за семейства в уязвимо положение</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призовава за прилагането на политики, които насърчават равновесието между професионалния и личния живот, за да се подобри качеството на живот за всички семейства; </w:t>
            </w:r>
            <w:r>
              <w:rPr>
                <w:b/>
                <w:i/>
              </w:rPr>
              <w:t>призовава Комисията да представи законодателно предложение за създаването на европейска карта за многодетни семейства и европейски план за действие за самотните родители, с които да се</w:t>
            </w:r>
            <w:r>
              <w:t xml:space="preserve"> предлагат данъчни, образователни и социални предимства;</w:t>
            </w:r>
          </w:p>
        </w:tc>
        <w:tc>
          <w:tcPr>
            <w:tcW w:w="4876" w:type="dxa"/>
            <w:tcBorders>
              <w:top w:val="nil"/>
              <w:left w:val="nil"/>
              <w:bottom w:val="nil"/>
              <w:right w:val="nil"/>
            </w:tcBorders>
          </w:tcPr>
          <w:p>
            <w:pPr>
              <w:pStyle w:val="Normal6a"/>
            </w:pPr>
            <w:r>
              <w:t>5.</w:t>
            </w:r>
            <w:r>
              <w:tab/>
            </w:r>
            <w:r>
              <w:t xml:space="preserve">призовава за прилагането на политики, които насърчават равновесието между професионалния и личния живот, за да се подобри качеството на живот за всички семейства; </w:t>
            </w:r>
            <w:r>
              <w:rPr>
                <w:b/>
                <w:i/>
              </w:rPr>
              <w:t>подчертава, че семейната политика е от компетентността на държавите членки;</w:t>
            </w:r>
            <w:r>
              <w:t xml:space="preserve"> </w:t>
            </w:r>
            <w:r>
              <w:rPr>
                <w:b/>
                <w:i/>
              </w:rPr>
              <w:t>подчертава значението на обмена на добри практики между държавите членки относно съществуващите мерки за подкрепа, които</w:t>
            </w:r>
            <w:r>
              <w:t xml:space="preserve"> предлагат данъчни, образователни и социални предимства </w:t>
            </w:r>
            <w:r>
              <w:rPr>
                <w:b/>
                <w:i/>
              </w:rPr>
              <w:t>за многодетните семейства и семействата с един родител</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Мари Доши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призовава за прилагането на политики, които насърчават равновесието между професионалния и личния живот, за да се подобри качеството на живот за всички семейства; призовава Комисията да представи законодателно предложение за създаването на европейска карта за многодетни семейства и европейски план за действие за самотните родители, с които да се предлагат данъчни, образователни и социални предимства;</w:t>
            </w:r>
          </w:p>
        </w:tc>
        <w:tc>
          <w:tcPr>
            <w:tcW w:w="4876" w:type="dxa"/>
            <w:tcBorders>
              <w:top w:val="nil"/>
              <w:left w:val="nil"/>
              <w:bottom w:val="nil"/>
              <w:right w:val="nil"/>
            </w:tcBorders>
          </w:tcPr>
          <w:p>
            <w:pPr>
              <w:pStyle w:val="Normal6a"/>
            </w:pPr>
            <w:r>
              <w:t>5.</w:t>
            </w:r>
            <w:r>
              <w:tab/>
            </w:r>
            <w:r>
              <w:t xml:space="preserve">призовава за прилагането на политики, които насърчават равновесието между професионалния и личния живот, за да се подобри качеството на живот за всички </w:t>
            </w:r>
            <w:r>
              <w:rPr>
                <w:b/>
                <w:i/>
              </w:rPr>
              <w:t>европейски</w:t>
            </w:r>
            <w:r>
              <w:t xml:space="preserve"> семейства; призовава Комисията да представи законодателно предложение за създаването на европейска карта за многодетни семейства и европейски план за действие за самотните родители, с които да се предлагат данъчни, образователни и социални предимства;</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призовава за прилагането на политики, които насърчават равновесието между професионалния и личния живот, за да се подобри качеството на живот за всички семейства; призовава Комисията да </w:t>
            </w:r>
            <w:r>
              <w:rPr>
                <w:b/>
                <w:i/>
              </w:rPr>
              <w:t>представи законодателно предложение за създаването на</w:t>
            </w:r>
            <w:r>
              <w:t xml:space="preserve"> европейска карта за многодетни семейства и европейски план за действие за самотните родители, с които да се предлагат </w:t>
            </w:r>
            <w:r>
              <w:rPr>
                <w:b/>
                <w:i/>
              </w:rPr>
              <w:t>данъчни</w:t>
            </w:r>
            <w:r>
              <w:t>, образователни и социални предимства;</w:t>
            </w:r>
          </w:p>
        </w:tc>
        <w:tc>
          <w:tcPr>
            <w:tcW w:w="4876" w:type="dxa"/>
            <w:tcBorders>
              <w:top w:val="nil"/>
              <w:left w:val="nil"/>
              <w:bottom w:val="nil"/>
              <w:right w:val="nil"/>
            </w:tcBorders>
          </w:tcPr>
          <w:p>
            <w:pPr>
              <w:pStyle w:val="Normal6a"/>
            </w:pPr>
            <w:r>
              <w:t>5.</w:t>
            </w:r>
            <w:r>
              <w:tab/>
            </w:r>
            <w:r>
              <w:t xml:space="preserve">призовава за прилагането на политики, които насърчават равновесието между професионалния и личния живот, за да се подобри качеството на живот за всички семейства; призовава Комисията да </w:t>
            </w:r>
            <w:r>
              <w:rPr>
                <w:b/>
                <w:i/>
              </w:rPr>
              <w:t>обмисли</w:t>
            </w:r>
            <w:r>
              <w:t xml:space="preserve"> европейска карта за многодетни семейства и европейски план за действие за самотните родители, с които да се предлагат </w:t>
            </w:r>
            <w:r>
              <w:rPr>
                <w:b/>
                <w:i/>
              </w:rPr>
              <w:t>икономически</w:t>
            </w:r>
            <w:r>
              <w:t>, образователни и социални предимства;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Бранислав Ондруш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призовава за прилагането на политики, които насърчават равновесието между професионалния и личния живот, за да се подобри качеството на живот за всички </w:t>
            </w:r>
            <w:r>
              <w:rPr>
                <w:b/>
                <w:i/>
              </w:rPr>
              <w:t>семейства</w:t>
            </w:r>
            <w:r>
              <w:t>; призовава Комисията да представи законодателно предложение за създаването на европейска карта за многодетни семейства и европейски план за действие за самотните родители, с които да се предлагат данъчни, образователни и социални предимства;</w:t>
            </w:r>
          </w:p>
        </w:tc>
        <w:tc>
          <w:tcPr>
            <w:tcW w:w="4876" w:type="dxa"/>
            <w:tcBorders>
              <w:top w:val="nil"/>
              <w:left w:val="nil"/>
              <w:bottom w:val="nil"/>
              <w:right w:val="nil"/>
            </w:tcBorders>
          </w:tcPr>
          <w:p>
            <w:pPr>
              <w:pStyle w:val="Normal6a"/>
            </w:pPr>
            <w:r>
              <w:t>5.</w:t>
            </w:r>
            <w:r>
              <w:tab/>
            </w:r>
            <w:r>
              <w:t>призовава за прилагането на политики, които насърчават равновесието между професионалния и личния живот, за да се подобри качеството на живот за всички; призовава Комисията да представи законодателно предложение за създаването на европейска карта за многодетни семейства и европейски план за действие за самотните родители, с които да се предлагат данъчни, образователни и социални предимства;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 – буква а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w:t>
            </w:r>
            <w:r>
              <w:tab/>
            </w:r>
            <w:r>
              <w:rPr>
                <w:b/>
                <w:i/>
              </w:rPr>
              <w:t>отчита, че 44 милиона европейци често полагат неформални дългосрочни грижи, като по-голямата част от тях са жени</w:t>
            </w:r>
            <w:r>
              <w:rPr>
                <w:b/>
                <w:i/>
                <w:vertAlign w:val="superscript"/>
              </w:rPr>
              <w:t>3a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3a</w:t>
            </w:r>
            <w:r>
              <w:t xml:space="preserve"> </w:t>
            </w:r>
            <w:r>
              <w:rPr>
                <w:b/>
                <w:i/>
              </w:rPr>
              <w:t>дългосрочни грижи в ЕС през 2021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Нилс Гойкинг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5а.</w:t>
            </w:r>
            <w:r>
              <w:tab/>
            </w:r>
            <w:r>
              <w:rPr>
                <w:b/>
                <w:i/>
              </w:rPr>
              <w:t>призовава за въвеждането на концепция за устойчиво развитие с цел справяне с последиците от структурните и демографските промени в отделните европейски държави (включително предложения за насърчаване на благоприятна за семейството работна среда, която да намали процента на страдащите от професионално изчерпване и да облекчи натоварването върху системите за социална сигурност и върху семейния живот);</w:t>
            </w:r>
            <w:r>
              <w:t xml:space="preserve"> </w:t>
            </w:r>
            <w:r>
              <w:rPr>
                <w:b/>
                <w:i/>
              </w:rPr>
              <w:t>призовава по-специално Комисията да представи законодателно предложение относно концепция за мерки с цел създаване на подходящи минимални стандарти за семейните обезщетения, които вече съществуват в държавите — членки на ЕС, което ще намали детската бедност и социалното неравенство и ще укрепи европейските семейства в дългосрочен план;</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5а.</w:t>
            </w:r>
            <w:r>
              <w:tab/>
            </w:r>
            <w:r>
              <w:rPr>
                <w:b/>
                <w:i/>
              </w:rPr>
              <w:t>признава уникалната обществена роля на лицата, полагащи грижи, при все че определението за лица, полагащи грижи, не е хармонизирано в целия ЕС, като в сектора на дългосрочните грижи са заети 6,4 милиона души в целия ЕС</w:t>
            </w:r>
            <w:r>
              <w:rPr>
                <w:b/>
                <w:i/>
                <w:vertAlign w:val="superscript"/>
              </w:rPr>
              <w:t>4a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4a</w:t>
            </w:r>
            <w:r>
              <w:t xml:space="preserve"> </w:t>
            </w:r>
            <w:r>
              <w:rPr>
                <w:b/>
                <w:i/>
              </w:rPr>
              <w:t>дългосрочни грижи в ЕС през 2021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призовава </w:t>
            </w:r>
            <w:r>
              <w:rPr>
                <w:b/>
                <w:i/>
              </w:rPr>
              <w:t>демографските предизвикателства да бъдат определени за приоритет в политиката на сближаване на ЕС и тази политика да бъде приравнена по важност със Зеления пакт и стратегията в областта на цифровите технологии;</w:t>
            </w:r>
            <w:r>
              <w:t xml:space="preserve"> </w:t>
            </w:r>
            <w:r>
              <w:rPr>
                <w:b/>
                <w:i/>
              </w:rPr>
              <w:t>призовава Комисията да обяви „Европейска година на демографията“</w:t>
            </w:r>
            <w:r>
              <w:t xml:space="preserve"> и да увеличи финансирането за регионите с висок процент на обезлюдяване, за да се подкрепят </w:t>
            </w:r>
            <w:r>
              <w:rPr>
                <w:b/>
                <w:i/>
              </w:rPr>
              <w:t>проекти</w:t>
            </w:r>
            <w:r>
              <w:t xml:space="preserve"> за местно развитие и основна инфраструктура, които благоприятстват „правото на оставане“ на населението;</w:t>
            </w:r>
          </w:p>
        </w:tc>
        <w:tc>
          <w:tcPr>
            <w:tcW w:w="4876" w:type="dxa"/>
            <w:tcBorders>
              <w:top w:val="nil"/>
              <w:left w:val="nil"/>
              <w:bottom w:val="nil"/>
              <w:right w:val="nil"/>
            </w:tcBorders>
          </w:tcPr>
          <w:p>
            <w:pPr>
              <w:pStyle w:val="Normal6a"/>
            </w:pPr>
            <w:r>
              <w:t>6.</w:t>
            </w:r>
            <w:r>
              <w:tab/>
            </w:r>
            <w:r>
              <w:t xml:space="preserve">призовава </w:t>
            </w:r>
            <w:r>
              <w:rPr>
                <w:b/>
                <w:i/>
              </w:rPr>
              <w:t>европейският семестър да интегрира социалните цели на равни начала с икономическите цели;</w:t>
            </w:r>
            <w:r>
              <w:t xml:space="preserve"> </w:t>
            </w:r>
            <w:r>
              <w:rPr>
                <w:b/>
                <w:i/>
              </w:rPr>
              <w:t>изразява загриженост относно нарастващите различия между градските и селските райони в резултат на недостига на възможности за обучение в по-слабо урбанизираните региони и неспособността им да привличат и задържат висококвалифицирани работници;</w:t>
            </w:r>
            <w:r>
              <w:t xml:space="preserve"> </w:t>
            </w:r>
            <w:r>
              <w:rPr>
                <w:b/>
                <w:i/>
              </w:rPr>
              <w:t>призовава Комисията да надгради върху съобщението относно оптимално използване на талантите в регионите на Европа и механизма за насърчаване на талантите, за да поощри социалното сближаване</w:t>
            </w:r>
            <w:r>
              <w:t xml:space="preserve"> и да увеличи финансирането за регионите с висок процент на обезлюдяване, за да се подкрепят </w:t>
            </w:r>
            <w:r>
              <w:rPr>
                <w:b/>
                <w:i/>
              </w:rPr>
              <w:t>създаването на качествени работни места, обществените услуги, възможностите за образование и обучение, проектите</w:t>
            </w:r>
            <w:r>
              <w:t xml:space="preserve"> за местно развитие и основна инфраструктура, които благоприятстват „правото на оставане“ на населението;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призовава демографските предизвикателства да бъдат </w:t>
            </w:r>
            <w:r>
              <w:rPr>
                <w:b/>
                <w:i/>
              </w:rPr>
              <w:t>определени за</w:t>
            </w:r>
            <w:r>
              <w:t xml:space="preserve"> приоритет в политиката на сближаване на ЕС и </w:t>
            </w:r>
            <w:r>
              <w:rPr>
                <w:b/>
                <w:i/>
              </w:rPr>
              <w:t>тази политика да бъде приравнена по важност със Зеления пакт и стратегията в областта на цифровите технологии;</w:t>
            </w:r>
            <w:r>
              <w:t xml:space="preserve"> </w:t>
            </w:r>
            <w:r>
              <w:rPr>
                <w:b/>
                <w:i/>
              </w:rPr>
              <w:t>призовава Комисията да обяви „Европейска година на демографията“ и да увеличи финансирането за регионите с висок процент на обезлюдяване, за да се подкрепят проекти за местно развитие и основна инфраструктура, които благоприятстват „правото на оставане“ на населението</w:t>
            </w:r>
            <w:r>
              <w:t>;</w:t>
            </w:r>
          </w:p>
        </w:tc>
        <w:tc>
          <w:tcPr>
            <w:tcW w:w="4876" w:type="dxa"/>
            <w:tcBorders>
              <w:top w:val="nil"/>
              <w:left w:val="nil"/>
              <w:bottom w:val="nil"/>
              <w:right w:val="nil"/>
            </w:tcBorders>
          </w:tcPr>
          <w:p>
            <w:pPr>
              <w:pStyle w:val="Normal6a"/>
            </w:pPr>
            <w:r>
              <w:t>6.</w:t>
            </w:r>
            <w:r>
              <w:tab/>
            </w:r>
            <w:r>
              <w:t xml:space="preserve">Призовава демографските предизвикателства да бъдат </w:t>
            </w:r>
            <w:r>
              <w:rPr>
                <w:b/>
                <w:i/>
              </w:rPr>
              <w:t>основен</w:t>
            </w:r>
            <w:r>
              <w:t xml:space="preserve"> приоритет в политиката на сближаване на ЕС и </w:t>
            </w:r>
            <w:r>
              <w:rPr>
                <w:b/>
                <w:i/>
              </w:rPr>
              <w:t>това да се съчетае с подобряване и укрепване на политиките, насочени към успешната интеграция на мигрантите на пазара на труда и в обществото</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призовава демографските предизвикателства да бъдат определени за приоритет в политиката на сближаване на ЕС и </w:t>
            </w:r>
            <w:r>
              <w:rPr>
                <w:b/>
                <w:i/>
              </w:rPr>
              <w:t>тази политика да бъде приравнена по важност</w:t>
            </w:r>
            <w:r>
              <w:t xml:space="preserve"> със Зеления пакт и стратегията в областта на цифровите технологии; призовава Комисията да обяви „Европейска година на демографията“ и да увеличи финансирането за регионите с висок процент на обезлюдяване, за да се подкрепят проекти за местно развитие и основна инфраструктура, които благоприятстват „правото на оставане“ на населението;</w:t>
            </w:r>
          </w:p>
        </w:tc>
        <w:tc>
          <w:tcPr>
            <w:tcW w:w="4876" w:type="dxa"/>
            <w:tcBorders>
              <w:top w:val="nil"/>
              <w:left w:val="nil"/>
              <w:bottom w:val="nil"/>
              <w:right w:val="nil"/>
            </w:tcBorders>
          </w:tcPr>
          <w:p>
            <w:pPr>
              <w:pStyle w:val="Normal6a"/>
            </w:pPr>
            <w:r>
              <w:t>6.</w:t>
            </w:r>
            <w:r>
              <w:tab/>
            </w:r>
            <w:r>
              <w:t xml:space="preserve">призовава демографските предизвикателства да бъдат определени за приоритет в политиката на сближаване на ЕС и </w:t>
            </w:r>
            <w:r>
              <w:rPr>
                <w:b/>
                <w:i/>
              </w:rPr>
              <w:t>конкретните действия на равнището на ЕС и на национално равнище да бъдат приведени в съответствие</w:t>
            </w:r>
            <w:r>
              <w:t xml:space="preserve"> със Зеления пакт и стратегията в областта на цифровите технологии; призовава Комисията да обяви „Европейска година на демографията“ и да увеличи финансирането за регионите с висок процент на обезлюдяване, за да се подкрепят проекти за местно развитие</w:t>
            </w:r>
            <w:r>
              <w:rPr>
                <w:b/>
                <w:i/>
              </w:rPr>
              <w:t>, финансово и физически достъпни обществени услуги</w:t>
            </w:r>
            <w:r>
              <w:t xml:space="preserve"> и основна инфраструктура, които благоприятстват „правото на оставане“ на населението</w:t>
            </w:r>
            <w:r>
              <w:rPr>
                <w:b/>
                <w:i/>
              </w:rPr>
              <w:t>, по-специално на младите хора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призовава </w:t>
            </w:r>
            <w:r>
              <w:rPr>
                <w:b/>
                <w:i/>
              </w:rPr>
              <w:t>демографските предизвикателства</w:t>
            </w:r>
            <w:r>
              <w:t xml:space="preserve"> да бъдат определени за приоритет в политиката на сближаване на ЕС и тази политика да бъде приравнена по важност със Зеления пакт и стратегията в областта на цифровите технологии; призовава Комисията да обяви „Европейска година на </w:t>
            </w:r>
            <w:r>
              <w:rPr>
                <w:b/>
                <w:i/>
              </w:rPr>
              <w:t>демографията</w:t>
            </w:r>
            <w:r>
              <w:t>“ и да увеличи финансирането за регионите с висок процент на обезлюдяване, за да се подкрепят проекти за местно развитие и основна инфраструктура, които благоприятстват „правото на оставане“ на населението;</w:t>
            </w:r>
          </w:p>
        </w:tc>
        <w:tc>
          <w:tcPr>
            <w:tcW w:w="4876" w:type="dxa"/>
            <w:tcBorders>
              <w:top w:val="nil"/>
              <w:left w:val="nil"/>
              <w:bottom w:val="nil"/>
              <w:right w:val="nil"/>
            </w:tcBorders>
          </w:tcPr>
          <w:p>
            <w:pPr>
              <w:pStyle w:val="Normal6a"/>
            </w:pPr>
            <w:r>
              <w:t>6.</w:t>
            </w:r>
            <w:r>
              <w:tab/>
            </w:r>
            <w:r>
              <w:t xml:space="preserve">призовава </w:t>
            </w:r>
            <w:r>
              <w:rPr>
                <w:b/>
                <w:i/>
              </w:rPr>
              <w:t>за вземането на мерки спрямо регионалните дисбаланси и те</w:t>
            </w:r>
            <w:r>
              <w:t xml:space="preserve"> да бъдат определени за приоритет в политиката на сближаване на ЕС и тази политика да бъде приравнена по важност със Зеления пакт и стратегията в областта на цифровите технологии; призовава Комисията да обяви „Европейска година на </w:t>
            </w:r>
            <w:r>
              <w:rPr>
                <w:b/>
                <w:i/>
              </w:rPr>
              <w:t>регионите и островите</w:t>
            </w:r>
            <w:r>
              <w:t xml:space="preserve">“ и да увеличи финансирането за регионите с висок процент на обезлюдяване </w:t>
            </w:r>
            <w:r>
              <w:rPr>
                <w:b/>
                <w:i/>
              </w:rPr>
              <w:t>и икономически застой</w:t>
            </w:r>
            <w:r>
              <w:t>, за да се подкрепят проекти за местно развитие и основна инфраструктура, които благоприятстват „правото на оставане“ на населението;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Мари Доши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призовава демографските предизвикателства да бъдат определени за приоритет в политиката на сближаване на ЕС и тази политика да бъде </w:t>
            </w:r>
            <w:r>
              <w:rPr>
                <w:b/>
                <w:i/>
              </w:rPr>
              <w:t>приравнена по</w:t>
            </w:r>
            <w:r>
              <w:t xml:space="preserve"> важност </w:t>
            </w:r>
            <w:r>
              <w:rPr>
                <w:b/>
                <w:i/>
              </w:rPr>
              <w:t>със</w:t>
            </w:r>
            <w:r>
              <w:t xml:space="preserve"> Зеления пакт и стратегията в областта на цифровите технологии; призовава Комисията да обяви „Европейска година на демографията“ и да увеличи финансирането за регионите с висок процент на обезлюдяване, за да се подкрепят проекти за местно развитие и основна инфраструктура, които благоприятстват „правото на оставане“ на населението;</w:t>
            </w:r>
          </w:p>
        </w:tc>
        <w:tc>
          <w:tcPr>
            <w:tcW w:w="4876" w:type="dxa"/>
            <w:tcBorders>
              <w:top w:val="nil"/>
              <w:left w:val="nil"/>
              <w:bottom w:val="nil"/>
              <w:right w:val="nil"/>
            </w:tcBorders>
          </w:tcPr>
          <w:p>
            <w:pPr>
              <w:pStyle w:val="Normal6a"/>
            </w:pPr>
            <w:r>
              <w:t>6.</w:t>
            </w:r>
            <w:r>
              <w:tab/>
            </w:r>
            <w:r>
              <w:t xml:space="preserve">призовава демографските предизвикателства да бъдат определени за приоритет в политиката на сближаване на ЕС и тази политика да бъде </w:t>
            </w:r>
            <w:r>
              <w:rPr>
                <w:b/>
                <w:i/>
              </w:rPr>
              <w:t>с по-голяма</w:t>
            </w:r>
            <w:r>
              <w:t xml:space="preserve"> важност </w:t>
            </w:r>
            <w:r>
              <w:rPr>
                <w:b/>
                <w:i/>
              </w:rPr>
              <w:t>от</w:t>
            </w:r>
            <w:r>
              <w:t xml:space="preserve"> Зеления пакт и стратегията в областта на цифровите технологии; призовава Комисията да обяви „Европейска година на демографията“ и да увеличи финансирането за регионите с висок процент на обезлюдяване, за да се подкрепят проекти за местно развитие и основна инфраструктура, които благоприятстват „правото на оставане“ на населението </w:t>
            </w:r>
            <w:r>
              <w:rPr>
                <w:b/>
                <w:i/>
              </w:rPr>
              <w:t>на държавите членки</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Марлена Малонг, Джорджиана Теодореску, Елена Донацан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призовава демографските предизвикателства да бъдат определени за приоритет в политиката на сближаване на ЕС </w:t>
            </w:r>
            <w:r>
              <w:rPr>
                <w:b/>
                <w:i/>
              </w:rPr>
              <w:t>и тази политика да бъде приравнена по важност със Зеления пакт и стратегията в областта на цифровите технологии</w:t>
            </w:r>
            <w:r>
              <w:t xml:space="preserve">; призовава Комисията да обяви „Европейска година на демографията“ и да увеличи финансирането </w:t>
            </w:r>
            <w:r>
              <w:rPr>
                <w:b/>
                <w:i/>
              </w:rPr>
              <w:t>за</w:t>
            </w:r>
            <w:r>
              <w:t xml:space="preserve"> регионите с висок процент на обезлюдяване, за да се подкрепят проекти за местно развитие и основна инфраструктура, които благоприятстват „правото на оставане“ на населението;</w:t>
            </w:r>
          </w:p>
        </w:tc>
        <w:tc>
          <w:tcPr>
            <w:tcW w:w="4876" w:type="dxa"/>
            <w:tcBorders>
              <w:top w:val="nil"/>
              <w:left w:val="nil"/>
              <w:bottom w:val="nil"/>
              <w:right w:val="nil"/>
            </w:tcBorders>
          </w:tcPr>
          <w:p>
            <w:pPr>
              <w:pStyle w:val="Normal6a"/>
            </w:pPr>
            <w:r>
              <w:t>6.</w:t>
            </w:r>
            <w:r>
              <w:tab/>
            </w:r>
            <w:r>
              <w:t xml:space="preserve">призовава демографските предизвикателства да бъдат определени за приоритет в политиката на сближаване на ЕС; призовава Комисията да обяви „Европейска година на демографията“ и да увеличи финансирането </w:t>
            </w:r>
            <w:r>
              <w:rPr>
                <w:b/>
                <w:i/>
              </w:rPr>
              <w:t>селските и най-отдалечените региони и</w:t>
            </w:r>
            <w:r>
              <w:t xml:space="preserve"> регионите с висок процент на обезлюдяване, за да се подкрепят проекти за местно развитие и основна инфраструктура, които благоприятстват „правото на оставане“ на населението;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6а.</w:t>
            </w:r>
            <w:r>
              <w:tab/>
            </w:r>
            <w:r>
              <w:rPr>
                <w:b/>
                <w:i/>
              </w:rPr>
              <w:t>подчертава нарастващото влияние на изкуствения интелект (ИИ) и цифровите платформи, които ще доведат до дълбоки промени в технологиите на пазара на труда, засягащи качеството на работните места и условията на труд, а в резултат на това и качеството на живот на работниците, както е признато в съвместния доклад за заетостта;</w:t>
            </w:r>
            <w:r>
              <w:t xml:space="preserve"> </w:t>
            </w:r>
            <w:r>
              <w:rPr>
                <w:b/>
                <w:i/>
              </w:rPr>
              <w:t>призовава Комисията спешно да предложи директива относно използването на изкуствен интелект (ИИ) на работното място, която да гарантира защитата и зачитането на правата на работниците;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6а.</w:t>
            </w:r>
            <w:r>
              <w:tab/>
            </w:r>
            <w:r>
              <w:rPr>
                <w:b/>
                <w:i/>
              </w:rPr>
              <w:t>призовава Европейската комисия и държавите членки да засилят подкрепата си за предприятията и организациите от социалната икономика с нестопанска цел с подходящи благоприятни финансови и данъчни рамки;</w:t>
            </w:r>
            <w:r>
              <w:t xml:space="preserve"> </w:t>
            </w:r>
            <w:r>
              <w:rPr>
                <w:b/>
                <w:i/>
              </w:rPr>
              <w:t>насърчава държавите членки да улеснят достъпа до финансиране и да повишат видимостта на участниците в социалната икономика, както се подчертава в Плана за действие за социалната икономика за 2021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6б.</w:t>
            </w:r>
            <w:r>
              <w:tab/>
            </w:r>
            <w:r>
              <w:rPr>
                <w:b/>
                <w:i/>
              </w:rPr>
              <w:t>призовава Комисията да гарантира защитата на работниците на виртуалното работно място, като представи законодателно предложение за вземане на мерки по отношение на правото на откъсване от работната среда и дистанционната работа;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6в.</w:t>
            </w:r>
            <w:r>
              <w:tab/>
            </w:r>
            <w:r>
              <w:rPr>
                <w:b/>
                <w:i/>
              </w:rPr>
              <w:t>призовава държавите членки да изпълнят плана за действие за социалната икономика, за да насърчат качествения, достоен и приобщаващ труд, устойчивостта и кръговата икономика и да подкрепят организациите на социалната икономика;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213</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призовава Комисията и Съвета да дадат предимство на намаляването на бюрократичните и фискалните пречки, засягащи бизнеса, особено малките и средните предприятия (МСП) и стартиращите предприятия, които са от съществено значение за икономическия растеж и конкурентоспособността на ЕС и следователно за финансирането на социалните политики;</w:t>
            </w:r>
            <w:r>
              <w:t xml:space="preserve"> счита, че по-добрата подкрепа за предприемачите, особено за МСП и стартиращите предприятия, ще подобри конкурентоспособността на ЕС, ще стимулира иновациите и ще създаде качествени работни места; призовава настоятелно, за да се насърчи динамична бизнес среда, да бъдат приложени конкретните препоръки за завършване на единния пазар и за улесняване на достъпа до финансиране </w:t>
            </w:r>
            <w:r>
              <w:rPr>
                <w:b/>
                <w:i/>
              </w:rPr>
              <w:t>чрез платформи за публично-частни партньорства и</w:t>
            </w:r>
            <w:r>
              <w:t xml:space="preserve"> чрез социалната икономика;</w:t>
            </w:r>
          </w:p>
        </w:tc>
        <w:tc>
          <w:tcPr>
            <w:tcW w:w="4876" w:type="dxa"/>
            <w:tcBorders>
              <w:top w:val="nil"/>
              <w:left w:val="nil"/>
              <w:bottom w:val="nil"/>
              <w:right w:val="nil"/>
            </w:tcBorders>
          </w:tcPr>
          <w:p>
            <w:pPr>
              <w:pStyle w:val="Normal6a"/>
            </w:pPr>
            <w:r>
              <w:t>7.</w:t>
            </w:r>
            <w:r>
              <w:tab/>
            </w:r>
            <w:r>
              <w:t>счита, че по-добрата подкрепа за предприемачите, особено за МСП и стартиращите предприятия, ще подобри конкурентоспособността на ЕС, ще стимулира иновациите и ще създаде качествени работни места; призовава настоятелно, за да се насърчи динамична бизнес среда, да бъдат приложени конкретните препоръки за завършване на единния пазар и за улесняване на достъпа до финансиране чрез социалната икономика;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214</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призовава Комисията и Съвета да дадат предимство на намаляването на бюрократичните и фискалните пречки, засягащи бизнеса, особено малките и средните предприятия (МСП) и стартиращите предприятия, които са от съществено значение за икономическия растеж и конкурентоспособността на ЕС и следователно за финансирането на социалните политики; счита, че по-добрата подкрепа за предприемачите, особено за МСП и стартиращите предприятия, ще подобри конкурентоспособността на ЕС, ще стимулира иновациите и ще създаде качествени работни места; призовава настоятелно, за да се насърчи динамична бизнес среда, да бъдат приложени конкретните препоръки за завършване на единния пазар и за улесняване на достъпа до финансиране чрез платформи за публично-частни партньорства и чрез социалната икономика;</w:t>
            </w:r>
          </w:p>
        </w:tc>
        <w:tc>
          <w:tcPr>
            <w:tcW w:w="4876" w:type="dxa"/>
            <w:tcBorders>
              <w:top w:val="nil"/>
              <w:left w:val="nil"/>
              <w:bottom w:val="nil"/>
              <w:right w:val="nil"/>
            </w:tcBorders>
          </w:tcPr>
          <w:p>
            <w:pPr>
              <w:pStyle w:val="Normal6a"/>
            </w:pPr>
            <w:r>
              <w:t>7.</w:t>
            </w:r>
            <w:r>
              <w:tab/>
            </w:r>
            <w:r>
              <w:t>призовава Комисията и Съвета</w:t>
            </w:r>
            <w:r>
              <w:rPr>
                <w:b/>
                <w:i/>
              </w:rPr>
              <w:t>, в съответствие с Декларацията от Будапеща относно новия пакт за европейската конкурентоспособност от 8 ноември 2024 г.,</w:t>
            </w:r>
            <w:r>
              <w:t xml:space="preserve"> да дадат предимство на намаляването на бюрократичните и фискалните пречки, засягащи бизнеса, особено малките и средните предприятия (МСП) и стартиращите предприятия, които са от съществено значение за икономическия растеж и конкурентоспособността на ЕС и следователно за финансирането на социалните политики; счита, че по-добрата подкрепа за предприемачите, особено за МСП и стартиращите предприятия, ще подобри конкурентоспособността на ЕС, ще стимулира иновациите и ще създаде качествени работни места; призовава настоятелно, за да се насърчи динамична бизнес среда, да бъдат приложени конкретните препоръки за завършване на единния пазар и за улесняване на достъпа до финансиране чрез платформи за публично-частни партньорства и чрез социалната икономика; </w:t>
            </w:r>
            <w:r>
              <w:rPr>
                <w:b/>
                <w:i/>
              </w:rPr>
              <w:t>изразява увереност, че е важно Европа да бъде изведена начело в сферата на научните изследвания и иновациите в световен мащаб, особено в областта на революционните технологии, както и да бъде реализира целта за постигане на 3% от БВП за разходите за научноизследователска и развойна дейност до 2030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215</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призовава Комисията и Съвета да дадат предимство на намаляването на бюрократичните </w:t>
            </w:r>
            <w:r>
              <w:rPr>
                <w:b/>
                <w:i/>
              </w:rPr>
              <w:t>и фискалните</w:t>
            </w:r>
            <w:r>
              <w:t xml:space="preserve"> пречки, засягащи бизнеса, </w:t>
            </w:r>
            <w:r>
              <w:rPr>
                <w:b/>
                <w:i/>
              </w:rPr>
              <w:t>особено</w:t>
            </w:r>
            <w:r>
              <w:t xml:space="preserve"> малките и средните предприятия (МСП) и стартиращите предприятия, които са от съществено значение за икономическия растеж и конкурентоспособността на ЕС и следователно за финансирането на социалните политики; счита, че по-добрата подкрепа за </w:t>
            </w:r>
            <w:r>
              <w:rPr>
                <w:b/>
                <w:i/>
              </w:rPr>
              <w:t>предприемачите</w:t>
            </w:r>
            <w:r>
              <w:t xml:space="preserve">, особено за МСП и стартиращите предприятия, ще подобри </w:t>
            </w:r>
            <w:r>
              <w:rPr>
                <w:b/>
                <w:i/>
              </w:rPr>
              <w:t>конкурентоспособността</w:t>
            </w:r>
            <w:r>
              <w:t xml:space="preserve"> на ЕС, ще стимулира иновациите и ще създаде качествени работни места; </w:t>
            </w:r>
            <w:r>
              <w:rPr>
                <w:b/>
                <w:i/>
              </w:rPr>
              <w:t>призовава настоятелно, за да се насърчи динамична бизнес среда, да бъдат приложени конкретните препоръки за завършване на единния пазар и за улесняване на достъпа до финансиране чрез платформи за публично-частни партньорства и чрез социалната икономика;</w:t>
            </w:r>
          </w:p>
        </w:tc>
        <w:tc>
          <w:tcPr>
            <w:tcW w:w="4876" w:type="dxa"/>
            <w:tcBorders>
              <w:top w:val="nil"/>
              <w:left w:val="nil"/>
              <w:bottom w:val="nil"/>
              <w:right w:val="nil"/>
            </w:tcBorders>
          </w:tcPr>
          <w:p>
            <w:pPr>
              <w:pStyle w:val="Normal6a"/>
            </w:pPr>
            <w:r>
              <w:t>7.</w:t>
            </w:r>
            <w:r>
              <w:tab/>
            </w:r>
            <w:r>
              <w:t xml:space="preserve">призовава Комисията и Съвета да дадат предимство на намаляването на бюрократичните пречки, засягащи бизнеса, малките и средните предприятия (МСП) и стартиращите предприятия, които са от съществено значение за икономическия растеж и конкурентоспособността на ЕС и следователно за финансирането на социалните политики; счита, че по-добрата подкрепа за </w:t>
            </w:r>
            <w:r>
              <w:rPr>
                <w:b/>
                <w:i/>
              </w:rPr>
              <w:t>желаещите да станат предприемачи</w:t>
            </w:r>
            <w:r>
              <w:t xml:space="preserve">, особено </w:t>
            </w:r>
            <w:r>
              <w:rPr>
                <w:b/>
                <w:i/>
              </w:rPr>
              <w:t>и</w:t>
            </w:r>
            <w:r>
              <w:t xml:space="preserve"> за МСП и стартиращите предприятия, ще подобри </w:t>
            </w:r>
            <w:r>
              <w:rPr>
                <w:b/>
                <w:i/>
              </w:rPr>
              <w:t>социалната икономика</w:t>
            </w:r>
            <w:r>
              <w:t xml:space="preserve"> на ЕС, ще стимулира иновациите и ще създаде качествени работни места;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216</w:t>
      </w:r>
      <w:r>
        <w:rPr>
          <w:rStyle w:val="HideTWBExt"/>
        </w:rPr>
        <w:t>&lt;/NumAm&gt;</w:t>
      </w:r>
    </w:p>
    <w:p>
      <w:pPr>
        <w:pStyle w:val="NormalBold"/>
      </w:pPr>
      <w:r>
        <w:rPr>
          <w:rStyle w:val="HideTWBExt"/>
          <w:b w:val="0"/>
        </w:rPr>
        <w:t>&lt;RepeatBlock-By&gt;</w:t>
      </w:r>
      <w:r>
        <w:rPr>
          <w:rStyle w:val="HideTWBExt"/>
          <w:b w:val="0"/>
        </w:rPr>
        <w:t>&lt;Members&gt;</w:t>
      </w:r>
      <w:r>
        <w:t>Мари Доши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призовава Комисията и Съвета да дадат предимство на намаляването на бюрократичните и фискалните пречки, засягащи бизнеса, особено малките и средните предприятия (МСП) и стартиращите предприятия, които са от съществено значение за икономическия растеж и конкурентоспособността на ЕС и следователно за финансирането на социалните политики; счита, че по-добрата подкрепа за предприемачите, особено за МСП и стартиращите предприятия, ще подобри конкурентоспособността на ЕС, ще стимулира иновациите и ще създаде качествени работни места; призовава настоятелно, за да се насърчи динамична бизнес среда, да бъдат приложени конкретните препоръки за </w:t>
            </w:r>
            <w:r>
              <w:rPr>
                <w:b/>
                <w:i/>
              </w:rPr>
              <w:t>завършване на единния пазар</w:t>
            </w:r>
            <w:r>
              <w:t xml:space="preserve"> и за улесняване на достъпа до финансиране чрез платформи за публично-частни партньорства и чрез социалната икономика;</w:t>
            </w:r>
          </w:p>
        </w:tc>
        <w:tc>
          <w:tcPr>
            <w:tcW w:w="4876" w:type="dxa"/>
            <w:tcBorders>
              <w:top w:val="nil"/>
              <w:left w:val="nil"/>
              <w:bottom w:val="nil"/>
              <w:right w:val="nil"/>
            </w:tcBorders>
          </w:tcPr>
          <w:p>
            <w:pPr>
              <w:pStyle w:val="Normal6a"/>
            </w:pPr>
            <w:r>
              <w:t>7.</w:t>
            </w:r>
            <w:r>
              <w:tab/>
            </w:r>
            <w:r>
              <w:t xml:space="preserve">призовава Комисията и Съвета да дадат предимство на намаляването на бюрократичните и фискалните пречки, засягащи бизнеса, особено малките и средните предприятия (МСП) и стартиращите предприятия, които са от съществено значение за икономическия растеж и конкурентоспособността на ЕС и следователно за финансирането на социалните политики; счита, че по-добрата подкрепа за предприемачите, особено за МСП и стартиращите предприятия, ще подобри конкурентоспособността на ЕС, ще стимулира иновациите и ще създаде качествени работни места; призовава настоятелно, за да се насърчи динамична бизнес среда, да бъдат приложени конкретните препоръки за </w:t>
            </w:r>
            <w:r>
              <w:rPr>
                <w:b/>
                <w:i/>
              </w:rPr>
              <w:t>улесняване на развитието на вътрешни пазари</w:t>
            </w:r>
            <w:r>
              <w:t xml:space="preserve"> и за улесняване на достъпа до финансиране чрез платформи за публично-частни партньорства</w:t>
            </w:r>
            <w:r>
              <w:rPr>
                <w:b/>
                <w:i/>
              </w:rPr>
              <w:t>, когато полезните взаимодействия между обществения и частния сектор са много вероятни и са били демонстрирани,</w:t>
            </w:r>
            <w:r>
              <w:t xml:space="preserve"> и чрез социалната икономика;</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217</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призовава Комисията и Съвета да дадат предимство на намаляването на бюрократичните и фискалните пречки, засягащи бизнеса, особено малките и средните предприятия (МСП) и стартиращите предприятия, които са от съществено значение за икономическия растеж и конкурентоспособността на ЕС и следователно за финансирането на социалните политики; счита, че по-добрата подкрепа за </w:t>
            </w:r>
            <w:r>
              <w:rPr>
                <w:b/>
                <w:i/>
              </w:rPr>
              <w:t>предприемачите, особено за</w:t>
            </w:r>
            <w:r>
              <w:t xml:space="preserve"> МСП и стартиращите предприятия</w:t>
            </w:r>
            <w:r>
              <w:rPr>
                <w:b/>
                <w:i/>
              </w:rPr>
              <w:t>,</w:t>
            </w:r>
            <w:r>
              <w:t xml:space="preserve"> ще подобри конкурентоспособността на ЕС, ще стимулира иновациите и ще създаде качествени работни места; призовава настоятелно, за да се насърчи динамична бизнес среда, да бъдат приложени конкретните препоръки за завършване на единния пазар </w:t>
            </w:r>
            <w:r>
              <w:rPr>
                <w:b/>
                <w:i/>
              </w:rPr>
              <w:t>и за улесняване на</w:t>
            </w:r>
            <w:r>
              <w:t xml:space="preserve"> достъпа до финансиране чрез платформи за публично-частни партньорства и чрез социалната икономика;</w:t>
            </w:r>
          </w:p>
        </w:tc>
        <w:tc>
          <w:tcPr>
            <w:tcW w:w="4876" w:type="dxa"/>
            <w:tcBorders>
              <w:top w:val="nil"/>
              <w:left w:val="nil"/>
              <w:bottom w:val="nil"/>
              <w:right w:val="nil"/>
            </w:tcBorders>
          </w:tcPr>
          <w:p>
            <w:pPr>
              <w:pStyle w:val="Normal6a"/>
            </w:pPr>
            <w:r>
              <w:t>7.</w:t>
            </w:r>
            <w:r>
              <w:tab/>
            </w:r>
            <w:r>
              <w:t xml:space="preserve">призовава Комисията и Съвета да дадат предимство на намаляването на бюрократичните и фискалните пречки, засягащи бизнеса, особено малките и средните предприятия (МСП) и стартиращите предприятия, които са от съществено значение за икономическия растеж и конкурентоспособността на ЕС и следователно за финансирането на социалните политики; счита, че по-добрата подкрепа за МСП и стартиращите предприятия ще подобри </w:t>
            </w:r>
            <w:r>
              <w:rPr>
                <w:b/>
                <w:i/>
              </w:rPr>
              <w:t>дългосрочната устойчивост и</w:t>
            </w:r>
            <w:r>
              <w:t xml:space="preserve"> конкурентоспособността на ЕС, ще стимулира иновациите и ще създаде качествени работни места; призовава настоятелно, за да се насърчи динамична </w:t>
            </w:r>
            <w:r>
              <w:rPr>
                <w:b/>
                <w:i/>
              </w:rPr>
              <w:t>и приобщаваща</w:t>
            </w:r>
            <w:r>
              <w:t xml:space="preserve"> бизнес среда, да бъдат приложени конкретните препоръки за завършване на единния пазар</w:t>
            </w:r>
            <w:r>
              <w:rPr>
                <w:b/>
                <w:i/>
              </w:rPr>
              <w:t>, включващи социални и свързани с устойчивостта принципи и улесняващи</w:t>
            </w:r>
            <w:r>
              <w:t xml:space="preserve"> достъпа до финансиране чрез платформи за публично-частни партньорства и чрез социалната икономика;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218</w:t>
      </w:r>
      <w:r>
        <w:rPr>
          <w:rStyle w:val="HideTWBExt"/>
        </w:rPr>
        <w:t>&lt;/NumAm&gt;</w:t>
      </w:r>
    </w:p>
    <w:p>
      <w:pPr>
        <w:pStyle w:val="NormalBold"/>
      </w:pPr>
      <w:r>
        <w:rPr>
          <w:rStyle w:val="HideTWBExt"/>
          <w:b w:val="0"/>
        </w:rPr>
        <w:t>&lt;RepeatBlock-By&gt;</w:t>
      </w:r>
      <w:r>
        <w:rPr>
          <w:rStyle w:val="HideTWBExt"/>
          <w:b w:val="0"/>
        </w:rPr>
        <w:t>&lt;Members&gt;</w:t>
      </w:r>
      <w:r>
        <w:t>Бранислав Ондруш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призовава Комисията и Съвета да дадат предимство на намаляването на бюрократичните </w:t>
            </w:r>
            <w:r>
              <w:rPr>
                <w:b/>
                <w:i/>
              </w:rPr>
              <w:t>и фискалните</w:t>
            </w:r>
            <w:r>
              <w:t xml:space="preserve"> пречки, засягащи бизнеса, особено малките и средните предприятия (МСП) и стартиращите предприятия, които са от съществено значение за икономическия растеж и конкурентоспособността на ЕС </w:t>
            </w:r>
            <w:r>
              <w:rPr>
                <w:b/>
                <w:i/>
              </w:rPr>
              <w:t>и следователно за финансирането на социалните политики</w:t>
            </w:r>
            <w:r>
              <w:t>; счита, че по-добрата подкрепа за предприемачите, особено за МСП и стартиращите предприятия, ще подобри конкурентоспособността на ЕС, ще стимулира иновациите и ще създаде качествени работни места; призовава настоятелно, за да се насърчи динамична бизнес среда, да бъдат приложени конкретните препоръки за завършване на единния пазар и за улесняване на достъпа до финансиране чрез платформи за публично-частни партньорства и чрез социалната икономика;</w:t>
            </w:r>
          </w:p>
        </w:tc>
        <w:tc>
          <w:tcPr>
            <w:tcW w:w="4876" w:type="dxa"/>
            <w:tcBorders>
              <w:top w:val="nil"/>
              <w:left w:val="nil"/>
              <w:bottom w:val="nil"/>
              <w:right w:val="nil"/>
            </w:tcBorders>
          </w:tcPr>
          <w:p>
            <w:pPr>
              <w:pStyle w:val="Normal6a"/>
            </w:pPr>
            <w:r>
              <w:t>7.</w:t>
            </w:r>
            <w:r>
              <w:tab/>
            </w:r>
            <w:r>
              <w:t>призовава Комисията и Съвета да дадат предимство на намаляването на бюрократичните пречки, засягащи бизнеса, особено малките и средните предприятия (МСП) и стартиращите предприятия, които са от съществено значение за икономическия растеж и конкурентоспособността на ЕС; счита, че по-добрата подкрепа за предприемачите, особено за МСП и стартиращите предприятия, ще подобри конкурентоспособността на ЕС, ще стимулира иновациите и ще създаде качествени работни места; призовава настоятелно, за да се насърчи динамична бизнес среда, да бъдат приложени конкретните препоръки за завършване на единния пазар и за улесняване на достъпа до финансиране чрез платформи за публично-частни партньорства и чрез социалната икономика;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219</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призовава Комисията и Съвета да дадат предимство на намаляването на бюрократичните и фискалните пречки, засягащи бизнеса, особено малките и средните предприятия (МСП) и стартиращите предприятия, които са от съществено значение за икономическия растеж и конкурентоспособността на ЕС и следователно за финансирането на социалните политики; счита, че по-добрата подкрепа за предприемачите, особено за МСП </w:t>
            </w:r>
            <w:r>
              <w:rPr>
                <w:b/>
                <w:i/>
              </w:rPr>
              <w:t>и</w:t>
            </w:r>
            <w:r>
              <w:t xml:space="preserve"> стартиращите предприятия</w:t>
            </w:r>
            <w:r>
              <w:rPr>
                <w:b/>
                <w:i/>
              </w:rPr>
              <w:t>,</w:t>
            </w:r>
            <w:r>
              <w:t xml:space="preserve"> ще подобри конкурентоспособността на ЕС, ще стимулира иновациите и ще създаде качествени работни места; призовава настоятелно, за да се насърчи динамична бизнес среда, да бъдат приложени конкретните препоръки за завършване на единния пазар и за улесняване на достъпа до финансиране чрез платформи за публично-частни партньорства и чрез социалната икономика;</w:t>
            </w:r>
          </w:p>
        </w:tc>
        <w:tc>
          <w:tcPr>
            <w:tcW w:w="4876" w:type="dxa"/>
            <w:tcBorders>
              <w:top w:val="nil"/>
              <w:left w:val="nil"/>
              <w:bottom w:val="nil"/>
              <w:right w:val="nil"/>
            </w:tcBorders>
          </w:tcPr>
          <w:p>
            <w:pPr>
              <w:pStyle w:val="Normal6a"/>
            </w:pPr>
            <w:r>
              <w:t>7.</w:t>
            </w:r>
            <w:r>
              <w:tab/>
            </w:r>
            <w:r>
              <w:t>призовава Комисията и Съвета да дадат предимство на намаляването на бюрократичните и фискалните пречки, засягащи бизнеса, особено малките и средните предприятия (МСП) и стартиращите предприятия, които са от съществено значение за икономическия растеж и конкурентоспособността на ЕС и следователно за финансирането на социалните политики; счита, че по-добрата подкрепа за предприемачите, особено за МСП</w:t>
            </w:r>
            <w:r>
              <w:rPr>
                <w:b/>
                <w:i/>
              </w:rPr>
              <w:t>,</w:t>
            </w:r>
            <w:r>
              <w:t xml:space="preserve"> стартиращите предприятия </w:t>
            </w:r>
            <w:r>
              <w:rPr>
                <w:b/>
                <w:i/>
              </w:rPr>
              <w:t>и самостоятелно заетите лица</w:t>
            </w:r>
            <w:r>
              <w:t xml:space="preserve"> ще подобри конкурентоспособността на ЕС, ще стимулира иновациите и ще създаде качествени работни места; призовава настоятелно, за да се насърчи динамична бизнес среда, да бъдат приложени конкретните препоръки за завършване на единния пазар и за улесняване на достъпа до финансиране чрез платформи за публично-частни партньорства и чрез социалната икономика;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220</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7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7а.</w:t>
            </w:r>
            <w:r>
              <w:tab/>
            </w:r>
            <w:r>
              <w:rPr>
                <w:b/>
                <w:i/>
              </w:rPr>
              <w:t>припомня значението на подобряването на достъпа на самостоятелно заетите лица до социална закрила и призовава Комисията да наблюдава националните планове на държавите членки за изпълнение на препоръката на Съвета относно достъпа на работниците и самостоятелно заетите лица до социална закрила като част от специфичните за всяка държава препоръки;</w:t>
            </w:r>
            <w:r>
              <w:t xml:space="preserve"> </w:t>
            </w:r>
            <w:r>
              <w:rPr>
                <w:b/>
                <w:i/>
              </w:rPr>
              <w:t>във връзка с това, тъй като процентът на самостоятелно заетите специалисти в секторите на културата и творчеството е над два пъти по-висок от този сред населението като цяло, припомня 13-те инициативи, изложени в отговора на Комисията от 21 февруари 2024 г. на резолюцията на Европейския парламент от 21 ноември 2023 г. относно рамка на ЕС за социалното и професионалното положение на хората на изкуството и работещите в секторите на културата и творчеството, и призовава Комисията да започне да ги прилага в сътрудничество с държавите членки;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221</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7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7а.</w:t>
            </w:r>
            <w:r>
              <w:tab/>
            </w:r>
            <w:r>
              <w:rPr>
                <w:b/>
                <w:i/>
              </w:rPr>
              <w:t>предупреждава за социалните рискове, произтичащи от кризата в автомобилния сектор, който е изправен пред безпрецедентен натиск както от външни, така и от вътрешни фактори;</w:t>
            </w:r>
            <w:r>
              <w:t xml:space="preserve"> </w:t>
            </w:r>
            <w:r>
              <w:rPr>
                <w:b/>
                <w:i/>
              </w:rPr>
              <w:t>призовава Европейската комисия да обърне внимание на този сектор, като същевременно използва набора от социални показатели за наблюдение на закрилата на работниците и засилване на социалния диалог и участието на работниците в процесите на преход;</w:t>
            </w:r>
            <w:r>
              <w:t xml:space="preserve"> </w:t>
            </w:r>
            <w:r>
              <w:rPr>
                <w:b/>
                <w:i/>
              </w:rPr>
              <w:t>подчертава неотложната необходимост от координирана реакция на ЕС чрез работна група за извънредни ситуации, съставена от синдикални организации и работодатели, за да се реагира на настоящата криза;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222</w:t>
      </w:r>
      <w:r>
        <w:rPr>
          <w:rStyle w:val="HideTWBExt"/>
        </w:rPr>
        <w:t>&lt;/NumAm&gt;</w:t>
      </w:r>
    </w:p>
    <w:p>
      <w:pPr>
        <w:pStyle w:val="NormalBold"/>
      </w:pPr>
      <w:r>
        <w:rPr>
          <w:rStyle w:val="HideTWBExt"/>
          <w:b w:val="0"/>
        </w:rPr>
        <w:t>&lt;RepeatBlock-By&gt;</w:t>
      </w:r>
      <w:r>
        <w:rPr>
          <w:rStyle w:val="HideTWBExt"/>
          <w:b w:val="0"/>
        </w:rPr>
        <w:t>&lt;Members&gt;</w:t>
      </w:r>
      <w:r>
        <w:t>Марлена Малонг, Джорджиана Теодореску, Елена Донацан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7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7а.</w:t>
            </w:r>
            <w:r>
              <w:tab/>
            </w:r>
            <w:r>
              <w:rPr>
                <w:b/>
                <w:i/>
              </w:rPr>
              <w:t>призовава Комисията да извършва проверки на конкурентоспособността на всяко ново законодателно предложение, като взема предвид цялостното въздействие на законодателството на ЕС върху дружествата, както и върху други политики и програми на ЕС;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223</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подчертава необходимостта да бъдат насърчавани публично-частните партньорства, за да се подобри ефективността при предоставянето на основни социални услуги, като образование, здравеопазване и социални грижи;</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224</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подчертава необходимостта да бъдат насърчавани публично-частните партньорства, за да се подобри ефективността при предоставянето на основни социални услуги, като образование, здравеопазване и социални грижи;</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225</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подчертава необходимостта </w:t>
            </w:r>
            <w:r>
              <w:rPr>
                <w:b/>
                <w:i/>
              </w:rPr>
              <w:t>да бъдат насърчавани публично-частните партньорства, за да се подобри</w:t>
            </w:r>
            <w:r>
              <w:t xml:space="preserve"> ефективността при предоставянето на основни социални услуги, като образование, здравеопазване и социални грижи;</w:t>
            </w:r>
          </w:p>
        </w:tc>
        <w:tc>
          <w:tcPr>
            <w:tcW w:w="4876" w:type="dxa"/>
            <w:tcBorders>
              <w:top w:val="nil"/>
              <w:left w:val="nil"/>
              <w:bottom w:val="nil"/>
              <w:right w:val="nil"/>
            </w:tcBorders>
          </w:tcPr>
          <w:p>
            <w:pPr>
              <w:pStyle w:val="Normal6a"/>
            </w:pPr>
            <w:r>
              <w:t>8.</w:t>
            </w:r>
            <w:r>
              <w:tab/>
            </w:r>
            <w:r>
              <w:t xml:space="preserve">подчертава необходимостта </w:t>
            </w:r>
            <w:r>
              <w:rPr>
                <w:b/>
                <w:i/>
              </w:rPr>
              <w:t>от подобряване на качеството, обхвата, финансовата достъпност и</w:t>
            </w:r>
            <w:r>
              <w:t xml:space="preserve"> ефективността при предоставянето на основни социални услуги, като образование, здравеопазване и социални </w:t>
            </w:r>
            <w:r>
              <w:rPr>
                <w:b/>
                <w:i/>
              </w:rPr>
              <w:t>грижи, включително грижи за деца и дългосрочни грижи;</w:t>
            </w:r>
            <w:r>
              <w:t xml:space="preserve"> </w:t>
            </w:r>
            <w:r>
              <w:rPr>
                <w:b/>
                <w:i/>
              </w:rPr>
              <w:t>настоятелно призовава държавите членки да продължат да прилагат препоръката на Съвета относно достъпа до финансово достъпни и качествени дългосрочни грижи с оглед да се осигури достъп до качествени грижи, като същевременно се гарантират достойни условия на труд за работниците в сектора на грижите, както и за лицата, полагащи неформални</w:t>
            </w:r>
            <w:r>
              <w:t xml:space="preserve"> грижи;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226</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подчертава необходимостта </w:t>
            </w:r>
            <w:r>
              <w:rPr>
                <w:b/>
                <w:i/>
              </w:rPr>
              <w:t>да бъдат насърчавани</w:t>
            </w:r>
            <w:r>
              <w:t xml:space="preserve"> публично-частните партньорства</w:t>
            </w:r>
            <w:r>
              <w:rPr>
                <w:b/>
                <w:i/>
              </w:rPr>
              <w:t>,</w:t>
            </w:r>
            <w:r>
              <w:t xml:space="preserve"> за да се подобри ефективността при предоставянето на </w:t>
            </w:r>
            <w:r>
              <w:rPr>
                <w:b/>
                <w:i/>
              </w:rPr>
              <w:t>основни</w:t>
            </w:r>
            <w:r>
              <w:t xml:space="preserve"> социални услуги, като образование, здравеопазване и социални грижи;</w:t>
            </w:r>
          </w:p>
        </w:tc>
        <w:tc>
          <w:tcPr>
            <w:tcW w:w="4876" w:type="dxa"/>
            <w:tcBorders>
              <w:top w:val="nil"/>
              <w:left w:val="nil"/>
              <w:bottom w:val="nil"/>
              <w:right w:val="nil"/>
            </w:tcBorders>
          </w:tcPr>
          <w:p>
            <w:pPr>
              <w:pStyle w:val="Normal6a"/>
            </w:pPr>
            <w:r>
              <w:t>8.</w:t>
            </w:r>
            <w:r>
              <w:tab/>
            </w:r>
            <w:r>
              <w:t xml:space="preserve">подчертава необходимостта </w:t>
            </w:r>
            <w:r>
              <w:rPr>
                <w:b/>
                <w:i/>
              </w:rPr>
              <w:t>държавите членки да насърчават</w:t>
            </w:r>
            <w:r>
              <w:t xml:space="preserve"> публично-частните партньорства за да се подобри ефективността при предоставянето на </w:t>
            </w:r>
            <w:r>
              <w:rPr>
                <w:b/>
                <w:i/>
              </w:rPr>
              <w:t>обществени</w:t>
            </w:r>
            <w:r>
              <w:t xml:space="preserve"> социални услуги, като образование, здравеопазване</w:t>
            </w:r>
            <w:r>
              <w:rPr>
                <w:b/>
                <w:i/>
              </w:rPr>
              <w:t>, жилищно настаняване</w:t>
            </w:r>
            <w:r>
              <w:t xml:space="preserve"> и социални грижи</w:t>
            </w:r>
            <w:r>
              <w:rPr>
                <w:b/>
                <w:i/>
              </w:rPr>
              <w:t>, както и закрила на детето, като същевременно се гарантира отговорността на държавите членки за осигуряване на предоставянето и достъпа до качествени обществени услуги в тези области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227</w:t>
      </w:r>
      <w:r>
        <w:rPr>
          <w:rStyle w:val="HideTWBExt"/>
        </w:rPr>
        <w:t>&lt;/NumAm&gt;</w:t>
      </w:r>
    </w:p>
    <w:p>
      <w:pPr>
        <w:pStyle w:val="NormalBold"/>
      </w:pPr>
      <w:r>
        <w:rPr>
          <w:rStyle w:val="HideTWBExt"/>
          <w:b w:val="0"/>
        </w:rPr>
        <w:t>&lt;RepeatBlock-By&gt;</w:t>
      </w:r>
      <w:r>
        <w:rPr>
          <w:rStyle w:val="HideTWBExt"/>
          <w:b w:val="0"/>
        </w:rPr>
        <w:t>&lt;Members&gt;</w:t>
      </w:r>
      <w:r>
        <w:t>Мари Доши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подчертава необходимостта да бъдат насърчавани публично-частните партньорства, за да се подобри ефективността при предоставянето на основни социални услуги, като образование, здравеопазване и социални грижи</w:t>
            </w:r>
            <w:r>
              <w:rPr>
                <w:b/>
                <w:i/>
              </w:rPr>
              <w:t>;</w:t>
            </w:r>
          </w:p>
        </w:tc>
        <w:tc>
          <w:tcPr>
            <w:tcW w:w="4876" w:type="dxa"/>
            <w:tcBorders>
              <w:top w:val="nil"/>
              <w:left w:val="nil"/>
              <w:bottom w:val="nil"/>
              <w:right w:val="nil"/>
            </w:tcBorders>
          </w:tcPr>
          <w:p>
            <w:pPr>
              <w:pStyle w:val="Normal6a"/>
            </w:pPr>
            <w:r>
              <w:t>8.</w:t>
            </w:r>
            <w:r>
              <w:tab/>
            </w:r>
            <w:r>
              <w:t>подчертава необходимостта да бъдат насърчавани публично-частните партньорства, за да се подобри ефективността при предоставянето на основни социални услуги, като образование, здравеопазване и социални грижи</w:t>
            </w:r>
            <w:r>
              <w:rPr>
                <w:b/>
                <w:i/>
              </w:rPr>
              <w:t>, тогава и само тогава, когато са вероятни и демонстрирани полезните взаимодействия между обществения и частния сектор и това не е проява на идеологическа и лишена от логика приватизация.</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228</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подчертава необходимостта </w:t>
            </w:r>
            <w:r>
              <w:rPr>
                <w:b/>
                <w:i/>
              </w:rPr>
              <w:t>да бъдат насърчавани</w:t>
            </w:r>
            <w:r>
              <w:t xml:space="preserve"> публично-частните партньорства, за да се подобри ефективността при предоставянето на основни социални услуги, като образование, здравеопазване и социални грижи;</w:t>
            </w:r>
          </w:p>
        </w:tc>
        <w:tc>
          <w:tcPr>
            <w:tcW w:w="4876" w:type="dxa"/>
            <w:tcBorders>
              <w:top w:val="nil"/>
              <w:left w:val="nil"/>
              <w:bottom w:val="nil"/>
              <w:right w:val="nil"/>
            </w:tcBorders>
          </w:tcPr>
          <w:p>
            <w:pPr>
              <w:pStyle w:val="Normal6a"/>
            </w:pPr>
            <w:r>
              <w:t>8.</w:t>
            </w:r>
            <w:r>
              <w:tab/>
            </w:r>
            <w:r>
              <w:rPr>
                <w:b/>
                <w:i/>
              </w:rPr>
              <w:t>изразява съгласие с предложението на Енрико Лета за „пета свобода“ за засилване на научните изследвания, иновациите и образованието в рамките на единния пазар и във връзка с това</w:t>
            </w:r>
            <w:r>
              <w:t xml:space="preserve"> подчертава необходимостта </w:t>
            </w:r>
            <w:r>
              <w:rPr>
                <w:b/>
                <w:i/>
              </w:rPr>
              <w:t>от пълноценно използване на</w:t>
            </w:r>
            <w:r>
              <w:t xml:space="preserve"> публично-частните партньорства, за да се подобри ефективността при предоставянето на основни социални услуги, като образование, здравеопазване и социални грижи;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229</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8а.</w:t>
            </w:r>
            <w:r>
              <w:tab/>
            </w:r>
            <w:r>
              <w:rPr>
                <w:b/>
                <w:i/>
              </w:rPr>
              <w:t>изразява загриженост относно много национални политики, които все още създават пропуски в здравното осигуряване, като увеличават неравенствата както в рамките на държавите членки, така и между тях, като приватизацията на системите за обществено здравеопазване, доплащанията и липсата на покритие;</w:t>
            </w:r>
            <w:r>
              <w:t xml:space="preserve"> </w:t>
            </w:r>
            <w:r>
              <w:rPr>
                <w:b/>
                <w:i/>
              </w:rPr>
              <w:t>изтъква, че те задълбочават бедността, подкопават здравето и благополучието и увеличават социалните неравенства в рамките на държавите от ЕС и между тях;</w:t>
            </w:r>
            <w:r>
              <w:t xml:space="preserve"> </w:t>
            </w:r>
            <w:r>
              <w:rPr>
                <w:b/>
                <w:i/>
              </w:rPr>
              <w:t>предупреждава, че това също така подкопава прилагането на принцип 16 от стълба и на ЦУР 3.8 относно всеобщото здравно осигуряване, както и общата цел на стълба за насърчаване на възходящо социално сближаване в ЕС, без никой да бъде пренебрегнат;</w:t>
            </w:r>
            <w:r>
              <w:t xml:space="preserve"> </w:t>
            </w:r>
            <w:r>
              <w:rPr>
                <w:b/>
                <w:i/>
              </w:rPr>
              <w:t>счита, че показателите, използвани в набора от социални показатели, не предоставят цялостно разбиране на финансовата достъпност на здравното обслужване;</w:t>
            </w:r>
            <w:r>
              <w:t xml:space="preserve"> </w:t>
            </w:r>
            <w:r>
              <w:rPr>
                <w:b/>
                <w:i/>
              </w:rPr>
              <w:t>призовава Комисията да включи в набора следните показатели за финансови затруднения, като например водещи до бедност и катастрофални разходи за здравеопазване, както и качествен анализ на различните измерения на политиката на покритие (покритие на населението, пакет от обезщетения и потребителски такси или доплащания) в държавите членки, за да се идентифицират необходимите промени за подобряване на достъпа до здравеопазване на достъпни цени;</w:t>
            </w:r>
            <w:r>
              <w:t xml:space="preserve"> </w:t>
            </w:r>
            <w:r>
              <w:rPr>
                <w:b/>
                <w:i/>
              </w:rPr>
              <w:t>призовава Комисията да представи инициатива, с която да се гарантира подходящо всеобщо здравно осигуряване за всички, така че всеки да има достъп до качествено здравеопазване, без да изпитва финансови затруднения;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230</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8а.</w:t>
            </w:r>
            <w:r>
              <w:tab/>
            </w:r>
            <w:r>
              <w:rPr>
                <w:b/>
                <w:i/>
              </w:rPr>
              <w:t>счита, че социалната икономика е съществен елемент от социалната пазарна икономика на ЕС и двигател за прилагането на ЕССП и неговите цели, като често осигурява заетост на уязвими и изключени групи;</w:t>
            </w:r>
            <w:r>
              <w:t xml:space="preserve"> </w:t>
            </w:r>
            <w:r>
              <w:rPr>
                <w:b/>
                <w:i/>
              </w:rPr>
              <w:t>призовава държавите членки да продължат да укрепват социалната икономика в съответствие с Плана за действие на ЕС за социалната икономика и пътната карта от Лиеж за социалната икономика в Европейския съюз;</w:t>
            </w:r>
            <w:r>
              <w:t xml:space="preserve"> </w:t>
            </w:r>
            <w:r>
              <w:rPr>
                <w:b/>
                <w:i/>
              </w:rPr>
              <w:t>отново призовава Комисията да проучи иновативни механизми за финансиране, като например облигации за социално въздействие, за финансиране на проекти в подкрепа на развитието на социалната икономика в Европа</w:t>
            </w:r>
            <w:r>
              <w:rPr>
                <w:b/>
                <w:i/>
                <w:vertAlign w:val="superscript"/>
              </w:rPr>
              <w:t>19a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19a</w:t>
            </w:r>
            <w:r>
              <w:t xml:space="preserve"> </w:t>
            </w:r>
            <w:r>
              <w:rPr>
                <w:b/>
                <w:i/>
              </w:rPr>
              <w:t>Резолюция на Европейския парламент от 6 юли 2022 г. относно плана за действие на ЕС за социалната икономика (2021/2179(INI)).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231</w:t>
      </w:r>
      <w:r>
        <w:rPr>
          <w:rStyle w:val="HideTWBExt"/>
        </w:rPr>
        <w:t>&lt;/NumAm&gt;</w:t>
      </w:r>
    </w:p>
    <w:p>
      <w:pPr>
        <w:pStyle w:val="NormalBold"/>
      </w:pPr>
      <w:r>
        <w:rPr>
          <w:rStyle w:val="HideTWBExt"/>
          <w:b w:val="0"/>
        </w:rPr>
        <w:t>&lt;RepeatBlock-By&gt;</w:t>
      </w:r>
      <w:r>
        <w:rPr>
          <w:rStyle w:val="HideTWBExt"/>
          <w:b w:val="0"/>
        </w:rPr>
        <w:t>&lt;Members&gt;</w:t>
      </w:r>
      <w:r>
        <w:t>Мари Доши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призовава на държавите членки да се предложи възможността да съчетаят фискалната отговорност с устойчивия растеж през тази година на преход и в контекста на прилагането на преразгледаните правила за икономическо управление;</w:t>
            </w:r>
            <w:r>
              <w:t xml:space="preserve"> </w:t>
            </w:r>
            <w:r>
              <w:rPr>
                <w:b/>
                <w:i/>
              </w:rPr>
              <w:t>отбелязва, че средносрочните фискални планове следва да дават предимство на устойчивостта на дълга, като същевременно инвестират стратегически в образованието, здравеопазването и жилищното настаняване;</w:t>
            </w:r>
            <w:r>
              <w:t xml:space="preserve"> </w:t>
            </w:r>
            <w:r>
              <w:rPr>
                <w:b/>
                <w:i/>
              </w:rPr>
              <w:t>подчертава, че сътрудничеството между публичните и частните субекти е ключово за оптимизиране на ресурсите и гарантиране на разумно използване на публичните средства;</w:t>
            </w:r>
            <w:r>
              <w:t xml:space="preserve"> </w:t>
            </w:r>
            <w:r>
              <w:rPr>
                <w:b/>
                <w:i/>
              </w:rPr>
              <w:t>счита, че специфичните за всяка държава препоръки, които насърчават устойчиви публични пенсионни системи и здравеопазване, следва да се прилагат ефективно и да способстват за конкурентоспособността и дългосрочния просперитет за всички граждани;</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232</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призовава на държавите членки да се предложи възможността да съчетаят фискалната отговорност с устойчивия растеж през тази година на преход и в контекста на прилагането на преразгледаните правила за икономическо управление; отбелязва, че средносрочните фискални планове следва да </w:t>
            </w:r>
            <w:r>
              <w:rPr>
                <w:b/>
                <w:i/>
              </w:rPr>
              <w:t>дават предимство на устойчивостта</w:t>
            </w:r>
            <w:r>
              <w:t xml:space="preserve"> на дълга, като същевременно инвестират стратегически в </w:t>
            </w:r>
            <w:r>
              <w:rPr>
                <w:b/>
                <w:i/>
              </w:rPr>
              <w:t>образованието, здравеопазването и жилищното настаняване</w:t>
            </w:r>
            <w:r>
              <w:t xml:space="preserve">; подчертава, че сътрудничеството между публичните и частните субекти </w:t>
            </w:r>
            <w:r>
              <w:rPr>
                <w:b/>
                <w:i/>
              </w:rPr>
              <w:t>е ключово</w:t>
            </w:r>
            <w:r>
              <w:t xml:space="preserve"> за оптимизиране на ресурсите и гарантиране на разумно използване на публичните средства; счита, че специфичните за всяка държава препоръки, които насърчават устойчиви публични пенсионни системи и здравеопазване, следва да </w:t>
            </w:r>
            <w:r>
              <w:rPr>
                <w:b/>
                <w:i/>
              </w:rPr>
              <w:t>се прилагат ефективно и да способстват за конкурентоспособността и дългосрочния просперитет</w:t>
            </w:r>
            <w:r>
              <w:t xml:space="preserve"> за всички </w:t>
            </w:r>
            <w:r>
              <w:rPr>
                <w:b/>
                <w:i/>
              </w:rPr>
              <w:t>граждани</w:t>
            </w:r>
            <w:r>
              <w:t>;</w:t>
            </w:r>
          </w:p>
        </w:tc>
        <w:tc>
          <w:tcPr>
            <w:tcW w:w="4876" w:type="dxa"/>
            <w:tcBorders>
              <w:top w:val="nil"/>
              <w:left w:val="nil"/>
              <w:bottom w:val="nil"/>
              <w:right w:val="nil"/>
            </w:tcBorders>
          </w:tcPr>
          <w:p>
            <w:pPr>
              <w:pStyle w:val="Normal6a"/>
            </w:pPr>
            <w:r>
              <w:t>9.</w:t>
            </w:r>
            <w:r>
              <w:tab/>
            </w:r>
            <w:r>
              <w:t xml:space="preserve">призовава на държавите членки да се предложи възможността да съчетаят фискалната отговорност с устойчивия </w:t>
            </w:r>
            <w:r>
              <w:rPr>
                <w:b/>
                <w:i/>
              </w:rPr>
              <w:t>и приобщаващ</w:t>
            </w:r>
            <w:r>
              <w:t xml:space="preserve"> растеж през тази година на преход и в контекста на прилагането на преразгледаните правила за икономическо управление</w:t>
            </w:r>
            <w:r>
              <w:rPr>
                <w:b/>
                <w:i/>
              </w:rPr>
              <w:t>, отбелязва, че участието на социалните партньори следва да бъде засилено на всички равнища, за да се допринесе за постигането на целите на новата рамка за икономическо управление 2024, по-специално следва да се гарантират предварителни консултации със социалните партньори преди представянето на средносрочните фискални структурни планове</w:t>
            </w:r>
            <w:r>
              <w:t xml:space="preserve">; отбелязва, че средносрочните фискални планове следва да </w:t>
            </w:r>
            <w:r>
              <w:rPr>
                <w:b/>
                <w:i/>
              </w:rPr>
              <w:t>гарантират устойчивост</w:t>
            </w:r>
            <w:r>
              <w:t xml:space="preserve"> на дълга, като същевременно инвестират стратегически в </w:t>
            </w:r>
            <w:r>
              <w:rPr>
                <w:b/>
                <w:i/>
              </w:rPr>
              <w:t>качествено образование, качествено обучение, качествени обществени и социални услуги, здравеопазване и дългосрочни грижи и достъпни жилища и социални услуги;</w:t>
            </w:r>
            <w:r>
              <w:t xml:space="preserve"> </w:t>
            </w:r>
            <w:r>
              <w:rPr>
                <w:b/>
                <w:i/>
              </w:rPr>
              <w:t>препоръчва използването на сравнителни статистически данни, като например констатациите от индекса на социалните услуги (SSI), за да се установят пропуските в законодателството в областта на социалните услуги, финансирането и достъпа, както и да се насочват стратегическите инвестиции в области като закрила на детето, дългосрочни грижи и подкрепа в общността</w:t>
            </w:r>
            <w:r>
              <w:t xml:space="preserve">; подчертава, че сътрудничеството между публичните и частните субекти </w:t>
            </w:r>
            <w:r>
              <w:rPr>
                <w:b/>
                <w:i/>
              </w:rPr>
              <w:t>понякога е добър начин</w:t>
            </w:r>
            <w:r>
              <w:t xml:space="preserve"> за оптимизиране на ресурсите и гарантиране на разумно използване на публичните средства; счита, че специфичните за всяка държава препоръки, които насърчават устойчиви публични пенсионни системи и здравеопазване, следва да </w:t>
            </w:r>
            <w:r>
              <w:rPr>
                <w:b/>
                <w:i/>
              </w:rPr>
              <w:t>насърчават пенсии, които гарантират достоен живот, благосъстояние и качествено и финансово достъпно здраве, поощряване на здравето и превенция</w:t>
            </w:r>
            <w:r>
              <w:t xml:space="preserve"> за всички;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233</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призовава на държавите членки да се предложи възможността да съчетаят фискалната отговорност с </w:t>
            </w:r>
            <w:r>
              <w:rPr>
                <w:b/>
                <w:i/>
              </w:rPr>
              <w:t>устойчивия растеж</w:t>
            </w:r>
            <w:r>
              <w:t xml:space="preserve"> през тази година на преход и в контекста на прилагането на преразгледаните правила за икономическо управление; отбелязва, че средносрочните фискални планове следва да дават предимство на </w:t>
            </w:r>
            <w:r>
              <w:rPr>
                <w:b/>
                <w:i/>
              </w:rPr>
              <w:t>устойчивостта на дълга</w:t>
            </w:r>
            <w:r>
              <w:t xml:space="preserve">, като същевременно инвестират стратегически в </w:t>
            </w:r>
            <w:r>
              <w:rPr>
                <w:b/>
                <w:i/>
              </w:rPr>
              <w:t>образованието</w:t>
            </w:r>
            <w:r>
              <w:t xml:space="preserve">, здравеопазването и жилищното настаняване; подчертава, че сътрудничеството между публичните и частните субекти е ключово за </w:t>
            </w:r>
            <w:r>
              <w:rPr>
                <w:b/>
                <w:i/>
              </w:rPr>
              <w:t>оптимизиране</w:t>
            </w:r>
            <w:r>
              <w:t xml:space="preserve"> на ресурсите </w:t>
            </w:r>
            <w:r>
              <w:rPr>
                <w:b/>
                <w:i/>
              </w:rPr>
              <w:t>и гарантиране на разумно използване на</w:t>
            </w:r>
            <w:r>
              <w:t xml:space="preserve"> публичните </w:t>
            </w:r>
            <w:r>
              <w:rPr>
                <w:b/>
                <w:i/>
              </w:rPr>
              <w:t>средства;</w:t>
            </w:r>
            <w:r>
              <w:t xml:space="preserve"> </w:t>
            </w:r>
            <w:r>
              <w:rPr>
                <w:b/>
                <w:i/>
              </w:rPr>
              <w:t>счита, че специфичните за всяка държава препоръки</w:t>
            </w:r>
            <w:r>
              <w:t xml:space="preserve">, които насърчават </w:t>
            </w:r>
            <w:r>
              <w:rPr>
                <w:b/>
                <w:i/>
              </w:rPr>
              <w:t>устойчиви публични пенсионни системи и здравеопазване, следва</w:t>
            </w:r>
            <w:r>
              <w:t xml:space="preserve"> да се </w:t>
            </w:r>
            <w:r>
              <w:rPr>
                <w:b/>
                <w:i/>
              </w:rPr>
              <w:t>прилагат ефективно и да способстват за конкурентоспособността и дългосрочния просперитет за всички граждани</w:t>
            </w:r>
            <w:r>
              <w:t>;</w:t>
            </w:r>
          </w:p>
        </w:tc>
        <w:tc>
          <w:tcPr>
            <w:tcW w:w="4876" w:type="dxa"/>
            <w:tcBorders>
              <w:top w:val="nil"/>
              <w:left w:val="nil"/>
              <w:bottom w:val="nil"/>
              <w:right w:val="nil"/>
            </w:tcBorders>
          </w:tcPr>
          <w:p>
            <w:pPr>
              <w:pStyle w:val="Normal6a"/>
            </w:pPr>
            <w:r>
              <w:t>9.</w:t>
            </w:r>
            <w:r>
              <w:tab/>
            </w:r>
            <w:r>
              <w:t xml:space="preserve">призовава на държавите членки да се предложи възможността да съчетаят фискалната отговорност с </w:t>
            </w:r>
            <w:r>
              <w:rPr>
                <w:b/>
                <w:i/>
              </w:rPr>
              <w:t>устойчивото развитие и благосъстоянието</w:t>
            </w:r>
            <w:r>
              <w:t xml:space="preserve"> през тази година на преход и в контекста на прилагането на преразгледаните правила за икономическо управление; отбелязва, че средносрочните фискални планове следва да дават предимство на </w:t>
            </w:r>
            <w:r>
              <w:rPr>
                <w:b/>
                <w:i/>
              </w:rPr>
              <w:t>социалната устойчивост</w:t>
            </w:r>
            <w:r>
              <w:t xml:space="preserve">, като същевременно инвестират стратегически в </w:t>
            </w:r>
            <w:r>
              <w:rPr>
                <w:b/>
                <w:i/>
              </w:rPr>
              <w:t>държавното образование</w:t>
            </w:r>
            <w:r>
              <w:t xml:space="preserve">, здравеопазването и жилищното настаняване; подчертава, че сътрудничеството между публичните и частните субекти е ключово за </w:t>
            </w:r>
            <w:r>
              <w:rPr>
                <w:b/>
                <w:i/>
              </w:rPr>
              <w:t>оптимизирането</w:t>
            </w:r>
            <w:r>
              <w:t xml:space="preserve"> на ресурсите</w:t>
            </w:r>
            <w:r>
              <w:rPr>
                <w:b/>
                <w:i/>
              </w:rPr>
              <w:t>;</w:t>
            </w:r>
            <w:r>
              <w:t xml:space="preserve"> </w:t>
            </w:r>
            <w:r>
              <w:rPr>
                <w:b/>
                <w:i/>
              </w:rPr>
              <w:t>счита, че специфичните за всяка държава препоръки следва да изоставят логиката на постоянно препоръчване на бюджетни съкращения в</w:t>
            </w:r>
            <w:r>
              <w:t xml:space="preserve"> публичните </w:t>
            </w:r>
            <w:r>
              <w:rPr>
                <w:b/>
                <w:i/>
              </w:rPr>
              <w:t>пенсионни и здравни системи и вместо това да формулират предложения за реформи</w:t>
            </w:r>
            <w:r>
              <w:t xml:space="preserve">, които насърчават </w:t>
            </w:r>
            <w:r>
              <w:rPr>
                <w:b/>
                <w:i/>
              </w:rPr>
              <w:t>икономическото и социалното благополучие на всички граждани;</w:t>
            </w:r>
            <w:r>
              <w:t xml:space="preserve"> </w:t>
            </w:r>
            <w:r>
              <w:rPr>
                <w:b/>
                <w:i/>
              </w:rPr>
              <w:t>припомня, че е важно</w:t>
            </w:r>
            <w:r>
              <w:t xml:space="preserve"> да се </w:t>
            </w:r>
            <w:r>
              <w:rPr>
                <w:b/>
                <w:i/>
              </w:rPr>
              <w:t>запази адекватен доход за достоен живот на всички работници през периода им на пенсиониране, като същевременно се взема предвид уязвимостта на работниците, чиито кариери са сегментирани, с прекъсвания и обект на преходи на пазара на труда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234</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призовава на държавите членки да се предложи възможността да </w:t>
            </w:r>
            <w:r>
              <w:rPr>
                <w:b/>
                <w:i/>
              </w:rPr>
              <w:t>съчетаят фискалната отговорност с устойчивия</w:t>
            </w:r>
            <w:r>
              <w:t xml:space="preserve"> растеж през тази година на преход и </w:t>
            </w:r>
            <w:r>
              <w:rPr>
                <w:b/>
                <w:i/>
              </w:rPr>
              <w:t>в контекста на прилагането на преразгледаните правила за икономическо управление;</w:t>
            </w:r>
            <w:r>
              <w:t xml:space="preserve"> отбелязва, че средносрочните фискални планове следва да дават предимство на устойчивостта на дълга, като същевременно инвестират стратегически в образованието, здравеопазването и жилищното настаняване</w:t>
            </w:r>
            <w:r>
              <w:rPr>
                <w:b/>
                <w:i/>
              </w:rPr>
              <w:t>;</w:t>
            </w:r>
            <w:r>
              <w:t xml:space="preserve"> </w:t>
            </w:r>
            <w:r>
              <w:rPr>
                <w:b/>
                <w:i/>
              </w:rPr>
              <w:t>подчертава, че сътрудничеството между публичните и частните субекти е ключово за оптимизиране на ресурсите и гарантиране на разумно използване на публичните средства;</w:t>
            </w:r>
            <w:r>
              <w:t xml:space="preserve"> </w:t>
            </w:r>
            <w:r>
              <w:rPr>
                <w:b/>
                <w:i/>
              </w:rPr>
              <w:t>счита, че специфичните за всяка държава препоръки, които насърчават устойчиви публични пенсионни системи и здравеопазване, следва да се прилагат ефективно и да способстват за конкурентоспособността</w:t>
            </w:r>
            <w:r>
              <w:t xml:space="preserve"> и дългосрочния просперитет за всички граждани;</w:t>
            </w:r>
          </w:p>
        </w:tc>
        <w:tc>
          <w:tcPr>
            <w:tcW w:w="4876" w:type="dxa"/>
            <w:tcBorders>
              <w:top w:val="nil"/>
              <w:left w:val="nil"/>
              <w:bottom w:val="nil"/>
              <w:right w:val="nil"/>
            </w:tcBorders>
          </w:tcPr>
          <w:p>
            <w:pPr>
              <w:pStyle w:val="Normal6a"/>
            </w:pPr>
            <w:r>
              <w:t>9.</w:t>
            </w:r>
            <w:r>
              <w:tab/>
            </w:r>
            <w:r>
              <w:t xml:space="preserve">призовава на държавите членки да се предложи възможността да </w:t>
            </w:r>
            <w:r>
              <w:rPr>
                <w:b/>
                <w:i/>
              </w:rPr>
              <w:t>работят за постигане на устойчив</w:t>
            </w:r>
            <w:r>
              <w:t xml:space="preserve"> растеж през тази година на преход и отбелязва, че средносрочните фискални планове следва да дават предимство на устойчивостта на дълга, като същевременно инвестират стратегически в образованието, здравеопазването и жилищното настаняване </w:t>
            </w:r>
            <w:r>
              <w:rPr>
                <w:b/>
                <w:i/>
              </w:rPr>
              <w:t>с цел укрепване на социалното сближаване</w:t>
            </w:r>
            <w:r>
              <w:t xml:space="preserve"> и дългосрочния просперитет за всички граждани;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235</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призовава на държавите членки да се предложи възможността да съчетаят фискалната отговорност с устойчивия растеж през тази година на преход и в контекста на прилагането на преразгледаните правила за икономическо управление; отбелязва, че средносрочните фискални планове следва да дават предимство на устойчивостта на дълга, като същевременно инвестират стратегически в образованието, здравеопазването и жилищното настаняване; подчертава, че сътрудничеството между публичните и частните субекти е ключово за оптимизиране на ресурсите и гарантиране на разумно използване на публичните средства; счита, че специфичните за всяка държава препоръки, които насърчават </w:t>
            </w:r>
            <w:r>
              <w:rPr>
                <w:b/>
                <w:i/>
              </w:rPr>
              <w:t>устойчиви публични</w:t>
            </w:r>
            <w:r>
              <w:t xml:space="preserve"> пенсионни системи и здравеопазване, следва да се прилагат ефективно и да способстват за </w:t>
            </w:r>
            <w:r>
              <w:rPr>
                <w:b/>
                <w:i/>
              </w:rPr>
              <w:t>конкурентоспособността</w:t>
            </w:r>
            <w:r>
              <w:t xml:space="preserve"> и дългосрочния просперитет за всички граждани;</w:t>
            </w:r>
          </w:p>
        </w:tc>
        <w:tc>
          <w:tcPr>
            <w:tcW w:w="4876" w:type="dxa"/>
            <w:tcBorders>
              <w:top w:val="nil"/>
              <w:left w:val="nil"/>
              <w:bottom w:val="nil"/>
              <w:right w:val="nil"/>
            </w:tcBorders>
          </w:tcPr>
          <w:p>
            <w:pPr>
              <w:pStyle w:val="Normal6a"/>
            </w:pPr>
            <w:r>
              <w:t>9.</w:t>
            </w:r>
            <w:r>
              <w:tab/>
            </w:r>
            <w:r>
              <w:t xml:space="preserve">призовава на държавите членки да се предложи възможността да съчетаят фискалната отговорност с устойчивия растеж през тази година на преход и в контекста на прилагането на преразгледаните правила за икономическо управление; отбелязва, че средносрочните фискални планове следва да дават предимство на устойчивостта на дълга, като същевременно инвестират стратегически в </w:t>
            </w:r>
            <w:r>
              <w:rPr>
                <w:b/>
                <w:i/>
              </w:rPr>
              <w:t>целите на Европейския стълб на социалните права, като например</w:t>
            </w:r>
            <w:r>
              <w:t xml:space="preserve"> образованието </w:t>
            </w:r>
            <w:r>
              <w:rPr>
                <w:b/>
                <w:i/>
              </w:rPr>
              <w:t>и обучението, социалната закрила и приобщаването</w:t>
            </w:r>
            <w:r>
              <w:t xml:space="preserve">, здравеопазването и жилищното настаняване; подчертава, че сътрудничеството между публичните и частните субекти е ключово за оптимизиране на ресурсите и гарантиране на разумно използване на публичните средства </w:t>
            </w:r>
            <w:r>
              <w:rPr>
                <w:b/>
                <w:i/>
              </w:rPr>
              <w:t>с цел насърчаване на конкурентоспособността</w:t>
            </w:r>
            <w:r>
              <w:t xml:space="preserve">; счита, че специфичните за всяка държава препоръки, които насърчават </w:t>
            </w:r>
            <w:r>
              <w:rPr>
                <w:b/>
                <w:i/>
              </w:rPr>
              <w:t>многостълбови</w:t>
            </w:r>
            <w:r>
              <w:t xml:space="preserve"> пенсионни системи и </w:t>
            </w:r>
            <w:r>
              <w:rPr>
                <w:b/>
                <w:i/>
              </w:rPr>
              <w:t>качествено</w:t>
            </w:r>
            <w:r>
              <w:t xml:space="preserve"> здравеопазване, следва да се прилагат ефективно и да способстват за </w:t>
            </w:r>
            <w:r>
              <w:rPr>
                <w:b/>
                <w:i/>
              </w:rPr>
              <w:t>устойчивостта, достойнството</w:t>
            </w:r>
            <w:r>
              <w:t xml:space="preserve"> и дългосрочния просперитет за всички граждани;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236</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rPr>
                <w:b/>
                <w:i/>
              </w:rPr>
              <w:t>призовава на държавите членки да се предложи възможността да съчетаят фискалната отговорност с устойчивия растеж през тази година на преход и в контекста на прилагането на преразгледаните правила</w:t>
            </w:r>
            <w:r>
              <w:t xml:space="preserve"> за икономическо управление</w:t>
            </w:r>
            <w:r>
              <w:rPr>
                <w:b/>
                <w:i/>
              </w:rPr>
              <w:t>;</w:t>
            </w:r>
            <w:r>
              <w:t xml:space="preserve"> отбелязва, че средносрочните фискални планове следва да дават предимство на устойчивостта на дълга, като същевременно инвестират стратегически в образованието, здравеопазването и жилищното настаняване; подчертава, че сътрудничеството между публичните и частните субекти е ключово за оптимизиране на ресурсите и гарантиране на разумно използване на публичните средства; счита, че специфичните за всяка държава препоръки, които насърчават устойчиви публични пенсионни системи и здравеопазване, следва да се прилагат ефективно и да способстват за конкурентоспособността и дългосрочния просперитет за всички граждани;</w:t>
            </w:r>
          </w:p>
        </w:tc>
        <w:tc>
          <w:tcPr>
            <w:tcW w:w="4876" w:type="dxa"/>
            <w:tcBorders>
              <w:top w:val="nil"/>
              <w:left w:val="nil"/>
              <w:bottom w:val="nil"/>
              <w:right w:val="nil"/>
            </w:tcBorders>
          </w:tcPr>
          <w:p>
            <w:pPr>
              <w:pStyle w:val="Normal6a"/>
            </w:pPr>
            <w:r>
              <w:t>9.</w:t>
            </w:r>
            <w:r>
              <w:tab/>
            </w:r>
            <w:r>
              <w:rPr>
                <w:b/>
                <w:i/>
              </w:rPr>
              <w:t>подчертава, че основната цел на новите правила за икономическо управление е да се намери баланс между отговорното управление на бюджета (намаляване на дълга) и устойчивия икономически растеж (стимулиращи растежа разходи), поради което правилата</w:t>
            </w:r>
            <w:r>
              <w:t xml:space="preserve"> за икономическо управление </w:t>
            </w:r>
            <w:r>
              <w:rPr>
                <w:b/>
                <w:i/>
              </w:rPr>
              <w:t>трябва да получат възможност за привеждане на фискалната отговорност в съответствие с устойчивия растеж, и</w:t>
            </w:r>
            <w:r>
              <w:t xml:space="preserve"> отбелязва, че средносрочните фискални планове следва да дават предимство на устойчивостта на дълга, като същевременно инвестират стратегически в образованието, здравеопазването и жилищното настаняване; подчертава, че сътрудничеството между публичните и частните субекти е ключово за оптимизиране на ресурсите и гарантиране на разумно използване на публичните средства; счита, че специфичните за всяка държава препоръки, които насърчават устойчиви публични пенсионни системи и здравеопазване, следва да се прилагат ефективно и да способстват за конкурентоспособността и дългосрочния просперитет за всички граждани;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237</w:t>
      </w:r>
      <w:r>
        <w:rPr>
          <w:rStyle w:val="HideTWBExt"/>
        </w:rPr>
        <w:t>&lt;/NumAm&gt;</w:t>
      </w:r>
    </w:p>
    <w:p>
      <w:pPr>
        <w:pStyle w:val="NormalBold"/>
      </w:pPr>
      <w:r>
        <w:rPr>
          <w:rStyle w:val="HideTWBExt"/>
          <w:b w:val="0"/>
        </w:rPr>
        <w:t>&lt;RepeatBlock-By&gt;</w:t>
      </w:r>
      <w:r>
        <w:rPr>
          <w:rStyle w:val="HideTWBExt"/>
          <w:b w:val="0"/>
        </w:rPr>
        <w:t>&lt;Members&gt;</w:t>
      </w:r>
      <w:r>
        <w:t>Бранислав Ондруш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призовава на държавите членки да се предложи възможността да съчетаят фискалната отговорност с устойчивия растеж през тази година на преход и в контекста на прилагането на преразгледаните правила за икономическо управление; отбелязва, че средносрочните фискални планове следва да </w:t>
            </w:r>
            <w:r>
              <w:rPr>
                <w:b/>
                <w:i/>
              </w:rPr>
              <w:t>дават предимство на</w:t>
            </w:r>
            <w:r>
              <w:t xml:space="preserve"> устойчивостта на дълга</w:t>
            </w:r>
            <w:r>
              <w:rPr>
                <w:b/>
                <w:i/>
              </w:rPr>
              <w:t>, като същевременно инвестират стратегически</w:t>
            </w:r>
            <w:r>
              <w:t xml:space="preserve"> в образованието, здравеопазването и жилищното настаняване; подчертава, че сътрудничеството между публичните и частните субекти е ключово за оптимизиране на ресурсите и гарантиране на разумно използване на публичните средства; счита, че специфичните за всяка държава препоръки, които насърчават устойчиви публични пенсионни системи и здравеопазване, следва да се прилагат ефективно и да способстват за конкурентоспособността и дългосрочния просперитет за всички граждани;</w:t>
            </w:r>
          </w:p>
        </w:tc>
        <w:tc>
          <w:tcPr>
            <w:tcW w:w="4876" w:type="dxa"/>
            <w:tcBorders>
              <w:top w:val="nil"/>
              <w:left w:val="nil"/>
              <w:bottom w:val="nil"/>
              <w:right w:val="nil"/>
            </w:tcBorders>
          </w:tcPr>
          <w:p>
            <w:pPr>
              <w:pStyle w:val="Normal6a"/>
            </w:pPr>
            <w:r>
              <w:t>9.</w:t>
            </w:r>
            <w:r>
              <w:tab/>
            </w:r>
            <w:r>
              <w:t xml:space="preserve">призовава на държавите членки да се предложи възможността да съчетаят фискалната отговорност с устойчивия растеж през тази година на преход и в контекста на прилагането на преразгледаните правила за икономическо управление; отбелязва, че средносрочните фискални планове следва да </w:t>
            </w:r>
            <w:r>
              <w:rPr>
                <w:b/>
                <w:i/>
              </w:rPr>
              <w:t>постигнат баланс между</w:t>
            </w:r>
            <w:r>
              <w:t xml:space="preserve"> устойчивостта на дълга </w:t>
            </w:r>
            <w:r>
              <w:rPr>
                <w:b/>
                <w:i/>
              </w:rPr>
              <w:t>и социалните инвестиции</w:t>
            </w:r>
            <w:r>
              <w:t xml:space="preserve"> в образованието, здравеопазването и жилищното настаняване; подчертава, че сътрудничеството между публичните и частните субекти е ключово за оптимизиране на ресурсите и гарантиране на разумно използване на публичните средства; счита, че специфичните за всяка държава препоръки, които насърчават устойчиви публични пенсионни системи и здравеопазване, следва да се прилагат ефективно и да способстват за конкурентоспособността и дългосрочния просперитет за всички граждани;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238</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 – точка 1 (нова)</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признава разрушителните въздействия, които политиките на строги икономии оказаха и продължават да оказват върху обществото като цяло.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239</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9а.</w:t>
            </w:r>
            <w:r>
              <w:tab/>
            </w:r>
            <w:r>
              <w:rPr>
                <w:b/>
                <w:i/>
              </w:rPr>
              <w:t>приветства факта, че националните средносрочни фискално-структурни планове съгласно новата рамка за икономическо управление трябва да включват реформите и инвестициите в отговор на основните предизвикателства, установени в контекста на европейския семестър, по-специално в специфичните за всяка държава препоръки;</w:t>
            </w:r>
            <w:r>
              <w:t xml:space="preserve"> </w:t>
            </w:r>
            <w:r>
              <w:rPr>
                <w:b/>
                <w:i/>
              </w:rPr>
              <w:t>припомня, че държавите членки са задължени да разяснят какво ще се постигне с осъществяването на реформи и инвестиции по отношение на социалната и икономическата устойчивост, включително Европейския стълб на социалните права, като част от общите приоритети на Съюза;</w:t>
            </w:r>
            <w:r>
              <w:t xml:space="preserve"> </w:t>
            </w:r>
            <w:r>
              <w:rPr>
                <w:b/>
                <w:i/>
              </w:rPr>
              <w:t>изразява задоволство от потвърждението на Комисията, че всички държави членки са докладвали в своите планове за политическите си намерения относно реформите и инвестициите за справяне с предизвикателствата, установени като част от европейския семестър, и общите приоритети на ЕС</w:t>
            </w:r>
            <w:r>
              <w:rPr>
                <w:b/>
                <w:i/>
                <w:vertAlign w:val="superscript"/>
              </w:rPr>
              <w:t>19б</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19б</w:t>
            </w:r>
            <w:r>
              <w:t xml:space="preserve"> </w:t>
            </w:r>
            <w:r>
              <w:rPr>
                <w:b/>
                <w:i/>
              </w:rPr>
              <w:t>Съобщението на Комисията „Европейски семестър за 2025 г.: привеждане в действие на новата рамка за икономическо управление“ (COM(2024) 705 final, стр.</w:t>
            </w:r>
            <w:r>
              <w:t xml:space="preserve"> </w:t>
            </w:r>
            <w:r>
              <w:rPr>
                <w:b/>
                <w:i/>
              </w:rPr>
              <w:t>4-5.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240</w:t>
      </w:r>
      <w:r>
        <w:rPr>
          <w:rStyle w:val="HideTWBExt"/>
        </w:rPr>
        <w:t>&lt;/NumAm&gt;</w:t>
      </w:r>
    </w:p>
    <w:p>
      <w:pPr>
        <w:pStyle w:val="NormalBold"/>
      </w:pPr>
      <w:r>
        <w:rPr>
          <w:rStyle w:val="HideTWBExt"/>
          <w:b w:val="0"/>
        </w:rPr>
        <w:t>&lt;RepeatBlock-By&gt;</w:t>
      </w:r>
      <w:r>
        <w:rPr>
          <w:rStyle w:val="HideTWBExt"/>
          <w:b w:val="0"/>
        </w:rPr>
        <w:t>&lt;Members&gt;</w:t>
      </w:r>
      <w:r>
        <w:t>Идоя Мендия Куева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9а.</w:t>
            </w:r>
            <w:r>
              <w:tab/>
            </w:r>
            <w:r>
              <w:rPr>
                <w:b/>
                <w:i/>
              </w:rPr>
              <w:t>призовава Комисията да наблюдава данните относно преструктурирането и неговото въздействие върху заетостта, например като използва Европейския наблюдател на преструктурирането, за да улесни мерките в подкрепа на преструктурирането и преходите на пазара на труда, и да обмисли възможността за изтъкване на националните мерки в подкрепа на социално отговорен начин на преструктуриране в рамките на европейския семестър;</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241</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9а.</w:t>
            </w:r>
            <w:r>
              <w:tab/>
            </w:r>
            <w:r>
              <w:rPr>
                <w:b/>
                <w:i/>
              </w:rPr>
              <w:t>признава значението на публичния надзор върху публично-частните партньорства, по-специално за справяне с разхищаването на публични средства и корупцията,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242</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9б.</w:t>
            </w:r>
            <w:r>
              <w:tab/>
            </w:r>
            <w:r>
              <w:rPr>
                <w:b/>
                <w:i/>
              </w:rPr>
              <w:t>приветства по-специално решението, взето за 5 държави членки, да удължат периода на фискална корекция от 4 на 7 години, за да се даде възможност за допълнителна гъвкавост за осъществяването на реформи и инвестиции;</w:t>
            </w:r>
            <w:r>
              <w:t xml:space="preserve"> </w:t>
            </w:r>
            <w:r>
              <w:rPr>
                <w:b/>
                <w:i/>
              </w:rPr>
              <w:t>припомня, че това удължаване се основава на ангажименти за допълнителен набор от реформи и инвестиции в съответствие с общите приоритети на ЕС, като например социалната устойчивост, и че всяка от реформите и инвестициите трябва да бъде достатъчно подробна, съсредоточена в началото на периода, обвързана със срокове и проверима;</w:t>
            </w:r>
            <w:r>
              <w:t xml:space="preserve"> </w:t>
            </w:r>
            <w:r>
              <w:rPr>
                <w:b/>
                <w:i/>
              </w:rPr>
              <w:t>приветства факта, че за няколко държави членки, за които периодът на фискална корекция беше удължен, реформите са свързани със социалната устойчивост, например с планове за пенсионна реформа, реформа на социалната сигурност или реформа на визовата система за работа и търсене на работа;</w:t>
            </w:r>
            <w:r>
              <w:t xml:space="preserve"> </w:t>
            </w:r>
            <w:r>
              <w:rPr>
                <w:b/>
                <w:i/>
              </w:rPr>
              <w:t>подчертава, че годишните доклади за напредъка от държавите членки следва да включват напредъка по тези реформи и инвестиции;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243</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9б.</w:t>
            </w:r>
            <w:r>
              <w:tab/>
            </w:r>
            <w:r>
              <w:rPr>
                <w:b/>
                <w:i/>
              </w:rPr>
              <w:t>подчертава, че публично-частните партньорства често са свързани с широко разпространени недостатъци и ограничени ползи, както се подчертава в доклад на Европейската сметна палата от 2018 г.</w:t>
            </w:r>
            <w:r>
              <w:rPr>
                <w:b/>
                <w:i/>
                <w:vertAlign w:val="superscript"/>
              </w:rPr>
              <w:t>5a</w:t>
            </w:r>
            <w:r>
              <w:rPr>
                <w:b/>
                <w:i/>
              </w:rPr>
              <w:t>;</w:t>
            </w:r>
            <w:r>
              <w:t xml:space="preserve"> </w:t>
            </w:r>
            <w:r>
              <w:rPr>
                <w:b/>
                <w:i/>
              </w:rPr>
              <w:t>подчертава, че подобни партньорства са свързани със значителна неефективност под формата на закъснения и значително увеличение на разходите и че разпределението на риска между публичните и частните партньори често е неподходящо, непоследователно и неефективно, докато високите ставки на възнаграждение за рисковия капитал на частния партньор рядко отразяват поетите рискове;</w:t>
            </w:r>
            <w:r>
              <w:t xml:space="preserve"> </w:t>
            </w:r>
            <w:r>
              <w:rPr>
                <w:b/>
                <w:i/>
              </w:rPr>
              <w:t>като минимум подчертава необходимостта от публичен надзор върху публично-частните партньорства, по-специално за справяне с разхищаването на публични средства и корупцията;</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5a</w:t>
            </w:r>
            <w:r>
              <w:t xml:space="preserve"> </w:t>
            </w:r>
            <w:r>
              <w:rPr>
                <w:b/>
                <w:i/>
              </w:rPr>
              <w:t>https://www.eca.europa.eu/Lists/ECADocuments/SR18_09/SR_PPP_BG.pdf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244</w:t>
      </w:r>
      <w:r>
        <w:rPr>
          <w:rStyle w:val="HideTWBExt"/>
        </w:rPr>
        <w:t>&lt;/NumAm&gt;</w:t>
      </w:r>
    </w:p>
    <w:p>
      <w:pPr>
        <w:pStyle w:val="NormalBold"/>
      </w:pPr>
      <w:r>
        <w:rPr>
          <w:rStyle w:val="HideTWBExt"/>
          <w:b w:val="0"/>
        </w:rPr>
        <w:t>&lt;RepeatBlock-By&gt;</w:t>
      </w:r>
      <w:r>
        <w:rPr>
          <w:rStyle w:val="HideTWBExt"/>
          <w:b w:val="0"/>
        </w:rPr>
        <w:t>&lt;Members&gt;</w:t>
      </w:r>
      <w:r>
        <w:t>Идоя Мендия Куева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9б.</w:t>
            </w:r>
            <w:r>
              <w:tab/>
            </w:r>
            <w:r>
              <w:rPr>
                <w:b/>
                <w:i/>
              </w:rPr>
              <w:t>призовава Европейската комисия да наблюдава развитието на минималните работни заплати в държавите членки след транспонирането на Директивата за минималната работна заплата, за да определи дали е постигната целта за „адекватност“ на минималните работни заплати;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245</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9в.</w:t>
            </w:r>
            <w:r>
              <w:tab/>
            </w:r>
            <w:r>
              <w:rPr>
                <w:b/>
                <w:i/>
              </w:rPr>
              <w:t>изразява загриженост, че спазването на специфичните за всяка държава препоръки продължава да бъде постоянно ниско;</w:t>
            </w:r>
            <w:r>
              <w:t xml:space="preserve"> </w:t>
            </w:r>
            <w:r>
              <w:rPr>
                <w:b/>
                <w:i/>
              </w:rPr>
              <w:t>призовава държавите членки, в рамките на новата рамка за икономическо управление и нейната цел за засилване на националната ангажираност, да отговорят по-добре на специфичните за всяка държава препоръки в областта на заетостта и социалните политики в рамките на европейския семестър;</w:t>
            </w:r>
            <w:r>
              <w:t xml:space="preserve"> </w:t>
            </w:r>
            <w:r>
              <w:rPr>
                <w:b/>
                <w:i/>
              </w:rPr>
              <w:t>призовава Комисията да засили диалога си с държавите членки относно изпълнението на съществуващите препоръки и на насоките за заетостта, както и относно настоящите или бъдещите политически действия за справяне с установените предизвикателства;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246</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9в.</w:t>
            </w:r>
            <w:r>
              <w:tab/>
            </w:r>
            <w:r>
              <w:rPr>
                <w:b/>
                <w:i/>
              </w:rPr>
              <w:t>отчита кризата, свързана с разходите за живот, която увеличи тежестта за домакинствата и нарастващите разходи за жилищно настаняване, допринасящи за високи равнища на енергийна бедност в целия ЕС.</w:t>
            </w:r>
            <w:r>
              <w:t xml:space="preserve"> </w:t>
            </w:r>
            <w:r>
              <w:rPr>
                <w:b/>
                <w:i/>
              </w:rPr>
              <w:t>Подчертава, че това е историческа криза, отчасти изострена от политиките на строги икономии, прилагани от ЕС и много държави членки.</w:t>
            </w:r>
            <w:r>
              <w:t xml:space="preserve"> </w:t>
            </w:r>
            <w:r>
              <w:rPr>
                <w:b/>
                <w:i/>
              </w:rPr>
              <w:t>Поради това призовава Комисията и държавите членки да приложат цялостен подход към първопричините за тази криза, като дадат приоритет на политиките, които насърчават икономическата устойчивост, социалното сближаване и устойчивото развитие.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247</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 г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9г.</w:t>
            </w:r>
            <w:r>
              <w:tab/>
            </w:r>
            <w:r>
              <w:rPr>
                <w:b/>
                <w:i/>
              </w:rPr>
              <w:t>приветства създаването на рамка за идентифициране на рисковете за социалната конвергенция в рамките на европейския семестър, за което Европейския парламент отправи настойчиво искане;</w:t>
            </w:r>
            <w:r>
              <w:t xml:space="preserve"> </w:t>
            </w:r>
            <w:r>
              <w:rPr>
                <w:b/>
                <w:i/>
              </w:rPr>
              <w:t>припомня, че съгласно тази рамка Комисията оценява рисковете за възходящата социална конвергенция в държавите членки и следи напредъка в прилагането на Европейския стълб на социалните права въз основа на набора от социални показатели и принципите на рамката за социална конвергенция;</w:t>
            </w:r>
            <w:r>
              <w:t xml:space="preserve"> </w:t>
            </w:r>
            <w:r>
              <w:rPr>
                <w:b/>
                <w:i/>
              </w:rPr>
              <w:t>приветства факта, че Съвместният доклад за заетостта за 2025 г. предоставя специфичен за всяка държава анализ въз основа на принципите на рамката за социална конвергенция;</w:t>
            </w:r>
            <w:r>
              <w:t xml:space="preserve"> </w:t>
            </w:r>
            <w:r>
              <w:rPr>
                <w:b/>
                <w:i/>
              </w:rPr>
              <w:t>призовава Комисията да продължи да разработва иновативни инструменти за количествен и качествен анализ съгласно тази нова рамка, за да я използва оптимално в бъдещите цикли на европейския семестър;</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248</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 д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9д.</w:t>
            </w:r>
            <w:r>
              <w:tab/>
            </w:r>
            <w:r>
              <w:rPr>
                <w:b/>
                <w:i/>
              </w:rPr>
              <w:t>приветства факта, че първият анализ, основан на принципите на рамката за социална конвергенция, сочи възходяща социална конвергенция на пазара на труда през 2023 г.</w:t>
            </w:r>
            <w:r>
              <w:rPr>
                <w:b/>
                <w:i/>
                <w:vertAlign w:val="superscript"/>
              </w:rPr>
              <w:t>1а</w:t>
            </w:r>
            <w:r>
              <w:rPr>
                <w:b/>
                <w:i/>
              </w:rPr>
              <w:t>;</w:t>
            </w:r>
            <w:r>
              <w:t xml:space="preserve"> </w:t>
            </w:r>
            <w:r>
              <w:rPr>
                <w:b/>
                <w:i/>
              </w:rPr>
              <w:t>отбелязва със загриженост, че все още е необходимо подобрение на резултатите в областта на заетостта на по-слабо представените групи и че на европейско равнище продължават да съществуват рискове за възходящата конвергенция по отношение на развитието на умения, вариращи от ранно образование до учене през целия живот, както и социалните резултати от дяла на изложените на риск от бедност или социално изключване;</w:t>
            </w:r>
            <w:r>
              <w:t xml:space="preserve"> </w:t>
            </w:r>
            <w:r>
              <w:rPr>
                <w:b/>
                <w:i/>
              </w:rPr>
              <w:t>призовава Комисията да анализира допълнително тези рискове за възходящата социална конвергенция на втория етап от анализа и да обсъди със съответните държави членки предприетите или предвидени мерки за справяне с тези рискове;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1а</w:t>
            </w:r>
            <w:r>
              <w:t xml:space="preserve"> </w:t>
            </w:r>
            <w:r>
              <w:rPr>
                <w:b/>
                <w:i/>
              </w:rPr>
              <w:t>СДЗ 2025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249</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изразява загриженост във връзка с преразглеждането от Комисията на таблицата с показатели за процедурата при макроикономически дисбаланси, и по-специално във връзка с намаляването на броя на показателите за заетостта и социалните показатели, които са от решаващо значение за оценяване на социалното положение в държавите членки;</w:t>
            </w:r>
          </w:p>
        </w:tc>
        <w:tc>
          <w:tcPr>
            <w:tcW w:w="4876" w:type="dxa"/>
            <w:tcBorders>
              <w:top w:val="nil"/>
              <w:left w:val="nil"/>
              <w:bottom w:val="nil"/>
              <w:right w:val="nil"/>
            </w:tcBorders>
          </w:tcPr>
          <w:p>
            <w:pPr>
              <w:pStyle w:val="Normal6a"/>
            </w:pPr>
            <w:r>
              <w:t>10.</w:t>
            </w:r>
            <w:r>
              <w:tab/>
            </w:r>
            <w:r>
              <w:t xml:space="preserve">изразява загриженост във връзка с преразглеждането от Комисията на таблицата с показатели за процедурата при макроикономически дисбаланси, и по-специално във връзка с намаляването на броя на показателите за заетостта и социалните показатели, които са от решаващо значение за оценяване на социалното положение </w:t>
            </w:r>
            <w:r>
              <w:rPr>
                <w:b/>
                <w:i/>
              </w:rPr>
              <w:t>и положението на пазара на труда</w:t>
            </w:r>
            <w:r>
              <w:t xml:space="preserve"> в държавите членки; </w:t>
            </w:r>
            <w:r>
              <w:rPr>
                <w:b/>
                <w:i/>
              </w:rPr>
              <w:t>изразява съжаление по-специално, че в рамките на блока, обхващащ заетостта и социалните показатели, равнището на младежката безработица се понижава от водещ към спомагателен показател въпреки тревожното положение в няколко държави членки;</w:t>
            </w:r>
            <w:r>
              <w:t xml:space="preserve"> </w:t>
            </w:r>
            <w:r>
              <w:rPr>
                <w:b/>
                <w:i/>
              </w:rPr>
              <w:t>припомня на Комисията нейното задължение да си сътрудничи тясно с Европейския парламент и със Съвета при изготвянето на набора от показатели и набора от макроикономически и макрофинансови показатели за държавите-членки</w:t>
            </w:r>
            <w:r>
              <w:rPr>
                <w:b/>
                <w:i/>
                <w:vertAlign w:val="superscript"/>
              </w:rPr>
              <w:t>20а</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20а</w:t>
            </w:r>
            <w:r>
              <w:t xml:space="preserve"> </w:t>
            </w:r>
            <w:r>
              <w:rPr>
                <w:b/>
                <w:i/>
              </w:rPr>
              <w:t>Регламент (ЕС) № 1176/2011 относно предотвратяването и коригирането на макроикономическите рис баланси, съображение 12.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250</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изразява загриженост във връзка с преразглеждането от Комисията на таблицата с показатели за процедурата при макроикономически дисбаланси, и по-специално във връзка с намаляването на броя на показателите за заетостта и социалните показатели, които са от решаващо значение за оценяване на социалното положение в държавите членки;</w:t>
            </w:r>
          </w:p>
        </w:tc>
        <w:tc>
          <w:tcPr>
            <w:tcW w:w="4876" w:type="dxa"/>
            <w:tcBorders>
              <w:top w:val="nil"/>
              <w:left w:val="nil"/>
              <w:bottom w:val="nil"/>
              <w:right w:val="nil"/>
            </w:tcBorders>
          </w:tcPr>
          <w:p>
            <w:pPr>
              <w:pStyle w:val="Normal6a"/>
            </w:pPr>
            <w:r>
              <w:t>10.</w:t>
            </w:r>
            <w:r>
              <w:tab/>
            </w:r>
            <w:r>
              <w:t xml:space="preserve">изразява загриженост във връзка с преразглеждането от Комисията на таблицата с показатели за процедурата при макроикономически дисбаланси, и по-специално във връзка с намаляването на броя на показателите за заетостта и социалните показатели, които са от решаващо значение за оценяване на социалното положение в държавите членки; </w:t>
            </w:r>
            <w:r>
              <w:rPr>
                <w:b/>
                <w:i/>
              </w:rPr>
              <w:t>изразява съжаление, че равнището на дългосрочната безработица и младежката безработица вече не се считат за водещи показатели, въпреки че са от значение за установяването и справянето с конкретни предизвикателства на пазара на труда и за приемането на подходящи публични политики;</w:t>
            </w:r>
            <w:r>
              <w:t xml:space="preserve"> </w:t>
            </w:r>
            <w:r>
              <w:rPr>
                <w:b/>
                <w:i/>
              </w:rPr>
              <w:t>изразява съжаление относно липсата на симетрия на показателя за излишък на текущия баланс в таблицата с показатели за ПМД;</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251</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изразява загриженост във връзка с преразглеждането от Комисията на таблицата с показатели за процедурата при макроикономически дисбаланси, и по-специално във връзка с намаляването на броя на показателите за заетостта и социалните показатели, които са от решаващо значение за оценяване на социалното положение в държавите членки;</w:t>
            </w:r>
          </w:p>
        </w:tc>
        <w:tc>
          <w:tcPr>
            <w:tcW w:w="4876" w:type="dxa"/>
            <w:tcBorders>
              <w:top w:val="nil"/>
              <w:left w:val="nil"/>
              <w:bottom w:val="nil"/>
              <w:right w:val="nil"/>
            </w:tcBorders>
          </w:tcPr>
          <w:p>
            <w:pPr>
              <w:pStyle w:val="Normal6a"/>
            </w:pPr>
            <w:r>
              <w:t>10.</w:t>
            </w:r>
            <w:r>
              <w:tab/>
            </w:r>
            <w:r>
              <w:t xml:space="preserve">изразява загриженост във връзка с преразглеждането от Комисията на таблицата с показатели за процедурата при макроикономически дисбаланси, и по-специално във връзка с намаляването на броя на показателите за заетостта и социалните показатели, които са от решаващо значение за оценяване на социалното положение в държавите членки </w:t>
            </w:r>
            <w:r>
              <w:rPr>
                <w:b/>
                <w:i/>
              </w:rPr>
              <w:t>и за насочване на политическите решения;</w:t>
            </w:r>
            <w:r>
              <w:t xml:space="preserve"> </w:t>
            </w:r>
            <w:r>
              <w:rPr>
                <w:b/>
                <w:i/>
              </w:rPr>
              <w:t>подчертава, че социалната устойчивост и прилагането на принципите на ЕССП следва да бъдат част от набора от показатели за таблицата с показатели за ПМД;</w:t>
            </w:r>
            <w:r>
              <w:t xml:space="preserve"> </w:t>
            </w:r>
            <w:r>
              <w:rPr>
                <w:b/>
                <w:i/>
              </w:rPr>
              <w:t>призовава държавите членки да приведат фискалните политики в съответствие с приоритетите за социални инвестиции съгласно новата рамка за икономическо управление</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252</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изразява загриженост във връзка с преразглеждането от Комисията на таблицата с показатели за процедурата при макроикономически дисбаланси, и по-специално във връзка с намаляването на броя на показателите за заетостта и социалните показатели, които са от решаващо значение за оценяване на социалното положение в държавите членки;</w:t>
            </w:r>
          </w:p>
        </w:tc>
        <w:tc>
          <w:tcPr>
            <w:tcW w:w="4876" w:type="dxa"/>
            <w:tcBorders>
              <w:top w:val="nil"/>
              <w:left w:val="nil"/>
              <w:bottom w:val="nil"/>
              <w:right w:val="nil"/>
            </w:tcBorders>
          </w:tcPr>
          <w:p>
            <w:pPr>
              <w:pStyle w:val="Normal6a"/>
            </w:pPr>
            <w:r>
              <w:t>10.</w:t>
            </w:r>
            <w:r>
              <w:tab/>
            </w:r>
            <w:r>
              <w:t xml:space="preserve">изразява загриженост във връзка с преразглеждането от Комисията на таблицата с показатели за процедурата при макроикономически дисбаланси, и по-специално във връзка с намаляването на броя на показателите за заетостта и социалните показатели, които са от решаващо значение за оценяване на социалното положение в държавите членки; </w:t>
            </w:r>
            <w:r>
              <w:rPr>
                <w:b/>
                <w:i/>
              </w:rPr>
              <w:t>подчертава, че жизненият стандарт следва да бъде приравнен на традиционните икономически показатели в процеса на вземане на решения.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253</w:t>
      </w:r>
      <w:r>
        <w:rPr>
          <w:rStyle w:val="HideTWBExt"/>
        </w:rPr>
        <w:t>&lt;/NumAm&gt;</w:t>
      </w:r>
    </w:p>
    <w:p>
      <w:pPr>
        <w:pStyle w:val="NormalBold"/>
      </w:pPr>
      <w:r>
        <w:rPr>
          <w:rStyle w:val="HideTWBExt"/>
          <w:b w:val="0"/>
        </w:rPr>
        <w:t>&lt;RepeatBlock-By&gt;</w:t>
      </w:r>
      <w:r>
        <w:rPr>
          <w:rStyle w:val="HideTWBExt"/>
          <w:b w:val="0"/>
        </w:rPr>
        <w:t>&lt;Members&gt;</w:t>
      </w:r>
      <w:r>
        <w:t>Бранислав Ондруш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изразява загриженост във връзка с преразглеждането от Комисията на таблицата с показатели за процедурата при макроикономически дисбаланси, и по-специално във връзка с намаляването на броя на показателите за заетостта и социалните показатели, които са от решаващо значение за оценяване на социалното положение в държавите членки;</w:t>
            </w:r>
          </w:p>
        </w:tc>
        <w:tc>
          <w:tcPr>
            <w:tcW w:w="4876" w:type="dxa"/>
            <w:tcBorders>
              <w:top w:val="nil"/>
              <w:left w:val="nil"/>
              <w:bottom w:val="nil"/>
              <w:right w:val="nil"/>
            </w:tcBorders>
          </w:tcPr>
          <w:p>
            <w:pPr>
              <w:pStyle w:val="Normal6a"/>
            </w:pPr>
            <w:r>
              <w:t>10.</w:t>
            </w:r>
            <w:r>
              <w:tab/>
            </w:r>
            <w:r>
              <w:t xml:space="preserve">изразява загриженост във връзка с преразглеждането от Комисията на таблицата с показатели за процедурата при макроикономически дисбаланси, и по-специално във връзка с намаляването на броя на показателите за заетостта и социалните показатели, които са от решаващо значение за оценяване </w:t>
            </w:r>
            <w:r>
              <w:rPr>
                <w:b/>
                <w:i/>
              </w:rPr>
              <w:t>и подобряване</w:t>
            </w:r>
            <w:r>
              <w:t xml:space="preserve"> на социалното положение в държавите членки;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254</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rPr>
                <w:b/>
                <w:i/>
              </w:rPr>
              <w:t>изразява загриженост във връзка с</w:t>
            </w:r>
            <w:r>
              <w:t xml:space="preserve"> преразглеждането от Комисията на таблицата с показатели за процедурата при макроикономически дисбаланси, и по-специално във връзка с намаляването на броя на показателите за заетостта и социалните показатели, които са от решаващо значение за оценяване на социалното положение в държавите членки;</w:t>
            </w:r>
          </w:p>
        </w:tc>
        <w:tc>
          <w:tcPr>
            <w:tcW w:w="4876" w:type="dxa"/>
            <w:tcBorders>
              <w:top w:val="nil"/>
              <w:left w:val="nil"/>
              <w:bottom w:val="nil"/>
              <w:right w:val="nil"/>
            </w:tcBorders>
          </w:tcPr>
          <w:p>
            <w:pPr>
              <w:pStyle w:val="Normal6a"/>
            </w:pPr>
            <w:r>
              <w:t>10.</w:t>
            </w:r>
            <w:r>
              <w:tab/>
            </w:r>
            <w:r>
              <w:rPr>
                <w:b/>
                <w:i/>
              </w:rPr>
              <w:t>отбелязва</w:t>
            </w:r>
            <w:r>
              <w:t xml:space="preserve"> преразглеждането от Комисията на таблицата с показатели за процедурата при макроикономически дисбаланси, и по-специално във връзка с намаляването на броя на показателите за заетостта и социалните показатели, които са от решаващо значение за оценяване на социалното положение в държавите членки;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255</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10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10а.</w:t>
            </w:r>
            <w:r>
              <w:tab/>
            </w:r>
            <w:r>
              <w:rPr>
                <w:b/>
                <w:i/>
              </w:rPr>
              <w:t>счита, че при липсата на финансиран от ЕС стабилизатор на разходите за социални инвестиции и социални разходи и текущата фискална консолидация на националните бюджети ще навредят на социалните цели на икономическото управление, а именно създаването на качествени работни места, защитата на работниците, участващи в трудови преходи, и адаптирането на системите за социално подпомагане и социална закрила към демографските тенденции.</w:t>
            </w:r>
            <w:r>
              <w:t xml:space="preserve"> </w:t>
            </w:r>
            <w:r>
              <w:rPr>
                <w:b/>
                <w:i/>
              </w:rPr>
              <w:t>Счита, че териториалното и социалното сближаване са основни компоненти на програмата за конкурентоспособност и че механизми като Европейския инструмент за временна подкрепа с цел смекчаване на рисковете от безработица при извънредни обстоятелства (SURE) продължават да бъдат положителен пример за вдъхновяване на бъдещи инициативи на ЕС;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256</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10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10а.</w:t>
            </w:r>
            <w:r>
              <w:tab/>
            </w:r>
            <w:r>
              <w:rPr>
                <w:b/>
                <w:i/>
              </w:rPr>
              <w:t>счита, че Европейската комисия и държавите членки следва да гарантират, че фискалните политики в рамките на европейския семестър подкрепят инвестициите, съгласувани с ЕССП, особено в области като достойното и достъпно жилищно настаняване, качественото здравеопазване, образованието и системите за социална закрила, тъй като те са от решаващо значение за социалното сближаване и дългосрочната икономическа устойчивост и за справяне с предизвикателствата, установени чрез социални показатели;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257</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10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10б.</w:t>
            </w:r>
            <w:r>
              <w:tab/>
            </w:r>
            <w:r>
              <w:rPr>
                <w:b/>
                <w:i/>
              </w:rPr>
              <w:t>изразява съжаление, че Европейската комисия не се е консултирала с Европейския парламент по отношение на планираните от нея промени в таблицата с показатели за ПМД, при положение, че тези промени са били обсъдени със Съвета;</w:t>
            </w:r>
            <w:r>
              <w:t xml:space="preserve"> </w:t>
            </w:r>
            <w:r>
              <w:rPr>
                <w:b/>
                <w:i/>
              </w:rPr>
              <w:t>изразява дълбоко съжаление, че Съветът и Европейският парламент не са третирани равнопоставено;</w:t>
            </w:r>
            <w:r>
              <w:t xml:space="preserve"> </w:t>
            </w:r>
            <w:r>
              <w:rPr>
                <w:b/>
                <w:i/>
              </w:rPr>
              <w:t>настоятелно призовава Комисията да се консултира надлежно с Европейския парламент, преди да въведе последващи промени;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258</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{Greens/EFA}</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подчертава необходимостта да се вземат мерки във връзка с основните предизвикателства, определени в таблицата със социални показатели като „критични“ и „подлежащи на наблюдение“, включително грижите за децата, разликата в заетостта между хората с увреждания и хората без увреждания, въздействието на социалните трансфери върху намаляването на бедността и основните цифрови умения</w:t>
            </w:r>
            <w:r>
              <w:rPr>
                <w:vertAlign w:val="superscript"/>
              </w:rPr>
              <w:t>3</w:t>
            </w:r>
            <w:r>
              <w:t>;</w:t>
            </w:r>
          </w:p>
        </w:tc>
        <w:tc>
          <w:tcPr>
            <w:tcW w:w="4876" w:type="dxa"/>
            <w:tcBorders>
              <w:top w:val="nil"/>
              <w:left w:val="nil"/>
              <w:bottom w:val="nil"/>
              <w:right w:val="nil"/>
            </w:tcBorders>
          </w:tcPr>
          <w:p>
            <w:pPr>
              <w:pStyle w:val="Normal6a"/>
            </w:pPr>
            <w:r>
              <w:t>11.</w:t>
            </w:r>
            <w:r>
              <w:tab/>
            </w:r>
            <w:r>
              <w:t>подчертава необходимостта да се вземат мерки във връзка с основните предизвикателства, определени в таблицата със социални показатели като „критични“ и „подлежащи на наблюдение“, включително грижите за децата, разликата в заетостта между хората с увреждания и хората без увреждания, въздействието на социалните трансфери върху намаляването на бедността и основните цифрови умения</w:t>
            </w:r>
            <w:r>
              <w:rPr>
                <w:vertAlign w:val="superscript"/>
              </w:rPr>
              <w:t>3</w:t>
            </w:r>
            <w:r>
              <w:t xml:space="preserve">; </w:t>
            </w:r>
            <w:r>
              <w:rPr>
                <w:b/>
                <w:i/>
              </w:rPr>
              <w:t>тези предизвикателства трябва да бъдат преодолени по начин, оценяващ приноса на социалните партньори, чието участие в прилагането на рамката за социално сближаване трябва да бъде засилено в съответствие със съвместното изявление на ETUC, SGIEurope и SMEUnited за фактическо и материално участие на социалните партньори в икономическото управление и европейския семестър;</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Предложение за съвместен доклад за заетостта от Комисията и Съвета (COM(2023)0904).</w:t>
            </w:r>
          </w:p>
        </w:tc>
        <w:tc>
          <w:tcPr>
            <w:tcW w:w="4876" w:type="dxa"/>
            <w:tcBorders>
              <w:top w:val="nil"/>
              <w:left w:val="nil"/>
              <w:bottom w:val="nil"/>
              <w:right w:val="nil"/>
            </w:tcBorders>
          </w:tcPr>
          <w:p>
            <w:pPr>
              <w:pStyle w:val="Normal6a"/>
            </w:pPr>
            <w:r>
              <w:rPr>
                <w:vertAlign w:val="superscript"/>
              </w:rPr>
              <w:t>3</w:t>
            </w:r>
            <w:r>
              <w:t xml:space="preserve"> </w:t>
            </w:r>
            <w:r>
              <w:t>Предложение за съвместен доклад за заетостта от Комисията и Съвета (COM(2023)0904).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259</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подчертава необходимостта да се вземат мерки във връзка с основните предизвикателства, определени в таблицата със социални показатели като „критични“ и „подлежащи на наблюдение“, включително грижите за децата, разликата в заетостта между хората с увреждания и хората без увреждания, въздействието на социалните трансфери върху намаляването на бедността и основните цифрови умения</w:t>
            </w:r>
            <w:r>
              <w:rPr>
                <w:vertAlign w:val="superscript"/>
              </w:rPr>
              <w:t>3</w:t>
            </w:r>
            <w:r>
              <w:t>;</w:t>
            </w:r>
          </w:p>
        </w:tc>
        <w:tc>
          <w:tcPr>
            <w:tcW w:w="4876" w:type="dxa"/>
            <w:tcBorders>
              <w:top w:val="nil"/>
              <w:left w:val="nil"/>
              <w:bottom w:val="nil"/>
              <w:right w:val="nil"/>
            </w:tcBorders>
          </w:tcPr>
          <w:p>
            <w:pPr>
              <w:pStyle w:val="Normal6a"/>
            </w:pPr>
            <w:r>
              <w:t>11.</w:t>
            </w:r>
            <w:r>
              <w:tab/>
            </w:r>
            <w:r>
              <w:t xml:space="preserve">подчертава необходимостта да се вземат мерки във връзка с основните предизвикателства, определени в таблицата със социални показатели като „критични“ и „подлежащи на наблюдение“, включително грижите за децата </w:t>
            </w:r>
            <w:r>
              <w:rPr>
                <w:b/>
                <w:i/>
              </w:rPr>
              <w:t>и дългосрочните грижи</w:t>
            </w:r>
            <w:r>
              <w:t>, разликата в заетостта между хората с увреждания и хората без увреждания, въздействието на социалните трансфери върху намаляването на бедността и основните цифрови умения</w:t>
            </w:r>
            <w:r>
              <w:rPr>
                <w:vertAlign w:val="superscript"/>
              </w:rPr>
              <w:t>3</w:t>
            </w:r>
            <w:r>
              <w:rPr>
                <w:b/>
                <w:i/>
              </w:rPr>
              <w:t>, особено за уязвимите групи като младите и възрастните хора, хората с увреждания и мигрантите</w:t>
            </w:r>
            <w:r>
              <w:rPr>
                <w:b/>
                <w:i/>
                <w:vertAlign w:val="superscript"/>
              </w:rPr>
              <w:t>5a</w:t>
            </w:r>
            <w:r>
              <w:rPr>
                <w:b/>
                <w:i/>
              </w:rPr>
              <w:t>, достъпа до жилищно настаняване, детската бедност и достъпа до здравеопазване</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Предложение за съвместен доклад за заетостта от Комисията и Съвета (COM(2023)0904).</w:t>
            </w:r>
          </w:p>
        </w:tc>
        <w:tc>
          <w:tcPr>
            <w:tcW w:w="4876" w:type="dxa"/>
            <w:tcBorders>
              <w:top w:val="nil"/>
              <w:left w:val="nil"/>
              <w:bottom w:val="nil"/>
              <w:right w:val="nil"/>
            </w:tcBorders>
          </w:tcPr>
          <w:p>
            <w:pPr>
              <w:pStyle w:val="Normal6a"/>
            </w:pPr>
            <w:r>
              <w:rPr>
                <w:vertAlign w:val="superscript"/>
              </w:rPr>
              <w:t>3</w:t>
            </w:r>
            <w:r>
              <w:t xml:space="preserve"> </w:t>
            </w:r>
            <w:r>
              <w:t>Предложение за съвместен доклад за заетостта от Комисията и Съвета (COM(2023)0904).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5a</w:t>
            </w:r>
            <w:r>
              <w:t xml:space="preserve"> </w:t>
            </w:r>
            <w:r>
              <w:rPr>
                <w:b/>
                <w:i/>
              </w:rPr>
              <w:t>Предложение за съвместен доклад за заетостта от Комисията и Съвета (COM(2023)0904).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260</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подчертава необходимостта да се вземат мерки във връзка с основните предизвикателства, определени в таблицата със социални показатели като „критични“ и „подлежащи на наблюдение“, включително грижите за децата, разликата в заетостта между хората с увреждания и хората без увреждания, въздействието на социалните трансфери върху намаляването на бедността и основните цифрови умения</w:t>
            </w:r>
            <w:r>
              <w:rPr>
                <w:vertAlign w:val="superscript"/>
              </w:rPr>
              <w:t>3</w:t>
            </w:r>
            <w:r>
              <w:t>;</w:t>
            </w:r>
          </w:p>
        </w:tc>
        <w:tc>
          <w:tcPr>
            <w:tcW w:w="4876" w:type="dxa"/>
            <w:tcBorders>
              <w:top w:val="nil"/>
              <w:left w:val="nil"/>
              <w:bottom w:val="nil"/>
              <w:right w:val="nil"/>
            </w:tcBorders>
          </w:tcPr>
          <w:p>
            <w:pPr>
              <w:pStyle w:val="Normal6a"/>
            </w:pPr>
            <w:r>
              <w:t>11.</w:t>
            </w:r>
            <w:r>
              <w:tab/>
            </w:r>
            <w:r>
              <w:t xml:space="preserve">подчертава необходимостта да се вземат мерки във връзка с основните предизвикателства, определени в таблицата със социални показатели като „критични“ и „подлежащи на наблюдение“, включително </w:t>
            </w:r>
            <w:r>
              <w:rPr>
                <w:b/>
                <w:i/>
              </w:rPr>
              <w:t>децата, изложени на риск от бедност или социално изключване,</w:t>
            </w:r>
            <w:r>
              <w:t xml:space="preserve"> грижите за децата, разликата в заетостта между хората с увреждания и хората без увреждания</w:t>
            </w:r>
            <w:r>
              <w:rPr>
                <w:b/>
                <w:i/>
              </w:rPr>
              <w:t>, разликата в заетостта между половете, прекомерните жилищни разходи</w:t>
            </w:r>
            <w:r>
              <w:t>, въздействието на социалните трансфери върху намаляването на бедността и основните цифрови умения</w:t>
            </w:r>
            <w:r>
              <w:rPr>
                <w:vertAlign w:val="superscript"/>
              </w:rPr>
              <w:t>3</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Предложение за съвместен доклад за заетостта от Комисията и Съвета (COM(2023)0904).</w:t>
            </w:r>
          </w:p>
        </w:tc>
        <w:tc>
          <w:tcPr>
            <w:tcW w:w="4876" w:type="dxa"/>
            <w:tcBorders>
              <w:top w:val="nil"/>
              <w:left w:val="nil"/>
              <w:bottom w:val="nil"/>
              <w:right w:val="nil"/>
            </w:tcBorders>
          </w:tcPr>
          <w:p>
            <w:pPr>
              <w:pStyle w:val="Normal6a"/>
            </w:pPr>
            <w:r>
              <w:rPr>
                <w:vertAlign w:val="superscript"/>
              </w:rPr>
              <w:t>3</w:t>
            </w:r>
            <w:r>
              <w:t xml:space="preserve"> </w:t>
            </w:r>
            <w:r>
              <w:t>Предложение за съвместен доклад за заетостта от Комисията и Съвета (COM(2023)0904).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261</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rPr>
                <w:b/>
                <w:i/>
              </w:rPr>
              <w:t>подчертава необходимостта да се</w:t>
            </w:r>
            <w:r>
              <w:t xml:space="preserve"> вземат мерки </w:t>
            </w:r>
            <w:r>
              <w:rPr>
                <w:b/>
                <w:i/>
              </w:rPr>
              <w:t>във връзка с основните предизвикателства, определени в таблицата със социални показатели като „критични“ и „подлежащи на наблюдение“, включително грижите за децата,</w:t>
            </w:r>
            <w:r>
              <w:t xml:space="preserve"> разликата в заетостта между хората с увреждания и хората без увреждания</w:t>
            </w:r>
            <w:r>
              <w:rPr>
                <w:b/>
                <w:i/>
              </w:rPr>
              <w:t>, въздействието на социалните трансфери върху намаляването на бедността и</w:t>
            </w:r>
            <w:r>
              <w:t xml:space="preserve"> основните цифрови умения</w:t>
            </w:r>
            <w:r>
              <w:rPr>
                <w:vertAlign w:val="superscript"/>
              </w:rPr>
              <w:t>3</w:t>
            </w:r>
            <w:r>
              <w:t>;</w:t>
            </w:r>
          </w:p>
        </w:tc>
        <w:tc>
          <w:tcPr>
            <w:tcW w:w="4876" w:type="dxa"/>
            <w:tcBorders>
              <w:top w:val="nil"/>
              <w:left w:val="nil"/>
              <w:bottom w:val="nil"/>
              <w:right w:val="nil"/>
            </w:tcBorders>
          </w:tcPr>
          <w:p>
            <w:pPr>
              <w:pStyle w:val="Normal6a"/>
            </w:pPr>
            <w:r>
              <w:t>11.</w:t>
            </w:r>
            <w:r>
              <w:tab/>
            </w:r>
            <w:r>
              <w:rPr>
                <w:b/>
                <w:i/>
              </w:rPr>
              <w:t>призовава държавите членки да</w:t>
            </w:r>
            <w:r>
              <w:t xml:space="preserve"> вземат </w:t>
            </w:r>
            <w:r>
              <w:rPr>
                <w:b/>
                <w:i/>
              </w:rPr>
              <w:t>допълнителни</w:t>
            </w:r>
            <w:r>
              <w:t xml:space="preserve"> мерки </w:t>
            </w:r>
            <w:r>
              <w:rPr>
                <w:b/>
                <w:i/>
              </w:rPr>
              <w:t>за предоставяне на грижи за деца в ранна детска възраст, за намаляване на</w:t>
            </w:r>
            <w:r>
              <w:t xml:space="preserve"> разликата в заетостта </w:t>
            </w:r>
            <w:r>
              <w:rPr>
                <w:b/>
                <w:i/>
              </w:rPr>
              <w:t>и бедността</w:t>
            </w:r>
            <w:r>
              <w:t xml:space="preserve"> между хората с увреждания и хората без увреждания </w:t>
            </w:r>
            <w:r>
              <w:rPr>
                <w:b/>
                <w:i/>
              </w:rPr>
              <w:t>и за насърчаване на</w:t>
            </w:r>
            <w:r>
              <w:t xml:space="preserve"> основните цифрови умения</w:t>
            </w:r>
            <w:r>
              <w:rPr>
                <w:vertAlign w:val="superscript"/>
              </w:rPr>
              <w:t>3</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Предложение за съвместен доклад за заетостта от Комисията и Съвета (COM(2023)0904).</w:t>
            </w:r>
          </w:p>
        </w:tc>
        <w:tc>
          <w:tcPr>
            <w:tcW w:w="4876" w:type="dxa"/>
            <w:tcBorders>
              <w:top w:val="nil"/>
              <w:left w:val="nil"/>
              <w:bottom w:val="nil"/>
              <w:right w:val="nil"/>
            </w:tcBorders>
          </w:tcPr>
          <w:p>
            <w:pPr>
              <w:pStyle w:val="Normal6a"/>
            </w:pPr>
            <w:r>
              <w:rPr>
                <w:vertAlign w:val="superscript"/>
              </w:rPr>
              <w:t>3</w:t>
            </w:r>
            <w:r>
              <w:t xml:space="preserve"> </w:t>
            </w:r>
            <w:r>
              <w:t>Предложение за съвместен доклад за заетостта от Комисията и Съвета (COM(2023)0904).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262</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11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11а.</w:t>
            </w:r>
            <w:r>
              <w:tab/>
            </w:r>
            <w:r>
              <w:rPr>
                <w:b/>
                <w:i/>
              </w:rPr>
              <w:t>подчертава отрицателното въздействие, което кризата, свързана с разходите за живот, оказа върху хората с увреждания;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263</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11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11б.</w:t>
            </w:r>
            <w:r>
              <w:tab/>
            </w:r>
            <w:r>
              <w:rPr>
                <w:b/>
                <w:i/>
              </w:rPr>
              <w:t>призовава държавите членки и Комисията да бъдат по-активни в борбата с бедността;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264</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11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11в.</w:t>
            </w:r>
            <w:r>
              <w:tab/>
            </w:r>
            <w:r>
              <w:rPr>
                <w:b/>
                <w:i/>
              </w:rPr>
              <w:t>призовава държавите членки да вземат мерки по отношение на проблемите, пред които са изправени работещите бедни; признава, че значителна част от работната сила в ЕС живее в бедност, въпреки че е наета на работа.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265</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11 г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11г.</w:t>
            </w:r>
            <w:r>
              <w:tab/>
            </w:r>
            <w:r>
              <w:rPr>
                <w:b/>
                <w:i/>
              </w:rPr>
              <w:t>настоятелно призовава държавите членки да обмислят стабилни политики, които да гарантират справедливо заплащане и да подобрят условията на труд, особено за работниците с ниски доходи и работниците с несигурни условия на труд.</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266</w:t>
      </w:r>
      <w:r>
        <w:rPr>
          <w:rStyle w:val="HideTWBExt"/>
        </w:rPr>
        <w:t>&lt;/NumAm&gt;</w:t>
      </w:r>
    </w:p>
    <w:p>
      <w:pPr>
        <w:pStyle w:val="NormalBold"/>
      </w:pPr>
      <w:r>
        <w:rPr>
          <w:rStyle w:val="HideTWBExt"/>
          <w:b w:val="0"/>
        </w:rPr>
        <w:t>&lt;RepeatBlock-By&gt;</w:t>
      </w:r>
      <w:r>
        <w:rPr>
          <w:rStyle w:val="HideTWBExt"/>
          <w:b w:val="0"/>
        </w:rPr>
        <w:t>&lt;Members&gt;</w:t>
      </w:r>
      <w:r>
        <w:t>Катлийн Фъншиън, Лейла Шайби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11 д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11д.</w:t>
            </w:r>
            <w:r>
              <w:tab/>
            </w:r>
            <w:r>
              <w:rPr>
                <w:b/>
                <w:i/>
              </w:rPr>
              <w:t>призовава държавите членки да укрепят мрежите за социална сигурност, за да предоставят подходяща подкрепа на онези, чиито доходи от заетост са недостатъчни за покриване на основните разходи за живот.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267</w:t>
      </w:r>
      <w:r>
        <w:rPr>
          <w:rStyle w:val="HideTWBExt"/>
        </w:rPr>
        <w:t>&lt;/NumAm&gt;</w:t>
      </w:r>
    </w:p>
    <w:p>
      <w:pPr>
        <w:pStyle w:val="NormalBold"/>
      </w:pPr>
      <w:r>
        <w:rPr>
          <w:rStyle w:val="HideTWBExt"/>
          <w:b w:val="0"/>
        </w:rPr>
        <w:t>&lt;RepeatBlock-By&gt;</w:t>
      </w:r>
      <w:r>
        <w:rPr>
          <w:rStyle w:val="HideTWBExt"/>
          <w:b w:val="0"/>
        </w:rPr>
        <w:t>&lt;Members&gt;</w:t>
      </w:r>
      <w:r>
        <w:t>Пал Секереш, Мелани Дидие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призовава </w:t>
            </w:r>
            <w:r>
              <w:rPr>
                <w:b/>
                <w:i/>
              </w:rPr>
              <w:t>да бъде подобрен наборът от социални показатели, като се въведат показатели, отразяващи тенденциите при неравенството и причините за него, например качествена заетост, разпределение на богатството, достъп до обществени услуги,</w:t>
            </w:r>
            <w:r>
              <w:t xml:space="preserve"> адекватни пенсии, </w:t>
            </w:r>
            <w:r>
              <w:rPr>
                <w:b/>
                <w:i/>
              </w:rPr>
              <w:t>психично</w:t>
            </w:r>
            <w:r>
              <w:t xml:space="preserve"> здраве </w:t>
            </w:r>
            <w:r>
              <w:rPr>
                <w:b/>
                <w:i/>
              </w:rPr>
              <w:t>и безработица</w:t>
            </w:r>
            <w:r>
              <w:t>; припомня, че показателят за изложеност на риск от бедност или социално изключване не разкрива причините за комплексното неравенство;</w:t>
            </w:r>
          </w:p>
        </w:tc>
        <w:tc>
          <w:tcPr>
            <w:tcW w:w="4876" w:type="dxa"/>
            <w:tcBorders>
              <w:top w:val="nil"/>
              <w:left w:val="nil"/>
              <w:bottom w:val="nil"/>
              <w:right w:val="nil"/>
            </w:tcBorders>
          </w:tcPr>
          <w:p>
            <w:pPr>
              <w:pStyle w:val="Normal6a"/>
            </w:pPr>
            <w:r>
              <w:t>12.</w:t>
            </w:r>
            <w:r>
              <w:tab/>
            </w:r>
            <w:r>
              <w:rPr>
                <w:b/>
                <w:i/>
              </w:rPr>
              <w:t>настоятелно</w:t>
            </w:r>
            <w:r>
              <w:t xml:space="preserve"> призовава </w:t>
            </w:r>
            <w:r>
              <w:rPr>
                <w:b/>
                <w:i/>
              </w:rPr>
              <w:t>държавите членки да насърчават възходящата социална конвергенция, да подобрят достъпа до качествена заетост и качествени обществени услуги, да увеличат допълнително участието на децата на възраст под 3 години в официалните грижи за деца, особено за уязвимите групи;</w:t>
            </w:r>
            <w:r>
              <w:t xml:space="preserve"> </w:t>
            </w:r>
            <w:r>
              <w:rPr>
                <w:b/>
                <w:i/>
              </w:rPr>
              <w:t>да вземат активни мерки за намаляване на преждевременното напускане на училище и младежката безработица, да гарантират</w:t>
            </w:r>
            <w:r>
              <w:t xml:space="preserve"> адекватни пенсии, </w:t>
            </w:r>
            <w:r>
              <w:rPr>
                <w:b/>
                <w:i/>
              </w:rPr>
              <w:t>да повишат ефективността на социалните трансфери, да насърчават психичното</w:t>
            </w:r>
            <w:r>
              <w:t xml:space="preserve"> здраве </w:t>
            </w:r>
            <w:r>
              <w:rPr>
                <w:b/>
                <w:i/>
              </w:rPr>
              <w:t>във всички възрастови групи</w:t>
            </w:r>
            <w:r>
              <w:t>; припомня, че показателят за изложеност на риск от бедност или социално изключване не разкрива причините за комплексното неравенство</w:t>
            </w:r>
            <w:r>
              <w:rPr>
                <w:b/>
                <w:i/>
              </w:rPr>
              <w:t>, но признава, че дялът на хората, изложени на риск от бедност или социално изключване, леко намаля в ЕС през 2023 г. благодарение на решителни политически действия за смекчаване на отрицателните социални последици от високите разходи за живот, и призовава за подходящи мерки за по-нататъшно намаляване на бедността и социалното изключване, особено сред децата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268</w:t>
      </w:r>
      <w:r>
        <w:rPr>
          <w:rStyle w:val="HideTWBExt"/>
        </w:rPr>
        <w:t>&lt;/NumAm&gt;</w:t>
      </w:r>
    </w:p>
    <w:p>
      <w:pPr>
        <w:pStyle w:val="NormalBold"/>
      </w:pPr>
      <w:r>
        <w:rPr>
          <w:rStyle w:val="HideTWBExt"/>
          <w:b w:val="0"/>
        </w:rPr>
        <w:t>&lt;RepeatBlock-By&gt;</w:t>
      </w:r>
      <w:r>
        <w:rPr>
          <w:rStyle w:val="HideTWBExt"/>
          <w:b w:val="0"/>
        </w:rPr>
        <w:t>&lt;Members&gt;</w:t>
      </w:r>
      <w:r>
        <w:t>Идоя Мендия Куева, Изилда Гомеш, Алисия Омс Хинел, Марк Ангел, Романа Йеркович, Естел Кьолеманс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призовава да бъде подобрен наборът от социални показатели, като се въведат показатели, отразяващи тенденциите при неравенството и причините за него, например </w:t>
            </w:r>
            <w:r>
              <w:rPr>
                <w:b/>
                <w:i/>
              </w:rPr>
              <w:t>качествена</w:t>
            </w:r>
            <w:r>
              <w:t xml:space="preserve"> заетост, разпределение на богатството, достъп до обществени услуги, адекватни пенсии, психично здраве и безработица; припомня, че показателят за изложеност на риск от бедност или социално изключване не разкрива причините за комплексното неравенство;</w:t>
            </w:r>
          </w:p>
        </w:tc>
        <w:tc>
          <w:tcPr>
            <w:tcW w:w="4876" w:type="dxa"/>
            <w:tcBorders>
              <w:top w:val="nil"/>
              <w:left w:val="nil"/>
              <w:bottom w:val="nil"/>
              <w:right w:val="nil"/>
            </w:tcBorders>
          </w:tcPr>
          <w:p>
            <w:pPr>
              <w:pStyle w:val="Normal6a"/>
            </w:pPr>
            <w:r>
              <w:t>12.</w:t>
            </w:r>
            <w:r>
              <w:tab/>
            </w:r>
            <w:r>
              <w:t xml:space="preserve">призовава да бъде подобрен наборът от социални показатели, като се въведат </w:t>
            </w:r>
            <w:r>
              <w:rPr>
                <w:b/>
                <w:i/>
              </w:rPr>
              <w:t>съответни</w:t>
            </w:r>
            <w:r>
              <w:t xml:space="preserve"> показатели, отразяващи тенденциите при неравенството и причините за него, например </w:t>
            </w:r>
            <w:r>
              <w:rPr>
                <w:b/>
                <w:i/>
              </w:rPr>
              <w:t>показатели за равни възможности, висококачествена</w:t>
            </w:r>
            <w:r>
              <w:t xml:space="preserve"> заетост, разпределение на богатството, достъп до обществени услуги, </w:t>
            </w:r>
            <w:r>
              <w:rPr>
                <w:b/>
                <w:i/>
              </w:rPr>
              <w:t>обхват на социалните услуги, включително енергия, водоснабдяване и канализация, услуги за полагане на грижи,</w:t>
            </w:r>
            <w:r>
              <w:t xml:space="preserve"> адекватни пенсии, </w:t>
            </w:r>
            <w:r>
              <w:rPr>
                <w:b/>
                <w:i/>
              </w:rPr>
              <w:t>процент на бездомността,</w:t>
            </w:r>
            <w:r>
              <w:t xml:space="preserve"> психично здраве и безработица</w:t>
            </w:r>
            <w:r>
              <w:rPr>
                <w:b/>
                <w:i/>
              </w:rPr>
              <w:t>, обезщетения, както и показатели за измерване на социалното въздействие на влошаването на състоянието на околната среда и изменението на климата;</w:t>
            </w:r>
            <w:r>
              <w:t xml:space="preserve"> </w:t>
            </w:r>
            <w:r>
              <w:rPr>
                <w:b/>
                <w:i/>
              </w:rPr>
              <w:t>подчертава необходимостта от включване на показатели относно обхвата и разходите за социални услуги</w:t>
            </w:r>
            <w:r>
              <w:t>; припомня, че показателят за изложеност на риск от бедност или социално изключване не разкрива причините за комплексното неравенство;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269</w:t>
      </w:r>
      <w:r>
        <w:rPr>
          <w:rStyle w:val="HideTWBExt"/>
        </w:rPr>
        <w:t>&lt;/NumAm&gt;</w:t>
      </w:r>
    </w:p>
    <w:p>
      <w:pPr>
        <w:pStyle w:val="NormalBold"/>
      </w:pPr>
      <w:r>
        <w:rPr>
          <w:rStyle w:val="HideTWBExt"/>
          <w:b w:val="0"/>
        </w:rPr>
        <w:t>&lt;RepeatBlock-By&gt;</w:t>
      </w:r>
      <w:r>
        <w:rPr>
          <w:rStyle w:val="HideTWBExt"/>
          <w:b w:val="0"/>
        </w:rPr>
        <w:t>&lt;Members&gt;</w:t>
      </w:r>
      <w:r>
        <w:t>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призовава да бъде подобрен наборът от социални показатели, като се въведат показатели, отразяващи тенденциите при неравенството и причините за него, например качествена заетост, разпределение на богатството, достъп до обществени услуги, адекватни пенсии, психично здраве и безработица; припомня, че показателят за изложеност на риск от бедност или социално изключване не разкрива причините за комплексното неравенство;</w:t>
            </w:r>
          </w:p>
        </w:tc>
        <w:tc>
          <w:tcPr>
            <w:tcW w:w="4876" w:type="dxa"/>
            <w:tcBorders>
              <w:top w:val="nil"/>
              <w:left w:val="nil"/>
              <w:bottom w:val="nil"/>
              <w:right w:val="nil"/>
            </w:tcBorders>
          </w:tcPr>
          <w:p>
            <w:pPr>
              <w:pStyle w:val="Normal6a"/>
            </w:pPr>
            <w:r>
              <w:t>12.</w:t>
            </w:r>
            <w:r>
              <w:tab/>
            </w:r>
            <w:r>
              <w:rPr>
                <w:b/>
                <w:i/>
              </w:rPr>
              <w:t>подчертава необходимостта от навременни и хармонизирани данни за социалните политики, за да се подобри основаното на факти създаване на политики и целенасочените социални инвестиции;</w:t>
            </w:r>
            <w:r>
              <w:t xml:space="preserve"> призовава да бъде подобрен наборът от социални показатели, </w:t>
            </w:r>
            <w:r>
              <w:rPr>
                <w:b/>
                <w:i/>
              </w:rPr>
              <w:t>така че да бъдат обхванати 20-те принципа на ЕССП,</w:t>
            </w:r>
            <w:r>
              <w:t xml:space="preserve"> като се въведат показатели, отразяващи тенденциите при неравенството и причините за него, например качествена заетост, разпределение на богатството, достъп до обществени услуги, </w:t>
            </w:r>
            <w:r>
              <w:rPr>
                <w:b/>
                <w:i/>
              </w:rPr>
              <w:t>обхват на социалните услуги,</w:t>
            </w:r>
            <w:r>
              <w:t xml:space="preserve"> адекватни пенсии, психично здраве</w:t>
            </w:r>
            <w:r>
              <w:rPr>
                <w:b/>
                <w:i/>
              </w:rPr>
              <w:t>, дискриминация</w:t>
            </w:r>
            <w:r>
              <w:t xml:space="preserve"> и безработица; припомня, че показателят за изложеност на риск от бедност или социално изключване не разкрива причините за комплексното неравенство;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270</w:t>
      </w:r>
      <w:r>
        <w:rPr>
          <w:rStyle w:val="HideTWBExt"/>
        </w:rPr>
        <w:t>&lt;/NumAm&gt;</w:t>
      </w:r>
    </w:p>
    <w:p>
      <w:pPr>
        <w:pStyle w:val="NormalBold"/>
      </w:pPr>
      <w:r>
        <w:rPr>
          <w:rStyle w:val="HideTWBExt"/>
          <w:b w:val="0"/>
        </w:rPr>
        <w:t>&lt;RepeatBlock-By&gt;</w:t>
      </w:r>
      <w:r>
        <w:rPr>
          <w:rStyle w:val="HideTWBExt"/>
          <w:b w:val="0"/>
        </w:rPr>
        <w:t>&lt;Members&gt;</w:t>
      </w:r>
      <w:r>
        <w:t>Идоя Мендия Куева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12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12а.</w:t>
            </w:r>
            <w:r>
              <w:tab/>
            </w:r>
            <w:r>
              <w:rPr>
                <w:b/>
                <w:i/>
              </w:rPr>
              <w:t>призовава Европейската комисия и държавите — членки на ЕС, да разработят стабилна европейска рамка за събиране на данни относно социалните услуги, за да наблюдават инвестициите и обхвата на социалните услуги;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271</w:t>
      </w:r>
      <w:r>
        <w:rPr>
          <w:rStyle w:val="HideTWBExt"/>
        </w:rPr>
        <w:t>&lt;/NumAm&gt;</w:t>
      </w:r>
    </w:p>
    <w:p>
      <w:pPr>
        <w:pStyle w:val="NormalBold"/>
      </w:pPr>
      <w:r>
        <w:rPr>
          <w:rStyle w:val="HideTWBExt"/>
          <w:b w:val="0"/>
        </w:rPr>
        <w:t>&lt;RepeatBlock-By&gt;</w:t>
      </w:r>
      <w:r>
        <w:rPr>
          <w:rStyle w:val="HideTWBExt"/>
          <w:b w:val="0"/>
        </w:rPr>
        <w:t>&lt;Members&gt;</w:t>
      </w:r>
      <w:r>
        <w:t>Идоя Мендия Куева</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12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12б.</w:t>
            </w:r>
            <w:r>
              <w:tab/>
            </w:r>
            <w:r>
              <w:rPr>
                <w:b/>
                <w:i/>
              </w:rPr>
              <w:t>препоръчва европейският семестър да включва данни относно регулирането, разходите и обхвата на социалните услуги, за да засили докладването относно способността на държавите — членки на ЕС, да гарантират предоставянето на социални услуги, включително техния достъп и наличност за населението;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767.871</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168</w:t>
    </w:r>
    <w:r>
      <w:fldChar w:fldCharType="end"/>
    </w:r>
    <w:r>
      <w:t>/</w:t>
    </w:r>
    <w:r>
      <w:fldChar w:fldCharType="begin"/>
    </w:r>
    <w:r>
      <w:instrText xml:space="preserve"> NUMPAGES </w:instrText>
    </w:r>
    <w:r>
      <w:fldChar w:fldCharType="separate"/>
    </w:r>
    <w:r>
      <w:t>169</w:t>
    </w:r>
    <w:r>
      <w:fldChar w:fldCharType="end"/>
    </w:r>
    <w:r>
      <w:tab/>
    </w:r>
    <w:r>
      <w:rPr>
        <w:rStyle w:val="HideTWBExt"/>
      </w:rPr>
      <w:t>&lt;PathFdR&gt;</w:t>
    </w:r>
    <w:r>
      <w:t>AM\1312899BG.docx</w:t>
    </w:r>
    <w:r>
      <w:rPr>
        <w:rStyle w:val="HideTWBExt"/>
      </w:rPr>
      <w:t>&lt;/PathFdR&gt;</w:t>
    </w:r>
  </w:p>
  <w:p>
    <w:pPr>
      <w:pStyle w:val="EPFooter2"/>
    </w:pPr>
    <w:r>
      <w:t>BG</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AM\1312899BG.docx</w:t>
    </w:r>
    <w:r>
      <w:rPr>
        <w:rStyle w:val="HideTWBExt"/>
      </w:rPr>
      <w:t>&lt;/PathFdR&gt;</w:t>
    </w:r>
    <w:r>
      <w:tab/>
    </w:r>
    <w:r>
      <w:fldChar w:fldCharType="begin"/>
    </w:r>
    <w:r>
      <w:instrText xml:space="preserve"> PAGE </w:instrText>
    </w:r>
    <w:r>
      <w:fldChar w:fldCharType="separate"/>
    </w:r>
    <w:r>
      <w:t>169</w:t>
    </w:r>
    <w:r>
      <w:fldChar w:fldCharType="end"/>
    </w:r>
    <w:r>
      <w:t>/</w:t>
    </w:r>
    <w:r>
      <w:fldChar w:fldCharType="begin"/>
    </w:r>
    <w:r>
      <w:instrText xml:space="preserve"> NUMPAGES </w:instrText>
    </w:r>
    <w:r>
      <w:fldChar w:fldCharType="separate"/>
    </w:r>
    <w:r>
      <w:t>169</w:t>
    </w:r>
    <w:r>
      <w:fldChar w:fldCharType="end"/>
    </w:r>
    <w:r>
      <w:tab/>
    </w:r>
    <w:r>
      <w:t>PE</w:t>
    </w:r>
    <w:r>
      <w:rPr>
        <w:rStyle w:val="HideTWBExt"/>
      </w:rPr>
      <w:t>&lt;NoPE&gt;</w:t>
    </w:r>
    <w:r>
      <w:t>767.871</w:t>
    </w:r>
    <w:r>
      <w:rPr>
        <w:rStyle w:val="HideTWBExt"/>
      </w:rPr>
      <w:t>&lt;/NoPE&gt;</w:t>
    </w:r>
    <w:r>
      <w:rPr>
        <w:rStyle w:val="HideTWBExt"/>
      </w:rPr>
      <w:t>&lt;Version&gt;</w:t>
    </w:r>
    <w:r>
      <w:t>v01-00</w:t>
    </w:r>
    <w:r>
      <w:rPr>
        <w:rStyle w:val="HideTWBExt"/>
      </w:rPr>
      <w:t>&lt;/Version&gt;</w:t>
    </w:r>
  </w:p>
  <w:p>
    <w:pPr>
      <w:pStyle w:val="EPFooter2"/>
    </w:pPr>
    <w:r>
      <w:tab/>
    </w:r>
    <w:r>
      <w:tab/>
    </w:r>
    <w:r>
      <w:t>BG</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AM\1312899BG.docx</w:t>
    </w:r>
    <w:r>
      <w:rPr>
        <w:rStyle w:val="HideTWBExt"/>
      </w:rPr>
      <w:t>&lt;/PathFdR&gt;</w:t>
    </w:r>
    <w:r>
      <w:tab/>
    </w:r>
    <w:r>
      <w:tab/>
    </w:r>
    <w:r>
      <w:t>PE</w:t>
    </w:r>
    <w:r>
      <w:rPr>
        <w:rStyle w:val="HideTWBExt"/>
      </w:rPr>
      <w:t>&lt;NoPE&gt;</w:t>
    </w:r>
    <w:r>
      <w:t>767.871</w:t>
    </w:r>
    <w:r>
      <w:rPr>
        <w:rStyle w:val="HideTWBExt"/>
      </w:rPr>
      <w:t>&lt;/NoPE&gt;</w:t>
    </w:r>
    <w:r>
      <w:rPr>
        <w:rStyle w:val="HideTWBExt"/>
      </w:rPr>
      <w:t>&lt;Version&gt;</w:t>
    </w:r>
    <w:r>
      <w:t>v01-00</w:t>
    </w:r>
    <w:r>
      <w:rPr>
        <w:rStyle w:val="HideTWBExt"/>
      </w:rPr>
      <w:t>&lt;/Version&gt;</w:t>
    </w:r>
  </w:p>
  <w:p>
    <w:pPr>
      <w:pStyle w:val="EPFooter2"/>
    </w:pPr>
    <w:r>
      <w:t>BG</w:t>
    </w:r>
    <w:r>
      <w:tab/>
    </w:r>
    <w:r>
      <w:rPr>
        <w:rStyle w:val="EPFooter2Motto"/>
      </w:rPr>
      <w:t>Единство в многообразието</w:t>
    </w:r>
    <w:r>
      <w:tab/>
    </w:r>
    <w:r>
      <w:t>BG</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bg-BG"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olumnHeading">
    <w:name w:val="AmColumnHeading"/>
    <w:basedOn w:val="Normal"/>
    <w:pPr>
      <w:widowControl w:val="0"/>
      <w:spacing w:after="240"/>
      <w:jc w:val="center"/>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169</Pages>
  <Words>32834</Words>
  <Characters>198580</Characters>
  <Application>Microsoft Office Word</Application>
  <DocSecurity>0</DocSecurity>
  <Lines>1</Lines>
  <Paragraphs>2409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1312899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115914</vt:lpwstr>
  </property>
  <property fmtid="{D5CDD505-2E9C-101B-9397-08002B2CF9AE}" pid="7" name="dmxml.render.traceId">
    <vt:lpwstr>67926b11ab9f9e8f2a88d83a285ce060</vt:lpwstr>
  </property>
  <property fmtid="{D5CDD505-2E9C-101B-9397-08002B2CF9AE}" pid="8" name="FooterPath">
    <vt:lpwstr>AM\1312899BG.docx</vt:lpwstr>
  </property>
  <property fmtid="{D5CDD505-2E9C-101B-9397-08002B2CF9AE}" pid="9" name="PE Number">
    <vt:lpwstr>767.871</vt:lpwstr>
  </property>
  <property fmtid="{D5CDD505-2E9C-101B-9397-08002B2CF9AE}" pid="10" name="UID">
    <vt:lpwstr>eu.europa.europarl-DIN1-2025-0000002210_02.00-bg-01.00_text-xml</vt:lpwstr>
  </property>
</Properties>
</file>