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Výbor pro zaměstnanost a sociální věci</w:t>
      </w:r>
      <w:r>
        <w:rPr>
          <w:rStyle w:val="HideTWBExt"/>
        </w:rPr>
        <w:t>&lt;/Commission&gt;</w:t>
      </w:r>
    </w:p>
    <w:p>
      <w:pPr>
        <w:pStyle w:val="LineBottom"/>
      </w:pPr>
      <w:r>
        <w:t xml:space="preserve"> </w:t>
      </w:r>
    </w:p>
    <w:p>
      <w:pPr>
        <w:pStyle w:val="CoverReference"/>
      </w:pPr>
      <w:r>
        <w:rPr>
          <w:rStyle w:val="HideTWBExt"/>
        </w:rPr>
        <w:t>&lt;RefProc&gt;</w:t>
      </w:r>
      <w:r>
        <w:t>2024/2084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{10/01/2025}</w:t>
      </w:r>
      <w:r>
        <w:t>10. 1. 2025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271</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Maravillas Abadía Jover</w:t>
      </w:r>
      <w:r>
        <w:rPr>
          <w:rStyle w:val="HideTWBExt"/>
        </w:rPr>
        <w:t>&lt;/Rapporteur&gt;</w:t>
      </w:r>
    </w:p>
    <w:p>
      <w:pPr>
        <w:pStyle w:val="CoverNormal24a"/>
      </w:pPr>
      <w:r>
        <w:rPr>
          <w:rStyle w:val="HideTWBExt"/>
        </w:rPr>
        <w:t>&lt;DocRefPE&gt;</w:t>
      </w:r>
      <w:r>
        <w:t>(PE766.649v02-00)</w:t>
      </w:r>
      <w:r>
        <w:rPr>
          <w:rStyle w:val="HideTWBExt"/>
        </w:rPr>
        <w:t>&lt;/DocRefPE&gt;</w:t>
      </w:r>
    </w:p>
    <w:p>
      <w:pPr>
        <w:pStyle w:val="CoverNormal"/>
      </w:pPr>
      <w:r>
        <w:rPr>
          <w:rStyle w:val="HideTWBExt"/>
        </w:rPr>
        <w:t>&lt;Titre&gt;</w:t>
      </w:r>
      <w:r>
        <w:t>Evropský semestr pro koordinaci hospodářských politik: priority v oblasti zaměstnanosti a sociálních věcí pro rok 2025</w:t>
      </w:r>
      <w:r>
        <w:rPr>
          <w:rStyle w:val="HideTWBExt"/>
        </w:rPr>
        <w:t>&lt;/Titre&gt;</w:t>
      </w:r>
    </w:p>
    <w:p>
      <w:pPr>
        <w:pStyle w:val="CoverNormal24a"/>
      </w:pPr>
      <w:r>
        <w:rPr>
          <w:rStyle w:val="HideTWBExt"/>
        </w:rPr>
        <w:t>&lt;DocRef&gt;</w:t>
      </w:r>
      <w:r>
        <w:t>(2024/2084(INI))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evropský pilíř sociálních práv vyhlášený a podepsaný Radou, Parlamentem a Komisí dne 17. listopadu 2017,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články 121 a 148 Smlouvy o fungování Evropské unie (dále jen „Smlouva o fungování EU“),</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základní zásady evropského pilíře sociálních práv, zejména na zásadu 11 týkající se péče o děti a podpory dětí,</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srovnávací přehled sociálních ukazatelů EU a jeho hlavní a sekundární ukazatele,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4. března 2021 nazvané „Akční plán pro evropský pilíř sociálních práv“ (COM(2021)0102) a na hlavní cíle, které jsou v něm navrženy pro rok 2030 v oblasti zaměstnanosti, odborné přípravy a snižování chudoby,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akční plán pro evropský pilíř sociálních práv z roku 2021 na podporu vzestupné sociální konvergence do roku 2030, a zejména na jeho hlavní cíl 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z La Hulpe o budoucnosti evropského pilíře sociálních práv, které dne 16. dubna 2024 podepsaly Parlament, Komise, Evropský hospodářský a sociální výbor a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nařízení Evropského parlamentu a Rady (EU) 2023/955 ze dne 10. května 2023, kterým se zřizuje Sociální klimatický fond a mění nařízení (EU) 2021/1060</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Úř. věst. L 130, 16.5.2023, s.</w:t>
            </w:r>
            <w:r>
              <w:t xml:space="preserve"> </w:t>
            </w:r>
            <w:r>
              <w:rPr>
                <w:b/>
                <w:i/>
              </w:rPr>
              <w:t>1–51.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nařízení Evropského parlamentu a Rady (EU) 2024/1263 ze dne 29. dubna 2024 o účinné koordinaci hospodářských politik a mnohostranném rozpočtovém dohledu a o zrušení nařízení Rady (ES) č. 1466/97, a zejména na články 3, 4, 13 a 27 uvedeného nařízení</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Úř. věst. L, 2024/1263, 30.4.2024.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7. října 2020 s názvem „Unie rovnosti: strategický rámec EU pro rovnost, začlenění a účast Romů na období 2020–2030“ (COM(2020)0620),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h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3. března 2021 nazvané „Unie rovnosti: Strategie práv osob se zdravotním postižením na období 2021–2030“ (COM(2021)0101),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i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17. ledna 2023 nazvané „Využívání talentů v evropských regionech“ (COM(2023)32),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j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20. března 2023 nazvané „Nedostatek pracovních sil a dovedností v EU – akční plán“ (COM(2024)131),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k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Komise ze dne 19. září 2024 nazvanou „Vývoj zaměstnanosti a sociální situace v Evropě (ESDE): vzestupná sociální konvergence v EU a úloha sociálních investic“,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26. listopadu 2024 nazvané „Evropský semestr 2025: realizace nového rámce správy ekonomických záležitostí“ (COM(2024)705),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17. prosince 2024 nazvané „Evropský semestr 2025 – podzimní balíček“ (COM(2024) 700),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návrh společné zprávy Komise a Rady o zaměstnanosti, který dne </w:t>
            </w:r>
            <w:r>
              <w:rPr>
                <w:b/>
                <w:i/>
              </w:rPr>
              <w:t>XXX</w:t>
            </w:r>
            <w:r>
              <w:t xml:space="preserve"> 2024 předložila Komise (</w:t>
            </w:r>
            <w:r>
              <w:rPr>
                <w:b/>
                <w:i/>
              </w:rPr>
              <w:t>COM(2024)XXX</w:t>
            </w:r>
            <w:r>
              <w:t>),</w:t>
            </w:r>
          </w:p>
        </w:tc>
        <w:tc>
          <w:tcPr>
            <w:tcW w:w="4876" w:type="dxa"/>
            <w:tcBorders>
              <w:top w:val="nil"/>
              <w:left w:val="nil"/>
              <w:bottom w:val="nil"/>
              <w:right w:val="nil"/>
            </w:tcBorders>
          </w:tcPr>
          <w:p>
            <w:pPr>
              <w:pStyle w:val="Normal6a"/>
            </w:pPr>
            <w:r>
              <w:rPr>
                <w:b/>
                <w:i/>
              </w:rPr>
              <w:t>–</w:t>
            </w:r>
            <w:r>
              <w:tab/>
            </w:r>
            <w:r>
              <w:t xml:space="preserve">s ohledem na návrh společné zprávy Komise a Rady o zaměstnanosti, který dne </w:t>
            </w:r>
            <w:r>
              <w:rPr>
                <w:b/>
                <w:i/>
              </w:rPr>
              <w:t>17. prosince</w:t>
            </w:r>
            <w:r>
              <w:t xml:space="preserve"> 2024 předložila Komise (</w:t>
            </w:r>
            <w:r>
              <w:rPr>
                <w:b/>
                <w:i/>
              </w:rPr>
              <w:t>COM(2024)701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doporučení Komise ze dne </w:t>
            </w:r>
            <w:r>
              <w:rPr>
                <w:b/>
                <w:i/>
              </w:rPr>
              <w:t>XXX</w:t>
            </w:r>
            <w:r>
              <w:t xml:space="preserve"> 2024 pro doporučení Rady týkající se hospodářské politiky eurozóny (</w:t>
            </w:r>
            <w:r>
              <w:rPr>
                <w:b/>
                <w:i/>
              </w:rPr>
              <w:t>COM(2024)XXX</w:t>
            </w:r>
            <w:r>
              <w:t>),</w:t>
            </w:r>
          </w:p>
        </w:tc>
        <w:tc>
          <w:tcPr>
            <w:tcW w:w="4876" w:type="dxa"/>
            <w:tcBorders>
              <w:top w:val="nil"/>
              <w:left w:val="nil"/>
              <w:bottom w:val="nil"/>
              <w:right w:val="nil"/>
            </w:tcBorders>
          </w:tcPr>
          <w:p>
            <w:pPr>
              <w:pStyle w:val="Normal6a"/>
            </w:pPr>
            <w:r>
              <w:rPr>
                <w:b/>
                <w:i/>
              </w:rPr>
              <w:t>–</w:t>
            </w:r>
            <w:r>
              <w:tab/>
            </w:r>
            <w:r>
              <w:t xml:space="preserve">s ohledem na doporučení Komise ze dne </w:t>
            </w:r>
            <w:r>
              <w:rPr>
                <w:b/>
                <w:i/>
              </w:rPr>
              <w:t>17. prosince</w:t>
            </w:r>
            <w:r>
              <w:t xml:space="preserve"> 2024 pro doporučení Rady týkající se hospodářské politiky eurozóny (</w:t>
            </w:r>
            <w:r>
              <w:rPr>
                <w:b/>
                <w:i/>
              </w:rPr>
              <w:t>COM(2024)704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zprávu Komise ze dne </w:t>
            </w:r>
            <w:r>
              <w:rPr>
                <w:b/>
                <w:i/>
              </w:rPr>
              <w:t>XXX</w:t>
            </w:r>
            <w:r>
              <w:t xml:space="preserve"> 2024 nazvanou „Zpráva mechanismu varování 2025“,</w:t>
            </w:r>
          </w:p>
        </w:tc>
        <w:tc>
          <w:tcPr>
            <w:tcW w:w="4876" w:type="dxa"/>
            <w:tcBorders>
              <w:top w:val="nil"/>
              <w:left w:val="nil"/>
              <w:bottom w:val="nil"/>
              <w:right w:val="nil"/>
            </w:tcBorders>
          </w:tcPr>
          <w:p>
            <w:pPr>
              <w:pStyle w:val="Normal6a"/>
            </w:pPr>
            <w:r>
              <w:rPr>
                <w:b/>
                <w:i/>
              </w:rPr>
              <w:t>–</w:t>
            </w:r>
            <w:r>
              <w:tab/>
            </w:r>
            <w:r>
              <w:t xml:space="preserve">s ohledem na zprávu Komise ze dne </w:t>
            </w:r>
            <w:r>
              <w:rPr>
                <w:b/>
                <w:i/>
              </w:rPr>
              <w:t>17. prosince</w:t>
            </w:r>
            <w:r>
              <w:t xml:space="preserve"> 2024 nazvanou „Zpráva mechanismu varování 2025“ </w:t>
            </w:r>
            <w:r>
              <w:rPr>
                <w:b/>
                <w:i/>
              </w:rPr>
              <w:t>(COM(2024)702)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návrh pracovního dokumentu útvarů Komise o </w:t>
            </w:r>
            <w:r>
              <w:rPr>
                <w:b/>
                <w:i/>
              </w:rPr>
              <w:t>plánovaných revizích</w:t>
            </w:r>
            <w:r>
              <w:t xml:space="preserve"> srovnávacího přehledu postupu při makroekonomické nerovnováze </w:t>
            </w:r>
            <w:r>
              <w:rPr>
                <w:b/>
                <w:i/>
              </w:rPr>
              <w:t>v souvislosti s pravidelným přezkumem</w:t>
            </w:r>
            <w:r>
              <w:t xml:space="preserve"> (</w:t>
            </w:r>
            <w:r>
              <w:rPr>
                <w:b/>
                <w:i/>
              </w:rPr>
              <w:t>SWD(2024)XXX</w:t>
            </w:r>
            <w:r>
              <w:t>),</w:t>
            </w:r>
          </w:p>
        </w:tc>
        <w:tc>
          <w:tcPr>
            <w:tcW w:w="4876" w:type="dxa"/>
            <w:tcBorders>
              <w:top w:val="nil"/>
              <w:left w:val="nil"/>
              <w:bottom w:val="nil"/>
              <w:right w:val="nil"/>
            </w:tcBorders>
          </w:tcPr>
          <w:p>
            <w:pPr>
              <w:pStyle w:val="Normal6a"/>
            </w:pPr>
            <w:r>
              <w:rPr>
                <w:b/>
                <w:i/>
              </w:rPr>
              <w:t>–</w:t>
            </w:r>
            <w:r>
              <w:tab/>
            </w:r>
            <w:r>
              <w:t xml:space="preserve">s ohledem na návrh pracovního dokumentu útvarů Komise o </w:t>
            </w:r>
            <w:r>
              <w:rPr>
                <w:b/>
                <w:i/>
              </w:rPr>
              <w:t>změnách</w:t>
            </w:r>
            <w:r>
              <w:t xml:space="preserve"> srovnávacího přehledu postupu při makroekonomické nerovnováze (</w:t>
            </w:r>
            <w:r>
              <w:rPr>
                <w:b/>
                <w:i/>
              </w:rPr>
              <w:t>SWD(2024)702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interinstitucionální prohlášení z La Hulpe o budoucnosti evropského pilíře sociálních práv, které podepsali orgány EU, sociální partneři a občanská společnost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nařízení Evropského parlamentu a Rady (EU) 2024/1263 ze dne 29. dubna 2024 o účinné koordinaci hospodářských politik a mnohostranném rozpočtovém dohledu a o zrušení nařízení Rady (ES) č. 1466/97,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Budapešťské prohlášení o Nové dohodě pro konkurenceschopnost Evropy ze dne 8. listopadu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rozhodnutí Rady o hlavních směrech politik zaměstnanosti, které přijala Rada pro zaměstnanost, sociální politiku, zdraví a ochranu spotřebitele dne 2. prosince 2024 a které stanoví priority v oblasti zaměstnanosti a sociální oblasti v souladu se zásadami evropského pilíře sociálních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Komise nazvanou „Vývoj zaměstnanosti a sociální situace v Evropě“ zveřejněnou v září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z La Hulpe o budoucnosti evropského pilíře sociálních práv</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tripartitní prohlášení o prosperujícím evropském sociálním dialogu a s ohledem na připravovaný Pakt pro sociální dialog,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Evropskou agendu dovedností 2020,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7. září 2022 o Evropské strategii v oblasti péče (COM(2022)0440),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evropský pilíř sociálních práv vyhlášený Radou, Parlamentem a Komisí v listopadu 2017 a na související akční plán přijatý v roce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h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17. prosince 2024 nazvané „Evropský semestr 2025 – podzimní balíček“ (COM(2024)700),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i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návrh společné zprávy o zaměstnanosti pro rok 2025 předložený Komisí dne 17. prosince 2025 (COM(2024)701),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j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směrnici Evropského parlamentu a Rady (EU) 2022/2041 ze dne 19. října 2022 o přiměřených minimálních mzdách v Evropské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k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Evropskou sociální chartu uvedenou v preambuli evropského pilíře sociálních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l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doporučení Rady o přístupu k cenově dostupné kvalitní dlouhodobé péči,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m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cíle udržitelného rozvoje Organizace spojených národů,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n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Strategii pro rovnost žen a mužů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o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akční plán EU proti rasismu na období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p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strategický rámec EU pro rovnost, začlenění a účast Romů na období 2020–2030,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q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Strategii pro rovnost LGBTIQ osob na období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r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Strategii pro práva osob se zdravotním postižením na období 2021–2030,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s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nařízení Evropského parlamentu a Rady (EU) 2024/1263 ze dne 29. dubna 2024 o účinné koordinaci hospodářských politik a mnohostranném rozpočtovém dohledu a o zrušení nařízení Rady (ES) č. 1466/97,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w:t>
            </w:r>
            <w:r>
              <w:rPr>
                <w:b/>
                <w:i/>
              </w:rPr>
              <w:t>navzdory nejistotě způsobené ruskou útočnou válkou proti Ukrajině a dopadům vysoké inflace bylo dosaženo pokroku při plnění cílů EU v oblasti zaměstnanosti, a</w:t>
            </w:r>
            <w:r>
              <w:t xml:space="preserve"> vzhledem k tomu, že </w:t>
            </w:r>
            <w:r>
              <w:rPr>
                <w:b/>
                <w:i/>
              </w:rPr>
              <w:t>zaměstnanost v EU i v roce 2023 stabilně rostla, ačkoli v některých členských státech přetrvává vysoká míra nezaměstnanosti, a to zejména u mladých lidí, stejně jako značné rozdíly mezi</w:t>
            </w:r>
            <w:r>
              <w:t xml:space="preserve"> odvětvími </w:t>
            </w:r>
            <w:r>
              <w:rPr>
                <w:b/>
                <w:i/>
              </w:rPr>
              <w:t>a regiony, což by mohlo</w:t>
            </w:r>
            <w:r>
              <w:t xml:space="preserve"> v dlouhodobém horizontu negativně ovlivnit sociální soudržnost a </w:t>
            </w:r>
            <w:r>
              <w:rPr>
                <w:b/>
                <w:i/>
              </w:rPr>
              <w:t>kvalitu života</w:t>
            </w:r>
            <w:r>
              <w:t xml:space="preserve"> evropských občanů;</w:t>
            </w:r>
          </w:p>
        </w:tc>
        <w:tc>
          <w:tcPr>
            <w:tcW w:w="4876" w:type="dxa"/>
            <w:tcBorders>
              <w:top w:val="nil"/>
              <w:left w:val="nil"/>
              <w:bottom w:val="nil"/>
              <w:right w:val="nil"/>
            </w:tcBorders>
          </w:tcPr>
          <w:p>
            <w:pPr>
              <w:pStyle w:val="Normal6a"/>
            </w:pPr>
            <w:r>
              <w:t>A.</w:t>
            </w:r>
            <w:r>
              <w:tab/>
            </w:r>
            <w:r>
              <w:t xml:space="preserve">vzhledem k tomu, že </w:t>
            </w:r>
            <w:r>
              <w:rPr>
                <w:b/>
                <w:i/>
              </w:rPr>
              <w:t>podle hospodářské prognózy Komise z podzimu 2025 dosáhla míra zaměstnanosti v EU 75,3 %;</w:t>
            </w:r>
            <w:r>
              <w:t xml:space="preserve"> </w:t>
            </w:r>
            <w:r>
              <w:rPr>
                <w:b/>
                <w:i/>
              </w:rPr>
              <w:t>vzhledem k tomu, že je nutné přisuzovat hodnotu hospodářské návratnosti investic do sociálního zabezpečení, které nejen zlepšují životní úroveň, ale vedou také k hospodářskému růstu a vyšší míře zaměstnanosti;</w:t>
            </w:r>
            <w:r>
              <w:t xml:space="preserve"> vzhledem k tomu, že </w:t>
            </w:r>
            <w:r>
              <w:rPr>
                <w:b/>
                <w:i/>
              </w:rPr>
              <w:t>některé členské státy dosahují nebývalé úrovně zaměstnanosti a navzdory nejistotě způsobené ruskou útočnou válkou proti Ukrajině a dopadům vysoké inflace zažívají růst míry zaměstnanosti;</w:t>
            </w:r>
            <w:r>
              <w:t xml:space="preserve"> </w:t>
            </w:r>
            <w:r>
              <w:rPr>
                <w:b/>
                <w:i/>
              </w:rPr>
              <w:t>v EU však přetrvávají významné výzvy, včetně vysoké míry nezaměstnanosti mladých lidí, žen, starších osob, osob s nízkou a střední kvalifikací, migrantů a osob se zdravotním postižením, jakož i nejistých pracovních podmínek, strukturálních nerovností a rozdílů v sociální ochraně napříč</w:t>
            </w:r>
            <w:r>
              <w:t xml:space="preserve"> odvětvími</w:t>
            </w:r>
            <w:r>
              <w:rPr>
                <w:b/>
                <w:i/>
              </w:rPr>
              <w:t>, regiony a sociálními skupinami, které by mohly</w:t>
            </w:r>
            <w:r>
              <w:t xml:space="preserve"> v dlouhodobém horizontu negativně ovlivnit sociální soudržnost a </w:t>
            </w:r>
            <w:r>
              <w:rPr>
                <w:b/>
                <w:i/>
              </w:rPr>
              <w:t>dobré životní podmínky</w:t>
            </w:r>
            <w:r>
              <w:t xml:space="preserve"> evropských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navzdory nejistotě způsobené ruskou útočnou válkou proti Ukrajině a dopadům vysoké inflace bylo dosaženo pokroku při plnění cílů EU v oblasti zaměstnanosti, a vzhledem k tomu, že zaměstnanost v EU i v roce 2023 stabilně rostla</w:t>
            </w:r>
            <w:r>
              <w:rPr>
                <w:b/>
                <w:i/>
              </w:rPr>
              <w:t>, ačkoli</w:t>
            </w:r>
            <w:r>
              <w:t xml:space="preserve"> v některých členských státech přetrvává vysoká míra nezaměstnanosti, </w:t>
            </w:r>
            <w:r>
              <w:rPr>
                <w:b/>
                <w:i/>
              </w:rPr>
              <w:t>a to zejména u mladých lidí</w:t>
            </w:r>
            <w:r>
              <w:t xml:space="preserve">, stejně jako značné rozdíly mezi odvětvími a regiony, </w:t>
            </w:r>
            <w:r>
              <w:rPr>
                <w:b/>
                <w:i/>
              </w:rPr>
              <w:t>což by mohlo v dlouhodobém horizontu</w:t>
            </w:r>
            <w:r>
              <w:t xml:space="preserve"> negativně ovlivnit sociální soudržnost a </w:t>
            </w:r>
            <w:r>
              <w:rPr>
                <w:b/>
                <w:i/>
              </w:rPr>
              <w:t>kvalitu života</w:t>
            </w:r>
            <w:r>
              <w:t xml:space="preserve"> evropských občanů;</w:t>
            </w:r>
          </w:p>
        </w:tc>
        <w:tc>
          <w:tcPr>
            <w:tcW w:w="4876" w:type="dxa"/>
            <w:tcBorders>
              <w:top w:val="nil"/>
              <w:left w:val="nil"/>
              <w:bottom w:val="nil"/>
              <w:right w:val="nil"/>
            </w:tcBorders>
          </w:tcPr>
          <w:p>
            <w:pPr>
              <w:pStyle w:val="Normal6a"/>
            </w:pPr>
            <w:r>
              <w:t>A.</w:t>
            </w:r>
            <w:r>
              <w:tab/>
            </w:r>
            <w:r>
              <w:t>vzhledem k tomu, že navzdory nejistotě způsobené ruskou útočnou válkou proti Ukrajině</w:t>
            </w:r>
            <w:r>
              <w:rPr>
                <w:b/>
                <w:i/>
              </w:rPr>
              <w:t>, hospodářské stagnaci</w:t>
            </w:r>
            <w:r>
              <w:t xml:space="preserve"> a dopadům vysoké inflace bylo dosaženo pokroku při plnění cílů EU v oblasti zaměstnanosti, </w:t>
            </w:r>
            <w:r>
              <w:rPr>
                <w:b/>
                <w:i/>
              </w:rPr>
              <w:t>konkrétně že do roku 2030 by mělo být zaměstnáno nejméně 78 % osob ve věku 20 až 64 let,</w:t>
            </w:r>
            <w:r>
              <w:t xml:space="preserve"> a vzhledem k tomu, že zaměstnanost v EU i v roce 2023 stabilně rostla </w:t>
            </w:r>
            <w:r>
              <w:rPr>
                <w:b/>
                <w:i/>
              </w:rPr>
              <w:t>a dosáhla rekordní výše 75,3 %;</w:t>
            </w:r>
            <w:r>
              <w:t xml:space="preserve"> </w:t>
            </w:r>
            <w:r>
              <w:rPr>
                <w:b/>
                <w:i/>
              </w:rPr>
              <w:t>vzhledem k tomu, že se členské státy zavázaly k plnění vnitrostátních cílů, aby tohoto hlavního cíle dosáhly, a vzhledem k tomu, že ve dvou třetinách členských států byl růst zaměstnanosti v roce 2023 na dobré cestě k dosažení vnitrostátního cíle pro rok 2030;</w:t>
            </w:r>
            <w:r>
              <w:t xml:space="preserve"> </w:t>
            </w:r>
            <w:r>
              <w:rPr>
                <w:b/>
                <w:i/>
              </w:rPr>
              <w:t>vzhledem k tomu, že</w:t>
            </w:r>
            <w:r>
              <w:t xml:space="preserve"> v některých členských státech </w:t>
            </w:r>
            <w:r>
              <w:rPr>
                <w:b/>
                <w:i/>
              </w:rPr>
              <w:t>však</w:t>
            </w:r>
            <w:r>
              <w:t xml:space="preserve"> přetrvává vysoká míra nezaměstnanosti, </w:t>
            </w:r>
            <w:r>
              <w:rPr>
                <w:b/>
                <w:i/>
              </w:rPr>
              <w:t>zejména mezi mladými lidmi, osobami se zdravotním postižením, staršími pracovníky a ženami</w:t>
            </w:r>
            <w:r>
              <w:t xml:space="preserve">, stejně jako značné rozdíly mezi odvětvími a regiony, </w:t>
            </w:r>
            <w:r>
              <w:rPr>
                <w:b/>
                <w:i/>
              </w:rPr>
              <w:t>které mohou z dlouhodobého hlediska</w:t>
            </w:r>
            <w:r>
              <w:t xml:space="preserve"> negativně ovlivnit sociální soudržnost a </w:t>
            </w:r>
            <w:r>
              <w:rPr>
                <w:b/>
                <w:i/>
              </w:rPr>
              <w:t>dobré životní podmínky</w:t>
            </w:r>
            <w:r>
              <w:t xml:space="preserve"> evropských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navzdory nejistotě způsobené ruskou útočnou válkou proti Ukrajině a </w:t>
            </w:r>
            <w:r>
              <w:rPr>
                <w:b/>
                <w:i/>
              </w:rPr>
              <w:t>dopadům</w:t>
            </w:r>
            <w:r>
              <w:t xml:space="preserve"> vysoké inflace bylo dosaženo pokroku při plnění cílů EU v oblasti zaměstnanosti, a vzhledem k tomu, že zaměstnanost v EU i v roce 2023 stabilně rostla</w:t>
            </w:r>
            <w:r>
              <w:rPr>
                <w:b/>
                <w:i/>
              </w:rPr>
              <w:t>, ačkoli v některých členských státech přetrvává vysoká</w:t>
            </w:r>
            <w:r>
              <w:t xml:space="preserve"> míra nezaměstnanosti</w:t>
            </w:r>
            <w:r>
              <w:rPr>
                <w:b/>
                <w:i/>
              </w:rPr>
              <w:t>, a to zejména u mladých lidí, stejně jako značné rozdíly</w:t>
            </w:r>
            <w:r>
              <w:t xml:space="preserve"> mezi odvětvími a regiony, což by mohlo v dlouhodobém horizontu negativně ovlivnit sociální soudržnost a kvalitu života evropských občanů;</w:t>
            </w:r>
          </w:p>
        </w:tc>
        <w:tc>
          <w:tcPr>
            <w:tcW w:w="4876" w:type="dxa"/>
            <w:tcBorders>
              <w:top w:val="nil"/>
              <w:left w:val="nil"/>
              <w:bottom w:val="nil"/>
              <w:right w:val="nil"/>
            </w:tcBorders>
          </w:tcPr>
          <w:p>
            <w:pPr>
              <w:pStyle w:val="Normal6a"/>
            </w:pPr>
            <w:r>
              <w:t>A.</w:t>
            </w:r>
            <w:r>
              <w:tab/>
            </w:r>
            <w:r>
              <w:t xml:space="preserve">vzhledem k tomu, že navzdory nejistotě způsobené ruskou útočnou válkou proti Ukrajině a </w:t>
            </w:r>
            <w:r>
              <w:rPr>
                <w:b/>
                <w:i/>
              </w:rPr>
              <w:t>dopadu</w:t>
            </w:r>
            <w:r>
              <w:t xml:space="preserve"> vysoké inflace bylo dosaženo pokroku při plnění cílů EU v oblasti zaměstnanosti, a vzhledem k tomu, že zaměstnanost v EU i v roce 2023 stabilně rostla </w:t>
            </w:r>
            <w:r>
              <w:rPr>
                <w:b/>
                <w:i/>
              </w:rPr>
              <w:t>a podle Eurostatu nyní přesahuje 75 %;</w:t>
            </w:r>
            <w:r>
              <w:t xml:space="preserve"> </w:t>
            </w:r>
            <w:r>
              <w:rPr>
                <w:b/>
                <w:i/>
              </w:rPr>
              <w:t>vzhledem k tomu, že míra dlouhodobé nezaměstnanosti v EU od roku 2009 byla historicky nízká, když v roce 2023 činila 2,1 %, a</w:t>
            </w:r>
            <w:r>
              <w:t xml:space="preserve"> míra nezaměstnanosti </w:t>
            </w:r>
            <w:r>
              <w:rPr>
                <w:b/>
                <w:i/>
              </w:rPr>
              <w:t>mladých lidí v EU činila 6,3 %, což je nejnižší hodnota za celou dobu jejího sledování;</w:t>
            </w:r>
            <w:r>
              <w:t xml:space="preserve"> </w:t>
            </w:r>
            <w:r>
              <w:rPr>
                <w:b/>
                <w:i/>
              </w:rPr>
              <w:t>vzhledem k tomu, že trhy práce byly i nadále pozoruhodně odolné a sociální výsledky vykazovaly určité známky zlepšení, hospodářský růst v roce 2024 v EU zaostával za ostatními vyspělými ekonomikami a přetrvávaly významné nerovnosti</w:t>
            </w:r>
            <w:r>
              <w:t xml:space="preserve"> mezi odvětvími a regiony, což by mohlo v dlouhodobém horizontu negativně ovlivnit sociální soudržnost a kvalitu života evropských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navzdory nejistotě způsobené ruskou útočnou válkou proti Ukrajině a dopadům vysoké inflace bylo dosaženo pokroku při plnění cílů EU v oblasti zaměstnanosti, a vzhledem k tomu, že zaměstnanost v EU i v roce 2023 stabilně rostla, ačkoli v některých členských státech přetrvává vysoká míra nezaměstnanosti, a to zejména u mladých lidí, stejně jako značné rozdíly mezi odvětvími a regiony, což by mohlo v dlouhodobém horizontu negativně ovlivnit sociální soudržnost a kvalitu života evropských občanů;</w:t>
            </w:r>
          </w:p>
        </w:tc>
        <w:tc>
          <w:tcPr>
            <w:tcW w:w="4876" w:type="dxa"/>
            <w:tcBorders>
              <w:top w:val="nil"/>
              <w:left w:val="nil"/>
              <w:bottom w:val="nil"/>
              <w:right w:val="nil"/>
            </w:tcBorders>
          </w:tcPr>
          <w:p>
            <w:pPr>
              <w:pStyle w:val="Normal6a"/>
            </w:pPr>
            <w:r>
              <w:t>A.</w:t>
            </w:r>
            <w:r>
              <w:tab/>
            </w:r>
            <w:r>
              <w:t xml:space="preserve">vzhledem k tomu, že navzdory nejistotě způsobené ruskou útočnou válkou proti Ukrajině a dopadům vysoké inflace bylo dosaženo pokroku při plnění cílů EU v oblasti zaměstnanosti, a vzhledem k tomu, že zaměstnanost v EU i v roce 2023 stabilně rostla, ačkoli v některých členských státech přetrvává vysoká míra nezaměstnanosti, a to zejména u mladých lidí </w:t>
            </w:r>
            <w:r>
              <w:rPr>
                <w:b/>
                <w:i/>
              </w:rPr>
              <w:t>a osob se zdravotním postižením</w:t>
            </w:r>
            <w:r>
              <w:t>, stejně jako značné rozdíly mezi odvětvími a regiony, což by mohlo v dlouhodobém horizontu negativně ovlivnit sociální soudržnost a kvalitu života evropských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navzdory nejistotě způsobené ruskou útočnou válkou proti Ukrajině a dopadům vysoké inflace bylo dosaženo pokroku při plnění cílů EU v oblasti zaměstnanosti, a vzhledem k tomu, že zaměstnanost v EU i v roce 2023 stabilně rostla, ačkoli v některých členských státech přetrvává vysoká míra nezaměstnanosti, a to zejména u mladých lidí, stejně jako značné rozdíly mezi odvětvími a regiony, což by mohlo v dlouhodobém horizontu negativně ovlivnit sociální soudržnost a kvalitu života evropských občanů;</w:t>
            </w:r>
          </w:p>
        </w:tc>
        <w:tc>
          <w:tcPr>
            <w:tcW w:w="4876" w:type="dxa"/>
            <w:tcBorders>
              <w:top w:val="nil"/>
              <w:left w:val="nil"/>
              <w:bottom w:val="nil"/>
              <w:right w:val="nil"/>
            </w:tcBorders>
          </w:tcPr>
          <w:p>
            <w:pPr>
              <w:pStyle w:val="Normal6a"/>
            </w:pPr>
            <w:r>
              <w:t>A.</w:t>
            </w:r>
            <w:r>
              <w:tab/>
            </w:r>
            <w:r>
              <w:t xml:space="preserve">vzhledem k tomu, že navzdory nejistotě způsobené ruskou útočnou válkou proti Ukrajině a dopadům vysoké inflace bylo dosaženo </w:t>
            </w:r>
            <w:r>
              <w:rPr>
                <w:b/>
                <w:i/>
              </w:rPr>
              <w:t>určitého</w:t>
            </w:r>
            <w:r>
              <w:t xml:space="preserve"> pokroku při plnění cílů EU v oblasti zaměstnanosti, a vzhledem k tomu, že zaměstnanost v EU i v roce 2023 stabilně rostla, ačkoli v některých členských státech přetrvává vysoká míra nezaměstnanosti, a to zejména u mladých lidí, stejně jako značné rozdíly mezi odvětvími a regiony, což by mohlo v dlouhodobém horizontu negativně ovlivnit sociální soudržnost a kvalitu života evropských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navzdory </w:t>
            </w:r>
            <w:r>
              <w:rPr>
                <w:b/>
                <w:i/>
              </w:rPr>
              <w:t>nejistotě</w:t>
            </w:r>
            <w:r>
              <w:t xml:space="preserve"> způsobené ruskou útočnou válkou proti Ukrajině </w:t>
            </w:r>
            <w:r>
              <w:rPr>
                <w:b/>
                <w:i/>
              </w:rPr>
              <w:t>a dopadům vysoké inflace</w:t>
            </w:r>
            <w:r>
              <w:t xml:space="preserve"> bylo dosaženo pokroku při plnění cílů EU v oblasti zaměstnanosti, a vzhledem k tomu, že zaměstnanost v EU i v roce 2023 stabilně rostla, ačkoli v některých členských státech přetrvává vysoká míra nezaměstnanosti, a to zejména u mladých lidí, stejně jako značné rozdíly mezi odvětvími a regiony, což by mohlo v dlouhodobém horizontu negativně ovlivnit sociální soudržnost a kvalitu života evropských občanů;</w:t>
            </w:r>
          </w:p>
        </w:tc>
        <w:tc>
          <w:tcPr>
            <w:tcW w:w="4876" w:type="dxa"/>
            <w:tcBorders>
              <w:top w:val="nil"/>
              <w:left w:val="nil"/>
              <w:bottom w:val="nil"/>
              <w:right w:val="nil"/>
            </w:tcBorders>
          </w:tcPr>
          <w:p>
            <w:pPr>
              <w:pStyle w:val="Normal6a"/>
            </w:pPr>
            <w:r>
              <w:t>A.</w:t>
            </w:r>
            <w:r>
              <w:tab/>
            </w:r>
            <w:r>
              <w:t xml:space="preserve">vzhledem k tomu, že navzdory </w:t>
            </w:r>
            <w:r>
              <w:rPr>
                <w:b/>
                <w:i/>
              </w:rPr>
              <w:t>závažné inflační krizi</w:t>
            </w:r>
            <w:r>
              <w:t xml:space="preserve"> způsobené </w:t>
            </w:r>
            <w:r>
              <w:rPr>
                <w:b/>
                <w:i/>
              </w:rPr>
              <w:t>mimo jiné</w:t>
            </w:r>
            <w:r>
              <w:t xml:space="preserve"> ruskou útočnou válkou proti Ukrajině bylo dosaženo pokroku při plnění cílů EU v oblasti zaměstnanosti, a vzhledem k tomu, že zaměstnanost v EU i v roce 2023 stabilně rostla, ačkoli v některých členských státech přetrvává vysoká míra nezaměstnanosti, a to zejména u mladých lidí, stejně jako značné rozdíly mezi odvětvími a regiony, což by mohlo v dlouhodobém horizontu negativně ovlivnit sociální soudržnost a kvalitu života evropských občanů;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evropský semestr kombinuje různé nástroje v integrovaném rámci pro mnohostrannou koordinaci a dohled nad hospodářskými politikami, politikami zaměstnanosti, sociálními politikami a politikami v oblasti životního prostředí v rámci EU a musí se stát klíčovým nástrojem pro podporu vzestupné sociální konvergence a zajistit, aby hospodářské a fiskální politiky nejen stimulovaly růst, ale také přispívaly k sociální a udržitelné EU;</w:t>
            </w:r>
            <w:r>
              <w:t xml:space="preserve"> </w:t>
            </w:r>
            <w:r>
              <w:rPr>
                <w:b/>
                <w:i/>
              </w:rPr>
              <w:t>vzhledem k tomu, že v rámci integrované analýzy vývoje zaměstnanosti a sociální situace v kontextu evropského semestru by měla být posouzena rizika pro vzestupnou sociální konvergenci v členských státech a měl by být sledován pokrok při provádění zásad evropského pilíře sociálních práv, a to na základě srovnávacího přehledu sociálních ukazatelů a zásad rámce sociální konvergence;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Evropská unie přijala cíl, aby se do roku 2030 každoročně účastnilo odborné přípravy nejméně 60 % dospělých osob;</w:t>
            </w:r>
            <w:r>
              <w:t xml:space="preserve"> </w:t>
            </w:r>
            <w:r>
              <w:rPr>
                <w:b/>
                <w:i/>
              </w:rPr>
              <w:t>vzhledem k tomu, že členské státy se zavázaly k plnění vnitrostátních cílů, aby tohoto hlavního cíle dosáhly, a vzhledem k tomu, že většina členských států při plnění těchto vnitrostátních cílů zaostává;</w:t>
            </w:r>
            <w:r>
              <w:t xml:space="preserve"> </w:t>
            </w:r>
            <w:r>
              <w:rPr>
                <w:b/>
                <w:i/>
              </w:rPr>
              <w:t>vzhledem k tomu, že v roce 2022 činila míra účasti dospělých na vzdělávání 39,5 %, což je stále výrazně pod cílem EU pro rok 2030;</w:t>
            </w:r>
            <w:r>
              <w:t xml:space="preserve"> </w:t>
            </w:r>
            <w:r>
              <w:rPr>
                <w:b/>
                <w:i/>
              </w:rPr>
              <w:t>vzhledem k tomu, že je třeba vyvinout další značné úsilí s cílem zajistit poskytování kvalitních politik odborné přípravy, které podporují celoživotní učení a posilují konkurenceschopnost, odolnost a inkluzivnost pracovní síly EU, a přístup k těmto politikám;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Evropská unie přijala cíl snížit do roku 2030 počet osob ohrožených chudobou a sociálním vyloučením nejméně o 15 milionů ve srovnání s rokem 2019, včetně nejméně 5 milionů dětí;</w:t>
            </w:r>
            <w:r>
              <w:t xml:space="preserve"> </w:t>
            </w:r>
            <w:r>
              <w:rPr>
                <w:b/>
                <w:i/>
              </w:rPr>
              <w:t>vzhledem k tomu, že členské státy se zavázaly k plnění vnitrostátních cílů, aby tohoto hlavního cíle dosáhly, a vzhledem k tomu, že tento trend ukazuje pro téměř polovinu členských států opačný směr;</w:t>
            </w:r>
            <w:r>
              <w:t xml:space="preserve"> </w:t>
            </w:r>
            <w:r>
              <w:rPr>
                <w:b/>
                <w:i/>
              </w:rPr>
              <w:t>vzhledem k tomu, že v roce 2023 bylo 94,6 milionu lidí v EU (21,4 % obyvatelstva)</w:t>
            </w:r>
            <w:r>
              <w:rPr>
                <w:b/>
                <w:i/>
                <w:vertAlign w:val="superscript"/>
              </w:rPr>
              <w:t>3a</w:t>
            </w:r>
            <w:r>
              <w:t xml:space="preserve"> </w:t>
            </w:r>
            <w:r>
              <w:rPr>
                <w:b/>
                <w:i/>
              </w:rPr>
              <w:t>ohroženo chudobou nebo sociálním vyloučením, což je jen o něco méně než v roce 2019;</w:t>
            </w:r>
            <w:r>
              <w:t xml:space="preserve"> </w:t>
            </w:r>
            <w:r>
              <w:rPr>
                <w:b/>
                <w:i/>
              </w:rPr>
              <w:t>vzhledem k tomu, že bez změny přístupu k boji proti chudobě na evropské úrovni nebude možné tento trend zvrátit a zajistit, aby každý občan měl rovné příležitosti k účasti na životě společnosti;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Osoby ohrožené chudobou nebo sociálním vyloučením v roce 2023, Eurostat, https://ec.europa.eu/eurostat/web/products-eurostat-news/w/ddn-20240612-1#:~:text=In%202023%2C%2094.6%20million%20people,household%20with%20very%20low%20work.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evropský pilíř sociálních práv (EPRS) musí být vodítkem pro hlavní sociální a hospodářské politiky EU a musí zajistit, aby Unie převzala vedoucí úlohu při podpoře sociálního pokroku;</w:t>
            </w:r>
            <w:r>
              <w:t xml:space="preserve"> </w:t>
            </w:r>
            <w:r>
              <w:rPr>
                <w:b/>
                <w:i/>
              </w:rPr>
              <w:t>vzhledem k tomu, že Evropská komise musí posoudit rizika pro vzestupnou sociální konvergenci v členských státech a sledovat pokrok při provádění EPRS s využitím srovnávacího přehledu sociálních ukazatelů a rámce sociální konvergence;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vzhledem k tomu, že každé čtvrté dítě je v Evropské unii stále ohroženo chudobou a sociálním vyloučením, a vzhledem k tomu, že současný trend nesplní cíl snížit do roku 2030 počet dětí žijících v chudobě nejméně o 5 milionů;</w:t>
            </w:r>
            <w:r>
              <w:t xml:space="preserve"> </w:t>
            </w:r>
            <w:r>
              <w:rPr>
                <w:b/>
                <w:i/>
              </w:rPr>
              <w:t>vzhledem k tomu, že jsou pozorovány značné rozdíly mezi dětmi z etnického nebo přistěhovaleckého prostředí a dětmi se zdravotním postižením;</w:t>
            </w:r>
            <w:r>
              <w:t xml:space="preserve"> </w:t>
            </w:r>
            <w:r>
              <w:rPr>
                <w:b/>
                <w:i/>
              </w:rPr>
              <w:t>vzhledem k tomu, že 83 % romských dětí žilo v domácnostech ohrožených chudobou;</w:t>
            </w:r>
            <w:r>
              <w:t xml:space="preserve"> </w:t>
            </w:r>
            <w:r>
              <w:rPr>
                <w:b/>
                <w:i/>
              </w:rPr>
              <w:t>vzhledem k tomu, že zdroje EU a vnitrostátní zdroje, které jsou v současné době využívány, nejsou pro řešení problému dětské chudoby v EU v žádném případě dostatečné, a proto je ve stávajícím i příštím víceletém finančním rámci nanejvýš důležitý specializovaný nástroj financování pro evropskou záruku pro děti, jakož i synergie s dalšími evropskými a vnitrostátními fondy;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vzhledem k tomu, že rámec sociální konvergence nabízí klíčový nástroj pro posuzování sociálních výzev a vzestupné konvergence v rámci evropského semestru a pro sledování sociálních rozdílů mezi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vzhledem k tomu, že veřejné výdaje na děti a mládež by neměly být vnímány pouze jako sociální výdaje, nýbrž jako investice do budoucnosti;</w:t>
            </w:r>
            <w:r>
              <w:t xml:space="preserve"> </w:t>
            </w:r>
            <w:r>
              <w:rPr>
                <w:b/>
                <w:i/>
              </w:rPr>
              <w:t>vzhledem k tomu, že v případě dětí vedou sociální investice k lepšímu vzdělávání a pracovním vyhlídkám, což posiluje hospodářské ukazatele;</w:t>
            </w:r>
            <w:r>
              <w:t xml:space="preserve"> </w:t>
            </w:r>
            <w:r>
              <w:rPr>
                <w:b/>
                <w:i/>
              </w:rPr>
              <w:t>vzhledem k tomu, že děti, které mohou mít největší prospěch z účasti na předškolním vzdělávání a péči, jako jsou děti ze znevýhodněného prostředí, mají tendenci se jich účastnit nejméně a nadále se potýkají s překážkami v přístupu;</w:t>
            </w:r>
            <w:r>
              <w:t xml:space="preserve"> </w:t>
            </w:r>
            <w:r>
              <w:rPr>
                <w:b/>
                <w:i/>
              </w:rPr>
              <w:t>vzhledem k tomu, že ke splnění barcelonských cílů v oblasti předškolního vzdělávání a péče do roku 2030 by EU měla investovat dalších 11 miliard EUR ročně</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Vývoj zaměstnanosti a sociální situace v Evropě (ESDE) 2024, Evropská komise, září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vzhledem k tomu, že řešení výzev uvedených ve společné zprávě o zaměstnanosti přispěje k dosažení vzestupné sociální konvergence, podpoří spravedlivou ekologickou a digitální transformaci, bude řešit demografické změny a přispěje k dosažení cílů udržitelného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vzhledem k tomu, že 1,4 milionu osob v EU stále žije v různých zařízeních;</w:t>
            </w:r>
            <w:r>
              <w:t xml:space="preserve"> </w:t>
            </w:r>
            <w:r>
              <w:rPr>
                <w:b/>
                <w:i/>
              </w:rPr>
              <w:t>vzhledem k tomu, že obyvatelé zařízení jsou izolováni od širší komunity a nemají dostatečnou kontrolu nad svým životem a nad rozhodnutími, která se jich týkají;</w:t>
            </w:r>
            <w:r>
              <w:t xml:space="preserve"> </w:t>
            </w:r>
            <w:r>
              <w:rPr>
                <w:b/>
                <w:i/>
              </w:rPr>
              <w:t>vzhledem k tomu, že navzdory tomu, že se Evropská unie již dlouho angažuje v procesu deinstitucionalizace, je na evropské i vnitrostátní úrovni stále třeba usilovat o to, aby zranitelné skupiny mohly žít nezávisle v komunitním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vzhledem k tomu, že míra samostatné výdělečné činnosti klesá, a to i mezi mladými lidmi, a že jsou mezi osobami samostatně výdělečně činnými neúměrně rozšířená nekvalitní pracovní místa;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demografické výzvy, včetně stárnutí obyvatelstva, nízké porodnosti a vylidňování venkova, zásadně ovlivňují udržitelnost systémů sociálního zabezpečení</w:t>
            </w:r>
            <w:r>
              <w:rPr>
                <w:b/>
                <w:i/>
              </w:rPr>
              <w:t>, a představují</w:t>
            </w:r>
            <w:r>
              <w:t xml:space="preserve"> tudíž pro ekonomiku EU strukturální výzvu</w:t>
            </w:r>
            <w:r>
              <w:rPr>
                <w:b/>
                <w:i/>
              </w:rPr>
              <w:t>, a</w:t>
            </w:r>
            <w:r>
              <w:t xml:space="preserve"> vzhledem k tomu, že udržitelný růst v Evropě do značné míry závisí na začlenění aktivního obyvatelstva na trh práce a na spolehlivém systému sociálního zabezpečení</w:t>
            </w:r>
            <w:r>
              <w:rPr>
                <w:b/>
                <w:i/>
              </w:rPr>
              <w:t>, jak je zdůrazněno v Draghiho zprávě</w:t>
            </w:r>
            <w:r>
              <w:t>;</w:t>
            </w:r>
          </w:p>
        </w:tc>
        <w:tc>
          <w:tcPr>
            <w:tcW w:w="4876" w:type="dxa"/>
            <w:tcBorders>
              <w:top w:val="nil"/>
              <w:left w:val="nil"/>
              <w:bottom w:val="nil"/>
              <w:right w:val="nil"/>
            </w:tcBorders>
          </w:tcPr>
          <w:p>
            <w:pPr>
              <w:pStyle w:val="Normal6a"/>
            </w:pPr>
            <w:r>
              <w:t>B.</w:t>
            </w:r>
            <w:r>
              <w:tab/>
            </w:r>
            <w:r>
              <w:t xml:space="preserve">vzhledem k tomu, že demografické výzvy, včetně stárnutí obyvatelstva, nízké porodnosti a vylidňování venkova, zásadně ovlivňují </w:t>
            </w:r>
            <w:r>
              <w:rPr>
                <w:b/>
                <w:i/>
              </w:rPr>
              <w:t>velikost pracovní síly, produktivitu EU, trhy práce, přičemž nedostatek pracovních sil a dovedností zůstává na historicky vysoké úrovni, a</w:t>
            </w:r>
            <w:r>
              <w:t xml:space="preserve"> udržitelnost systémů sociálního zabezpečení </w:t>
            </w:r>
            <w:r>
              <w:rPr>
                <w:b/>
                <w:i/>
              </w:rPr>
              <w:t>představuje</w:t>
            </w:r>
            <w:r>
              <w:t xml:space="preserve"> tudíž pro ekonomiku EU strukturální výzvu</w:t>
            </w:r>
            <w:r>
              <w:rPr>
                <w:b/>
                <w:i/>
              </w:rPr>
              <w:t>;</w:t>
            </w:r>
            <w:r>
              <w:t xml:space="preserve"> vzhledem k tomu, že </w:t>
            </w:r>
            <w:r>
              <w:rPr>
                <w:b/>
                <w:i/>
              </w:rPr>
              <w:t>– jak je zdůrazněno v Draghiho zprávě –</w:t>
            </w:r>
            <w:r>
              <w:t xml:space="preserve"> udržitelný růst </w:t>
            </w:r>
            <w:r>
              <w:rPr>
                <w:b/>
                <w:i/>
              </w:rPr>
              <w:t>a konkurenceschopnost</w:t>
            </w:r>
            <w:r>
              <w:t xml:space="preserve"> v Evropě do značné míry závisí na </w:t>
            </w:r>
            <w:r>
              <w:rPr>
                <w:b/>
                <w:i/>
              </w:rPr>
              <w:t>přizpůsobení systémů vzdělávání a odborné přípravy měnícím se potřebám v oblasti dovedností, prioritizaci vzdělávání dospělých a odborného vzdělávání a přípravy,</w:t>
            </w:r>
            <w:r>
              <w:t xml:space="preserve"> začlenění aktivního obyvatelstva na trh práce a na spolehlivém systému sociálního zabezpečení </w:t>
            </w:r>
            <w:r>
              <w:rPr>
                <w:b/>
                <w:i/>
              </w:rPr>
              <w:t>poskytujícím komplexní veřejné služby;</w:t>
            </w:r>
            <w:r>
              <w:t xml:space="preserve"> </w:t>
            </w:r>
            <w:r>
              <w:rPr>
                <w:b/>
                <w:i/>
              </w:rPr>
              <w:t>vzhledem k tomu, že se předpokládá, že investice ESF+ do aktivních politik na trhu práce zvýší zaměstnanost po uplynutí investičního období, zejména u skupin s nižšími příjmy</w:t>
            </w:r>
            <w:r>
              <w:rPr>
                <w:b/>
                <w:i/>
                <w:vertAlign w:val="superscript"/>
              </w:rPr>
              <w:t>5a</w:t>
            </w:r>
            <w:r>
              <w:rPr>
                <w:b/>
                <w:i/>
              </w:rPr>
              <w:t>;</w:t>
            </w:r>
            <w:r>
              <w:t xml:space="preserve"> </w:t>
            </w:r>
            <w:r>
              <w:rPr>
                <w:b/>
                <w:i/>
              </w:rPr>
              <w:t>vzhledem k tomu, že se očekává, že do roku 2030 se počet pracujících v EU sníží o 7 milionů</w:t>
            </w:r>
            <w:r>
              <w:rPr>
                <w:b/>
                <w:i/>
                <w:vertAlign w:val="superscript"/>
              </w:rPr>
              <w:t>6a</w:t>
            </w:r>
            <w:r>
              <w:rPr>
                <w:b/>
                <w:i/>
              </w:rPr>
              <w:t>, a vzhledem k tomu, že se očekává, že tento počet do roku 2050 dosáhne dalších 35 milionů osob</w:t>
            </w:r>
            <w:r>
              <w:rPr>
                <w:b/>
                <w:i/>
                <w:vertAlign w:val="superscript"/>
              </w:rPr>
              <w:t>7a</w:t>
            </w:r>
            <w:r>
              <w:rPr>
                <w:b/>
                <w:i/>
              </w:rPr>
              <w:t>, což naznačuje, že k doplnění evropské pracovní síly bude nezbytná legální migrace pracovních sil</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Vývoj zaměstnanosti a sociální situace v Evropě (ESDE) 2024, Evropská komise,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Vývoj zaměstnanosti a sociální situace v Evropě (ESDE) 2023, Evropská komise, červenec 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Sdělení Komise „Využívání talentů v evropských regionech“ (COM(2023)32).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demografické výzvy, včetně stárnutí obyvatelstva, nízké porodnosti a vylidňování venkova, zásadně ovlivňují </w:t>
            </w:r>
            <w:r>
              <w:rPr>
                <w:b/>
                <w:i/>
              </w:rPr>
              <w:t>udržitelnost systémů sociálního zabezpečení</w:t>
            </w:r>
            <w:r>
              <w:t xml:space="preserve">, a představují tudíž pro ekonomiku EU </w:t>
            </w:r>
            <w:r>
              <w:rPr>
                <w:b/>
                <w:i/>
              </w:rPr>
              <w:t>strukturální výzvu</w:t>
            </w:r>
            <w:r>
              <w:t xml:space="preserve">, a vzhledem k tomu, že udržitelný růst v Evropě </w:t>
            </w:r>
            <w:r>
              <w:rPr>
                <w:b/>
                <w:i/>
              </w:rPr>
              <w:t>do značné míry závisí na</w:t>
            </w:r>
            <w:r>
              <w:t xml:space="preserve"> začlenění aktivního obyvatelstva na trh práce a na spolehlivém systému sociálního zabezpečení, jak je zdůrazněno v Draghiho zprávě;</w:t>
            </w:r>
          </w:p>
        </w:tc>
        <w:tc>
          <w:tcPr>
            <w:tcW w:w="4876" w:type="dxa"/>
            <w:tcBorders>
              <w:top w:val="nil"/>
              <w:left w:val="nil"/>
              <w:bottom w:val="nil"/>
              <w:right w:val="nil"/>
            </w:tcBorders>
          </w:tcPr>
          <w:p>
            <w:pPr>
              <w:pStyle w:val="Normal6a"/>
            </w:pPr>
            <w:r>
              <w:t>B.</w:t>
            </w:r>
            <w:r>
              <w:tab/>
            </w:r>
            <w:r>
              <w:t xml:space="preserve">vzhledem k tomu, že demografické výzvy, včetně stárnutí obyvatelstva, nízké porodnosti a vylidňování venkova, </w:t>
            </w:r>
            <w:r>
              <w:rPr>
                <w:b/>
                <w:i/>
              </w:rPr>
              <w:t>zejména mladých lidí směřujících do městských oblastí,</w:t>
            </w:r>
            <w:r>
              <w:t xml:space="preserve"> zásadně ovlivňují </w:t>
            </w:r>
            <w:r>
              <w:rPr>
                <w:b/>
                <w:i/>
              </w:rPr>
              <w:t>ekonomickou vitalitu a atraktivitu území EU</w:t>
            </w:r>
            <w:r>
              <w:t xml:space="preserve">, a představují tudíž pro ekonomiku EU, a vzhledem k tomu, že udržitelný růst v Evropě </w:t>
            </w:r>
            <w:r>
              <w:rPr>
                <w:b/>
                <w:i/>
              </w:rPr>
              <w:t>závisí na zachování komplexního systému sociální ochrany, dostupnosti veřejných služeb,</w:t>
            </w:r>
            <w:r>
              <w:t xml:space="preserve"> začlenění aktivního obyvatelstva na trh práce a na spolehlivém systému sociálního zabezpečení, jak je zdůrazněno v Draghiho zprávě;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demografické výzvy, včetně stárnutí obyvatelstva, nízké porodnosti a vylidňování venkova, zásadně ovlivňují udržitelnost systémů sociálního zabezpečení, a představují tudíž pro ekonomiku EU strukturální výzvu, a vzhledem k tomu, že udržitelný růst v Evropě do značné míry závisí na začlenění aktivního obyvatelstva na trh práce a na spolehlivém systému sociálního zabezpečení, jak je zdůrazněno v Draghiho zprávě;</w:t>
            </w:r>
          </w:p>
        </w:tc>
        <w:tc>
          <w:tcPr>
            <w:tcW w:w="4876" w:type="dxa"/>
            <w:tcBorders>
              <w:top w:val="nil"/>
              <w:left w:val="nil"/>
              <w:bottom w:val="nil"/>
              <w:right w:val="nil"/>
            </w:tcBorders>
          </w:tcPr>
          <w:p>
            <w:pPr>
              <w:pStyle w:val="Normal6a"/>
            </w:pPr>
            <w:r>
              <w:t>B.</w:t>
            </w:r>
            <w:r>
              <w:tab/>
            </w:r>
            <w:r>
              <w:t xml:space="preserve">vzhledem k tomu, že demografické výzvy, včetně stárnutí obyvatelstva, nízké porodnosti a vylidňování venkova, zásadně ovlivňují udržitelnost systémů sociálního zabezpečení, a představují tudíž pro ekonomiku EU strukturální výzvu, a vzhledem k tomu, že udržitelný růst v Evropě do značné míry závisí na začlenění aktivního obyvatelstva na trh práce a na spolehlivém systému sociálního zabezpečení, jak je zdůrazněno v Draghiho zprávě; </w:t>
            </w:r>
            <w:r>
              <w:rPr>
                <w:b/>
                <w:i/>
              </w:rPr>
              <w:t>vzhledem k tomu, že některá odvětví potřebují rychlejší automatizaci a robotizaci, aby se zabránilo drastickému poklesu produktivity v důsledku nedostatku zaměstnanců;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demografické výzvy, včetně stárnutí obyvatelstva, nízké porodnosti a vylidňování venkova, zásadně ovlivňují udržitelnost systémů sociálního zabezpečení, a představují tudíž pro ekonomiku EU strukturální výzvu</w:t>
            </w:r>
            <w:r>
              <w:rPr>
                <w:b/>
                <w:i/>
              </w:rPr>
              <w:t>, a</w:t>
            </w:r>
            <w:r>
              <w:t xml:space="preserve"> vzhledem k tomu, že udržitelný růst v Evropě do značné míry závisí na začlenění aktivního obyvatelstva na trh práce a na spolehlivém systému sociálního zabezpečení, </w:t>
            </w:r>
            <w:r>
              <w:rPr>
                <w:b/>
                <w:i/>
              </w:rPr>
              <w:t>jak je zdůrazněno v Draghiho zprávě</w:t>
            </w:r>
            <w:r>
              <w:t>;</w:t>
            </w:r>
          </w:p>
        </w:tc>
        <w:tc>
          <w:tcPr>
            <w:tcW w:w="4876" w:type="dxa"/>
            <w:tcBorders>
              <w:top w:val="nil"/>
              <w:left w:val="nil"/>
              <w:bottom w:val="nil"/>
              <w:right w:val="nil"/>
            </w:tcBorders>
          </w:tcPr>
          <w:p>
            <w:pPr>
              <w:pStyle w:val="Normal6a"/>
            </w:pPr>
            <w:r>
              <w:t>B.</w:t>
            </w:r>
            <w:r>
              <w:tab/>
            </w:r>
            <w:r>
              <w:t>vzhledem k tomu, že demografické výzvy, včetně stárnutí obyvatelstva, nízké porodnosti a vylidňování venkova, zásadně ovlivňují udržitelnost systémů sociálního zabezpečení, a představují tudíž pro ekonomiku EU strukturální výzvu</w:t>
            </w:r>
            <w:r>
              <w:rPr>
                <w:b/>
                <w:i/>
              </w:rPr>
              <w:t>;</w:t>
            </w:r>
            <w:r>
              <w:t xml:space="preserve"> vzhledem k tomu, že </w:t>
            </w:r>
            <w:r>
              <w:rPr>
                <w:b/>
                <w:i/>
              </w:rPr>
              <w:t>– jak je zdůrazněno v Draghiho zprávě – </w:t>
            </w:r>
            <w:r>
              <w:t xml:space="preserve">udržitelný růst v Evropě do značné míry závisí na začlenění </w:t>
            </w:r>
            <w:r>
              <w:rPr>
                <w:b/>
                <w:i/>
              </w:rPr>
              <w:t>nejprve vnitrostátního a poté evropského</w:t>
            </w:r>
            <w:r>
              <w:t xml:space="preserve"> aktivního obyvatelstva na trh práce a na spolehlivém systému sociálního zabezpečení, </w:t>
            </w:r>
            <w:r>
              <w:rPr>
                <w:b/>
                <w:i/>
              </w:rPr>
              <w:t>který by žádným způsobem nenahrazoval vnitrostátní specifika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demografické výzvy, včetně stárnutí obyvatelstva, nízké porodnosti a vylidňování venkova, zásadně ovlivňují udržitelnost systémů sociálního zabezpečení, a představují tudíž pro ekonomiku EU strukturální výzvu, a vzhledem k tomu, že udržitelný růst v Evropě do značné míry závisí na začlenění aktivního obyvatelstva na trh práce a na spolehlivém systému sociálního zabezpečení, jak je zdůrazněno v Draghiho zprávě;</w:t>
            </w:r>
          </w:p>
        </w:tc>
        <w:tc>
          <w:tcPr>
            <w:tcW w:w="4876" w:type="dxa"/>
            <w:tcBorders>
              <w:top w:val="nil"/>
              <w:left w:val="nil"/>
              <w:bottom w:val="nil"/>
              <w:right w:val="nil"/>
            </w:tcBorders>
          </w:tcPr>
          <w:p>
            <w:pPr>
              <w:pStyle w:val="Normal6a"/>
            </w:pPr>
            <w:r>
              <w:t>B.</w:t>
            </w:r>
            <w:r>
              <w:tab/>
            </w:r>
            <w:r>
              <w:t xml:space="preserve">vzhledem k tomu, že demografické výzvy, včetně stárnutí obyvatelstva, nízké porodnosti a vylidňování venkova, zásadně ovlivňují udržitelnost systémů sociálního zabezpečení </w:t>
            </w:r>
            <w:r>
              <w:rPr>
                <w:b/>
                <w:i/>
              </w:rPr>
              <w:t>a ještě umocňují regionální rozdíly v EU</w:t>
            </w:r>
            <w:r>
              <w:t>, a představují tudíž pro ekonomiku EU strukturální výzvu, a vzhledem k tomu, že udržitelný růst v Evropě do značné míry závisí na začlenění aktivního obyvatelstva na trh práce a na spolehlivém systému sociálního zabezpečení, jak je zdůrazněno v Draghiho zprávě;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demografické výzvy, včetně stárnutí obyvatelstva, nízké porodnosti</w:t>
            </w:r>
            <w:r>
              <w:t xml:space="preserve"> a vylidňování venkova</w:t>
            </w:r>
            <w:r>
              <w:rPr>
                <w:b/>
                <w:i/>
              </w:rPr>
              <w:t>, zásadně</w:t>
            </w:r>
            <w:r>
              <w:t xml:space="preserve"> ovlivňují udržitelnost systémů sociálního zabezpečení, a představují tudíž pro ekonomiku EU strukturální výzvu, a vzhledem k tomu, že udržitelný růst v Evropě do značné míry závisí na </w:t>
            </w:r>
            <w:r>
              <w:rPr>
                <w:b/>
                <w:i/>
              </w:rPr>
              <w:t>začlenění aktivního obyvatelstva</w:t>
            </w:r>
            <w:r>
              <w:t xml:space="preserve"> na trh práce a na spolehlivém systému sociálního zabezpečení, jak je zdůrazněno v Draghiho zprávě;</w:t>
            </w:r>
          </w:p>
        </w:tc>
        <w:tc>
          <w:tcPr>
            <w:tcW w:w="4876" w:type="dxa"/>
            <w:tcBorders>
              <w:top w:val="nil"/>
              <w:left w:val="nil"/>
              <w:bottom w:val="nil"/>
              <w:right w:val="nil"/>
            </w:tcBorders>
          </w:tcPr>
          <w:p>
            <w:pPr>
              <w:pStyle w:val="Normal6a"/>
            </w:pPr>
            <w:r>
              <w:t>B.</w:t>
            </w:r>
            <w:r>
              <w:tab/>
            </w:r>
            <w:r>
              <w:t xml:space="preserve">vzhledem k tomu, že </w:t>
            </w:r>
            <w:r>
              <w:rPr>
                <w:b/>
                <w:i/>
              </w:rPr>
              <w:t>demografický vývoj, větší naděje dožití</w:t>
            </w:r>
            <w:r>
              <w:t xml:space="preserve"> a vylidňování venkova ovlivňují udržitelnost systémů sociálního zabezpečení </w:t>
            </w:r>
            <w:r>
              <w:rPr>
                <w:b/>
                <w:i/>
              </w:rPr>
              <w:t>a sociálních služeb</w:t>
            </w:r>
            <w:r>
              <w:t xml:space="preserve">, a představují tudíž pro ekonomiku EU strukturální výzvu, a vzhledem k tomu, že udržitelný růst v Evropě do značné míry závisí na </w:t>
            </w:r>
            <w:r>
              <w:rPr>
                <w:b/>
                <w:i/>
              </w:rPr>
              <w:t>účinném a spravedlivém začlenění</w:t>
            </w:r>
            <w:r>
              <w:t xml:space="preserve"> na trh práce a na spolehlivém systému sociálního zabezpečení, jak je zdůrazněno v Draghiho zprávě;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 jak je zdůrazněno v Draghiho zprávě – migrující pracovníci jsou důležitým faktorem při snižování nedostatku pracovních sil a je u nich větší pravděpodobnost, že budou pracovat v povoláních s trvalým nedostatkem, než u pracovníků narozených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70 % pracovníků v Evropě má kvalitní pracovní místa, 30 % má nejistá pracovní místa, kde je poptávka větší než zdroje dostupné pro její uspokojení, což vede k celkově špatné kvalitě pracovních míst;</w:t>
            </w:r>
            <w:r>
              <w:t xml:space="preserve"> </w:t>
            </w:r>
            <w:r>
              <w:rPr>
                <w:b/>
                <w:i/>
              </w:rPr>
              <w:t>vzhledem k tomu, že u mnoha povolání, která trpí přetrvávajícím nedostatkem pracovních sil, je podíl nekvalitních pracovních míst vyšší než 30 %;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Lettova zpráva vyjadřuje politování nad poklesem porodnosti a poukazuje na to, že je důležité vytvořit rámec </w:t>
            </w:r>
            <w:r>
              <w:rPr>
                <w:b/>
                <w:i/>
              </w:rPr>
              <w:t>na</w:t>
            </w:r>
            <w:r>
              <w:t xml:space="preserve"> podporu všech rodin, který bude součástí strategie růstu podporujícího začlenění, a zdůrazňuje, že je třeba prosazovat strategie v oblasti rovnováhy mezi rodinným a pracovním životem;</w:t>
            </w:r>
          </w:p>
        </w:tc>
        <w:tc>
          <w:tcPr>
            <w:tcW w:w="4876" w:type="dxa"/>
            <w:tcBorders>
              <w:top w:val="nil"/>
              <w:left w:val="nil"/>
              <w:bottom w:val="nil"/>
              <w:right w:val="nil"/>
            </w:tcBorders>
          </w:tcPr>
          <w:p>
            <w:pPr>
              <w:pStyle w:val="Normal6a"/>
            </w:pPr>
            <w:r>
              <w:t>C.</w:t>
            </w:r>
            <w:r>
              <w:tab/>
            </w:r>
            <w:r>
              <w:t xml:space="preserve">vzhledem k tomu, že Lettova zpráva vyjadřuje politování nad poklesem porodnosti a poukazuje na to, že je důležité vytvořit rámec </w:t>
            </w:r>
            <w:r>
              <w:rPr>
                <w:b/>
                <w:i/>
              </w:rPr>
              <w:t>pro zlepšení rovnosti žen a mužů a</w:t>
            </w:r>
            <w:r>
              <w:t xml:space="preserve"> podporu všech </w:t>
            </w:r>
            <w:r>
              <w:rPr>
                <w:b/>
                <w:i/>
              </w:rPr>
              <w:t>typů</w:t>
            </w:r>
            <w:r>
              <w:t xml:space="preserve"> rodin </w:t>
            </w:r>
            <w:r>
              <w:rPr>
                <w:b/>
                <w:i/>
              </w:rPr>
              <w:t>a jednotlivců, včetně samoživitelů</w:t>
            </w:r>
            <w:r>
              <w:t>, který bude součástí strategie růstu podporujícího začlenění, a zdůrazňuje, že je třeba prosazovat strategie v oblasti rovnováhy mezi rodinným a pracovním životem</w:t>
            </w:r>
            <w:r>
              <w:rPr>
                <w:b/>
                <w:i/>
              </w:rPr>
              <w:t>, jež zajistí dostupné a profesionální systémy péče, jakož i kvalitní veřejné vzdělávání, volno z rodinných důvodů a pružné uspořádání pracovní doby v souladu s evropskou strategií v oblasti péče;</w:t>
            </w:r>
            <w:r>
              <w:t xml:space="preserve"> </w:t>
            </w:r>
            <w:r>
              <w:rPr>
                <w:b/>
                <w:i/>
              </w:rPr>
              <w:t>vzhledem k tomu, že Eurostat zdůrazňuje nárůst počtu obyvatel EU v důsledku migrace a nutnost věnovat větší úsilí jejich integraci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Lettova zpráva </w:t>
            </w:r>
            <w:r>
              <w:rPr>
                <w:b/>
                <w:i/>
              </w:rPr>
              <w:t>vyjadřuje politování nad poklesem porodnosti a poukazuje na to, že je důležité vytvořit rámec na podporu všech rodin, který bude součástí strategie</w:t>
            </w:r>
            <w:r>
              <w:t xml:space="preserve"> růstu </w:t>
            </w:r>
            <w:r>
              <w:rPr>
                <w:b/>
                <w:i/>
              </w:rPr>
              <w:t>podporujícího</w:t>
            </w:r>
            <w:r>
              <w:t xml:space="preserve"> začlenění</w:t>
            </w:r>
            <w:r>
              <w:rPr>
                <w:b/>
                <w:i/>
              </w:rPr>
              <w:t>, a zdůrazňuje, že je třeba prosazovat strategie v oblasti rovnováhy mezi rodinným a pracovním životem</w:t>
            </w:r>
            <w:r>
              <w:t>;</w:t>
            </w:r>
          </w:p>
        </w:tc>
        <w:tc>
          <w:tcPr>
            <w:tcW w:w="4876" w:type="dxa"/>
            <w:tcBorders>
              <w:top w:val="nil"/>
              <w:left w:val="nil"/>
              <w:bottom w:val="nil"/>
              <w:right w:val="nil"/>
            </w:tcBorders>
          </w:tcPr>
          <w:p>
            <w:pPr>
              <w:pStyle w:val="Normal6a"/>
            </w:pPr>
            <w:r>
              <w:t>C.</w:t>
            </w:r>
            <w:r>
              <w:tab/>
            </w:r>
            <w:r>
              <w:t xml:space="preserve">vzhledem k tomu, že Lettova zpráva </w:t>
            </w:r>
            <w:r>
              <w:rPr>
                <w:b/>
                <w:i/>
              </w:rPr>
              <w:t>zdůrazňuje potřebu silného sociálního rozměru jednotného trhu EU s cílem zabránit velké hospodářské a sociální nerovnováze, podpořit prosperitu, zajistit spravedlivé příležitosti, práva pracovníků a sociální ochranu pro všechny a zároveň přispět k</w:t>
            </w:r>
            <w:r>
              <w:t xml:space="preserve"> růstu </w:t>
            </w:r>
            <w:r>
              <w:rPr>
                <w:b/>
                <w:i/>
              </w:rPr>
              <w:t>podporujícímu</w:t>
            </w:r>
            <w:r>
              <w:t xml:space="preserve"> začlenění </w:t>
            </w:r>
            <w:r>
              <w:rPr>
                <w:b/>
                <w:i/>
              </w:rPr>
              <w:t>a ke konkurenceschopnosti v souladu s pilířem sociálních práv;</w:t>
            </w:r>
            <w:r>
              <w:t xml:space="preserve"> </w:t>
            </w:r>
            <w:r>
              <w:rPr>
                <w:b/>
                <w:i/>
              </w:rPr>
              <w:t>vzhledem k tomu, že uvedená zprávě konstatuje, že volný pohyb osob zůstává nejméně rozvinutým ze čtyř svobod, a volá po snížení překážek pro profesní mobilitu v rámci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Lettova zpráva </w:t>
            </w:r>
            <w:r>
              <w:rPr>
                <w:b/>
                <w:i/>
              </w:rPr>
              <w:t>vyjadřuje politování nad poklesem</w:t>
            </w:r>
            <w:r>
              <w:t xml:space="preserve"> porodnosti </w:t>
            </w:r>
            <w:r>
              <w:rPr>
                <w:b/>
                <w:i/>
              </w:rPr>
              <w:t>a</w:t>
            </w:r>
            <w:r>
              <w:t xml:space="preserve"> poukazuje na to, že je důležité vytvořit rámec na podporu všech </w:t>
            </w:r>
            <w:r>
              <w:rPr>
                <w:b/>
                <w:i/>
              </w:rPr>
              <w:t>rodin</w:t>
            </w:r>
            <w:r>
              <w:t>, který bude součástí strategie růstu podporujícího začlenění, a zdůrazňuje, že je třeba prosazovat strategie v oblasti rovnováhy mezi rodinným a pracovním životem;</w:t>
            </w:r>
          </w:p>
        </w:tc>
        <w:tc>
          <w:tcPr>
            <w:tcW w:w="4876" w:type="dxa"/>
            <w:tcBorders>
              <w:top w:val="nil"/>
              <w:left w:val="nil"/>
              <w:bottom w:val="nil"/>
              <w:right w:val="nil"/>
            </w:tcBorders>
          </w:tcPr>
          <w:p>
            <w:pPr>
              <w:pStyle w:val="Normal6a"/>
            </w:pPr>
            <w:r>
              <w:t>C.</w:t>
            </w:r>
            <w:r>
              <w:tab/>
            </w:r>
            <w:r>
              <w:t xml:space="preserve">vzhledem k tomu, že Lettova zpráva </w:t>
            </w:r>
            <w:r>
              <w:rPr>
                <w:b/>
                <w:i/>
              </w:rPr>
              <w:t>upozorňuje na pokles</w:t>
            </w:r>
            <w:r>
              <w:t xml:space="preserve"> porodnosti</w:t>
            </w:r>
            <w:r>
              <w:rPr>
                <w:b/>
                <w:i/>
              </w:rPr>
              <w:t>,</w:t>
            </w:r>
            <w:r>
              <w:t xml:space="preserve"> poukazuje na to, že je důležité vytvořit rámec na podporu všech </w:t>
            </w:r>
            <w:r>
              <w:rPr>
                <w:b/>
                <w:i/>
              </w:rPr>
              <w:t>členů naší společnosti během této bezprecedentní krize životních nákladů</w:t>
            </w:r>
            <w:r>
              <w:t xml:space="preserve">, který bude součástí strategie růstu podporujícího začlenění, a zdůrazňuje, že je třeba prosazovat strategie v oblasti rovnováhy mezi rodinným a pracovním životem </w:t>
            </w:r>
            <w:r>
              <w:rPr>
                <w:b/>
                <w:i/>
              </w:rPr>
              <w:t>pro všechny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Lettova zpráva vyjadřuje politování nad poklesem porodnosti a poukazuje na to, že je důležité vytvořit rámec na podporu všech rodin, který bude součástí strategie růstu podporujícího začlenění, a zdůrazňuje, že je třeba prosazovat strategie v oblasti rovnováhy mezi rodinným a pracovním životem;</w:t>
            </w:r>
          </w:p>
        </w:tc>
        <w:tc>
          <w:tcPr>
            <w:tcW w:w="4876" w:type="dxa"/>
            <w:tcBorders>
              <w:top w:val="nil"/>
              <w:left w:val="nil"/>
              <w:bottom w:val="nil"/>
              <w:right w:val="nil"/>
            </w:tcBorders>
          </w:tcPr>
          <w:p>
            <w:pPr>
              <w:pStyle w:val="Normal6a"/>
            </w:pPr>
            <w:r>
              <w:t>C.</w:t>
            </w:r>
            <w:r>
              <w:tab/>
            </w:r>
            <w:r>
              <w:t xml:space="preserve">vzhledem k tomu, že Lettova zpráva vyjadřuje politování nad poklesem porodnosti a poukazuje na to, že je důležité vytvořit </w:t>
            </w:r>
            <w:r>
              <w:rPr>
                <w:b/>
                <w:i/>
              </w:rPr>
              <w:t>komplexní</w:t>
            </w:r>
            <w:r>
              <w:t xml:space="preserve"> rámec na podporu všech rodin, který bude součástí strategie růstu podporujícího začlenění, a zdůrazňuje, že je třeba prosazovat strategie v oblasti rovnováhy mezi rodinným a pracovním životem;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Lettova zpráva vyjadřuje politování nad poklesem porodnosti a poukazuje na to, že je důležité vytvořit rámec na podporu všech rodin, který bude součástí strategie růstu podporujícího začlenění, a zdůrazňuje, že je třeba prosazovat </w:t>
            </w:r>
            <w:r>
              <w:rPr>
                <w:b/>
                <w:i/>
              </w:rPr>
              <w:t>strategie v oblasti rovnováhy mezi rodinným a pracovním životem</w:t>
            </w:r>
            <w:r>
              <w:t>;</w:t>
            </w:r>
          </w:p>
        </w:tc>
        <w:tc>
          <w:tcPr>
            <w:tcW w:w="4876" w:type="dxa"/>
            <w:tcBorders>
              <w:top w:val="nil"/>
              <w:left w:val="nil"/>
              <w:bottom w:val="nil"/>
              <w:right w:val="nil"/>
            </w:tcBorders>
          </w:tcPr>
          <w:p>
            <w:pPr>
              <w:pStyle w:val="Normal6a"/>
            </w:pPr>
            <w:r>
              <w:t>C.</w:t>
            </w:r>
            <w:r>
              <w:tab/>
            </w:r>
            <w:r>
              <w:t xml:space="preserve">vzhledem k tomu, že Lettova zpráva vyjadřuje politování nad poklesem porodnosti a poukazuje na to, že je důležité vytvořit rámec na podporu všech rodin </w:t>
            </w:r>
            <w:r>
              <w:rPr>
                <w:b/>
                <w:i/>
              </w:rPr>
              <w:t>evropských občanů</w:t>
            </w:r>
            <w:r>
              <w:t xml:space="preserve">, který bude součástí strategie růstu podporujícího začlenění, a zdůrazňuje, že je třeba prosazovat </w:t>
            </w:r>
            <w:r>
              <w:rPr>
                <w:b/>
                <w:i/>
              </w:rPr>
              <w:t>rodinnou politiku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podpora silného, udržitelného a inkluzivního hospodářského růstu s vytvářením pracovních míst, jak doporučuje evropský semestr, může být úspěšná pouze tehdy, budou-li děti schopny se rozvíjet a plně využívat svůj (vzdělávací) potenciál, aby byly způsobilé pro budoucí trh práce s kvalifikovanými dovednostmi, a budou-li současně prosazovány rovné příležitosti a sociální soudržnost, snižovány zdravotní a sociální nerovnosti a zlepšovány sociální začleňování a dobré životní podmínky dětí;</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za tímto účelem musí mít děti účinný přístup ke službám základní péče, jako je předškolní vzdělávání a péče, vzdělávání a školní aktivity, a zejména k základní zdravotní péči, a to prostřednictvím účinného přístupu ke zdravému stravování, včetně alespoň jednoho zdravého jídla za každý školní den, aby byly odolné;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vzhledem k tomu, že je třeba cíleně podporovat rodiny, aby se zlepšil rozvoj budoucích generací;</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vzhledem k tomu, že je třeba dosáhnout významného pokroku v boji proti chudobě dětí a jejich rodin a přispět k cíli snížit do roku 2030 počet osob žijících v chudobě nejméně o 15 milionů, včetně nejméně 5 milionů dětí ve všech členských státech;</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inflace zvýšila zátěž domácností a že </w:t>
            </w:r>
            <w:r>
              <w:rPr>
                <w:b/>
                <w:i/>
              </w:rPr>
              <w:t>hlavními</w:t>
            </w:r>
            <w:r>
              <w:t xml:space="preserve"> problémy </w:t>
            </w:r>
            <w:r>
              <w:rPr>
                <w:b/>
                <w:i/>
              </w:rPr>
              <w:t>zůstávají</w:t>
            </w:r>
            <w:r>
              <w:t xml:space="preserve"> náklady na bydlení </w:t>
            </w:r>
            <w:r>
              <w:rPr>
                <w:b/>
                <w:i/>
              </w:rPr>
              <w:t>a energetická chudoba</w:t>
            </w:r>
            <w:r>
              <w:t>;</w:t>
            </w:r>
          </w:p>
        </w:tc>
        <w:tc>
          <w:tcPr>
            <w:tcW w:w="4876" w:type="dxa"/>
            <w:tcBorders>
              <w:top w:val="nil"/>
              <w:left w:val="nil"/>
              <w:bottom w:val="nil"/>
              <w:right w:val="nil"/>
            </w:tcBorders>
          </w:tcPr>
          <w:p>
            <w:pPr>
              <w:pStyle w:val="Normal6a"/>
            </w:pPr>
            <w:r>
              <w:t>D.</w:t>
            </w:r>
            <w:r>
              <w:tab/>
            </w:r>
            <w:r>
              <w:t xml:space="preserve">vzhledem k tomu, že </w:t>
            </w:r>
            <w:r>
              <w:rPr>
                <w:b/>
                <w:i/>
              </w:rPr>
              <w:t>vysoká míra</w:t>
            </w:r>
            <w:r>
              <w:t xml:space="preserve"> inflace zvýšila </w:t>
            </w:r>
            <w:r>
              <w:rPr>
                <w:b/>
                <w:i/>
              </w:rPr>
              <w:t>životní náklady a</w:t>
            </w:r>
            <w:r>
              <w:t xml:space="preserve"> zátěž domácností a že </w:t>
            </w:r>
            <w:r>
              <w:rPr>
                <w:b/>
                <w:i/>
              </w:rPr>
              <w:t>kritickými</w:t>
            </w:r>
            <w:r>
              <w:t xml:space="preserve"> problémy </w:t>
            </w:r>
            <w:r>
              <w:rPr>
                <w:b/>
                <w:i/>
              </w:rPr>
              <w:t>EU jsou i nadále náklady na bydlení, energetická chudoba a sociální vyloučení, jež se týkají zejména žen, mladých lidí, dětí, osob se zdravotním postižením, LGTBI, osob přistěhovaleckého původu a Romů, přičemž mezi členskými státy a skupinami obyvatelstva i v jejich rámci existují značné rozdíly;</w:t>
            </w:r>
            <w:r>
              <w:t xml:space="preserve"> </w:t>
            </w:r>
            <w:r>
              <w:rPr>
                <w:b/>
                <w:i/>
              </w:rPr>
              <w:t>vzhledem k tomu, že bydlení se stává nedostupným, neboť mnoho Evropanů žije v domácnostech, kde</w:t>
            </w:r>
            <w:r>
              <w:t xml:space="preserve"> náklady na bydlení </w:t>
            </w:r>
            <w:r>
              <w:rPr>
                <w:b/>
                <w:i/>
              </w:rPr>
              <w:t>představují 40 % jejich celkového disponibilního příjmu;</w:t>
            </w:r>
            <w:r>
              <w:t xml:space="preserve"> </w:t>
            </w:r>
            <w:r>
              <w:rPr>
                <w:b/>
                <w:i/>
              </w:rPr>
              <w:t>vzhledem k tomu, že důstojné, kvalitní a cenově dostupné bydlení, a to i prostřednictvím sociálního bydlení, je základní podmínkou pro zajištění rovných příležitostí a boj proti chudobě a sociálnímu vyloučení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inflace zvýšila zátěž domácností a že hlavními problémy zůstávají náklady </w:t>
            </w:r>
            <w:r>
              <w:rPr>
                <w:b/>
                <w:i/>
              </w:rPr>
              <w:t>na</w:t>
            </w:r>
            <w:r>
              <w:t xml:space="preserve"> bydlení </w:t>
            </w:r>
            <w:r>
              <w:rPr>
                <w:b/>
                <w:i/>
              </w:rPr>
              <w:t>a</w:t>
            </w:r>
            <w:r>
              <w:t xml:space="preserve"> energetická chudoba;</w:t>
            </w:r>
          </w:p>
        </w:tc>
        <w:tc>
          <w:tcPr>
            <w:tcW w:w="4876" w:type="dxa"/>
            <w:tcBorders>
              <w:top w:val="nil"/>
              <w:left w:val="nil"/>
              <w:bottom w:val="nil"/>
              <w:right w:val="nil"/>
            </w:tcBorders>
          </w:tcPr>
          <w:p>
            <w:pPr>
              <w:pStyle w:val="Normal6a"/>
            </w:pPr>
            <w:r>
              <w:t>D.</w:t>
            </w:r>
            <w:r>
              <w:tab/>
            </w:r>
            <w:r>
              <w:t xml:space="preserve">vzhledem k tomu, že inflace zvýšila zátěž domácností a </w:t>
            </w:r>
            <w:r>
              <w:rPr>
                <w:b/>
                <w:i/>
              </w:rPr>
              <w:t>MSP, což zvyšuje riziko chudoby a sociálního vyloučení;</w:t>
            </w:r>
            <w:r>
              <w:t xml:space="preserve"> </w:t>
            </w:r>
            <w:r>
              <w:rPr>
                <w:b/>
                <w:i/>
              </w:rPr>
              <w:t>vzhledem k tomu,</w:t>
            </w:r>
            <w:r>
              <w:t xml:space="preserve"> že hlavními problémy zůstávají </w:t>
            </w:r>
            <w:r>
              <w:rPr>
                <w:b/>
                <w:i/>
              </w:rPr>
              <w:t>životní</w:t>
            </w:r>
            <w:r>
              <w:t xml:space="preserve"> náklady</w:t>
            </w:r>
            <w:r>
              <w:rPr>
                <w:b/>
                <w:i/>
              </w:rPr>
              <w:t>, dostupnost a cenová přijatelnost</w:t>
            </w:r>
            <w:r>
              <w:t xml:space="preserve"> bydlení</w:t>
            </w:r>
            <w:r>
              <w:rPr>
                <w:b/>
                <w:i/>
              </w:rPr>
              <w:t>, jakož i</w:t>
            </w:r>
            <w:r>
              <w:t xml:space="preserve"> energetická </w:t>
            </w:r>
            <w:r>
              <w:rPr>
                <w:b/>
                <w:i/>
              </w:rPr>
              <w:t>a dopravní</w:t>
            </w:r>
            <w:r>
              <w:t xml:space="preserve"> chudoba; </w:t>
            </w:r>
            <w:r>
              <w:rPr>
                <w:b/>
                <w:i/>
              </w:rPr>
              <w:t>vzhledem k tomu, že klíčovou úlohu při snižování chudoby zranitelných domácností a zlepšování cenové dostupnosti hrají investice do sociálních služeb a zvyšování nabídky bydlení, včetně sociálního bydlení, jakož i příspěvků na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inflace zvýšila zátěž domácností a </w:t>
            </w:r>
            <w:r>
              <w:rPr>
                <w:b/>
                <w:i/>
              </w:rPr>
              <w:t>že hlavními problémy zůstávají náklady na bydlení a energetická chudoba</w:t>
            </w:r>
            <w:r>
              <w:t>;</w:t>
            </w:r>
          </w:p>
        </w:tc>
        <w:tc>
          <w:tcPr>
            <w:tcW w:w="4876" w:type="dxa"/>
            <w:tcBorders>
              <w:top w:val="nil"/>
              <w:left w:val="nil"/>
              <w:bottom w:val="nil"/>
              <w:right w:val="nil"/>
            </w:tcBorders>
          </w:tcPr>
          <w:p>
            <w:pPr>
              <w:pStyle w:val="Normal6a"/>
            </w:pPr>
            <w:r>
              <w:t>D.</w:t>
            </w:r>
            <w:r>
              <w:tab/>
            </w:r>
            <w:r>
              <w:t xml:space="preserve">vzhledem k tomu, že inflace zvýšila zátěž domácností a </w:t>
            </w:r>
            <w:r>
              <w:rPr>
                <w:b/>
                <w:i/>
              </w:rPr>
              <w:t>náklady na bydlení a energetickou chudobu se v roce 2023 v EU již druhým rokem po sobě zvýšily, což odráží dopad vysokých nákladů na energii, který vyžaduje aktivní opatření ze strany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inflace zvýšila zátěž domácností a že hlavními problémy zůstávají náklady na bydlení a energetická chudoba;</w:t>
            </w:r>
          </w:p>
        </w:tc>
        <w:tc>
          <w:tcPr>
            <w:tcW w:w="4876" w:type="dxa"/>
            <w:tcBorders>
              <w:top w:val="nil"/>
              <w:left w:val="nil"/>
              <w:bottom w:val="nil"/>
              <w:right w:val="nil"/>
            </w:tcBorders>
          </w:tcPr>
          <w:p>
            <w:pPr>
              <w:pStyle w:val="Normal6a"/>
            </w:pPr>
            <w:r>
              <w:t>D.</w:t>
            </w:r>
            <w:r>
              <w:tab/>
            </w:r>
            <w:r>
              <w:t>vzhledem k tomu, že inflace zvýšila zátěž domácností</w:t>
            </w:r>
            <w:r>
              <w:rPr>
                <w:b/>
                <w:i/>
              </w:rPr>
              <w:t>, což má obzvláště negativní dopad na samoživitele, velké rodiny, starší osoby nebo osoby se zdravotním postižením,</w:t>
            </w:r>
            <w:r>
              <w:t xml:space="preserve"> a že hlavními problémy zůstávají náklady na bydlení a energetická chudoba;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inflace </w:t>
            </w:r>
            <w:r>
              <w:rPr>
                <w:b/>
                <w:i/>
              </w:rPr>
              <w:t>zvýšila</w:t>
            </w:r>
            <w:r>
              <w:t xml:space="preserve"> zátěž domácností </w:t>
            </w:r>
            <w:r>
              <w:rPr>
                <w:b/>
                <w:i/>
              </w:rPr>
              <w:t>a</w:t>
            </w:r>
            <w:r>
              <w:t xml:space="preserve"> že hlavními problémy zůstávají náklady na bydlení a energetická chudoba;</w:t>
            </w:r>
          </w:p>
        </w:tc>
        <w:tc>
          <w:tcPr>
            <w:tcW w:w="4876" w:type="dxa"/>
            <w:tcBorders>
              <w:top w:val="nil"/>
              <w:left w:val="nil"/>
              <w:bottom w:val="nil"/>
              <w:right w:val="nil"/>
            </w:tcBorders>
          </w:tcPr>
          <w:p>
            <w:pPr>
              <w:pStyle w:val="Normal6a"/>
            </w:pPr>
            <w:r>
              <w:t>D.</w:t>
            </w:r>
            <w:r>
              <w:tab/>
            </w:r>
            <w:r>
              <w:t xml:space="preserve">vzhledem k tomu, že inflace </w:t>
            </w:r>
            <w:r>
              <w:rPr>
                <w:b/>
                <w:i/>
              </w:rPr>
              <w:t>a nedostatek redistribučních politik zvýšily ekonomickou</w:t>
            </w:r>
            <w:r>
              <w:t xml:space="preserve"> zátěž domácností</w:t>
            </w:r>
            <w:r>
              <w:rPr>
                <w:b/>
                <w:i/>
              </w:rPr>
              <w:t>, zejména těch nejzranitelnějších;</w:t>
            </w:r>
            <w:r>
              <w:t xml:space="preserve"> </w:t>
            </w:r>
            <w:r>
              <w:rPr>
                <w:b/>
                <w:i/>
              </w:rPr>
              <w:t>vzhledem k tomu,</w:t>
            </w:r>
            <w:r>
              <w:t xml:space="preserve"> že hlavními problémy </w:t>
            </w:r>
            <w:r>
              <w:rPr>
                <w:b/>
                <w:i/>
              </w:rPr>
              <w:t>celé EU</w:t>
            </w:r>
            <w:r>
              <w:t xml:space="preserve"> zůstávají náklady na bydlení a energetická chudoba;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inflace zvýšila zátěž domácností a že hlavními problémy zůstávají náklady na bydlení a energetická chudoba;</w:t>
            </w:r>
          </w:p>
        </w:tc>
        <w:tc>
          <w:tcPr>
            <w:tcW w:w="4876" w:type="dxa"/>
            <w:tcBorders>
              <w:top w:val="nil"/>
              <w:left w:val="nil"/>
              <w:bottom w:val="nil"/>
              <w:right w:val="nil"/>
            </w:tcBorders>
          </w:tcPr>
          <w:p>
            <w:pPr>
              <w:pStyle w:val="Normal6a"/>
            </w:pPr>
            <w:r>
              <w:t>D.</w:t>
            </w:r>
            <w:r>
              <w:tab/>
            </w:r>
            <w:r>
              <w:t>vzhledem k tomu, že inflace zvýšila zátěž domácností a že hlavními problémy zůstávají náklady na bydlení a energetická chudoba</w:t>
            </w:r>
            <w:r>
              <w:rPr>
                <w:b/>
                <w:i/>
              </w:rPr>
              <w:t>, pokud jsou spojeny s přehnanými normami v oblasti bydlení a energie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střednědobé fiskální strukturální plány představují fiskální trajektorie, které potvrzují vznikající kompromis mezi nárůstem investic a přiměřenou úrovní sociálních výdajů;</w:t>
            </w:r>
            <w:r>
              <w:t xml:space="preserve"> </w:t>
            </w:r>
            <w:r>
              <w:rPr>
                <w:b/>
                <w:i/>
              </w:rPr>
              <w:t>vzhledem k tomu, že zároveň vykazují nesoulad mezi reformami a investicemi a veřejnými investicemi a cíli v oblasti veřejných financí;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navzdory minimálnímu snížení počtu osob ohrožených chudobou nebo sociálním vyloučením v EU v roce 2023 tomuto problému stále čelí přibližně každý pátý, přičemž mezi dětmi, mladými a staršími lidmi, osobami se zdravotním postižením, LGTBI, osobami narozenými mimo EU a romskými komunitami existují značné rozdíly;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evropské mikropodniky a malé a střední podniky čelí specifickým výzvám, jako je zachování konkurenceschopnosti vůči aktérům ze třetích zemí, zachování úrovně výroby se stále vyššími náklady na energii a nalezení dovedností nezbytných pro ekologickou a digitální transformaci;</w:t>
            </w:r>
            <w:r>
              <w:t xml:space="preserve"> </w:t>
            </w:r>
            <w:r>
              <w:rPr>
                <w:b/>
                <w:i/>
              </w:rPr>
              <w:t>vzhledem k tomu, že potřebují finanční a technickou podporu, aby splnily regulační požadavky vyplývající z příležitostí, které nabízí dvojí transformace;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w:t>
            </w:r>
            <w:r>
              <w:rPr>
                <w:b/>
                <w:i/>
              </w:rPr>
              <w:t>nedostatek pracovních sil a kvalifikovaných pracovníků zůstává</w:t>
            </w:r>
            <w:r>
              <w:t xml:space="preserve"> problémem na všech úrovních, který ještě umocňuje nedostatek kandidátů na obsazení kritických pozic v </w:t>
            </w:r>
            <w:r>
              <w:rPr>
                <w:b/>
                <w:i/>
              </w:rPr>
              <w:t>klíčových</w:t>
            </w:r>
            <w:r>
              <w:t xml:space="preserve"> odvětvích, jako je </w:t>
            </w:r>
            <w:r>
              <w:rPr>
                <w:b/>
                <w:i/>
              </w:rPr>
              <w:t>vzdělávání, zdravotnictví a stavebnictví</w:t>
            </w:r>
            <w:r>
              <w:t>, zejména v oblastech postižených vylidňováním;</w:t>
            </w:r>
          </w:p>
        </w:tc>
        <w:tc>
          <w:tcPr>
            <w:tcW w:w="4876" w:type="dxa"/>
            <w:tcBorders>
              <w:top w:val="nil"/>
              <w:left w:val="nil"/>
              <w:bottom w:val="nil"/>
              <w:right w:val="nil"/>
            </w:tcBorders>
          </w:tcPr>
          <w:p>
            <w:pPr>
              <w:pStyle w:val="Normal6a"/>
            </w:pPr>
            <w:r>
              <w:t>E.</w:t>
            </w:r>
            <w:r>
              <w:tab/>
            </w:r>
            <w:r>
              <w:t xml:space="preserve">vzhledem k tomu, že </w:t>
            </w:r>
            <w:r>
              <w:rPr>
                <w:b/>
                <w:i/>
              </w:rPr>
              <w:t>nedostatečná atraktivita a investice do kvalitních veřejných služeb, špatné pracovní podmínky a nízké mzdy jsou i nadále</w:t>
            </w:r>
            <w:r>
              <w:t xml:space="preserve"> problémem na všech úrovních, který ještě umocňuje nedostatek kandidátů na obsazení kritických pozic v </w:t>
            </w:r>
            <w:r>
              <w:rPr>
                <w:b/>
                <w:i/>
              </w:rPr>
              <w:t>některých</w:t>
            </w:r>
            <w:r>
              <w:t xml:space="preserve"> odvětvích, jako je </w:t>
            </w:r>
            <w:r>
              <w:rPr>
                <w:b/>
                <w:i/>
              </w:rPr>
              <w:t>věda a technika</w:t>
            </w:r>
            <w:r>
              <w:t xml:space="preserve">, zejména v oblastech postižených vylidňováním; </w:t>
            </w:r>
            <w:r>
              <w:rPr>
                <w:b/>
                <w:i/>
              </w:rPr>
              <w:t>vzhledem k tomu, že schopnost EU čelit budoucím otřesům, krizím a polykrizím při zvládání demografické, digitální a ekologické transformace bude do značné míry záviset na podmínkách, za nichž budou kritičtí pracovníci schopni vykonávat svou práci;</w:t>
            </w:r>
            <w:r>
              <w:t xml:space="preserve"> </w:t>
            </w:r>
            <w:r>
              <w:rPr>
                <w:b/>
                <w:i/>
              </w:rPr>
              <w:t>vzhledem k tomu, že řešení nedostatku a udržení všech druhů talentů vyžaduje důstojné pracovní podmínky, přístup k systémům sociální ochrany a příležitosti k rozvoji dovedností přizpůsobené potřebám;</w:t>
            </w:r>
            <w:r>
              <w:t xml:space="preserve"> </w:t>
            </w:r>
            <w:r>
              <w:rPr>
                <w:b/>
                <w:i/>
              </w:rPr>
              <w:t>a vzhledem k tomu, že řešení nedostatku kvalifikovaných pracovníků má zásadní význam pro dosažení digitální a ekologické transformace, inkluzivního a udržitelného růstu a pro posílení konkurenceschopnosti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w:t>
            </w:r>
            <w:r>
              <w:rPr>
                <w:b/>
                <w:i/>
              </w:rPr>
              <w:t>nedostatek pracovních sil a kvalifikovaných pracovníků zůstává problémem na všech úrovních</w:t>
            </w:r>
            <w:r>
              <w:t xml:space="preserve">, který ještě umocňuje nedostatek kandidátů na obsazení kritických pozic v klíčových odvětvích, jako je vzdělávání, zdravotnictví </w:t>
            </w:r>
            <w:r>
              <w:rPr>
                <w:b/>
                <w:i/>
              </w:rPr>
              <w:t>a stavebnictví</w:t>
            </w:r>
            <w:r>
              <w:t>, zejména v oblastech postižených vylidňováním;</w:t>
            </w:r>
          </w:p>
        </w:tc>
        <w:tc>
          <w:tcPr>
            <w:tcW w:w="4876" w:type="dxa"/>
            <w:tcBorders>
              <w:top w:val="nil"/>
              <w:left w:val="nil"/>
              <w:bottom w:val="nil"/>
              <w:right w:val="nil"/>
            </w:tcBorders>
          </w:tcPr>
          <w:p>
            <w:pPr>
              <w:pStyle w:val="Normal6a"/>
            </w:pPr>
            <w:r>
              <w:t>E.</w:t>
            </w:r>
            <w:r>
              <w:tab/>
            </w:r>
            <w:r>
              <w:t xml:space="preserve">vzhledem k tomu, že </w:t>
            </w:r>
            <w:r>
              <w:rPr>
                <w:b/>
                <w:i/>
              </w:rPr>
              <w:t>podniky všech velikostí ze všech odvětví hlásí nedostatek pracovních sil a dovedností</w:t>
            </w:r>
            <w:r>
              <w:t>, který ještě umocňuje nedostatek kandidátů na obsazení kritických pozic v klíčových odvětvích, jako je vzdělávání, zdravotnictví</w:t>
            </w:r>
            <w:r>
              <w:rPr>
                <w:b/>
                <w:i/>
              </w:rPr>
              <w:t>, stavebnictví, pohostinství, péče, doprava, věda a technika</w:t>
            </w:r>
            <w:r>
              <w:t xml:space="preserve">, zejména v oblastech postižených vylidňováním; </w:t>
            </w:r>
            <w:r>
              <w:rPr>
                <w:b/>
                <w:i/>
              </w:rPr>
              <w:t>vzhledem k tomu, že EU zahájila několik iniciativ k řešení nedostatku dovedností, jako je Evropská agenda dovedností, Pakt pro dovednosti, ALMA a akademie pro nulové čisté emise;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nedostatek pracovních sil a kvalifikovaných pracovníků zůstává problémem na všech úrovních, </w:t>
            </w:r>
            <w:r>
              <w:rPr>
                <w:b/>
                <w:i/>
              </w:rPr>
              <w:t>který ještě umocňuje nedostatek</w:t>
            </w:r>
            <w:r>
              <w:t xml:space="preserve"> kandidátů na obsazení kritických pozic v klíčových odvětvích, jako je vzdělávání, zdravotnictví a stavebnictví, zejména v oblastech postižených vylidňováním;</w:t>
            </w:r>
          </w:p>
        </w:tc>
        <w:tc>
          <w:tcPr>
            <w:tcW w:w="4876" w:type="dxa"/>
            <w:tcBorders>
              <w:top w:val="nil"/>
              <w:left w:val="nil"/>
              <w:bottom w:val="nil"/>
              <w:right w:val="nil"/>
            </w:tcBorders>
          </w:tcPr>
          <w:p>
            <w:pPr>
              <w:pStyle w:val="Normal6a"/>
            </w:pPr>
            <w:r>
              <w:t>E.</w:t>
            </w:r>
            <w:r>
              <w:tab/>
            </w:r>
            <w:r>
              <w:t xml:space="preserve">vzhledem k tomu, že nedostatek pracovních sil a kvalifikovaných pracovníků </w:t>
            </w:r>
            <w:r>
              <w:rPr>
                <w:b/>
                <w:i/>
              </w:rPr>
              <w:t>v důsledku obtížných pracovních podmínek, neatraktivních platů, nedostatku odborné přípravy, překážek v přístupu ke střednímu a vysokoškolskému vzdělávání a nedostatečného uznávání dovedností a vzdělání</w:t>
            </w:r>
            <w:r>
              <w:t xml:space="preserve"> zůstává problémem na všech úrovních, </w:t>
            </w:r>
            <w:r>
              <w:rPr>
                <w:b/>
                <w:i/>
              </w:rPr>
              <w:t>což vede k nedostatku</w:t>
            </w:r>
            <w:r>
              <w:t xml:space="preserve"> kandidátů na obsazení kritických pozic v klíčových odvětvích, jako je vzdělávání, zdravotnictví a stavebnictví, zejména v oblastech postižených vylidňováním;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nedostatek pracovních sil a kvalifikovaných pracovníků zůstává problémem na všech úrovních, </w:t>
            </w:r>
            <w:r>
              <w:rPr>
                <w:b/>
                <w:i/>
              </w:rPr>
              <w:t>který ještě umocňuje nedostatek</w:t>
            </w:r>
            <w:r>
              <w:t xml:space="preserve"> kandidátů na obsazení kritických pozic v </w:t>
            </w:r>
            <w:r>
              <w:rPr>
                <w:b/>
                <w:i/>
              </w:rPr>
              <w:t>klíčových odvětvích</w:t>
            </w:r>
            <w:r>
              <w:t>, jako je vzdělávání, zdravotnictví a stavebnictví, zejména v oblastech postižených vylidňováním;</w:t>
            </w:r>
          </w:p>
        </w:tc>
        <w:tc>
          <w:tcPr>
            <w:tcW w:w="4876" w:type="dxa"/>
            <w:tcBorders>
              <w:top w:val="nil"/>
              <w:left w:val="nil"/>
              <w:bottom w:val="nil"/>
              <w:right w:val="nil"/>
            </w:tcBorders>
          </w:tcPr>
          <w:p>
            <w:pPr>
              <w:pStyle w:val="Normal6a"/>
            </w:pPr>
            <w:r>
              <w:t>E.</w:t>
            </w:r>
            <w:r>
              <w:tab/>
            </w:r>
            <w:r>
              <w:t xml:space="preserve">vzhledem k tomu, že nedostatek pracovních sil a kvalifikovaných pracovníků zůstává problémem na všech úrovních, </w:t>
            </w:r>
            <w:r>
              <w:rPr>
                <w:b/>
                <w:i/>
              </w:rPr>
              <w:t>avšak účast dospělých na vzdělávání a odborné přípravě je i nadále výrazně pod cílem EU, což vede k nedostatku</w:t>
            </w:r>
            <w:r>
              <w:t xml:space="preserve"> kandidátů na obsazení kritických pozic v </w:t>
            </w:r>
            <w:r>
              <w:rPr>
                <w:b/>
                <w:i/>
              </w:rPr>
              <w:t>odvětvích, zejména v těch, kde je obtížné nahradit živé pracovníky</w:t>
            </w:r>
            <w:r>
              <w:t>, jako je vzdělávání, zdravotnictví a stavebnictví, zejména v oblastech postižených vylidňováním;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nedostatek pracovních sil a kvalifikovaných pracovníků zůstává problémem na všech úrovních, který ještě umocňuje nedostatek kandidátů na obsazení kritických pozic v klíčových odvětvích, jako je vzdělávání, zdravotnictví a stavebnictví, zejména v oblastech postižených vylidňováním;</w:t>
            </w:r>
          </w:p>
        </w:tc>
        <w:tc>
          <w:tcPr>
            <w:tcW w:w="4876" w:type="dxa"/>
            <w:tcBorders>
              <w:top w:val="nil"/>
              <w:left w:val="nil"/>
              <w:bottom w:val="nil"/>
              <w:right w:val="nil"/>
            </w:tcBorders>
          </w:tcPr>
          <w:p>
            <w:pPr>
              <w:pStyle w:val="Normal6a"/>
            </w:pPr>
            <w:r>
              <w:t>E.</w:t>
            </w:r>
            <w:r>
              <w:tab/>
            </w:r>
            <w:r>
              <w:t xml:space="preserve">vzhledem k tomu, že nedostatek pracovních sil a kvalifikovaných pracovníků zůstává problémem na všech úrovních, který ještě umocňuje nedostatek kandidátů na obsazení kritických pozic v klíčových odvětvích, jako je vzdělávání, zdravotnictví a </w:t>
            </w:r>
            <w:r>
              <w:rPr>
                <w:b/>
                <w:i/>
              </w:rPr>
              <w:t>pečovatelství, jakož i</w:t>
            </w:r>
            <w:r>
              <w:t xml:space="preserve"> stavebnictví, zejména v oblastech postižených vylidňováním;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nedostatek </w:t>
            </w:r>
            <w:r>
              <w:rPr>
                <w:b/>
                <w:i/>
              </w:rPr>
              <w:t>pracovních sil a kvalifikovaných pracovníků zůstává problémem na všech úrovních, který ještě umocňuje nedostatek kandidátů na obsazení</w:t>
            </w:r>
            <w:r>
              <w:t xml:space="preserve"> kritických </w:t>
            </w:r>
            <w:r>
              <w:rPr>
                <w:b/>
                <w:i/>
              </w:rPr>
              <w:t>pozic</w:t>
            </w:r>
            <w:r>
              <w:t xml:space="preserve"> v klíčových odvětvích, jako je vzdělávání, zdravotnictví a stavebnictví, zejména v oblastech postižených vylidňováním;</w:t>
            </w:r>
          </w:p>
        </w:tc>
        <w:tc>
          <w:tcPr>
            <w:tcW w:w="4876" w:type="dxa"/>
            <w:tcBorders>
              <w:top w:val="nil"/>
              <w:left w:val="nil"/>
              <w:bottom w:val="nil"/>
              <w:right w:val="nil"/>
            </w:tcBorders>
          </w:tcPr>
          <w:p>
            <w:pPr>
              <w:pStyle w:val="Normal6a"/>
            </w:pPr>
            <w:r>
              <w:t>E.</w:t>
            </w:r>
            <w:r>
              <w:tab/>
            </w:r>
            <w:r>
              <w:t xml:space="preserve">vzhledem k tomu, že nedostatek </w:t>
            </w:r>
            <w:r>
              <w:rPr>
                <w:b/>
                <w:i/>
              </w:rPr>
              <w:t>přiměřené odměny a důstojných pracovních podmínek významně zvyšuje nedostatek pracovních sil a kvalifikovaných pracovníků na</w:t>
            </w:r>
            <w:r>
              <w:t xml:space="preserve"> kritických </w:t>
            </w:r>
            <w:r>
              <w:rPr>
                <w:b/>
                <w:i/>
              </w:rPr>
              <w:t>pozicích</w:t>
            </w:r>
            <w:r>
              <w:t xml:space="preserve"> v klíčových odvětvích, jako je vzdělávání, zdravotnictví a stavebnictví, zejména v oblastech postižených vylidňováním;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podpora mobility v rámci EU a zvážení možnosti přilákat kvalifikované pracovníky ze třetích zemí navíc zajistí dodržování a prosazování pracovních a sociálních práv a nasměruje státní příslušníky třetích zemí přicházející do EU legálními migračními cestami k povoláním, která se potýkají s nedostatkem pracovníků, a to za podpory účinné integrační politiky a v plné doplňkovosti s využitím talentů v rámci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kvalifikovaní pracovníci a přístup ke kvalitnímu vzdělávání, odbornému vzdělávání a přípravě, jakož i celoživotnímu učení mají zásadní význam pro udržitelnou a spravedlivou souběžnou transformaci evropského hospodářství;</w:t>
            </w:r>
            <w:r>
              <w:t xml:space="preserve"> </w:t>
            </w:r>
            <w:r>
              <w:rPr>
                <w:b/>
                <w:i/>
              </w:rPr>
              <w:t>vzhledem k tomu, že programy zvyšování kvalifikace, rekvalifikace a odborné přípravy musí být k dispozici všem pracovníkům, včetně osob se zdravotním postižením, a měly by být rovněž přizpůsobeny potřebám a schopnostem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v roce 2022 se průměrné skóre Programu pro mezinárodní hodnocení žáků (PISA) u měření základních dovedností (čtení, matematika a přírodní vědy) patnáctiletých dětí snížilo ve srovnání s poslední vlnou v roce 2018 o 10 bodů;</w:t>
            </w:r>
            <w:r>
              <w:t xml:space="preserve"> </w:t>
            </w:r>
            <w:r>
              <w:rPr>
                <w:b/>
                <w:i/>
              </w:rPr>
              <w:t>vzhledem k tomu, že mezi znevýhodněnými studenty nedostatečné výsledky převažují, což svědčí o prohlubování nerovností ve vzdělávání;</w:t>
            </w:r>
            <w:r>
              <w:t xml:space="preserve"> </w:t>
            </w:r>
            <w:r>
              <w:rPr>
                <w:b/>
                <w:i/>
              </w:rPr>
              <w:t>vzhledem k tomu, že toto znepokojivé zhoršení vyžaduje reformy a investice do vzdělávání a odborné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rozdíly v odměňování žen a mužů jsou ve většině členských států EU i nadále značné, a vzhledem k tomu, že pečovatelské povinnosti jsou důležitým faktorem, který nadále nutí ženy k zaměstnání na částečný úvazek nebo vede k jejich vyloučení z trhu práce, což způsobuje větší rozdíly v zaměstnanosti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vzhledem k tomu, že ekologická transformace a digitální transformace by měly být sociálně spravedlivá a inkluzivní pro všechny a měly by zahrnovat využití příležitosti k vytváření kvalitních pracovních míst, řešení diskriminace na pracovišti, ochraně práv pracovníků a zvýšení pracovních norem;</w:t>
            </w:r>
            <w:r>
              <w:t xml:space="preserve"> </w:t>
            </w:r>
            <w:r>
              <w:rPr>
                <w:b/>
                <w:i/>
              </w:rPr>
              <w:t>vzhledem k tomu, že je nezbytné podporovat vytváření kvalitních pracovních míst, silnou sociální ochranu a cílené investice do dovedností, které odpovídají nově vznikajícím pracovním příležitostem v zelených a digitálních odvětvích v kombinaci, a současně poskytovat příspěvky na vzdělávání dospělých, aby byl pro všechny zajištěn přístup ke kvalitnímu prohlubování dovedností a změně kvalifikace;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vzhledem k tomu, že společná zpráva o zaměstnanosti zdůrazňuje právo odpojit se, zejména v souvislosti s prací na dálku, a uznává zásadní význam tohoto práva pro zajištění rovnováhy mezi pracovním a soukromým životem v souvislosti s rostoucí digitalizací a prací na dálku;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vzhledem k tomu, že v roce 2024 vyšly najevo problémy několika odvětví, jako je automobilový průmysl a jako jsou energeticky náročná průmyslová odvětví, a že podniky předložily oznámení o rozsáhlých restrukturalizacích;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vzhledem k tomu, že v současné době neexistuje v celé EU pravidelný sběr údajů o investicích do sociálních služeb a jejich pokrytí;</w:t>
            </w:r>
            <w:r>
              <w:t xml:space="preserve"> </w:t>
            </w:r>
            <w:r>
              <w:rPr>
                <w:b/>
                <w:i/>
              </w:rPr>
              <w:t>shromažďování těchto údajů je klíčové pro fakticky podloženou analýzu vnitrostátních sociálních politik v rámci analýzy evropského semestru;</w:t>
            </w:r>
            <w:r>
              <w:t xml:space="preserve"> </w:t>
            </w:r>
            <w:r>
              <w:rPr>
                <w:b/>
                <w:i/>
              </w:rPr>
              <w:t>to by mělo být řešeno prostřednictvím společně dohodnutých kritérií a norem pro shromažďování údajů o investicích do sociálních služeb a jejich pokrytí v členských státech EU;</w:t>
            </w:r>
            <w:r>
              <w:t xml:space="preserve"> </w:t>
            </w:r>
            <w:r>
              <w:rPr>
                <w:b/>
                <w:i/>
              </w:rPr>
              <w:t>index sociálních služeb Evropské sociální sítě je příkladem toho, jak může tento sběr údajů přispět k analýze evropského semestru;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Eg.</w:t>
            </w:r>
            <w:r>
              <w:tab/>
            </w:r>
            <w:r>
              <w:rPr>
                <w:b/>
                <w:i/>
              </w:rPr>
              <w:t>vzhledem k tomu, že existují rozdíly v pokrytí sociálních služeb, včetně dlouhodobé péče, ochrany dětí, podpory v případech domácího násilí a pomoci v případech bezdomovectví, které je třeba řešit prostřednictvím evropského semestru,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Idoia Mendia, Alicia Homs Ginel, Isilda Gomes,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w:t>
            </w:r>
            <w:r>
              <w:rPr>
                <w:b/>
                <w:i/>
              </w:rPr>
              <w:t>krize generační obměny a špatný</w:t>
            </w:r>
            <w:r>
              <w:t xml:space="preserve"> přístup k veřejným službám </w:t>
            </w:r>
            <w:r>
              <w:rPr>
                <w:b/>
                <w:i/>
              </w:rPr>
              <w:t>vedly ke zvýšenému riziku</w:t>
            </w:r>
            <w:r>
              <w:t xml:space="preserve"> chudoby a sociálního vyloučení, které postihují zejména děti a starší osoby;</w:t>
            </w:r>
          </w:p>
        </w:tc>
        <w:tc>
          <w:tcPr>
            <w:tcW w:w="4876" w:type="dxa"/>
            <w:tcBorders>
              <w:top w:val="nil"/>
              <w:left w:val="nil"/>
              <w:bottom w:val="nil"/>
              <w:right w:val="nil"/>
            </w:tcBorders>
          </w:tcPr>
          <w:p>
            <w:pPr>
              <w:pStyle w:val="Normal6a"/>
            </w:pPr>
            <w:r>
              <w:t>F.</w:t>
            </w:r>
            <w:r>
              <w:tab/>
            </w:r>
            <w:r>
              <w:t xml:space="preserve">vzhledem k tomu, že </w:t>
            </w:r>
            <w:r>
              <w:rPr>
                <w:b/>
                <w:i/>
              </w:rPr>
              <w:t>hospodářské a sociální nerovnosti a omezený</w:t>
            </w:r>
            <w:r>
              <w:t xml:space="preserve"> přístup k </w:t>
            </w:r>
            <w:r>
              <w:rPr>
                <w:b/>
                <w:i/>
              </w:rPr>
              <w:t>financování a</w:t>
            </w:r>
            <w:r>
              <w:t xml:space="preserve"> veřejným službám </w:t>
            </w:r>
            <w:r>
              <w:rPr>
                <w:b/>
                <w:i/>
              </w:rPr>
              <w:t>zvýšily riziko</w:t>
            </w:r>
            <w:r>
              <w:t xml:space="preserve"> chudoby a sociálního vyloučení, které postihují zejména děti</w:t>
            </w:r>
            <w:r>
              <w:rPr>
                <w:b/>
                <w:i/>
              </w:rPr>
              <w:t>, domácnosti rodičů samoživitelů, mladé lidi</w:t>
            </w:r>
            <w:r>
              <w:t xml:space="preserve"> a starší osoby </w:t>
            </w:r>
            <w:r>
              <w:rPr>
                <w:b/>
                <w:i/>
              </w:rPr>
              <w:t>a další zranitelné skupiny, jako jsou migranti, Romové, lidé žijící ve vylidněných oblastech a osoby se zdravotním postižením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w:t>
            </w:r>
            <w:r>
              <w:rPr>
                <w:b/>
                <w:i/>
              </w:rPr>
              <w:t>krize generační obměny a špatný přístup k veřejným službám vedly ke zvýšenému riziku chudoby a sociálního vyloučení</w:t>
            </w:r>
            <w:r>
              <w:t xml:space="preserve">, které </w:t>
            </w:r>
            <w:r>
              <w:rPr>
                <w:b/>
                <w:i/>
              </w:rPr>
              <w:t>postihují zejména děti a starší osoby</w:t>
            </w:r>
            <w:r>
              <w:t>;</w:t>
            </w:r>
          </w:p>
        </w:tc>
        <w:tc>
          <w:tcPr>
            <w:tcW w:w="4876" w:type="dxa"/>
            <w:tcBorders>
              <w:top w:val="nil"/>
              <w:left w:val="nil"/>
              <w:bottom w:val="nil"/>
              <w:right w:val="nil"/>
            </w:tcBorders>
          </w:tcPr>
          <w:p>
            <w:pPr>
              <w:pStyle w:val="Normal6a"/>
            </w:pPr>
            <w:r>
              <w:t>F.</w:t>
            </w:r>
            <w:r>
              <w:tab/>
            </w:r>
            <w:r>
              <w:t xml:space="preserve">vzhledem k tomu, že </w:t>
            </w:r>
            <w:r>
              <w:rPr>
                <w:b/>
                <w:i/>
              </w:rPr>
              <w:t>nedostatek sociálních investic zvýšil riziko chudoby a sociálního vyloučení, které postihují zejména děti, rodiny s jedním rodičem a starší osoby;</w:t>
            </w:r>
            <w:r>
              <w:t xml:space="preserve"> </w:t>
            </w:r>
            <w:r>
              <w:rPr>
                <w:b/>
                <w:i/>
              </w:rPr>
              <w:t>vzhledem k tomu, že tento jev postihuje rovněž segment pracovní síly, přičemž každý 12. pracovník žil v roce v domácnostech</w:t>
            </w:r>
            <w:r>
              <w:t xml:space="preserve">, které </w:t>
            </w:r>
            <w:r>
              <w:rPr>
                <w:b/>
                <w:i/>
              </w:rPr>
              <w:t>jsou ohroženy chudobou;</w:t>
            </w:r>
            <w:r>
              <w:t xml:space="preserve"> </w:t>
            </w:r>
            <w:r>
              <w:rPr>
                <w:b/>
                <w:i/>
              </w:rPr>
              <w:t>vzhledem k tomu, že ambiciózní strategie EU proti chudobě bude mít zásadní význam pro zvrácení tohoto trendu a pro reakci na mnohorozměrný jev chudoby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krize generační obměny a špatný přístup k veřejným službám vedly ke zvýšenému riziku chudoby a sociálního vyloučení, které postihují zejména děti </w:t>
            </w:r>
            <w:r>
              <w:rPr>
                <w:b/>
                <w:i/>
              </w:rPr>
              <w:t>a starší osoby</w:t>
            </w:r>
            <w:r>
              <w:t>;</w:t>
            </w:r>
          </w:p>
        </w:tc>
        <w:tc>
          <w:tcPr>
            <w:tcW w:w="4876" w:type="dxa"/>
            <w:tcBorders>
              <w:top w:val="nil"/>
              <w:left w:val="nil"/>
              <w:bottom w:val="nil"/>
              <w:right w:val="nil"/>
            </w:tcBorders>
          </w:tcPr>
          <w:p>
            <w:pPr>
              <w:pStyle w:val="Normal6a"/>
            </w:pPr>
            <w:r>
              <w:t>F.</w:t>
            </w:r>
            <w:r>
              <w:tab/>
            </w:r>
            <w:r>
              <w:t xml:space="preserve">vzhledem k tomu, že krize generační obměny a špatný přístup k veřejným službám </w:t>
            </w:r>
            <w:r>
              <w:rPr>
                <w:b/>
                <w:i/>
              </w:rPr>
              <w:t>v důsledku nedostatečného dlouhodobého a udržitelného plánování v oblasti bydlení, infrastruktury a rozvoje komunit</w:t>
            </w:r>
            <w:r>
              <w:t xml:space="preserve"> vedly ke zvýšenému riziku chudoby a sociálního vyloučení, které postihují zejména děti</w:t>
            </w:r>
            <w:r>
              <w:rPr>
                <w:b/>
                <w:i/>
              </w:rPr>
              <w:t>, starší osoby a osoby z marginalizovaného prostředí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krize generační obměny a špatný přístup k veřejným službám vedly ke zvýšenému riziku chudoby a sociálního vyloučení, které postihují zejména děti a starší osoby;</w:t>
            </w:r>
          </w:p>
        </w:tc>
        <w:tc>
          <w:tcPr>
            <w:tcW w:w="4876" w:type="dxa"/>
            <w:tcBorders>
              <w:top w:val="nil"/>
              <w:left w:val="nil"/>
              <w:bottom w:val="nil"/>
              <w:right w:val="nil"/>
            </w:tcBorders>
          </w:tcPr>
          <w:p>
            <w:pPr>
              <w:pStyle w:val="Normal6a"/>
            </w:pPr>
            <w:r>
              <w:t>F.</w:t>
            </w:r>
            <w:r>
              <w:tab/>
            </w:r>
            <w:r>
              <w:t>vzhledem k tomu, že krize generační obměny a špatný přístup k veřejným službám vedly ke zvýšenému riziku chudoby a sociálního vyloučení, které postihují zejména děti a starší osoby</w:t>
            </w:r>
            <w:r>
              <w:rPr>
                <w:b/>
                <w:i/>
              </w:rPr>
              <w:t>, domácnosti s jedním rodičem, početné rodiny a osoby se zdravotním postižením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w:t>
            </w:r>
            <w:r>
              <w:rPr>
                <w:b/>
                <w:i/>
              </w:rPr>
              <w:t>krize generační obměny a</w:t>
            </w:r>
            <w:r>
              <w:t xml:space="preserve"> špatný přístup k veřejným službám vedly ke zvýšenému riziku chudoby a sociálního vyloučení, které postihují zejména děti </w:t>
            </w:r>
            <w:r>
              <w:rPr>
                <w:b/>
                <w:i/>
              </w:rPr>
              <w:t>a starší osoby</w:t>
            </w:r>
            <w:r>
              <w:t>;</w:t>
            </w:r>
          </w:p>
        </w:tc>
        <w:tc>
          <w:tcPr>
            <w:tcW w:w="4876" w:type="dxa"/>
            <w:tcBorders>
              <w:top w:val="nil"/>
              <w:left w:val="nil"/>
              <w:bottom w:val="nil"/>
              <w:right w:val="nil"/>
            </w:tcBorders>
          </w:tcPr>
          <w:p>
            <w:pPr>
              <w:pStyle w:val="Normal6a"/>
            </w:pPr>
            <w:r>
              <w:t>F.</w:t>
            </w:r>
            <w:r>
              <w:tab/>
            </w:r>
            <w:r>
              <w:t xml:space="preserve">vzhledem k tomu, že </w:t>
            </w:r>
            <w:r>
              <w:rPr>
                <w:b/>
                <w:i/>
              </w:rPr>
              <w:t>demografické změny,</w:t>
            </w:r>
            <w:r>
              <w:t xml:space="preserve"> špatný přístup k veřejným službám </w:t>
            </w:r>
            <w:r>
              <w:rPr>
                <w:b/>
                <w:i/>
              </w:rPr>
              <w:t>a nedostatečné investice do těchto služeb</w:t>
            </w:r>
            <w:r>
              <w:t xml:space="preserve"> vedly ke zvýšenému riziku chudoby a sociálního vyloučení, které postihují zejména děti</w:t>
            </w:r>
            <w:r>
              <w:rPr>
                <w:b/>
                <w:i/>
              </w:rPr>
              <w:t>, starší osoby a zranitelné skupiny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výsledky průzkumu Eurobarometr z dubna 2024 zdůrazňují, že 88 % evropských občanů se domnívá, že sociální Evropa je pro ně osobně důležitá</w:t>
            </w:r>
            <w:r>
              <w:rPr>
                <w:b/>
                <w:i/>
                <w:vertAlign w:val="superscript"/>
              </w:rPr>
              <w:t>8a</w:t>
            </w:r>
            <w:r>
              <w:rPr>
                <w:b/>
                <w:i/>
              </w:rPr>
              <w:t>;</w:t>
            </w:r>
            <w:r>
              <w:t xml:space="preserve"> </w:t>
            </w:r>
            <w:r>
              <w:rPr>
                <w:b/>
                <w:i/>
              </w:rPr>
              <w:t>vzhledem k tomu, že tento výsledek byl potvrzen také průzkumem, který se konal po evropských volbách v roce 2024 a v němž evropští občané označili rostoucí ceny a životní náklady (42 %) a hospodářskou situaci (41 %) za hlavní témata, která je motivovala k účasti v posledních evropských volbách</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https://europa.eu/eurobarometer/surveys/detail/3187.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https://europa.eu/eurobarometer/surveys/detail/3292.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w:t>
            </w:r>
            <w:r>
              <w:rPr>
                <w:b/>
                <w:i/>
              </w:rPr>
              <w:t>sociálního pokroku v EU je třeba dosahovat způsobem, který je v souladu s cíli stability stanovenými v maastrichtských kritériích, a zajistit, aby hospodářská integrace neprohlubovala nerovnosti mezi generacemi a regiony</w:t>
            </w:r>
            <w:r>
              <w:t>;</w:t>
            </w:r>
          </w:p>
        </w:tc>
        <w:tc>
          <w:tcPr>
            <w:tcW w:w="4876" w:type="dxa"/>
            <w:tcBorders>
              <w:top w:val="nil"/>
              <w:left w:val="nil"/>
              <w:bottom w:val="nil"/>
              <w:right w:val="nil"/>
            </w:tcBorders>
          </w:tcPr>
          <w:p>
            <w:pPr>
              <w:pStyle w:val="Normal6a"/>
            </w:pPr>
            <w:r>
              <w:t>G.</w:t>
            </w:r>
            <w:r>
              <w:tab/>
            </w:r>
            <w:r>
              <w:t xml:space="preserve">vzhledem k tomu, že </w:t>
            </w:r>
            <w:r>
              <w:rPr>
                <w:b/>
                <w:i/>
              </w:rPr>
              <w:t>podle článku 3 SEU je sociální pokrok v EU jedním z cílů vysoce konkurenceschopného, sociálně tržního hospodářství spolu s plnou zaměstnaností, vysokou úrovní ochrany a zlepšováním kvality životního prostředí;</w:t>
            </w:r>
            <w:r>
              <w:t xml:space="preserve"> </w:t>
            </w:r>
            <w:r>
              <w:rPr>
                <w:b/>
                <w:i/>
              </w:rPr>
              <w:t>vzhledem k tomu, že v článku 3 se taktéž uvádí, že EU bojuje proti sociálnímu vyloučení a diskriminaci, podporuje sociální spravedlnost a ochranu, rovnost žen a mužů, mezigenerační solidaritu a ochranu práv dítěte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w:t>
            </w:r>
            <w:r>
              <w:rPr>
                <w:b/>
                <w:i/>
              </w:rPr>
              <w:t>sociálního pokroku v EU je třeba dosahovat způsobem, který je v souladu s cíli stability stanovenými v maastrichtských kritériích, a</w:t>
            </w:r>
            <w:r>
              <w:t xml:space="preserve"> zajistit, aby hospodářská integrace neprohlubovala nerovnosti mezi generacemi a regiony;</w:t>
            </w:r>
          </w:p>
        </w:tc>
        <w:tc>
          <w:tcPr>
            <w:tcW w:w="4876" w:type="dxa"/>
            <w:tcBorders>
              <w:top w:val="nil"/>
              <w:left w:val="nil"/>
              <w:bottom w:val="nil"/>
              <w:right w:val="nil"/>
            </w:tcBorders>
          </w:tcPr>
          <w:p>
            <w:pPr>
              <w:pStyle w:val="Normal6a"/>
            </w:pPr>
            <w:r>
              <w:t>G.</w:t>
            </w:r>
            <w:r>
              <w:tab/>
            </w:r>
            <w:r>
              <w:t xml:space="preserve">vzhledem k tomu, že </w:t>
            </w:r>
            <w:r>
              <w:rPr>
                <w:b/>
                <w:i/>
              </w:rPr>
              <w:t>sociální pokrok v EU musí</w:t>
            </w:r>
            <w:r>
              <w:t xml:space="preserve"> zajistit, aby hospodářská integrace neprohlubovala nerovnosti mezi generacemi a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w:t>
            </w:r>
            <w:r>
              <w:rPr>
                <w:b/>
                <w:i/>
              </w:rPr>
              <w:t>sociálního pokroku v EU je třeba dosahovat způsobem, který je v souladu s cíli stability stanovenými v maastrichtských kritériích, a</w:t>
            </w:r>
            <w:r>
              <w:t xml:space="preserve"> zajistit, aby hospodářská integrace neprohlubovala nerovnosti mezi generacemi a regiony;</w:t>
            </w:r>
          </w:p>
        </w:tc>
        <w:tc>
          <w:tcPr>
            <w:tcW w:w="4876" w:type="dxa"/>
            <w:tcBorders>
              <w:top w:val="nil"/>
              <w:left w:val="nil"/>
              <w:bottom w:val="nil"/>
              <w:right w:val="nil"/>
            </w:tcBorders>
          </w:tcPr>
          <w:p>
            <w:pPr>
              <w:pStyle w:val="Normal6a"/>
            </w:pPr>
            <w:r>
              <w:t>G.</w:t>
            </w:r>
            <w:r>
              <w:tab/>
            </w:r>
            <w:r>
              <w:t xml:space="preserve">vzhledem k tomu, že </w:t>
            </w:r>
            <w:r>
              <w:rPr>
                <w:b/>
                <w:i/>
              </w:rPr>
              <w:t>sociální pokrok v EU představuje nejkonkrétnější a nejúčinnější investici do dlouhodobé odolnosti a udržitelnosti našich společností;</w:t>
            </w:r>
            <w:r>
              <w:t xml:space="preserve"> </w:t>
            </w:r>
            <w:r>
              <w:rPr>
                <w:b/>
                <w:i/>
              </w:rPr>
              <w:t>vzhledem k tomu, že je třeba</w:t>
            </w:r>
            <w:r>
              <w:t xml:space="preserve"> zajistit, aby </w:t>
            </w:r>
            <w:r>
              <w:rPr>
                <w:b/>
                <w:i/>
              </w:rPr>
              <w:t>další</w:t>
            </w:r>
            <w:r>
              <w:t xml:space="preserve"> hospodářská integrace neprohlubovala </w:t>
            </w:r>
            <w:r>
              <w:rPr>
                <w:b/>
                <w:i/>
              </w:rPr>
              <w:t>sociální</w:t>
            </w:r>
            <w:r>
              <w:t xml:space="preserve"> nerovnosti mezi generacemi a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w:t>
            </w:r>
            <w:r>
              <w:rPr>
                <w:b/>
                <w:i/>
              </w:rPr>
              <w:t>sociálního pokroku v EU je třeba dosahovat způsobem, který je v souladu s</w:t>
            </w:r>
            <w:r>
              <w:t xml:space="preserve"> cíli stability stanovenými v maastrichtských kritériích, a </w:t>
            </w:r>
            <w:r>
              <w:rPr>
                <w:b/>
                <w:i/>
              </w:rPr>
              <w:t>zajistit</w:t>
            </w:r>
            <w:r>
              <w:t>, aby hospodářská integrace neprohlubovala nerovnosti mezi generacemi a regiony;</w:t>
            </w:r>
          </w:p>
        </w:tc>
        <w:tc>
          <w:tcPr>
            <w:tcW w:w="4876" w:type="dxa"/>
            <w:tcBorders>
              <w:top w:val="nil"/>
              <w:left w:val="nil"/>
              <w:bottom w:val="nil"/>
              <w:right w:val="nil"/>
            </w:tcBorders>
          </w:tcPr>
          <w:p>
            <w:pPr>
              <w:pStyle w:val="Normal6a"/>
            </w:pPr>
            <w:r>
              <w:t>G.</w:t>
            </w:r>
            <w:r>
              <w:tab/>
            </w:r>
            <w:r>
              <w:t xml:space="preserve">vzhledem k tomu, že </w:t>
            </w:r>
            <w:r>
              <w:rPr>
                <w:b/>
                <w:i/>
              </w:rPr>
              <w:t>sociální pokrok v EU nesmí být ohrožen</w:t>
            </w:r>
            <w:r>
              <w:t xml:space="preserve"> cíli stability stanovenými v maastrichtských kritériích, a </w:t>
            </w:r>
            <w:r>
              <w:rPr>
                <w:b/>
                <w:i/>
              </w:rPr>
              <w:t>musí být zajištěno</w:t>
            </w:r>
            <w:r>
              <w:t>, aby hospodářská integrace neprohlubovala nerovnosti mezi generacemi a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nový rámec EU pro správu ekonomických záležitostí vstoupil v platnost v dubnu 2024 a jeho cílem je podpořit udržitelný růst podporující začlenění, poskytnout více prostoru sociálním investicím a dosáhnout cílů evropského pilíře sociálních práv;</w:t>
            </w:r>
            <w:r>
              <w:t xml:space="preserve"> </w:t>
            </w:r>
            <w:r>
              <w:rPr>
                <w:b/>
                <w:i/>
              </w:rPr>
              <w:t>vzhledem k tomu, že revize poprvé zahrnuje rámec sociální konvergence jako nedílnou součást evropského semestru;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evropští sociální partneři během makroekonomického dialogu odsoudili poslední zapojení sociálních partnerů do přípravy střednědobých fiskálních strukturálních plánů a že EKOS a sdružení SMEUnited a SGIEurope podepsaly společné prohlášení o faktickém zapojení sociálních partnerů do správy ekonomických záležitostí a evropského semestru;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riziko chudoby nebo sociálního vyloučení je větší u žen, mladých dospělých, osob s nízkou úrovní dosaženého vzdělání a u nezaměstnaných;</w:t>
            </w:r>
            <w:r>
              <w:t xml:space="preserve"> </w:t>
            </w:r>
            <w:r>
              <w:rPr>
                <w:b/>
                <w:i/>
              </w:rPr>
              <w:t>vzhledem k tomu, že stále existuje mnoho nedostatků v přístupu k dávkám v nezaměstnanosti, přičemž 66 % nezaměstnaných uvádí, že nedostávají dávky ani žádnou pomoc</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Sociální péče 2.0:</w:t>
            </w:r>
            <w:r>
              <w:t xml:space="preserve"> </w:t>
            </w:r>
            <w:r>
              <w:rPr>
                <w:b/>
                <w:i/>
              </w:rPr>
              <w:t>podpora v nezaměstnanosti a dávky poskytující minimální příjem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strukturální reformy musí upřednostňovat sociální pokrok a zajistit přístup k přiměřené sociální ochraně, cenově dostupnému a důstojnému bydlení a základním službám pro všechny typy rodin, včetně zranitelných skupin, jako jsou domácnosti rodičů samoživitelů a osoby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musíme dosáhnou toho, aby Unie byla konkurenceschopnější, produktivnější, inovativnější a udržitelnější, přičemž musíme stavět na hospodářské, sociální a územní soudržnosti a zajišťovat konvergenci a rovné podmínky jak v rámci Unie, tak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vzhledem k tomu, že podle OECD představují povolání s nejvyšším rizikem automatizace v zemích OECD v průměru přibližně 28 % pracovních míst;</w:t>
            </w:r>
            <w:r>
              <w:rPr>
                <w:b/>
                <w:i/>
                <w:vertAlign w:val="superscript"/>
              </w:rPr>
              <w:t>2a</w:t>
            </w:r>
            <w:r>
              <w:t xml:space="preserve"> </w:t>
            </w:r>
            <w:r>
              <w:rPr>
                <w:b/>
                <w:i/>
              </w:rPr>
              <w:t>vzhledem k tomu, že sociální dialog a kolektivní vyjednávání mají v této souvislosti zásadní význam pro zajištění participativního přístupu ke zvládnutí změn způsobených technologickým vývojem a k řešení potenciálních problémů a zároveň podporují přizpůsobení pracovníků (včetně zajišťování dovedností);</w:t>
            </w:r>
            <w:r>
              <w:t xml:space="preserve"> </w:t>
            </w:r>
            <w:r>
              <w:rPr>
                <w:b/>
                <w:i/>
              </w:rPr>
              <w:t>vzhledem k tomu, že digitalizace, robotizace, automatizace a umělá inteligence musí být přínosem pro pracovníky i společnost tím, že zlepší pracovní podmínky a kvalitu života, zajistí dobrou rovnováhu mezi pracovním a soukromým životem, vytvoří lepší pracovní příležitosti a přispějí k sociálně-ekonomické konvergenci;</w:t>
            </w:r>
            <w:r>
              <w:t xml:space="preserve"> </w:t>
            </w:r>
            <w:r>
              <w:rPr>
                <w:b/>
                <w:i/>
              </w:rPr>
              <w:t>vzhledem k tomu, že pracovníci a jejich odbory budou hrát zásadní úlohu při předvídání a řešení rizik vyplývajících z těchto výzev;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OECD Social, Employment and Migration Working Papers No. 282. (Pracovní dokumenty OECD týkající se sociální oblasti, zaměstnanosti a migrace)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vzhledem k tomu, že podle nového rámce EU pro správu ekonomických záležitostí musí všechny členské státy zahrnout reformy a investice do svých střednědobých plánů zaměřených na společné priority EU a výzvy uvedené v doporučeních pro jednotlivé země v rámci evropského semestru;</w:t>
            </w:r>
            <w:r>
              <w:t xml:space="preserve"> </w:t>
            </w:r>
            <w:r>
              <w:rPr>
                <w:b/>
                <w:i/>
              </w:rPr>
              <w:t>vzhledem k tomu, že společné priority EU zahrnují sociální a ekonomickou odolnost, včetně evropského pilíře sociálních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vzhledem k tomu, že politiky EU, jako jsou nástroje NextGenerationEU a SURE, zajistily růst a hospodářskou odolnost a snížily nerovnosti;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vzhledem k tomu, že musíme postupovat jednotně a solidárně v zájmu všech občanů, podniků a členských států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vzhledem k tomu, že v roce 2021 bylo v EU-27 stále více než 3 300 smrtelných úrazů a téměř 3 miliony úrazů bez smrtelných následků;</w:t>
            </w:r>
            <w:r>
              <w:t xml:space="preserve"> </w:t>
            </w:r>
            <w:r>
              <w:rPr>
                <w:b/>
                <w:i/>
              </w:rPr>
              <w:t>vzhledem k tomu, že v důsledku nemocí z povolání každoročně zemře více než 200 000 pracovníků;</w:t>
            </w:r>
            <w:r>
              <w:t xml:space="preserve"> </w:t>
            </w:r>
            <w:r>
              <w:rPr>
                <w:b/>
                <w:i/>
              </w:rPr>
              <w:t>vzhledem k tomu, že tyto údaje nezahrnují všechny úrazy způsobené nehlášenou prací, a proto lze předpokládat, že skutečná čísla výrazně převyšují oficiální statistiky;</w:t>
            </w:r>
            <w:r>
              <w:t xml:space="preserve"> </w:t>
            </w:r>
            <w:r>
              <w:rPr>
                <w:b/>
                <w:i/>
              </w:rPr>
              <w:t>vzhledem k tomu, že podle nadace Eurofound bylo v roce 2017 20 % pracovních míst v Evropě nekvalitních a vystavovalo pracovníky zvýšenému riziku pro jejich tělesné či duševní zdraví;</w:t>
            </w:r>
            <w:r>
              <w:t xml:space="preserve"> </w:t>
            </w:r>
            <w:r>
              <w:rPr>
                <w:b/>
                <w:i/>
              </w:rPr>
              <w:t>vzhledem k tomu, že 14 % pracovníků je vystaveno vysoké míře psychosociálních rizik;</w:t>
            </w:r>
            <w:r>
              <w:t xml:space="preserve"> </w:t>
            </w:r>
            <w:r>
              <w:rPr>
                <w:b/>
                <w:i/>
              </w:rPr>
              <w:t>vzhledem k tomu, že 23 % evropských pracovníků se domnívá, že v důsledku jejich práce je ohrožena jejich bezpečnost nebo zdraví;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vzhledem k tomu, že se očekává, že veřejné investice se v roce 2025 zvýší téměř ve všech členských státech, přičemž v několika členských státech to bude se značným přispěním Nástroje pro oživení a odolnost NextGenerationEU a fondů EU;</w:t>
            </w:r>
            <w:r>
              <w:t xml:space="preserve"> </w:t>
            </w:r>
            <w:r>
              <w:rPr>
                <w:b/>
                <w:i/>
              </w:rPr>
              <w:t>vzhledem k tomu, že přibližně 162,5 miliardy EUR přidělených členským státům v rámci Nástroje pro oživení a odolnost přispívá na sociální výdaje, což představuje přibližně 25 % celkových odhadovaných výdajů</w:t>
            </w:r>
            <w:r>
              <w:rPr>
                <w:b/>
                <w:i/>
                <w:vertAlign w:val="superscript"/>
              </w:rPr>
              <w:t>10a</w:t>
            </w:r>
            <w:r>
              <w:rPr>
                <w:b/>
                <w:i/>
              </w:rPr>
              <w:t>;</w:t>
            </w:r>
            <w:r>
              <w:t xml:space="preserve"> </w:t>
            </w:r>
            <w:r>
              <w:rPr>
                <w:b/>
                <w:i/>
              </w:rPr>
              <w:t>vzhledem k tomu, že sociální investice a reformy v klíčových oblastech mohou podpořit zaměstnanost, sociální začlenění, konkurenceschopnost a hospodářský růst</w:t>
            </w:r>
            <w:r>
              <w:rPr>
                <w:b/>
                <w:i/>
                <w:vertAlign w:val="superscript"/>
              </w:rPr>
              <w:t>11a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Evropský semestr 2025:</w:t>
            </w:r>
            <w:r>
              <w:t xml:space="preserve"> </w:t>
            </w:r>
            <w:r>
              <w:rPr>
                <w:b/>
                <w:i/>
              </w:rPr>
              <w:t>Návrh společné zprávy o zaměstnanosti.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Zaměstnanost a sociální rozvoj v Evropě v roce 2024 (Employment and social developments in Europe 2015), Evropská komise, září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vzhledem k tomu, že sociální dialog a kolektivní vyjednávání mají zásadní význam pro konkurenceschopnost, produktivitu práce a sociální soudržnost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vzhledem k tomu, že musíme sledovat dvojí cíl, a to strategickou energetickou suverenitu a klimatickou neutralitu do roku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vzhledem k tomu, že sociální partneři mají zásadní význam pro navrhování a provádění politik, které podporují udržitelný růst podporující začlenění, důstojnou a kvalitní práci a spravedlivou transformaci, a v souladu se Smlouvou o fungování EU musí být zapojeni na všech úrovních 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w:t>
            </w:r>
            <w:r>
              <w:tab/>
            </w:r>
            <w:r>
              <w:rPr>
                <w:b/>
                <w:i/>
              </w:rPr>
              <w:t>vzhledem k tomu, že členské státy by měly neprodleně provést směrnici o přiměřených minimálních mzdách a případně  v souladu se směrnicí vypracovat akční plány, které rozšíří kolektivní vyjednávání;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Gf.</w:t>
            </w:r>
            <w:r>
              <w:tab/>
            </w:r>
            <w:r>
              <w:rPr>
                <w:b/>
                <w:i/>
              </w:rPr>
              <w:t>vzhledem k tomu, že průzkumy nadace Eurofound ukazují, že míra sebevražd se od roku 2021 zvyšuje po desetiletích poklesu, že je třeba učinit více pro řešení příčin problémů v oblasti duševního zdraví v rámci pracovních a životních podmínek (zejména v oblasti společenského začlenění) a že přístup k podpoře pro osoby se špatným duševním zdravím je i nadále problém;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domnívá se, že Komise a Rada by měly pokračovat</w:t>
            </w:r>
            <w:r>
              <w:t xml:space="preserve"> v provádění evropského pilíře sociálních práv v souladu s akčním plánem z března 2021;</w:t>
            </w:r>
          </w:p>
        </w:tc>
        <w:tc>
          <w:tcPr>
            <w:tcW w:w="4876" w:type="dxa"/>
            <w:tcBorders>
              <w:top w:val="nil"/>
              <w:left w:val="nil"/>
              <w:bottom w:val="nil"/>
              <w:right w:val="nil"/>
            </w:tcBorders>
          </w:tcPr>
          <w:p>
            <w:pPr>
              <w:pStyle w:val="Normal6a"/>
            </w:pPr>
            <w:r>
              <w:t>1.</w:t>
            </w:r>
            <w:r>
              <w:tab/>
            </w:r>
            <w:r>
              <w:rPr>
                <w:b/>
                <w:i/>
              </w:rPr>
              <w:t>vyzývá Komisi a členské státy, aby pokračovaly</w:t>
            </w:r>
            <w:r>
              <w:t xml:space="preserve"> v provádění evropského pilíře sociálních práv </w:t>
            </w:r>
            <w:r>
              <w:rPr>
                <w:b/>
                <w:i/>
              </w:rPr>
              <w:t>(EPSR)</w:t>
            </w:r>
            <w:r>
              <w:t xml:space="preserve"> v souladu s akčním plánem z března 2021 </w:t>
            </w:r>
            <w:r>
              <w:rPr>
                <w:b/>
                <w:i/>
              </w:rPr>
              <w:t>a prohlášením z La Hulpe s cílem dosáhnout hlavních cílů pro rok 2030;</w:t>
            </w:r>
            <w:r>
              <w:t xml:space="preserve"> </w:t>
            </w:r>
            <w:r>
              <w:rPr>
                <w:b/>
                <w:i/>
              </w:rPr>
              <w:t>vítá v tomto ohledu oznámení nového akčního plánu pro provádění evropského pilíře sociálních práv</w:t>
            </w:r>
            <w:r>
              <w:rPr>
                <w:b/>
                <w:i/>
                <w:vertAlign w:val="superscript"/>
              </w:rPr>
              <w:t>12a</w:t>
            </w:r>
            <w:r>
              <w:t xml:space="preserve"> </w:t>
            </w:r>
            <w:r>
              <w:rPr>
                <w:b/>
                <w:i/>
              </w:rPr>
              <w:t>na rok 2025, jehož účelem je dát sociálnímu pokroku nový impuls;</w:t>
            </w:r>
            <w:r>
              <w:t xml:space="preserve"> </w:t>
            </w:r>
            <w:r>
              <w:rPr>
                <w:b/>
                <w:i/>
              </w:rPr>
              <w:t>zdůrazňuje, že je nutné, aby aktualizovaný akční plán obsahoval ambiciózní návrhy na řešení chudoby a sociálního vyloučení a podpůrná opatření pro pracovníky s cílem zvládnout souběžnou transformaci, zejména pokud jde o dovednosti, odborné vzdělávání a přípravu a celoživotní učení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„Volba Evropy, politické směry pro příští Evropskou komisi na období 2024–2029“ (Europe’s Choice, Political Guidelines for the Next European Commission 2024-2029), Ursula von der Leyen (červenec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domnívá se, že Komise a Rada by měly </w:t>
            </w:r>
            <w:r>
              <w:rPr>
                <w:b/>
                <w:i/>
              </w:rPr>
              <w:t>pokračovat v provádění</w:t>
            </w:r>
            <w:r>
              <w:t xml:space="preserve"> evropského pilíře sociálních práv v souladu s akčním plánem z března 2021;</w:t>
            </w:r>
          </w:p>
        </w:tc>
        <w:tc>
          <w:tcPr>
            <w:tcW w:w="4876" w:type="dxa"/>
            <w:tcBorders>
              <w:top w:val="nil"/>
              <w:left w:val="nil"/>
              <w:bottom w:val="nil"/>
              <w:right w:val="nil"/>
            </w:tcBorders>
          </w:tcPr>
          <w:p>
            <w:pPr>
              <w:pStyle w:val="Normal6a"/>
            </w:pPr>
            <w:r>
              <w:t>1.</w:t>
            </w:r>
            <w:r>
              <w:tab/>
            </w:r>
            <w:r>
              <w:t xml:space="preserve">domnívá se, že Komise a Rada by měly </w:t>
            </w:r>
            <w:r>
              <w:rPr>
                <w:b/>
                <w:i/>
              </w:rPr>
              <w:t>urychlit úplné provedení</w:t>
            </w:r>
            <w:r>
              <w:t xml:space="preserve"> evropského pilíře sociálních práv v souladu s akčním plánem z března 2021; </w:t>
            </w:r>
            <w:r>
              <w:rPr>
                <w:b/>
                <w:i/>
              </w:rPr>
              <w:t>vyzývá Komisi, aby předložila aktualizovaný plán evropského pilíře sociálních práv na období 2025–2029, který zajistí zahrnutí nových priorit;</w:t>
            </w:r>
            <w:r>
              <w:t xml:space="preserve"> </w:t>
            </w:r>
            <w:r>
              <w:rPr>
                <w:b/>
                <w:i/>
              </w:rPr>
              <w:t>zdůrazňuje, že je důležité využívat srovnávací přehled sociálních ukazatelů a rámec sociální konvergence k identifikaci rizik a sledování pokroku při snižování nerovností, posilování systémů sociální ochrany a podpoře dobrých pracovních podmínek;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domnívá se, že Komise a Rada by měly pokračovat v provádění evropského pilíře sociálních práv v souladu s akčním plánem z března 2021;</w:t>
            </w:r>
          </w:p>
        </w:tc>
        <w:tc>
          <w:tcPr>
            <w:tcW w:w="4876" w:type="dxa"/>
            <w:tcBorders>
              <w:top w:val="nil"/>
              <w:left w:val="nil"/>
              <w:bottom w:val="nil"/>
              <w:right w:val="nil"/>
            </w:tcBorders>
          </w:tcPr>
          <w:p>
            <w:pPr>
              <w:pStyle w:val="Normal6a"/>
            </w:pPr>
            <w:r>
              <w:t>1.</w:t>
            </w:r>
            <w:r>
              <w:tab/>
            </w:r>
            <w:r>
              <w:t xml:space="preserve">domnívá se, že Komise a Rada by měly pokračovat v provádění evropského pilíře sociálních práv v souladu s akčním plánem z března 2021; </w:t>
            </w:r>
            <w:r>
              <w:rPr>
                <w:b/>
                <w:i/>
              </w:rPr>
              <w:t>vyzývá k tomu, aby byl posílen sociální dialog a aby současně byly prosazovány rovné příležitosti a snižovány nerovnosti v souladu s evropským pilířem sociálních práv a respektovány pravomoci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domnívá se, že Komise a Rada by měly pokračovat v provádění evropského pilíře sociálních práv v souladu s </w:t>
            </w:r>
            <w:r>
              <w:rPr>
                <w:b/>
                <w:i/>
              </w:rPr>
              <w:t>akčním plánem z března 2021</w:t>
            </w:r>
            <w:r>
              <w:t>;</w:t>
            </w:r>
          </w:p>
        </w:tc>
        <w:tc>
          <w:tcPr>
            <w:tcW w:w="4876" w:type="dxa"/>
            <w:tcBorders>
              <w:top w:val="nil"/>
              <w:left w:val="nil"/>
              <w:bottom w:val="nil"/>
              <w:right w:val="nil"/>
            </w:tcBorders>
          </w:tcPr>
          <w:p>
            <w:pPr>
              <w:pStyle w:val="Normal6a"/>
            </w:pPr>
            <w:r>
              <w:t>1.</w:t>
            </w:r>
            <w:r>
              <w:tab/>
            </w:r>
            <w:r>
              <w:t xml:space="preserve">domnívá se, že Komise a Rada by měly pokračovat v provádění evropského pilíře sociálních práv v </w:t>
            </w:r>
            <w:r>
              <w:rPr>
                <w:b/>
                <w:i/>
              </w:rPr>
              <w:t>naprostém</w:t>
            </w:r>
            <w:r>
              <w:t xml:space="preserve"> souladu s </w:t>
            </w:r>
            <w:r>
              <w:rPr>
                <w:b/>
                <w:i/>
              </w:rPr>
              <w:t>vnitrostátními právními předpisy, a to doplňkovým způsobem a bez nátlaku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domnívá se, že Komise a Rada by měly </w:t>
            </w:r>
            <w:r>
              <w:rPr>
                <w:b/>
                <w:i/>
              </w:rPr>
              <w:t>pokračovat v</w:t>
            </w:r>
            <w:r>
              <w:t xml:space="preserve"> provádění evropského pilíře sociálních práv </w:t>
            </w:r>
            <w:r>
              <w:rPr>
                <w:b/>
                <w:i/>
              </w:rPr>
              <w:t>v souladu s akčním plánem z března 2021</w:t>
            </w:r>
            <w:r>
              <w:t>;</w:t>
            </w:r>
          </w:p>
        </w:tc>
        <w:tc>
          <w:tcPr>
            <w:tcW w:w="4876" w:type="dxa"/>
            <w:tcBorders>
              <w:top w:val="nil"/>
              <w:left w:val="nil"/>
              <w:bottom w:val="nil"/>
              <w:right w:val="nil"/>
            </w:tcBorders>
          </w:tcPr>
          <w:p>
            <w:pPr>
              <w:pStyle w:val="Normal6a"/>
            </w:pPr>
            <w:r>
              <w:t>1.</w:t>
            </w:r>
            <w:r>
              <w:tab/>
            </w:r>
            <w:r>
              <w:t xml:space="preserve">domnívá se, že Komise a Rada by měly </w:t>
            </w:r>
            <w:r>
              <w:rPr>
                <w:b/>
                <w:i/>
              </w:rPr>
              <w:t>zvýšit své úsilí při</w:t>
            </w:r>
            <w:r>
              <w:t xml:space="preserve"> provádění evropského pilíře sociálních práv </w:t>
            </w:r>
            <w:r>
              <w:rPr>
                <w:b/>
                <w:i/>
              </w:rPr>
              <w:t>s ohledem na nadcházející revizi akčního plánu v roce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připomíná, že evropští občané opakovaně označují cíle spočívající ve vybudování sociální Evropy za priority;</w:t>
            </w:r>
            <w:r>
              <w:t xml:space="preserve"> </w:t>
            </w:r>
            <w:r>
              <w:rPr>
                <w:b/>
                <w:i/>
              </w:rPr>
              <w:t>zdůrazňuje, že má-li se sociální Evropa stát skutečností a má-li být zajištěna vysoká úroveň sociální ochrany při transformaci, je nezbytné zajistit udržitelnou, spravedlivou a inkluzivní Evropu, v níž jsou sociální práva plně chráněna a dodržována stejně tak, jako hospodářské svobody, a je rovněž nezbytné zamyslet se nad metodami ochrany evropské společenské smlouvy;</w:t>
            </w:r>
            <w:r>
              <w:t xml:space="preserve"> </w:t>
            </w:r>
            <w:r>
              <w:rPr>
                <w:b/>
                <w:i/>
              </w:rPr>
              <w:t>v této souvislosti opakuje svou výzvu, aby byl ke Smlouvám připojen protokol o sociálním pokroku</w:t>
            </w:r>
            <w:r>
              <w:rPr>
                <w:b/>
                <w:i/>
                <w:vertAlign w:val="superscript"/>
              </w:rPr>
              <w:t>13a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Usnesení Evropského parlamentu ze dne 22. listopadu 2023 k návrhům Evropského parlamentu na změnu Smluv (2022/2051(INL)).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vyzývá k zajištění vzestupné konvergence prostřednictvím okamžitých opatření pro kvalitní veřejnou péči, vzdělávání a dovednosti nové generace, a zejména prostřednictvím dalších investic do účinného přístupu ke zdravému stravování tím, že bude každému dítěti v EU poskytováno v zařízeních péče o děti a ve školách alespoň jedno bezplatné teplé jídlo denně;</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vyzývá Komisi, aby zajistila, aby společná zpráva o zaměstnanosti 2026 analyzovala uplatňování všech zásad evropského pilíře sociálních práv v souladu s nařízením 2024/1263, a aby do této zprávy začlenila analýzu sociálního rozměru vnitrostátních střednědobých fiskálně-strukturálních plánů týkajících se sociální odolnosti, včetně evropského pilíře sociálních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je znepokojen tím, že v roce 2023 bylo 94,6 milionu lidí v EU stále ohroženo chudobou nebo sociálním vyloučením;</w:t>
            </w:r>
            <w:r>
              <w:t xml:space="preserve"> </w:t>
            </w:r>
            <w:r>
              <w:rPr>
                <w:b/>
                <w:i/>
              </w:rPr>
              <w:t>zdůrazňuje, že bez změny paradigmatu v přístupu k boji proti chudobě nedosáhne Evropská unie a její členské státy cílů v oblasti snižování chudoby;</w:t>
            </w:r>
            <w:r>
              <w:t xml:space="preserve"> </w:t>
            </w:r>
            <w:r>
              <w:rPr>
                <w:b/>
                <w:i/>
              </w:rPr>
              <w:t>domnívá se, že oznámení vůbec první strategie EU proti chudobě je krokem správným směrem ke zvrácení tohoto trendu, ale strategie musí zajistit komplexní přístup k řešení vícerozměrných aspektů chudoby a sociálního vyloučení prostřednictvím konkrétních opatření, důsledného provádění a monitorování;</w:t>
            </w:r>
            <w:r>
              <w:t xml:space="preserve"> </w:t>
            </w:r>
            <w:r>
              <w:rPr>
                <w:b/>
                <w:i/>
              </w:rPr>
              <w:t>vyzývá k tomu, aby tato strategie zahrnovala všechny osoby postižené chudobou a sociálním vyloučením, především ty nejvíce znevýhodněné, ale také konkrétní opatření pro různé skupiny, jako jsou osoby trpící chudobou pracujících, bezdomovci, osoby se zdravotním postižením, rodiny samoživitelů a především děti, a to aby byl došlo k udržitelnému prolomení bludného kruhu chudoby;</w:t>
            </w:r>
            <w:r>
              <w:t xml:space="preserve"> </w:t>
            </w:r>
            <w:r>
              <w:rPr>
                <w:b/>
                <w:i/>
              </w:rPr>
              <w:t>zdůrazňuje, že provedení směrnice o přiměřených minimálních mzdách ve vnitrostátním právu bude klíčové pro předcházení rizikům chudoby mezi pracovníky a boj proti nim a zároveň toto provedení posílí pobídky k práci, a vítá skutečnost, že několik členských států změnilo nebo plánuje změnit své rámce pro minimální mzdu;</w:t>
            </w:r>
            <w:r>
              <w:t xml:space="preserve"> </w:t>
            </w:r>
            <w:r>
              <w:rPr>
                <w:b/>
                <w:i/>
              </w:rPr>
              <w:t>zdůrazňuje, že rámcová směrnice EU o přiměřených minimálních mzdách a aktivním začleňování v souladu se zásadou subsidiarity by přispěla k cílům snižování chudoby a podpory integrace osob, které nejsou začleněny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vyjadřuje politování nad nedostatkem údajů a analýz týkajících se majetkových nerovností a koncentrace majetku v EU, neboť se jedná o jeden z hlavních faktorů ovlivňujících chudobu;</w:t>
            </w:r>
            <w:r>
              <w:t xml:space="preserve"> </w:t>
            </w:r>
            <w:r>
              <w:rPr>
                <w:b/>
                <w:i/>
              </w:rPr>
              <w:t>poukazuje na to, že podle distribučních účtů domácností (DWA), souboru údajů vyvinutého Evropským systémem centrálních bank (ESCB), činil podíl majetku, který vlastní horních 10 %, ve čtvrtém čtvrtletí 2023 56 %, zatímco spodní polovina vlastnila pouze 5 %;</w:t>
            </w:r>
            <w:r>
              <w:t xml:space="preserve"> </w:t>
            </w:r>
            <w:r>
              <w:rPr>
                <w:b/>
                <w:i/>
              </w:rPr>
              <w:t>vyzývá Komisi a členské státy, aby posoudily socioekonomický dopad majetkových nerovností a urychleně navrhly opatření, která zajistí spravedlivější rozdělení bohatství a zdrojů s cílem umožnit pokrok směrem ke snížení chudoby o 15 milionů v roce 2030 a k rozšíření střední třídy;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znovu vyzývá Komisi, aby pečlivě sledovala provádění záruky pro děti ve všech členských státech jako součásti evropského semestru a doporučení pro jednotlivé země;</w:t>
            </w:r>
            <w:r>
              <w:t xml:space="preserve"> </w:t>
            </w:r>
            <w:r>
              <w:rPr>
                <w:b/>
                <w:i/>
              </w:rPr>
              <w:t>znovu vyzývá k navýšení financování evropské záruky pro děti s vyčleněným rozpočtem ve výši alespoň 20 miliard EUR a k tomu, aby všechny členské státy vyčlenily alespoň 5 % svých finančních prostředků přidělených v rámci ESF+ na boj proti chudobě dětí a na podporu jejich dobrých životních podmínek;</w:t>
            </w:r>
            <w:r>
              <w:t xml:space="preserve"> </w:t>
            </w:r>
            <w:r>
              <w:rPr>
                <w:b/>
                <w:i/>
              </w:rPr>
              <w:t>domnívá se, že doporučení pro jednotlivé země by měla odrážet soulad rozpočtu členských států s minimálním požadavkem na přidělování prostředků na řešení dětské chudoby, který je stanoven v nařízení o ESF+</w:t>
            </w:r>
            <w:r>
              <w:rPr>
                <w:b/>
                <w:i/>
                <w:vertAlign w:val="superscript"/>
              </w:rPr>
              <w:t>14a</w:t>
            </w:r>
            <w:r>
              <w:rPr>
                <w:b/>
                <w:i/>
              </w:rPr>
              <w:t>;</w:t>
            </w:r>
            <w:r>
              <w:t xml:space="preserve"> </w:t>
            </w:r>
            <w:r>
              <w:rPr>
                <w:b/>
                <w:i/>
              </w:rPr>
              <w:t>vyzývá Komisi, aby v příštím víceletém finančním rámci poskytla ambiciózní rozpočet na záruku pro děti, a reagovala tak na rostoucí problém dětské chudoby a sociálního vyloučení;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Nařízení (EU) 2021/1057, kterým se zřizuje Evropský sociální fond plus, čl. 7 odst.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vítá začlenění analýzy pozitivního přínosu cílů udržitelného rozvoje a evropských strategií pro rovnost do společné zprávy o zaměstnanosti 2025 a vyzývá Komisi, aby zajistila, že společná zpráva o zaměstnanosti 2026 bude zahrnovat jak oddíl analyzující pokrok při plnění cílů udržitelného rozvoje v souvislosti se zaměstnaností a sociální politikou, tak i další oddíl týkající se pokroku v odbourávání sociální a pracovní diskriminace v souladu se strategií pro rovnost žen a mužů na období 2020–2025, akčním plánem EU pro boj proti rasismu na období 2020–2025, strategickým rámcem EU pro rovnost, začlenění a účast Romů na období 2020–2030, Strategií pro rovnost LGBTIQ osob na období 2020–2025 a Strategií pro práva osob se zdravotním postižením na období 2021–2030;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je znepokojen neustálým uzavíráním továren v různých odvětvích v Evropské unii a dopadem na pracovníky, kteří pak čelí ztrátě pracovního místa;</w:t>
            </w:r>
            <w:r>
              <w:t xml:space="preserve"> </w:t>
            </w:r>
            <w:r>
              <w:rPr>
                <w:b/>
                <w:i/>
              </w:rPr>
              <w:t>vyzývá Komisi, aby zajistila, že politiky v oblasti dovedností a odborné přípravy pracovníků a vytváření kvalitních pracovních míst budou začleněny do připravované dohody o čistém průmyslu v souladu s Draghiho zprávou;</w:t>
            </w:r>
            <w:r>
              <w:t xml:space="preserve"> </w:t>
            </w:r>
            <w:r>
              <w:rPr>
                <w:b/>
                <w:i/>
              </w:rPr>
              <w:t>připomíná důležitou úlohu, kterou může hrát Evropský fond pro přizpůsobení se globalizaci na pomoc propuštěným pracovníkům (EFG) při podpoře a rekvalifikaci pracovníků, kteří byli propuštěni v důsledku velkých restrukturalizací souvisejících například s globalizací, přechodem na nízkouhlíkové hospodářství nebo v důsledku digitalizace či automatizace;</w:t>
            </w:r>
            <w:r>
              <w:t xml:space="preserve"> </w:t>
            </w:r>
            <w:r>
              <w:rPr>
                <w:b/>
                <w:i/>
              </w:rPr>
              <w:t>vyzývá členské státy, aby využívaly tento fond a šířily informace o možnostech podpory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vyzývá členské státy, aby se držely aktualizovaných hlavní směrů politik zaměstnanosti s důrazem na vzdělávání a odbornou přípravu pro všechny, na nové technologie, jako je umělá inteligence, jakož i nedávné politické iniciativy týkající se práce prostřednictvím platforem, cenově dostupného a důstojného bydlení a řešení nedostatku pracovních sil a dovedností;</w:t>
            </w:r>
            <w:r>
              <w:t xml:space="preserve"> </w:t>
            </w:r>
            <w:r>
              <w:rPr>
                <w:b/>
                <w:i/>
              </w:rPr>
              <w:t>s cílem posílit demokratické rozhodování;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zdůrazňuje, že je třeba výrazně investovat do dovedností pracovníků a zavést právo jednotlivců na odbornou přípravu a celoživotní učení;</w:t>
            </w:r>
            <w:r>
              <w:t xml:space="preserve"> </w:t>
            </w:r>
            <w:r>
              <w:rPr>
                <w:b/>
                <w:i/>
              </w:rPr>
              <w:t>vyzývá členské státy, aby ve spolupráci s místními zúčastněnými stranami, včetně vzdělávacích a školicích orgánů a sociálních partnerů, vypracovaly opatření pro prohlubování dovedností a změnu kvalifikace s cílem posílit vazbu mezi systémy vzdělávání a odborné přípravy a trhem práce a předvídat potřeby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vítá oznámení plánu pro kvalitní pracovní místa, který má zajistit spravedlivou transformaci pro všechny prostřednictvím podpory spravedlivých mezd, dobrých pracovních podmínek, odborné přípravy a spravedlivých přechodů mezi zaměstnáními pro zaměstnance i a osoby samostatně výdělečně činné, zejména zvýšením rozsahu kolektivního vyjednávání;</w:t>
            </w:r>
            <w:r>
              <w:t xml:space="preserve"> </w:t>
            </w:r>
            <w:r>
              <w:rPr>
                <w:b/>
                <w:i/>
              </w:rPr>
              <w:t>vyzývá Komisi, aby tento plán vypracovala ve spolupráci se sociálními partnery;</w:t>
            </w:r>
            <w:r>
              <w:t xml:space="preserve"> </w:t>
            </w:r>
            <w:r>
              <w:rPr>
                <w:b/>
                <w:i/>
              </w:rPr>
              <w:t>dále vyzývá Komisi, aby do tohoto plánu zahrnula zvažovaná opatření, včetně legislativních návrhů, související s využíváním umělé inteligence a algoritmického řízení ve světě práce, a to v zájmu využívání nových technologií ke zlepšení pracovních podmínek a produktivity, přičemž musí být současně respektována práva pracovníků a rovnováha mezi pracovním a soukromým životem;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vítá skutečnost, že se očekává, že téměř všechny členské státy zvýší v roce 2025</w:t>
            </w:r>
            <w:r>
              <w:rPr>
                <w:b/>
                <w:i/>
                <w:vertAlign w:val="superscript"/>
              </w:rPr>
              <w:t>15a</w:t>
            </w:r>
            <w:r>
              <w:t xml:space="preserve"> </w:t>
            </w:r>
            <w:r>
              <w:rPr>
                <w:b/>
                <w:i/>
              </w:rPr>
              <w:t>veřejné investice, což je nezbytné pro zajištění přístupu ke kvalitním veřejným službám a dosažení cílů evropského pilíře sociálních práv;</w:t>
            </w:r>
            <w:r>
              <w:t xml:space="preserve"> </w:t>
            </w:r>
            <w:r>
              <w:rPr>
                <w:b/>
                <w:i/>
              </w:rPr>
              <w:t>připomíná, že do 31. prosince 2026 mohou členské státy uplatnit Nástroj pro oživení a odolnost, a vyzývá je, aby tyto fondy plně a cíleně využívaly k řešení problémů uvedených v doporučeních pro jednotlivé země v rámci evropského semestru a aby zavedly politiky pro inteligentní a udržitelný růst podporující začlenění a pro příští generaci, děti a mládež, jak je stanoveno v nařízení o Nástroji pro oživení a odolnost</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Sdělení Komise „Evropský semestr 2025: realizace nového rámce správy ekonomických záležitostí“ (COM(2024) 705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Nařízení (EU) 2021/241, kterým se zřizuje Nástroj pro oživení a odolnost, čl. 3 písm. c) a 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1h.</w:t>
            </w:r>
            <w:r>
              <w:tab/>
            </w:r>
            <w:r>
              <w:rPr>
                <w:b/>
                <w:i/>
              </w:rPr>
              <w:t>vítá oznámení Komise o zveřejnění kompasu konkurenceschopnosti v lednu 2025;</w:t>
            </w:r>
            <w:r>
              <w:t xml:space="preserve"> </w:t>
            </w:r>
            <w:r>
              <w:rPr>
                <w:b/>
                <w:i/>
              </w:rPr>
              <w:t>domnívá se, že cíle Evropské unie v oblasti konkurenceschopnosti nelze dosáhnout bez odpovídajících dovedností evropských pracovníků;</w:t>
            </w:r>
            <w:r>
              <w:t xml:space="preserve"> </w:t>
            </w:r>
            <w:r>
              <w:rPr>
                <w:b/>
                <w:i/>
              </w:rPr>
              <w:t>vyzývá Komisi, aby do tohoto kompasu konkurenceschopnosti zahrnula opatření týkající se rozvoje dovedností evropské pracovní síly;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opakuje, že je důležité podporovat rozvoj dovedností pracovní </w:t>
            </w:r>
            <w:r>
              <w:rPr>
                <w:b/>
                <w:i/>
              </w:rPr>
              <w:t>síly</w:t>
            </w:r>
            <w:r>
              <w:t xml:space="preserve"> s cílem zlepšit konkurenceschopnost a zajistit kvalitní pracovní místa; naléhavě vyzývá členské státy, aby posílily odborné a digitální vzdělávání a zároveň podporovaly </w:t>
            </w:r>
            <w:r>
              <w:rPr>
                <w:b/>
                <w:i/>
              </w:rPr>
              <w:t>začleňování</w:t>
            </w:r>
            <w:r>
              <w:t xml:space="preserve"> osob se zdravotním postižením </w:t>
            </w:r>
            <w:r>
              <w:rPr>
                <w:b/>
                <w:i/>
              </w:rPr>
              <w:t>do</w:t>
            </w:r>
            <w:r>
              <w:t xml:space="preserve"> pracovní </w:t>
            </w:r>
            <w:r>
              <w:rPr>
                <w:b/>
                <w:i/>
              </w:rPr>
              <w:t>síly</w:t>
            </w:r>
            <w:r>
              <w:t xml:space="preserve"> s cílem řešit nedostatek pracovníků a podporovat rovné příležitosti na trhu práce, vzhledem k tomu, že osoby se zdravotním postižením se přes určité zlepšení stále potýkají s významnými překážkami na trhu práce;</w:t>
            </w:r>
          </w:p>
        </w:tc>
        <w:tc>
          <w:tcPr>
            <w:tcW w:w="4876" w:type="dxa"/>
            <w:tcBorders>
              <w:top w:val="nil"/>
              <w:left w:val="nil"/>
              <w:bottom w:val="nil"/>
              <w:right w:val="nil"/>
            </w:tcBorders>
          </w:tcPr>
          <w:p>
            <w:pPr>
              <w:pStyle w:val="Normal6a"/>
            </w:pPr>
            <w:r>
              <w:t>2.</w:t>
            </w:r>
            <w:r>
              <w:tab/>
            </w:r>
            <w:r>
              <w:t xml:space="preserve">opakuje, že je důležité podporovat rozvoj dovedností </w:t>
            </w:r>
            <w:r>
              <w:rPr>
                <w:b/>
                <w:i/>
              </w:rPr>
              <w:t>a vysoce kvalitní odborné přípravy související s povoláním poskytované během</w:t>
            </w:r>
            <w:r>
              <w:t xml:space="preserve"> pracovní </w:t>
            </w:r>
            <w:r>
              <w:rPr>
                <w:b/>
                <w:i/>
              </w:rPr>
              <w:t>doby a financované zaměstnavatelem</w:t>
            </w:r>
            <w:r>
              <w:t xml:space="preserve"> s cílem zlepšit konkurenceschopnost a zajistit </w:t>
            </w:r>
            <w:r>
              <w:rPr>
                <w:b/>
                <w:i/>
              </w:rPr>
              <w:t>inkluzivní, spravedlivá a</w:t>
            </w:r>
            <w:r>
              <w:t xml:space="preserve"> kvalitní pracovní místa; naléhavě vyzývá </w:t>
            </w:r>
            <w:r>
              <w:rPr>
                <w:b/>
                <w:i/>
              </w:rPr>
              <w:t>Komisi a</w:t>
            </w:r>
            <w:r>
              <w:t xml:space="preserve"> členské státy, aby posílily </w:t>
            </w:r>
            <w:r>
              <w:rPr>
                <w:b/>
                <w:i/>
              </w:rPr>
              <w:t>právo každého na vysoce kvalitní a inkluzivní</w:t>
            </w:r>
            <w:r>
              <w:t xml:space="preserve"> odborné a digitální vzdělávání a zároveň podporovaly </w:t>
            </w:r>
            <w:r>
              <w:rPr>
                <w:b/>
                <w:i/>
              </w:rPr>
              <w:t>začlenění</w:t>
            </w:r>
            <w:r>
              <w:t xml:space="preserve"> osob se zdravotním postižením </w:t>
            </w:r>
            <w:r>
              <w:rPr>
                <w:b/>
                <w:i/>
              </w:rPr>
              <w:t>a mladých pracovníků i seniorů mezi</w:t>
            </w:r>
            <w:r>
              <w:t xml:space="preserve"> pracovní </w:t>
            </w:r>
            <w:r>
              <w:rPr>
                <w:b/>
                <w:i/>
              </w:rPr>
              <w:t>sílu</w:t>
            </w:r>
            <w:r>
              <w:t xml:space="preserve"> s cílem řešit nedostatek pracovníků a podporovat rovné příležitosti na trhu práce</w:t>
            </w:r>
            <w:r>
              <w:rPr>
                <w:b/>
                <w:i/>
              </w:rPr>
              <w:t>;</w:t>
            </w:r>
            <w:r>
              <w:t xml:space="preserve"> </w:t>
            </w:r>
            <w:r>
              <w:rPr>
                <w:b/>
                <w:i/>
              </w:rPr>
              <w:t>součástí musí být i zajištění přístupu mladých lidí k placeným, kvalitním a inkluzivním stážím a učňovské přípravě, jejich možnosti získat smysluplné první pracovní zkušenosti, usnadnění jejich přechodu ze vzdělávání do zaměstnání a vytvoření pracovních podmínek, které umožní stárnoucí pracovní síle zůstat ve zdraví a dobrovolně na trhu práce;</w:t>
            </w:r>
            <w:r>
              <w:t xml:space="preserve"> </w:t>
            </w:r>
            <w:r>
              <w:rPr>
                <w:b/>
                <w:i/>
              </w:rPr>
              <w:t>zdůrazňuje, že je třeba zvýšit příležitosti k celoživotnímu rozvoji dovedností</w:t>
            </w:r>
            <w:r>
              <w:t>, vzhledem k tomu, že osoby se zdravotním postižením</w:t>
            </w:r>
            <w:r>
              <w:rPr>
                <w:b/>
                <w:i/>
              </w:rPr>
              <w:t>, zejména ženy se zdravotním postižením,</w:t>
            </w:r>
            <w:r>
              <w:t xml:space="preserve"> se přes určité zlepšení stále potýkají s významnými překážkami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opakuje, že je důležité podporovat rozvoj dovedností pracovní síly s cílem zlepšit konkurenceschopnost a zajistit kvalitní pracovní místa; naléhavě vyzývá členské státy, aby posílily odborné a digitální vzdělávání a zároveň podporovaly začleňování osob se zdravotním postižením do pracovní síly s cílem řešit nedostatek </w:t>
            </w:r>
            <w:r>
              <w:rPr>
                <w:b/>
                <w:i/>
              </w:rPr>
              <w:t>pracovníků</w:t>
            </w:r>
            <w:r>
              <w:t xml:space="preserve"> a podporovat rovné příležitosti na trhu práce</w:t>
            </w:r>
            <w:r>
              <w:rPr>
                <w:b/>
                <w:i/>
              </w:rPr>
              <w:t>, vzhledem k tomu, že osoby</w:t>
            </w:r>
            <w:r>
              <w:t xml:space="preserve"> se zdravotním postižením </w:t>
            </w:r>
            <w:r>
              <w:rPr>
                <w:b/>
                <w:i/>
              </w:rPr>
              <w:t>se přes určité zlepšení stále potýkají s významnými překážkami na trhu</w:t>
            </w:r>
            <w:r>
              <w:t xml:space="preserve"> práce;</w:t>
            </w:r>
          </w:p>
        </w:tc>
        <w:tc>
          <w:tcPr>
            <w:tcW w:w="4876" w:type="dxa"/>
            <w:tcBorders>
              <w:top w:val="nil"/>
              <w:left w:val="nil"/>
              <w:bottom w:val="nil"/>
              <w:right w:val="nil"/>
            </w:tcBorders>
          </w:tcPr>
          <w:p>
            <w:pPr>
              <w:pStyle w:val="Normal6a"/>
            </w:pPr>
            <w:r>
              <w:t>2.</w:t>
            </w:r>
            <w:r>
              <w:tab/>
            </w:r>
            <w:r>
              <w:t xml:space="preserve">opakuje, že je důležité podporovat rozvoj dovedností pracovní síly s cílem zlepšit konkurenceschopnost a zajistit kvalitní pracovní místa; naléhavě vyzývá členské státy, aby posílily odborné a digitální vzdělávání a zároveň podporovaly začleňování osob </w:t>
            </w:r>
            <w:r>
              <w:rPr>
                <w:b/>
                <w:i/>
              </w:rPr>
              <w:t>ze znevýhodněných skupin, jako jsou osoby</w:t>
            </w:r>
            <w:r>
              <w:t xml:space="preserve"> se zdravotním postižením</w:t>
            </w:r>
            <w:r>
              <w:rPr>
                <w:b/>
                <w:i/>
              </w:rPr>
              <w:t>,</w:t>
            </w:r>
            <w:r>
              <w:t xml:space="preserve"> do pracovní síly s cílem řešit nedostatek </w:t>
            </w:r>
            <w:r>
              <w:rPr>
                <w:b/>
                <w:i/>
              </w:rPr>
              <w:t>pracovních sil</w:t>
            </w:r>
            <w:r>
              <w:t xml:space="preserve"> a podporovat rovné příležitosti na trhu práce</w:t>
            </w:r>
            <w:r>
              <w:rPr>
                <w:b/>
                <w:i/>
              </w:rPr>
              <w:t>;</w:t>
            </w:r>
            <w:r>
              <w:t xml:space="preserve"> </w:t>
            </w:r>
            <w:r>
              <w:rPr>
                <w:b/>
                <w:i/>
              </w:rPr>
              <w:t>vyzývá členské státy, aby posílily opatření v oblasti odborné přípravy, prohlubování dovedností a změny kvalifikace, jakož i aktivní politiky na trhu práce zaměřené na neaktivní pracovní sílu a skupiny s nízkou účastí na trhu práce, včetně žen, osob</w:t>
            </w:r>
            <w:r>
              <w:t xml:space="preserve"> se zdravotním postižením</w:t>
            </w:r>
            <w:r>
              <w:rPr>
                <w:b/>
                <w:i/>
              </w:rPr>
              <w:t>, osob s nižší úrovní vzdělání, mladých lidí a lidí, kteří nejsou zaměstnaní ani se neúčastní vzdělávání nebo odborné přípravy (NEET), starších pracovníků a osob přistěhovaleckého nebo etnického původu, jako jsou Romové;</w:t>
            </w:r>
            <w:r>
              <w:t xml:space="preserve"> </w:t>
            </w:r>
            <w:r>
              <w:rPr>
                <w:b/>
                <w:i/>
              </w:rPr>
              <w:t>zdůrazňuje, že boj proti všem formám diskriminace a stereotypů má zásadní význam pro začlenění těchto skupin na trh</w:t>
            </w:r>
            <w:r>
              <w:t xml:space="preserve">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opakuje, že je důležité podporovat rozvoj dovedností pracovní síly s cílem zlepšit konkurenceschopnost a zajistit kvalitní pracovní místa; naléhavě vyzývá členské státy, aby posílily odborné a digitální vzdělávání a zároveň podporovaly </w:t>
            </w:r>
            <w:r>
              <w:rPr>
                <w:b/>
                <w:i/>
              </w:rPr>
              <w:t>začleňování osob se zdravotním postižením</w:t>
            </w:r>
            <w:r>
              <w:t xml:space="preserve"> do pracovní síly s cílem řešit nedostatek pracovníků a podporovat rovné příležitosti na trhu práce, vzhledem k tomu, že osoby se zdravotním postižením se </w:t>
            </w:r>
            <w:r>
              <w:rPr>
                <w:b/>
                <w:i/>
              </w:rPr>
              <w:t>přes určité zlepšení</w:t>
            </w:r>
            <w:r>
              <w:t xml:space="preserve"> stále potýkají s významnými překážkami na trhu práce;</w:t>
            </w:r>
          </w:p>
        </w:tc>
        <w:tc>
          <w:tcPr>
            <w:tcW w:w="4876" w:type="dxa"/>
            <w:tcBorders>
              <w:top w:val="nil"/>
              <w:left w:val="nil"/>
              <w:bottom w:val="nil"/>
              <w:right w:val="nil"/>
            </w:tcBorders>
          </w:tcPr>
          <w:p>
            <w:pPr>
              <w:pStyle w:val="Normal6a"/>
            </w:pPr>
            <w:r>
              <w:t>2.</w:t>
            </w:r>
            <w:r>
              <w:tab/>
            </w:r>
            <w:r>
              <w:t>opakuje, že je důležité podporovat rozvoj dovedností</w:t>
            </w:r>
            <w:r>
              <w:rPr>
                <w:b/>
                <w:i/>
              </w:rPr>
              <w:t>, změnu kvalifikace a zvyšování kvalifikace</w:t>
            </w:r>
            <w:r>
              <w:t xml:space="preserve"> pracovní síly s cílem zlepšit konkurenceschopnost a </w:t>
            </w:r>
            <w:r>
              <w:rPr>
                <w:b/>
                <w:i/>
              </w:rPr>
              <w:t>dlouhodobou udržitelnost evropského průmyslu a malých a středních podniků a</w:t>
            </w:r>
            <w:r>
              <w:t xml:space="preserve"> zajistit </w:t>
            </w:r>
            <w:r>
              <w:rPr>
                <w:b/>
                <w:i/>
              </w:rPr>
              <w:t>pro pracovníky</w:t>
            </w:r>
            <w:r>
              <w:t xml:space="preserve"> kvalitní pracovní místa</w:t>
            </w:r>
            <w:r>
              <w:rPr>
                <w:b/>
                <w:i/>
              </w:rPr>
              <w:t>, zejména v odvětvích procházejících transformací</w:t>
            </w:r>
            <w:r>
              <w:t xml:space="preserve">; naléhavě vyzývá členské státy, aby posílily odborné a digitální vzdělávání a zároveň podporovaly </w:t>
            </w:r>
            <w:r>
              <w:rPr>
                <w:b/>
                <w:i/>
              </w:rPr>
              <w:t>začlenění všech skupin, které se v současné době potýkají s přístupem na trh práce,</w:t>
            </w:r>
            <w:r>
              <w:t> do pracovní síly</w:t>
            </w:r>
            <w:r>
              <w:rPr>
                <w:b/>
                <w:i/>
              </w:rPr>
              <w:t>, a to včetně osob se zdravotním postižením,</w:t>
            </w:r>
            <w:r>
              <w:t xml:space="preserve"> s cílem řešit nedostatek pracovníků a podporovat rovné příležitosti na trhu práce, </w:t>
            </w:r>
            <w:r>
              <w:rPr>
                <w:b/>
                <w:i/>
              </w:rPr>
              <w:t>a to</w:t>
            </w:r>
            <w:r>
              <w:t xml:space="preserve"> vzhledem k tomu, že osoby se zdravotním postižením se stále potýkají s významnými překážkami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opakuje, že je důležité podporovat rozvoj dovedností pracovní síly s cílem zlepšit konkurenceschopnost a zajistit kvalitní pracovní místa; naléhavě vyzývá členské státy, aby posílily odborné a digitální vzdělávání a zároveň podporovaly začleňování osob se zdravotním postižením do pracovní síly s cílem řešit nedostatek pracovníků a podporovat rovné příležitosti na trhu práce, vzhledem k tomu, že osoby se zdravotním postižením se přes určité zlepšení stále potýkají s významnými překážkami na trhu práce;</w:t>
            </w:r>
          </w:p>
        </w:tc>
        <w:tc>
          <w:tcPr>
            <w:tcW w:w="4876" w:type="dxa"/>
            <w:tcBorders>
              <w:top w:val="nil"/>
              <w:left w:val="nil"/>
              <w:bottom w:val="nil"/>
              <w:right w:val="nil"/>
            </w:tcBorders>
          </w:tcPr>
          <w:p>
            <w:pPr>
              <w:pStyle w:val="Normal6a"/>
            </w:pPr>
            <w:r>
              <w:t>2.</w:t>
            </w:r>
            <w:r>
              <w:tab/>
            </w:r>
            <w:r>
              <w:t xml:space="preserve">opakuje, že je důležité podporovat rozvoj dovedností pracovní síly s cílem zlepšit konkurenceschopnost a zajistit kvalitní pracovní místa </w:t>
            </w:r>
            <w:r>
              <w:rPr>
                <w:b/>
                <w:i/>
              </w:rPr>
              <w:t>a přitom respektovat individuální ambice pracovníků</w:t>
            </w:r>
            <w:r>
              <w:t xml:space="preserve">; naléhavě vyzývá členské státy, aby posílily odborné a digitální vzdělávání a zároveň podporovaly začleňování osob se zdravotním postižením </w:t>
            </w:r>
            <w:r>
              <w:rPr>
                <w:b/>
                <w:i/>
              </w:rPr>
              <w:t>a osob s chronickým onemocněním</w:t>
            </w:r>
            <w:r>
              <w:t xml:space="preserve"> do pracovní síly</w:t>
            </w:r>
            <w:r>
              <w:rPr>
                <w:b/>
                <w:i/>
              </w:rPr>
              <w:t>, jakož i znovuzačleňování pracovníků po delších absencích,</w:t>
            </w:r>
            <w:r>
              <w:t xml:space="preserve"> s cílem řešit nedostatek pracovníků a podporovat rovné příležitosti na trhu práce, vzhledem k tomu, že osoby se zdravotním postižením se přes určité zlepšení stále potýkají s významnými překážkami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opakuje, že je důležité podporovat rozvoj dovedností pracovní síly s cílem zlepšit konkurenceschopnost a zajistit kvalitní pracovní místa; naléhavě vyzývá členské státy, aby posílily odborné a digitální vzdělávání a zároveň podporovaly začleňování osob se zdravotním postižením do pracovní síly s cílem řešit nedostatek pracovníků a podporovat rovné příležitosti na trhu práce, vzhledem k tomu, že osoby se zdravotním postižením se přes určité zlepšení stále potýkají s významnými překážkami na trhu práce;</w:t>
            </w:r>
          </w:p>
        </w:tc>
        <w:tc>
          <w:tcPr>
            <w:tcW w:w="4876" w:type="dxa"/>
            <w:tcBorders>
              <w:top w:val="nil"/>
              <w:left w:val="nil"/>
              <w:bottom w:val="nil"/>
              <w:right w:val="nil"/>
            </w:tcBorders>
          </w:tcPr>
          <w:p>
            <w:pPr>
              <w:pStyle w:val="Normal6a"/>
            </w:pPr>
            <w:r>
              <w:t>2.</w:t>
            </w:r>
            <w:r>
              <w:tab/>
            </w:r>
            <w:r>
              <w:t xml:space="preserve">opakuje, že je důležité podporovat rozvoj dovedností pracovní síly s cílem zlepšit konkurenceschopnost a zajistit kvalitní pracovní místa; naléhavě vyzývá členské státy, aby posílily odborné a digitální vzdělávání a zároveň podporovaly začleňování osob se zdravotním postižením </w:t>
            </w:r>
            <w:r>
              <w:rPr>
                <w:b/>
                <w:i/>
              </w:rPr>
              <w:t>a osob ze znevýhodněného nebo marginalizovaného prostředí</w:t>
            </w:r>
            <w:r>
              <w:t xml:space="preserve"> do pracovní síly s cílem řešit nedostatek pracovníků a podporovat rovné příležitosti na trhu práce, vzhledem k tomu, že osoby se zdravotním postižením se přes určité zlepšení stále potýkají s významnými překážkami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opakuje, že je důležité podporovat</w:t>
            </w:r>
            <w:r>
              <w:t xml:space="preserve"> rozvoj dovedností pracovní síly s cílem zlepšit konkurenceschopnost a zajistit kvalitní pracovní místa; naléhavě vyzývá členské státy, aby posílily odborné a digitální vzdělávání a zároveň podporovaly začleňování osob se zdravotním postižením do pracovní síly s cílem řešit nedostatek pracovníků a podporovat rovné příležitosti na trhu práce, vzhledem k tomu, že osoby se zdravotním postižením se přes určité zlepšení stále potýkají s významnými překážkami na trhu práce;</w:t>
            </w:r>
          </w:p>
        </w:tc>
        <w:tc>
          <w:tcPr>
            <w:tcW w:w="4876" w:type="dxa"/>
            <w:tcBorders>
              <w:top w:val="nil"/>
              <w:left w:val="nil"/>
              <w:bottom w:val="nil"/>
              <w:right w:val="nil"/>
            </w:tcBorders>
          </w:tcPr>
          <w:p>
            <w:pPr>
              <w:pStyle w:val="Normal6a"/>
            </w:pPr>
            <w:r>
              <w:t>2.</w:t>
            </w:r>
            <w:r>
              <w:tab/>
            </w:r>
            <w:r>
              <w:rPr>
                <w:b/>
                <w:i/>
              </w:rPr>
              <w:t>připomíná význam, který má zásada sdílení nákladů mezi státním a soukromými aktéry pro</w:t>
            </w:r>
            <w:r>
              <w:t xml:space="preserve"> rozvoj dovedností pracovní síly s cílem zlepšit konkurenceschopnost a zajistit kvalitní pracovní místa; naléhavě vyzývá členské státy, aby posílily odborné a digitální vzdělávání a zároveň podporovaly začleňování osob se zdravotním postižením do pracovní síly s cílem řešit nedostatek pracovníků a podporovat rovné příležitosti na trhu práce, vzhledem k tomu, že osoby se zdravotním postižením se přes určité zlepšení stále potýkají s významnými překážkami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opakuje, že je důležité podporovat rozvoj</w:t>
            </w:r>
            <w:r>
              <w:t xml:space="preserve"> dovedností pracovní </w:t>
            </w:r>
            <w:r>
              <w:rPr>
                <w:b/>
                <w:i/>
              </w:rPr>
              <w:t>síly</w:t>
            </w:r>
            <w:r>
              <w:t xml:space="preserve"> s cílem zlepšit konkurenceschopnost a zajistit kvalitní pracovní místa; naléhavě vyzývá členské státy, aby posílily odborné a digitální vzdělávání a zároveň podporovaly začleňování osob se zdravotním postižením do pracovní síly s cílem řešit nedostatek pracovníků a podporovat rovné příležitosti na trhu práce, vzhledem k tomu, že osoby se zdravotním postižením se přes určité zlepšení stále potýkají s významnými překážkami na trhu práce;</w:t>
            </w:r>
          </w:p>
        </w:tc>
        <w:tc>
          <w:tcPr>
            <w:tcW w:w="4876" w:type="dxa"/>
            <w:tcBorders>
              <w:top w:val="nil"/>
              <w:left w:val="nil"/>
              <w:bottom w:val="nil"/>
              <w:right w:val="nil"/>
            </w:tcBorders>
          </w:tcPr>
          <w:p>
            <w:pPr>
              <w:pStyle w:val="Normal6a"/>
            </w:pPr>
            <w:r>
              <w:t>2.</w:t>
            </w:r>
            <w:r>
              <w:tab/>
            </w:r>
            <w:r>
              <w:rPr>
                <w:b/>
                <w:i/>
              </w:rPr>
              <w:t>vyzývá k využití talentů Evropy a k investicím do</w:t>
            </w:r>
            <w:r>
              <w:t xml:space="preserve"> dovedností </w:t>
            </w:r>
            <w:r>
              <w:rPr>
                <w:b/>
                <w:i/>
              </w:rPr>
              <w:t>s cílem podpořit vysoce kvalitní</w:t>
            </w:r>
            <w:r>
              <w:t xml:space="preserve"> pracovní </w:t>
            </w:r>
            <w:r>
              <w:rPr>
                <w:b/>
                <w:i/>
              </w:rPr>
              <w:t>místa v celé Unii</w:t>
            </w:r>
            <w:r>
              <w:t xml:space="preserve"> s cílem zlepšit konkurenceschopnost a zajistit kvalitní pracovní místa; naléhavě vyzývá členské státy, aby posílily odborné a digitální vzdělávání a zároveň podporovaly začleňování osob se zdravotním postižením do pracovní síly s cílem řešit nedostatek pracovníků a podporovat rovné příležitosti na trhu práce, vzhledem k tomu, že osoby se zdravotním postižením se přes určité zlepšení stále potýkají s významnými překážkami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opakuje, že je důležité podporovat rozvoj dovedností pracovní síly s cílem zlepšit konkurenceschopnost a zajistit kvalitní pracovní místa; naléhavě vyzývá členské státy, aby posílily odborné a digitální vzdělávání a zároveň podporovaly začleňování osob se zdravotním postižením do pracovní síly s cílem řešit nedostatek pracovníků a podporovat rovné příležitosti na trhu práce, vzhledem k tomu, že osoby se zdravotním postižením se přes určité zlepšení stále potýkají s významnými překážkami na trhu práce;</w:t>
            </w:r>
          </w:p>
        </w:tc>
        <w:tc>
          <w:tcPr>
            <w:tcW w:w="4876" w:type="dxa"/>
            <w:tcBorders>
              <w:top w:val="nil"/>
              <w:left w:val="nil"/>
              <w:bottom w:val="nil"/>
              <w:right w:val="nil"/>
            </w:tcBorders>
          </w:tcPr>
          <w:p>
            <w:pPr>
              <w:pStyle w:val="Normal6a"/>
            </w:pPr>
            <w:r>
              <w:t>2.</w:t>
            </w:r>
            <w:r>
              <w:tab/>
            </w:r>
            <w:r>
              <w:t xml:space="preserve">opakuje, že je důležité podporovat rozvoj dovedností </w:t>
            </w:r>
            <w:r>
              <w:rPr>
                <w:b/>
                <w:i/>
              </w:rPr>
              <w:t>evropské</w:t>
            </w:r>
            <w:r>
              <w:t xml:space="preserve"> pracovní síly s cílem zlepšit konkurenceschopnost a zajistit kvalitní pracovní místa; naléhavě vyzývá členské státy, aby posílily odborné a digitální vzdělávání a zároveň podporovaly začleňování osob se zdravotním postižením do pracovní síly s cílem řešit nedostatek pracovníků a podporovat rovné příležitosti na trhu práce, vzhledem k tomu, že osoby se zdravotním postižením se přes určité zlepšení stále potýkají s významnými překážkami na trhu práce;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připomíná přetrvávající rozdíl v zaměstnanosti osob se zdravotním postižením, kdy pouze 51,3 % osob se zdravotním postižením v produktivním věku v EU vykonává placené zaměstnání;</w:t>
            </w:r>
            <w:r>
              <w:t xml:space="preserve"> </w:t>
            </w:r>
            <w:r>
              <w:rPr>
                <w:b/>
                <w:i/>
              </w:rPr>
              <w:t>vyzývá Komisi, aby od roku 2025 aktualizovala strategii EU pro pomoc osobám se zdravotním postižením a doplnila nové stěžejní iniciativy a opatření;</w:t>
            </w:r>
            <w:r>
              <w:t xml:space="preserve"> </w:t>
            </w:r>
            <w:r>
              <w:rPr>
                <w:b/>
                <w:i/>
              </w:rPr>
              <w:t>zdůrazňuje, že Komise by měla předložit návrhy s cílem zajistit, aby EU a členské státy dodržovaly Úmluvu Organizace spojených národů o právech osob se zdravotním postižením (UNCRPD), a zejména řešit sociální začlenění osob se zdravotním postižením a jejich nezávislý život, přetrvávající překážky jejich volného pohybu a zajistit jejich přístup ke kvalitnímu vzdělávání, odborné přípravě a zaměstnání prostřednictvím pokynů k zachování příspěvků pro osoby se zdravotním postižením a zavedení evropské záruky zaměstnanosti a dovedností pro osoby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je znepokojen nárůstem nestandardních smluv, v nichž se pracovníci potýkají s chudobou pracujících a nacházejí se bez odpovídající právní ochrany.</w:t>
            </w:r>
            <w:r>
              <w:t xml:space="preserve"> </w:t>
            </w:r>
            <w:r>
              <w:rPr>
                <w:b/>
                <w:i/>
              </w:rPr>
              <w:t>Připomíná, že tento pokles pracovních norem má nejen dopad na finanční stabilitu jednotlivců, ale také podkopává širší sociální strukturu, neboť stále větší počet pracovníků čelí problémům, pokud jde o přístup k základním dávkám, jako je zdravotní péče, penzijní plány a odborná příprava související se zaměstnáním;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zdůrazňuje, že je třeba věnovat pozornost sociálním a environmentálním aspektům konkurenceschopnosti, a poukazuje na to, že je třeba investovat do vzdělávání a odborné přípravy pro všechny s cílem zajistit všeobecný přístup k vysoce kvalitním programům veřejného vzdělávání a odborné přípravy, jakož i k udržitelným postupům na podporu růstu podporujícího začlenění, a zdůrazňuje, že sociální partneři by měli hrát klíčovou úlohu při určování a řešení potřeb v oblasti dovedností v celé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 zdůrazňuje úlohu sociálních investic a význam reforem a investic v klíčových oblastech, jako jsou prohlubování dovedností a změna kvalifikace, celoživotní učení, aktivní politiky trhu práce, politiky v oblasti předškolního vzdělávání a péče, které mohou být doplněny vyššími investicemi do cenově dostupného bydlení a sociální ochrany;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vyjadřuje znepokojení nad tím, že Romové se i nadále potýkají se značnými překážkami v zaměstnání, přičemž přetrvávající předsudky omezují jejich vyhlídky;</w:t>
            </w:r>
            <w:r>
              <w:t xml:space="preserve"> </w:t>
            </w:r>
            <w:r>
              <w:rPr>
                <w:b/>
                <w:i/>
              </w:rPr>
              <w:t>konstatuje, že strategický rámec EU pro rovnost, začlenění a účast Romů poukazuje na nedostatečný pokrok v přístupu k zaměstnání a rostoucí podíl romských mladých lidí, kteří nejsou zaměstnaní ani se neúčastní vzdělávání nebo odborné přípravy;</w:t>
            </w:r>
            <w:r>
              <w:t xml:space="preserve"> </w:t>
            </w:r>
            <w:r>
              <w:rPr>
                <w:b/>
                <w:i/>
              </w:rPr>
              <w:t>zdůrazňuje cíl rámce snížit do roku 2030 rozdíly v zaměstnanosti Romů a obecné populace na polovinu a zajistit, aby alespoň 60 % Romů mělo placenou práci;</w:t>
            </w:r>
            <w:r>
              <w:t xml:space="preserve"> </w:t>
            </w:r>
            <w:r>
              <w:rPr>
                <w:b/>
                <w:i/>
              </w:rPr>
              <w:t>naléhavě vyzývá členské státy, aby přijaly integrovaný přístup zaměřený na rovnost a zajistily, aby se veřejné politiky a služby účinně dostávaly ke všem Romům, včetně Romů v odlehlých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zdůrazňuje, že reakce na nedostatek pracovních sil v Evropské unii zahrnuje rovněž zlepšení a usnadnění mobility pracovních sil v rámci Unie;</w:t>
            </w:r>
            <w:r>
              <w:t xml:space="preserve"> </w:t>
            </w:r>
            <w:r>
              <w:rPr>
                <w:b/>
                <w:i/>
              </w:rPr>
              <w:t>vyzývá členské státy, aby posílily a usnadnily uznávání dovedností a kvalifikací v Unii, a to i pro státní příslušníky třetích zemí;</w:t>
            </w:r>
            <w:r>
              <w:t xml:space="preserve"> </w:t>
            </w:r>
            <w:r>
              <w:rPr>
                <w:b/>
                <w:i/>
              </w:rPr>
              <w:t>vyzývá Komisi, aby analyzovala účinnost platformy EURES s ohledem na případnou revizi jejího fungování;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je znepokojen klesajícími výsledky mladých lidí v oblasti vzdělávání, zejména v oblasti základních dovedností</w:t>
            </w:r>
            <w:r>
              <w:rPr>
                <w:b/>
                <w:i/>
                <w:vertAlign w:val="superscript"/>
              </w:rPr>
              <w:t>17a</w:t>
            </w:r>
            <w:r>
              <w:rPr>
                <w:b/>
                <w:i/>
              </w:rPr>
              <w:t>;</w:t>
            </w:r>
            <w:r>
              <w:t xml:space="preserve"> </w:t>
            </w:r>
            <w:r>
              <w:rPr>
                <w:b/>
                <w:i/>
              </w:rPr>
              <w:t>vítá v tomto ohledu oznámení akčního plánu pro základní dovednosti a strategického plánu vzdělávání v oblasti přírodních věd, technologií, inženýrství a matematiky</w:t>
            </w:r>
            <w:r>
              <w:rPr>
                <w:b/>
                <w:i/>
                <w:vertAlign w:val="superscript"/>
              </w:rPr>
              <w:t>18a</w:t>
            </w:r>
            <w:r>
              <w:rPr>
                <w:b/>
                <w:i/>
              </w:rPr>
              <w:t>;</w:t>
            </w:r>
            <w:r>
              <w:t xml:space="preserve"> </w:t>
            </w:r>
            <w:r>
              <w:rPr>
                <w:b/>
                <w:i/>
              </w:rPr>
              <w:t>vyzývá členské státy, aby investovaly do programů, které vybaví studenty základními, digitálními a průřezovými dovednostmi potřebnými pro svět práce a jeho digitalizaci a budou mít pro společnost značné přínosy;</w:t>
            </w:r>
            <w:r>
              <w:t xml:space="preserve"> </w:t>
            </w:r>
            <w:r>
              <w:rPr>
                <w:b/>
                <w:i/>
              </w:rPr>
              <w:t>domnívá se, že digitální a průřezové dovednosti musí zahrnovat prvek kritického myšlení a mediální gramotnosti, aby bylo možné čelit hrozbě zavádějících informací;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Generální ředitelství pro vzdělávání, mládež, sport a kulturu, Monitor vzdělávání a odborné přípravy 2024 – srovnávací zpráva, Úřad pro publikace Evropské unie,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Pověřovací dopis výkonnému místopředsedovi pro sociální práva a dovednosti, kvalitní pracovní místa a připravenost,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2e.</w:t>
            </w:r>
            <w:r>
              <w:tab/>
            </w:r>
            <w:r>
              <w:rPr>
                <w:b/>
                <w:i/>
              </w:rPr>
              <w:t>konstatuje, že počet osob předčasně opouštějících vzdělávání a odbornou přípravu zůstává v několika členských státech vysoký, a to navzdory klesajícímu trendu v Evropské unii;</w:t>
            </w:r>
            <w:r>
              <w:t xml:space="preserve"> </w:t>
            </w:r>
            <w:r>
              <w:rPr>
                <w:b/>
                <w:i/>
              </w:rPr>
              <w:t>konstatuje, že tento jev postihuje zejména mladé muže, neboť 11,3 % mladých mužů a 7,7 % mladých žen v Unii předčasně v roce 2023 ukončilo vzdělávání a odbornou přípravu;</w:t>
            </w:r>
            <w:r>
              <w:t xml:space="preserve"> </w:t>
            </w:r>
            <w:r>
              <w:rPr>
                <w:b/>
                <w:i/>
              </w:rPr>
              <w:t>je znepokojen dopadem tohoto předčasného ukončení školní docházky na budoucnost těchto mladých lidí vzhledem k tomu, že pouze jedna ze dvou osob, které v minulosti předčasně opustily vzdělávání, má zaměstnání, že téměř každý třetí člověk, který v minulosti předčasně ukončil školní docházku, nemůže navzdory svému přání nalézt práci a že každý pátý člověk se rozhodne zůstat neaktivní;</w:t>
            </w:r>
            <w:r>
              <w:t xml:space="preserve"> </w:t>
            </w:r>
            <w:r>
              <w:rPr>
                <w:b/>
                <w:i/>
              </w:rPr>
              <w:t>vyzývá členské státy, aby tuto situaci řešily a vypracovaly individualizovaná řešení s cílem udržet děti a mladé lidi ve škole;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2f.</w:t>
            </w:r>
            <w:r>
              <w:tab/>
            </w:r>
            <w:r>
              <w:rPr>
                <w:b/>
                <w:i/>
              </w:rPr>
              <w:t>je znepokojen mírou nezaměstnanosti mladých lidí, která je v několika členských státech i nadále velmi vysoká a více než dvakrát vyšší než celková míra nezaměstnanosti na úrovni EU;</w:t>
            </w:r>
            <w:r>
              <w:t xml:space="preserve"> </w:t>
            </w:r>
            <w:r>
              <w:rPr>
                <w:b/>
                <w:i/>
              </w:rPr>
              <w:t>připomíná závazek, který členské státy vůči mladým lidem přijaly na základě záruky pro mladé lidi, a sice že by všichni mladí lidé mladší 30 let měli obdržet kvalitní nabídku zaměstnání, dalšího vzdělávání, učňovské přípravy nebo stáže do čtyř měsíců od okamžiku, kdy se stali nezaměstnanými nebo ukončili vzdělávání;</w:t>
            </w:r>
            <w:r>
              <w:t xml:space="preserve"> </w:t>
            </w:r>
            <w:r>
              <w:rPr>
                <w:b/>
                <w:i/>
              </w:rPr>
              <w:t>domnívá se, že je zapotřebí větší součinnosti mezi zárukami pro děti a zárukami pro mladé lidi, aby byla zajištěna odpovídající podpora mladým lidem v nouzi po celou dobu jejich osobního a profesního rozvoje;</w:t>
            </w:r>
            <w:r>
              <w:t xml:space="preserve"> </w:t>
            </w:r>
            <w:r>
              <w:rPr>
                <w:b/>
                <w:i/>
              </w:rPr>
              <w:t>vítá skutečnost, že výsledky zaměstnanosti čerstvých absolventů odborného vzdělávání a přípravy se v celé EU nadále zlepšují;</w:t>
            </w:r>
            <w:r>
              <w:t xml:space="preserve"> </w:t>
            </w:r>
            <w:r>
              <w:rPr>
                <w:b/>
                <w:i/>
              </w:rPr>
              <w:t>připomíná klíčovou úlohu odborného vzdělávání a přípravy při poskytování znalostí, dovedností a kompetencí nezbytných pro vstup mladých lidí na trh práce;</w:t>
            </w:r>
            <w:r>
              <w:t xml:space="preserve"> </w:t>
            </w:r>
            <w:r>
              <w:rPr>
                <w:b/>
                <w:i/>
              </w:rPr>
              <w:t>zdůrazňuje, že je třeba investovat do kvality a atraktivity odborného vzdělávání a přípravy prostřednictvím ESF+ a posíleného systému záruk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vyzývá Komisi</w:t>
            </w:r>
            <w:r>
              <w:rPr>
                <w:b/>
                <w:i/>
              </w:rPr>
              <w:t>, aby</w:t>
            </w:r>
            <w:r>
              <w:t xml:space="preserve"> do evropského semestru zahrnula konkrétní doporučení týkající se cenové dostupnosti bydlení a aby podporovala investice do bydlení, a to i prostřednictvím finančních nástrojů Evropské investiční banky; domnívá se, že revize regulačního rámce EU pro oblast bydlení by měla usnadnit výstavbu </w:t>
            </w:r>
            <w:r>
              <w:rPr>
                <w:b/>
                <w:i/>
              </w:rPr>
              <w:t>dostupného</w:t>
            </w:r>
            <w:r>
              <w:t xml:space="preserve"> a energeticky účinného bydlení, které bude splňovat potřeby mladých lidí, osob se sníženou pohyblivostí a ohrožených rodin</w:t>
            </w:r>
            <w:r>
              <w:rPr>
                <w:b/>
                <w:i/>
              </w:rPr>
              <w:t>, a chránit vlastníky nemovitostí určených k</w:t>
            </w:r>
            <w:r>
              <w:t xml:space="preserve"> bydlení </w:t>
            </w:r>
            <w:r>
              <w:rPr>
                <w:b/>
                <w:i/>
              </w:rPr>
              <w:t>před dalším poklesem nabídky</w:t>
            </w:r>
            <w:r>
              <w:t>;</w:t>
            </w:r>
          </w:p>
        </w:tc>
        <w:tc>
          <w:tcPr>
            <w:tcW w:w="4876" w:type="dxa"/>
            <w:tcBorders>
              <w:top w:val="nil"/>
              <w:left w:val="nil"/>
              <w:bottom w:val="nil"/>
              <w:right w:val="nil"/>
            </w:tcBorders>
          </w:tcPr>
          <w:p>
            <w:pPr>
              <w:pStyle w:val="Normal6a"/>
            </w:pPr>
            <w:r>
              <w:t>3.</w:t>
            </w:r>
            <w:r>
              <w:tab/>
            </w:r>
            <w:r>
              <w:t xml:space="preserve">vyzývá Komisi </w:t>
            </w:r>
            <w:r>
              <w:rPr>
                <w:b/>
                <w:i/>
              </w:rPr>
              <w:t>a členské státy, aby se bydlení stalo základním kamenem evropských politik;</w:t>
            </w:r>
            <w:r>
              <w:t xml:space="preserve"> </w:t>
            </w:r>
            <w:r>
              <w:rPr>
                <w:b/>
                <w:i/>
              </w:rPr>
              <w:t>zdůrazňuje, že EU a její členské státy mají vůči občanům povinnost zajistit jejich všeobecný přístup k důstojnému a cenově dostupnému bydlení,a to v souladu se základními právy, jako jsou články 16, 30 a 31 Evropské sociální charty a evropský pilíř sociálních práv;</w:t>
            </w:r>
            <w:r>
              <w:t xml:space="preserve"> </w:t>
            </w:r>
            <w:r>
              <w:rPr>
                <w:b/>
                <w:i/>
              </w:rPr>
              <w:t>zdůrazňuje, že investice do sociálního a cenově dostupného bydlení jsou zásadní pro zajištění a zlepšení životní kvality všech občanů EU;</w:t>
            </w:r>
            <w:r>
              <w:t xml:space="preserve"> </w:t>
            </w:r>
            <w:r>
              <w:rPr>
                <w:b/>
                <w:i/>
              </w:rPr>
              <w:t>vyzývá Komisi, aby rozvíjela politiku bydlení v EU a aby</w:t>
            </w:r>
            <w:r>
              <w:t xml:space="preserve"> do evropského semestru zahrnula konkrétní doporučení týkající se cenové dostupnosti bydlení </w:t>
            </w:r>
            <w:r>
              <w:rPr>
                <w:b/>
                <w:i/>
              </w:rPr>
              <w:t>pro všechny</w:t>
            </w:r>
            <w:r>
              <w:t xml:space="preserve"> a aby podporovala investice do </w:t>
            </w:r>
            <w:r>
              <w:rPr>
                <w:b/>
                <w:i/>
              </w:rPr>
              <w:t>veřejného</w:t>
            </w:r>
            <w:r>
              <w:t xml:space="preserve"> bydlení, a to i prostřednictvím finančních </w:t>
            </w:r>
            <w:r>
              <w:rPr>
                <w:b/>
                <w:i/>
              </w:rPr>
              <w:t>prostředků EU a finančních</w:t>
            </w:r>
            <w:r>
              <w:t xml:space="preserve"> nástrojů Evropské investiční banky; domnívá se, že revize regulačního rámce EU pro oblast bydlení by měla usnadnit výstavbu </w:t>
            </w:r>
            <w:r>
              <w:rPr>
                <w:b/>
                <w:i/>
              </w:rPr>
              <w:t>veřejného, kvalitního, důstojného</w:t>
            </w:r>
            <w:r>
              <w:t xml:space="preserve"> a energeticky účinného bydlení, které bude splňovat potřeby mladých lidí, osob se sníženou pohyblivostí a </w:t>
            </w:r>
            <w:r>
              <w:rPr>
                <w:b/>
                <w:i/>
              </w:rPr>
              <w:t>se zdravotním postižením, starších osob a</w:t>
            </w:r>
            <w:r>
              <w:t xml:space="preserve"> ohrožených rodin</w:t>
            </w:r>
            <w:r>
              <w:rPr>
                <w:b/>
                <w:i/>
              </w:rPr>
              <w:t>;</w:t>
            </w:r>
            <w:r>
              <w:t xml:space="preserve"> </w:t>
            </w:r>
            <w:r>
              <w:rPr>
                <w:b/>
                <w:i/>
              </w:rPr>
              <w:t>vyzývá Komisi a členské státy, aby přijaly rozhodná opatření k zajištění cenově dostupného</w:t>
            </w:r>
            <w:r>
              <w:t xml:space="preserve"> bydlení </w:t>
            </w:r>
            <w:r>
              <w:rPr>
                <w:b/>
                <w:i/>
              </w:rPr>
              <w:t>pro všechny tím, že podpoří silnou evropskou strategii pro bydlení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vyzývá Komisi, aby do evropského semestru zahrnula konkrétní doporučení týkající se cenové dostupnosti bydlení a aby podporovala investice do bydlení, a to i prostřednictvím finančních nástrojů Evropské investiční banky; domnívá se, že revize regulačního rámce EU pro oblast bydlení by </w:t>
            </w:r>
            <w:r>
              <w:rPr>
                <w:b/>
                <w:i/>
              </w:rPr>
              <w:t>měla usnadnit</w:t>
            </w:r>
            <w:r>
              <w:t xml:space="preserve"> výstavbu dostupného a energeticky účinného bydlení, které bude splňovat potřeby mladých lidí, osob se sníženou pohyblivostí a ohrožených rodin, a chránit vlastníky nemovitostí určených k bydlení před dalším poklesem nabídky;</w:t>
            </w:r>
          </w:p>
        </w:tc>
        <w:tc>
          <w:tcPr>
            <w:tcW w:w="4876" w:type="dxa"/>
            <w:tcBorders>
              <w:top w:val="nil"/>
              <w:left w:val="nil"/>
              <w:bottom w:val="nil"/>
              <w:right w:val="nil"/>
            </w:tcBorders>
          </w:tcPr>
          <w:p>
            <w:pPr>
              <w:pStyle w:val="Normal6a"/>
            </w:pPr>
            <w:r>
              <w:t>3.</w:t>
            </w:r>
            <w:r>
              <w:tab/>
            </w:r>
            <w:r>
              <w:t xml:space="preserve">vyzývá Komisi, aby </w:t>
            </w:r>
            <w:r>
              <w:rPr>
                <w:b/>
                <w:i/>
              </w:rPr>
              <w:t>uznala osvědčené postupy členských států v boji proti energetické chudobě, jako jsou cenové dotace pro spotřebitele v domácnostech;</w:t>
            </w:r>
            <w:r>
              <w:t xml:space="preserve"> </w:t>
            </w:r>
            <w:r>
              <w:rPr>
                <w:b/>
                <w:i/>
              </w:rPr>
              <w:t>aby</w:t>
            </w:r>
            <w:r>
              <w:t xml:space="preserve"> do evropského semestru zahrnula konkrétní doporučení týkající se cenové dostupnosti bydlení a aby podporovala investice do bydlení, a to i prostřednictvím finančních nástrojů Evropské investiční banky; domnívá se, že revize regulačního rámce EU pro oblast bydlení by </w:t>
            </w:r>
            <w:r>
              <w:rPr>
                <w:b/>
                <w:i/>
              </w:rPr>
              <w:t>měl respektovat pravomoci členských států a zároveň usnadňovat</w:t>
            </w:r>
            <w:r>
              <w:t xml:space="preserve"> výstavbu dostupného a energeticky účinného bydlení, které bude splňovat potřeby mladých lidí, osob se sníženou pohyblivostí a ohrožených rodin, a chránit vlastníky nemovitostí určených k bydlení před dalším poklesem nabídky; </w:t>
            </w:r>
            <w:r>
              <w:rPr>
                <w:b/>
                <w:i/>
              </w:rPr>
              <w:t>vyzývá Komisi, aby nepřenesla zátěž spojenou s přestavbou domů za účelem energetické účinnosti na rodiny;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vyzývá Komisi, aby do evropského semestru zahrnula konkrétní doporučení týkající se </w:t>
            </w:r>
            <w:r>
              <w:rPr>
                <w:b/>
                <w:i/>
              </w:rPr>
              <w:t>cenové dostupnosti</w:t>
            </w:r>
            <w:r>
              <w:t xml:space="preserve"> bydlení a aby podporovala investice do bydlení, a to i prostřednictvím finančních nástrojů Evropské investiční banky; domnívá se, že </w:t>
            </w:r>
            <w:r>
              <w:rPr>
                <w:b/>
                <w:i/>
              </w:rPr>
              <w:t>revize regulačního rámce</w:t>
            </w:r>
            <w:r>
              <w:t xml:space="preserve"> EU pro </w:t>
            </w:r>
            <w:r>
              <w:rPr>
                <w:b/>
                <w:i/>
              </w:rPr>
              <w:t>oblast</w:t>
            </w:r>
            <w:r>
              <w:t xml:space="preserve"> bydlení </w:t>
            </w:r>
            <w:r>
              <w:rPr>
                <w:b/>
                <w:i/>
              </w:rPr>
              <w:t>by měla</w:t>
            </w:r>
            <w:r>
              <w:t xml:space="preserve"> usnadnit výstavbu </w:t>
            </w:r>
            <w:r>
              <w:rPr>
                <w:b/>
                <w:i/>
              </w:rPr>
              <w:t>dostupného</w:t>
            </w:r>
            <w:r>
              <w:t xml:space="preserve"> a energeticky účinného bydlení, které </w:t>
            </w:r>
            <w:r>
              <w:rPr>
                <w:b/>
                <w:i/>
              </w:rPr>
              <w:t>bude splňovat potřeby</w:t>
            </w:r>
            <w:r>
              <w:t xml:space="preserve"> mladých lidí, osob se sníženou pohyblivostí a ohrožených rodin, a chránit </w:t>
            </w:r>
            <w:r>
              <w:rPr>
                <w:b/>
                <w:i/>
              </w:rPr>
              <w:t>vlastníky nemovitostí určených k bydlení</w:t>
            </w:r>
            <w:r>
              <w:t xml:space="preserve"> před dalším </w:t>
            </w:r>
            <w:r>
              <w:rPr>
                <w:b/>
                <w:i/>
              </w:rPr>
              <w:t>poklesem</w:t>
            </w:r>
            <w:r>
              <w:t xml:space="preserve"> nabídky;</w:t>
            </w:r>
          </w:p>
        </w:tc>
        <w:tc>
          <w:tcPr>
            <w:tcW w:w="4876" w:type="dxa"/>
            <w:tcBorders>
              <w:top w:val="nil"/>
              <w:left w:val="nil"/>
              <w:bottom w:val="nil"/>
              <w:right w:val="nil"/>
            </w:tcBorders>
          </w:tcPr>
          <w:p>
            <w:pPr>
              <w:pStyle w:val="Normal6a"/>
            </w:pPr>
            <w:r>
              <w:t>3.</w:t>
            </w:r>
            <w:r>
              <w:tab/>
            </w:r>
            <w:r>
              <w:t xml:space="preserve">vyzývá Komisi, aby do evropského semestru zahrnula konkrétní doporučení týkající se </w:t>
            </w:r>
            <w:r>
              <w:rPr>
                <w:b/>
                <w:i/>
              </w:rPr>
              <w:t>dostupnosti a finanční dosažitelnosti</w:t>
            </w:r>
            <w:r>
              <w:t xml:space="preserve"> bydlení a aby podporovala investice do bydlení, a to i prostřednictvím finančních nástrojů Evropské investiční banky; domnívá se, že </w:t>
            </w:r>
            <w:r>
              <w:rPr>
                <w:b/>
                <w:i/>
              </w:rPr>
              <w:t>posouzení politik a fondů Unie, včetně překážek v regulačním rámci</w:t>
            </w:r>
            <w:r>
              <w:t xml:space="preserve"> EU pro </w:t>
            </w:r>
            <w:r>
              <w:rPr>
                <w:b/>
                <w:i/>
              </w:rPr>
              <w:t>odvětví</w:t>
            </w:r>
            <w:r>
              <w:t xml:space="preserve"> bydlení</w:t>
            </w:r>
            <w:r>
              <w:rPr>
                <w:b/>
                <w:i/>
              </w:rPr>
              <w:t>, zejména pravidel státní podpory, by mělo</w:t>
            </w:r>
            <w:r>
              <w:t xml:space="preserve"> usnadnit výstavbu</w:t>
            </w:r>
            <w:r>
              <w:rPr>
                <w:b/>
                <w:i/>
              </w:rPr>
              <w:t>, přeměnu a renovaci přístupného</w:t>
            </w:r>
            <w:r>
              <w:t xml:space="preserve"> a energeticky účinného bydlení, </w:t>
            </w:r>
            <w:r>
              <w:rPr>
                <w:b/>
                <w:i/>
              </w:rPr>
              <w:t>včetně sociálního bydlení,</w:t>
            </w:r>
            <w:r>
              <w:t xml:space="preserve"> které </w:t>
            </w:r>
            <w:r>
              <w:rPr>
                <w:b/>
                <w:i/>
              </w:rPr>
              <w:t>splňuje potřeby skupin s nízkými a středními příjmy, jakož i</w:t>
            </w:r>
            <w:r>
              <w:t xml:space="preserve"> mladých lidí, osob </w:t>
            </w:r>
            <w:r>
              <w:rPr>
                <w:b/>
                <w:i/>
              </w:rPr>
              <w:t>se zdravotním postižením a</w:t>
            </w:r>
            <w:r>
              <w:t xml:space="preserve"> se sníženou pohyblivostí a ohrožených rodin, a chránit </w:t>
            </w:r>
            <w:r>
              <w:rPr>
                <w:b/>
                <w:i/>
              </w:rPr>
              <w:t>potenciální vlastníky domů</w:t>
            </w:r>
            <w:r>
              <w:t xml:space="preserve"> před dalším </w:t>
            </w:r>
            <w:r>
              <w:rPr>
                <w:b/>
                <w:i/>
              </w:rPr>
              <w:t>snižováním</w:t>
            </w:r>
            <w:r>
              <w:t xml:space="preserve"> nabídky;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vyzývá Komisi, aby do evropského semestru zahrnula konkrétní doporučení týkající se cenové dostupnosti bydlení a aby podporovala investice do bydlení, a to i prostřednictvím finančních nástrojů Evropské investiční banky; domnívá se, že revize regulačního rámce EU pro oblast bydlení by měla usnadnit výstavbu dostupného a energeticky účinného bydlení, které bude splňovat potřeby mladých lidí, osob se sníženou pohyblivostí a ohrožených rodin, a chránit vlastníky nemovitostí určených k bydlení před dalším poklesem nabídky;</w:t>
            </w:r>
          </w:p>
        </w:tc>
        <w:tc>
          <w:tcPr>
            <w:tcW w:w="4876" w:type="dxa"/>
            <w:tcBorders>
              <w:top w:val="nil"/>
              <w:left w:val="nil"/>
              <w:bottom w:val="nil"/>
              <w:right w:val="nil"/>
            </w:tcBorders>
          </w:tcPr>
          <w:p>
            <w:pPr>
              <w:pStyle w:val="Normal6a"/>
            </w:pPr>
            <w:r>
              <w:t>3.</w:t>
            </w:r>
            <w:r>
              <w:tab/>
            </w:r>
            <w:r>
              <w:t xml:space="preserve">vyzývá Komisi, aby do evropského semestru zahrnula konkrétní doporučení týkající se cenové dostupnosti bydlení a aby podporovala investice do bydlení, a to i prostřednictvím finančních nástrojů Evropské investiční banky; domnívá se, že revize regulačního rámce EU pro oblast bydlení by měla usnadnit výstavbu dostupného a energeticky účinného bydlení, které bude splňovat potřeby mladých lidí, osob se sníženou pohyblivostí a ohrožených rodin, a chránit vlastníky nemovitostí určených k bydlení před dalším poklesem nabídky; </w:t>
            </w:r>
            <w:r>
              <w:rPr>
                <w:b/>
                <w:i/>
              </w:rPr>
              <w:t>omezení nabídky by zpozdilo provádění harmonogramu týkajícího se špatně izolovaných budov, které jsou hlavním zdrojem nejistoty a patové situaci na trhu s nájemním bydlením;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vyzývá Komisi, aby do evropského semestru zahrnula konkrétní doporučení týkající se cenové dostupnosti bydlení a aby podporovala investice do bydlení, a to i prostřednictvím finančních nástrojů Evropské investiční banky; domnívá se, že revize regulačního rámce EU pro oblast bydlení by měla usnadnit výstavbu dostupného a energeticky účinného bydlení, které bude splňovat potřeby mladých lidí, osob se sníženou pohyblivostí a ohrožených rodin, a chránit </w:t>
            </w:r>
            <w:r>
              <w:rPr>
                <w:b/>
                <w:i/>
              </w:rPr>
              <w:t>vlastníky nemovitostí určených</w:t>
            </w:r>
            <w:r>
              <w:t xml:space="preserve"> k bydlení před dalším poklesem nabídky;</w:t>
            </w:r>
          </w:p>
        </w:tc>
        <w:tc>
          <w:tcPr>
            <w:tcW w:w="4876" w:type="dxa"/>
            <w:tcBorders>
              <w:top w:val="nil"/>
              <w:left w:val="nil"/>
              <w:bottom w:val="nil"/>
              <w:right w:val="nil"/>
            </w:tcBorders>
          </w:tcPr>
          <w:p>
            <w:pPr>
              <w:pStyle w:val="Normal6a"/>
            </w:pPr>
            <w:r>
              <w:t>3.</w:t>
            </w:r>
            <w:r>
              <w:tab/>
            </w:r>
            <w:r>
              <w:t>vyzývá Komisi, aby do evropského semestru zahrnula konkrétní doporučení týkající se cenové dostupnosti bydlení a aby podporovala investice do bydlení, a to i prostřednictvím finančních nástrojů Evropské investiční banky; domnívá se, že revize regulačního rámce EU pro oblast bydlení by měla usnadnit výstavbu dostupného</w:t>
            </w:r>
            <w:r>
              <w:rPr>
                <w:b/>
                <w:i/>
              </w:rPr>
              <w:t>, finančně dosažitelného</w:t>
            </w:r>
            <w:r>
              <w:t xml:space="preserve"> a energeticky účinného bydlení, které bude splňovat potřeby mladých lidí, osob se sníženou pohyblivostí a ohrožených rodin, a chránit </w:t>
            </w:r>
            <w:r>
              <w:rPr>
                <w:b/>
                <w:i/>
              </w:rPr>
              <w:t>osoby, které se snaží získat přístup</w:t>
            </w:r>
            <w:r>
              <w:t xml:space="preserve"> k bydlení </w:t>
            </w:r>
            <w:r>
              <w:rPr>
                <w:b/>
                <w:i/>
              </w:rPr>
              <w:t>v osobním vlastnictví,</w:t>
            </w:r>
            <w:r>
              <w:t xml:space="preserve"> před dalším poklesem nabídky; </w:t>
            </w:r>
            <w:r>
              <w:rPr>
                <w:b/>
                <w:i/>
              </w:rPr>
              <w:t>vyzývá členské státy a Komisi, aby uznaly odpovídající bydlení jako právo.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vyzývá Komisi, aby do evropského semestru zahrnula konkrétní doporučení týkající se cenové dostupnosti bydlení </w:t>
            </w:r>
            <w:r>
              <w:rPr>
                <w:b/>
                <w:i/>
              </w:rPr>
              <w:t>a aby podporovala investice do bydlení, a to i prostřednictvím finančních nástrojů Evropské investiční banky;</w:t>
            </w:r>
            <w:r>
              <w:t xml:space="preserve"> </w:t>
            </w:r>
            <w:r>
              <w:rPr>
                <w:b/>
                <w:i/>
              </w:rPr>
              <w:t>domnívá se, že revize regulačního rámce EU pro oblast bydlení by měla usnadnit výstavbu dostupného a energeticky účinného</w:t>
            </w:r>
            <w:r>
              <w:t xml:space="preserve"> bydlení, </w:t>
            </w:r>
            <w:r>
              <w:rPr>
                <w:b/>
                <w:i/>
              </w:rPr>
              <w:t>které bude splňovat potřeby mladých lidí, osob se sníženou pohyblivostí a ohrožených rodin, a chránit vlastníky nemovitostí</w:t>
            </w:r>
            <w:r>
              <w:t xml:space="preserve"> určených </w:t>
            </w:r>
            <w:r>
              <w:rPr>
                <w:b/>
                <w:i/>
              </w:rPr>
              <w:t>k bydlení před dalším poklesem nabídky</w:t>
            </w:r>
            <w:r>
              <w:t>;</w:t>
            </w:r>
          </w:p>
        </w:tc>
        <w:tc>
          <w:tcPr>
            <w:tcW w:w="4876" w:type="dxa"/>
            <w:tcBorders>
              <w:top w:val="nil"/>
              <w:left w:val="nil"/>
              <w:bottom w:val="nil"/>
              <w:right w:val="nil"/>
            </w:tcBorders>
          </w:tcPr>
          <w:p>
            <w:pPr>
              <w:pStyle w:val="Normal6a"/>
            </w:pPr>
            <w:r>
              <w:t>3.</w:t>
            </w:r>
            <w:r>
              <w:tab/>
            </w:r>
            <w:r>
              <w:t>vyzývá Komisi, aby do evropského semestru zahrnula konkrétní doporučení týkající se cenové dostupnosti bydlení</w:t>
            </w:r>
            <w:r>
              <w:rPr>
                <w:b/>
                <w:i/>
              </w:rPr>
              <w:t>;</w:t>
            </w:r>
            <w:r>
              <w:t xml:space="preserve"> </w:t>
            </w:r>
            <w:r>
              <w:rPr>
                <w:b/>
                <w:i/>
              </w:rPr>
              <w:t>připomíná, že je třeba odstranit roční investiční mezeru v oblasti sociálního a cenově dostupného bydlení ve výši 57 miliard EUR a význam ohlášené celoevropské investiční platformy pro podporu investic do</w:t>
            </w:r>
            <w:r>
              <w:t xml:space="preserve"> bydlení, </w:t>
            </w:r>
            <w:r>
              <w:rPr>
                <w:b/>
                <w:i/>
              </w:rPr>
              <w:t>mimo jiné prostřednictvím fondů EU a finančních nástrojů Evropské investiční banky;</w:t>
            </w:r>
            <w:r>
              <w:t xml:space="preserve"> </w:t>
            </w:r>
            <w:r>
              <w:rPr>
                <w:b/>
                <w:i/>
              </w:rPr>
              <w:t>zdůrazňuje příležitost, kterou nabízí zdvojnásobení prostředků z fondů soudržnosti</w:t>
            </w:r>
            <w:r>
              <w:t xml:space="preserve"> určených </w:t>
            </w:r>
            <w:r>
              <w:rPr>
                <w:b/>
                <w:i/>
              </w:rPr>
              <w:t>na sociální a cenově dostupné bydlení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vyzývá Komisi, aby do evropského semestru zahrnula konkrétní doporučení týkající se cenové dostupnosti bydlení a aby podporovala investice do bydlení, a to i prostřednictvím finančních nástrojů Evropské investiční banky; domnívá se, že revize regulačního rámce EU pro oblast bydlení by měla usnadnit výstavbu dostupného a energeticky účinného bydlení, které bude splňovat potřeby mladých lidí, osob se sníženou pohyblivostí a ohrožených rodin, a chránit vlastníky nemovitostí určených k bydlení před dalším poklesem nabídky;</w:t>
            </w:r>
          </w:p>
        </w:tc>
        <w:tc>
          <w:tcPr>
            <w:tcW w:w="4876" w:type="dxa"/>
            <w:tcBorders>
              <w:top w:val="nil"/>
              <w:left w:val="nil"/>
              <w:bottom w:val="nil"/>
              <w:right w:val="nil"/>
            </w:tcBorders>
          </w:tcPr>
          <w:p>
            <w:pPr>
              <w:pStyle w:val="Normal6a"/>
            </w:pPr>
            <w:r>
              <w:t>3.</w:t>
            </w:r>
            <w:r>
              <w:tab/>
            </w:r>
            <w:r>
              <w:t xml:space="preserve">vyzývá Komisi, aby do evropského semestru zahrnula konkrétní doporučení týkající se cenové dostupnosti bydlení a aby podporovala investice do bydlení, a to i prostřednictvím finančních nástrojů Evropské investiční banky; domnívá se, že revize regulačního rámce EU pro oblast bydlení by měla usnadnit výstavbu dostupného a energeticky účinného bydlení, které bude splňovat potřeby mladých lidí, osob se sníženou pohyblivostí a </w:t>
            </w:r>
            <w:r>
              <w:rPr>
                <w:b/>
                <w:i/>
              </w:rPr>
              <w:t>osob se zdravotním postižením a</w:t>
            </w:r>
            <w:r>
              <w:t xml:space="preserve"> ohrožených rodin, a chránit vlastníky nemovitostí určených k bydlení před dalším poklesem nabídky;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 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vyjadřuje politování nad tím, že některá pravidla a směrnice EU, jako je směrnice o úvěrech v selhání, fiskální pravidla a pravidla státní podpory EU, sehrály úlohu při zvyšování cen rezidenčních nemovitostí a nárůstu bezdomovectví v celé Unii, neboť mohou často bránit členským státům v tom, aby komplexně investovaly do řešení rostoucích nákladů na bydlení a rostoucího bezdomovectví.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naléhavě vyzývá členské státy, aby zajistily, že investice do bydlení budou podporovat dlouhodobá kvalitní řešení v oblasti bydlení, která jsou skutečně cenově dostupná pro domácnosti s nízkými a středními příjmy, a to prostřednictvím sociálních podmínek a protispekulativních záruk;</w:t>
            </w:r>
            <w:r>
              <w:t xml:space="preserve"> </w:t>
            </w:r>
            <w:r>
              <w:rPr>
                <w:b/>
                <w:i/>
              </w:rPr>
              <w:t>domnívá se, že řešení spekulativních investic a financializace musí být ústředním prvkem evropského plánu cenově dostupného bydlení;</w:t>
            </w:r>
            <w:r>
              <w:t xml:space="preserve"> </w:t>
            </w:r>
            <w:r>
              <w:rPr>
                <w:b/>
                <w:i/>
              </w:rPr>
              <w:t>vítá v tomto ohledu hloubkovou analýzu dopadu spekulací s bydlením a jejich hospodářských důsledků s cílem pokročit v rychlých reakcích a v případě potřeby přijmout následná opatření;</w:t>
            </w:r>
            <w:r>
              <w:t xml:space="preserve"> </w:t>
            </w:r>
            <w:r>
              <w:rPr>
                <w:b/>
                <w:i/>
              </w:rPr>
              <w:t>domnívá se, že revize regulačního rámce EU pro odvětví bydlení by měla usnadnit, aniž by došlo k využívání další půdy, renovaci a výstavbu přístupného, cenově dostupného a energeticky účinného bydlení, které splňuje potřeby mladých lidí, osob se sníženou pohyblivostí a osob ve zranitelné situaci;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domnívá se, že bezdomovectví je v EU dramatickým sociálním problémem a jednou z nejextrémnějších forem sociálního vyloučení, které jednotlivcům odpírá důstojný život a jejich účast na trhu práce, vyzývá Komisi, aby vypracovala akční plán pro vymýcení bezdomovectví v EU tím, že podpoří přístup k cenově dostupnému a důstojnému bydlení;</w:t>
            </w:r>
            <w:r>
              <w:t xml:space="preserve"> </w:t>
            </w:r>
            <w:r>
              <w:rPr>
                <w:b/>
                <w:i/>
              </w:rPr>
              <w:t>vyzývá k vytvoření jednotné definice bezdomovectví v EU, která by umožnila systematické srovnávání a posuzování rozsahu bezdomovectví v různých zemích EU;</w:t>
            </w:r>
            <w:r>
              <w:t xml:space="preserve"> </w:t>
            </w:r>
            <w:r>
              <w:rPr>
                <w:b/>
                <w:i/>
              </w:rPr>
              <w:t>a systematické sledování míry bezdomovectví na úrovni EU ze strany institucí, jako je Eurostat;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vítá ohlášený evropský plán cenově dostupného bydlení na podporu členských států při řešení krize v oblasti bydlení a rostoucích cen nájemného a domů;</w:t>
            </w:r>
            <w:r>
              <w:t xml:space="preserve"> </w:t>
            </w:r>
            <w:r>
              <w:rPr>
                <w:b/>
                <w:i/>
              </w:rPr>
              <w:t>vyzývá Komisi, aby revidovala pravidla státní podpory s cílem umožnit opatření na podporu bydlení a sociálního bydlení;</w:t>
            </w:r>
            <w:r>
              <w:t xml:space="preserve"> </w:t>
            </w:r>
            <w:r>
              <w:rPr>
                <w:b/>
                <w:i/>
              </w:rPr>
              <w:t>připomíná, že Sociální fond pro klimatická opatření bude od roku 2026 poskytovat členským státům finanční pomoc na podporu zranitelných domácností prostřednictvím dočasné přímé podpory příjmů a opatření a investic určených ke zvýšení energetické účinnosti budov, dekarbonizaci vytápění a chlazení budov a integraci do budov pro výrobu a skladování energie z obnovitelných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vyzývá Komisi, aby předložila návrhy týkající se posílení technologických kapacit EU, urychlení digitální transformace napříč odvětvími, využití příležitostí ekonomiky založené na datech při současném zajištění soukromí a bezpečnosti a podpory rozvoje inovativních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připomíná cíl Unie spočívající v přechodu od ústavní péče ke komunitní nebo rodinné péči;</w:t>
            </w:r>
            <w:r>
              <w:t xml:space="preserve"> </w:t>
            </w:r>
            <w:r>
              <w:rPr>
                <w:b/>
                <w:i/>
              </w:rPr>
              <w:t>vyzývá Komisi, aby předložila akční plán pro deinstitucionalizaci;</w:t>
            </w:r>
            <w:r>
              <w:t xml:space="preserve"> </w:t>
            </w:r>
            <w:r>
              <w:rPr>
                <w:b/>
                <w:i/>
              </w:rPr>
              <w:t>zdůrazňuje, že tento akční plán by se měl vztahovat na všechny skupiny, které stále žijí v ústavech, včetně dětí, osob se zdravotním postižením, osob trpících duševními problémy nebo bezdomovectvím a starších osob;</w:t>
            </w:r>
            <w:r>
              <w:t xml:space="preserve"> </w:t>
            </w:r>
            <w:r>
              <w:rPr>
                <w:b/>
                <w:i/>
              </w:rPr>
              <w:t>vyzývá členské státy, aby plně využívaly fondy ESF+ i další příslušné evropské a vnitrostátní fondy k dokončení procesu deinstitucionalizace s cílem zajistit, aby každý občan EU mohl žít v rodinném nebo komunitním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domnívá se, že je naléhavě nutné, aby EU přijala opatření k řešení trvale vysoké míry chudoby a sociálního vyloučení v EU, zejména mezi dětmi, mladými a staršími lidmi, osobami se zdravotním postižením, osobami narozenými mimo EU, LGTBI a romskými komunitami;</w:t>
            </w:r>
            <w:r>
              <w:t xml:space="preserve"> </w:t>
            </w:r>
            <w:r>
              <w:rPr>
                <w:b/>
                <w:i/>
              </w:rPr>
              <w:t>prioritou by měl být přístup ke kvalitním sociálním službám se závaznými cíli pro snížení bezdomovectví a zajištění energetické bezpečnosti zranitelných domácností;</w:t>
            </w:r>
            <w:r>
              <w:t xml:space="preserve"> </w:t>
            </w:r>
            <w:r>
              <w:rPr>
                <w:b/>
                <w:i/>
              </w:rPr>
              <w:t>vyzývá Komisi, aby přijala vůbec první strategii EU proti chudobě;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připomíná cíl, kterým je usilovat o ukončení bezdomovectví do roku 2030;</w:t>
            </w:r>
            <w:r>
              <w:t xml:space="preserve"> </w:t>
            </w:r>
            <w:r>
              <w:rPr>
                <w:b/>
                <w:i/>
              </w:rPr>
              <w:t>vyzývá členské státy, aby navrhly vnitrostátní strategie v oblasti bezdomovectví zaměřené na řešení založená na bydlení s cílem dosáhnout souladu s tímto cílem;</w:t>
            </w:r>
            <w:r>
              <w:t xml:space="preserve"> </w:t>
            </w:r>
            <w:r>
              <w:rPr>
                <w:b/>
                <w:i/>
              </w:rPr>
              <w:t>vítá záměr vydat doporučení Rady o bezdomovectví;</w:t>
            </w:r>
            <w:r>
              <w:t xml:space="preserve"> </w:t>
            </w:r>
            <w:r>
              <w:rPr>
                <w:b/>
                <w:i/>
              </w:rPr>
              <w:t>naléhavě vyzývá Komisi, aby dále zvýšila ambice evropské platformy pro boj proti bezdomovectví, zejména tím, že jí poskytne zvláštní rozpočet;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k provádění evropského akčního plánu pro duševní zdraví v souladu s nedávnými doporučeními Komise</w:t>
            </w:r>
            <w:r>
              <w:rPr>
                <w:vertAlign w:val="superscript"/>
              </w:rPr>
              <w:t>2</w:t>
            </w:r>
            <w:r>
              <w:t xml:space="preserve">; </w:t>
            </w:r>
            <w:r>
              <w:rPr>
                <w:b/>
                <w:i/>
              </w:rPr>
              <w:t>žádá</w:t>
            </w:r>
            <w:r>
              <w:t xml:space="preserve">, aby se evropský semestr zabýval socioekonomickým dopadem osamělosti na produktivitu a </w:t>
            </w:r>
            <w:r>
              <w:rPr>
                <w:b/>
                <w:i/>
              </w:rPr>
              <w:t>duševní pohodu tím, že bude prosazovat</w:t>
            </w:r>
            <w:r>
              <w:t xml:space="preserve"> strategii EU </w:t>
            </w:r>
            <w:r>
              <w:rPr>
                <w:b/>
                <w:i/>
              </w:rPr>
              <w:t>zaměřenou na nechtěnou osamělost, která bude moci následně podporovat mezigenerační solidaritu a posílit programy emoční</w:t>
            </w:r>
            <w:r>
              <w:t xml:space="preserve"> podpory </w:t>
            </w:r>
            <w:r>
              <w:rPr>
                <w:b/>
                <w:i/>
              </w:rPr>
              <w:t>pro mladé i starší lidi</w:t>
            </w:r>
            <w:r>
              <w:t>;</w:t>
            </w:r>
          </w:p>
        </w:tc>
        <w:tc>
          <w:tcPr>
            <w:tcW w:w="4876" w:type="dxa"/>
            <w:tcBorders>
              <w:top w:val="nil"/>
              <w:left w:val="nil"/>
              <w:bottom w:val="nil"/>
              <w:right w:val="nil"/>
            </w:tcBorders>
          </w:tcPr>
          <w:p>
            <w:pPr>
              <w:pStyle w:val="Normal6a"/>
            </w:pPr>
            <w:r>
              <w:t>4.</w:t>
            </w:r>
            <w:r>
              <w:tab/>
            </w:r>
            <w:r>
              <w:t xml:space="preserve">vyzývá k provádění </w:t>
            </w:r>
            <w:r>
              <w:rPr>
                <w:b/>
                <w:i/>
              </w:rPr>
              <w:t>komplexního</w:t>
            </w:r>
            <w:r>
              <w:t xml:space="preserve"> evropského akčního plánu pro duševní zdraví v souladu s nedávnými doporučeními Komise</w:t>
            </w:r>
            <w:r>
              <w:rPr>
                <w:vertAlign w:val="superscript"/>
              </w:rPr>
              <w:t>2</w:t>
            </w:r>
            <w:r>
              <w:t xml:space="preserve">; </w:t>
            </w:r>
            <w:r>
              <w:rPr>
                <w:b/>
                <w:i/>
              </w:rPr>
              <w:t>vyzývá k tomu</w:t>
            </w:r>
            <w:r>
              <w:t xml:space="preserve">, aby se evropský semestr zabýval socioekonomickým dopadem osamělosti na produktivitu a </w:t>
            </w:r>
            <w:r>
              <w:rPr>
                <w:b/>
                <w:i/>
              </w:rPr>
              <w:t>dobré životní podmínky tím, že podpoří</w:t>
            </w:r>
            <w:r>
              <w:t xml:space="preserve"> strategii EU </w:t>
            </w:r>
            <w:r>
              <w:rPr>
                <w:b/>
                <w:i/>
              </w:rPr>
              <w:t>zabývající se osamělostí a mezigenerační solidaritou;</w:t>
            </w:r>
            <w:r>
              <w:t xml:space="preserve"> </w:t>
            </w:r>
            <w:r>
              <w:rPr>
                <w:b/>
                <w:i/>
              </w:rPr>
              <w:t>vyzývá členské státy, aby posílily přístup dětí, mladých lidí a dospělých ke službám v oblasti duševního zdraví a k programům emocionální</w:t>
            </w:r>
            <w:r>
              <w:t xml:space="preserve"> podpory</w:t>
            </w:r>
            <w:r>
              <w:rPr>
                <w:b/>
                <w:i/>
              </w:rPr>
              <w:t>, zejména ve vzdálených a méně rozvinutých regionech</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Sdělení Komise ze dne 7. června 2023 o komplexním přístupu k duševnímu zdraví (COM(2023)0298).</w:t>
            </w:r>
          </w:p>
        </w:tc>
        <w:tc>
          <w:tcPr>
            <w:tcW w:w="4876" w:type="dxa"/>
            <w:tcBorders>
              <w:top w:val="nil"/>
              <w:left w:val="nil"/>
              <w:bottom w:val="nil"/>
              <w:right w:val="nil"/>
            </w:tcBorders>
          </w:tcPr>
          <w:p>
            <w:pPr>
              <w:pStyle w:val="Normal6a"/>
            </w:pPr>
            <w:r>
              <w:rPr>
                <w:vertAlign w:val="superscript"/>
              </w:rPr>
              <w:t>2</w:t>
            </w:r>
            <w:r>
              <w:t xml:space="preserve"> </w:t>
            </w:r>
            <w:r>
              <w:t>Sdělení Komise ze dne 7. června 2023 o komplexním přístupu k duševnímu zdraví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k provádění evropského akčního plánu pro duševní zdraví v souladu s nedávnými doporučeními Komise</w:t>
            </w:r>
            <w:r>
              <w:rPr>
                <w:vertAlign w:val="superscript"/>
              </w:rPr>
              <w:t>2</w:t>
            </w:r>
            <w:r>
              <w:t xml:space="preserve">; </w:t>
            </w:r>
            <w:r>
              <w:rPr>
                <w:b/>
                <w:i/>
              </w:rPr>
              <w:t>žádá, aby se</w:t>
            </w:r>
            <w:r>
              <w:t xml:space="preserve"> evropský semestr </w:t>
            </w:r>
            <w:r>
              <w:rPr>
                <w:b/>
                <w:i/>
              </w:rPr>
              <w:t>zabýval socioekonomickým dopadem osamělosti na produktivitu a duševní pohodu tím, že bude prosazovat strategii EU zaměřenou na nechtěnou osamělost, která bude moci následně podporovat mezigenerační solidaritu a posílit programy emoční podpory pro mladé i starší lidi</w:t>
            </w:r>
            <w:r>
              <w:t>;</w:t>
            </w:r>
          </w:p>
        </w:tc>
        <w:tc>
          <w:tcPr>
            <w:tcW w:w="4876" w:type="dxa"/>
            <w:tcBorders>
              <w:top w:val="nil"/>
              <w:left w:val="nil"/>
              <w:bottom w:val="nil"/>
              <w:right w:val="nil"/>
            </w:tcBorders>
          </w:tcPr>
          <w:p>
            <w:pPr>
              <w:pStyle w:val="Normal6a"/>
            </w:pPr>
            <w:r>
              <w:t>4.</w:t>
            </w:r>
            <w:r>
              <w:tab/>
            </w:r>
            <w:r>
              <w:t>vyzývá k provádění evropského akčního plánu pro duševní zdraví v souladu s nedávnými doporučeními Komise</w:t>
            </w:r>
            <w:r>
              <w:rPr>
                <w:vertAlign w:val="superscript"/>
              </w:rPr>
              <w:t>2</w:t>
            </w:r>
            <w:r>
              <w:t xml:space="preserve">; </w:t>
            </w:r>
            <w:r>
              <w:rPr>
                <w:b/>
                <w:i/>
              </w:rPr>
              <w:t>vyzývá k tomu, aby</w:t>
            </w:r>
            <w:r>
              <w:t xml:space="preserve"> evropský semestr </w:t>
            </w:r>
            <w:r>
              <w:rPr>
                <w:b/>
                <w:i/>
              </w:rPr>
              <w:t>využíval ukazatele srovnávacího přehledu sociálních ukazatelů k řešení socioekonomického dopadu osamělosti a nejistých životních podmínek a nejistoty na dobré životní podmínky, duševní zdraví a zapojení lidí do společnosti a na trh práce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Sdělení Komise ze dne 7. června 2023 o komplexním přístupu k duševnímu zdraví (COM(2023)0298).</w:t>
            </w:r>
          </w:p>
        </w:tc>
        <w:tc>
          <w:tcPr>
            <w:tcW w:w="4876" w:type="dxa"/>
            <w:tcBorders>
              <w:top w:val="nil"/>
              <w:left w:val="nil"/>
              <w:bottom w:val="nil"/>
              <w:right w:val="nil"/>
            </w:tcBorders>
          </w:tcPr>
          <w:p>
            <w:pPr>
              <w:pStyle w:val="Normal6a"/>
            </w:pPr>
            <w:r>
              <w:rPr>
                <w:vertAlign w:val="superscript"/>
              </w:rPr>
              <w:t>2</w:t>
            </w:r>
            <w:r>
              <w:t xml:space="preserve"> </w:t>
            </w:r>
            <w:r>
              <w:t>Sdělení Komise ze dne 7. června 2023 o komplexním přístupu k duševnímu zdraví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k provádění evropského akčního plánu pro duševní zdraví v souladu s nedávnými doporučeními Komise</w:t>
            </w:r>
            <w:r>
              <w:rPr>
                <w:vertAlign w:val="superscript"/>
              </w:rPr>
              <w:t>2</w:t>
            </w:r>
            <w:r>
              <w:t>; žádá, aby se evropský semestr zabýval socioekonomickým dopadem osamělosti na produktivitu a duševní pohodu tím, že bude prosazovat strategii EU zaměřenou na nechtěnou osamělost, která bude moci následně podporovat mezigenerační solidaritu a posílit programy emoční podpory pro mladé i starší lidi;</w:t>
            </w:r>
          </w:p>
        </w:tc>
        <w:tc>
          <w:tcPr>
            <w:tcW w:w="4876" w:type="dxa"/>
            <w:tcBorders>
              <w:top w:val="nil"/>
              <w:left w:val="nil"/>
              <w:bottom w:val="nil"/>
              <w:right w:val="nil"/>
            </w:tcBorders>
          </w:tcPr>
          <w:p>
            <w:pPr>
              <w:pStyle w:val="Normal6a"/>
            </w:pPr>
            <w:r>
              <w:t>4.</w:t>
            </w:r>
            <w:r>
              <w:tab/>
            </w:r>
            <w:r>
              <w:t>vyzývá k provádění evropského akčního plánu pro duševní zdraví v souladu s nedávnými doporučeními Komise</w:t>
            </w:r>
            <w:r>
              <w:rPr>
                <w:vertAlign w:val="superscript"/>
              </w:rPr>
              <w:t>2</w:t>
            </w:r>
            <w:r>
              <w:t>; žádá, aby se evropský semestr zabýval socioekonomickým dopadem osamělosti na produktivitu a duševní pohodu tím, že bude prosazovat strategii EU zaměřenou na nechtěnou osamělost, která bude moci následně podporovat mezigenerační solidaritu</w:t>
            </w:r>
            <w:r>
              <w:rPr>
                <w:b/>
                <w:i/>
              </w:rPr>
              <w:t>, stříbrnou politiku</w:t>
            </w:r>
            <w:r>
              <w:t xml:space="preserve"> a posílit programy emoční podpory pro mladé i starší lidi;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Sdělení Komise ze dne 7. června 2023 o komplexním přístupu k duševnímu zdraví (COM(2023)0298).</w:t>
            </w:r>
          </w:p>
        </w:tc>
        <w:tc>
          <w:tcPr>
            <w:tcW w:w="4876" w:type="dxa"/>
            <w:tcBorders>
              <w:top w:val="nil"/>
              <w:left w:val="nil"/>
              <w:bottom w:val="nil"/>
              <w:right w:val="nil"/>
            </w:tcBorders>
          </w:tcPr>
          <w:p>
            <w:pPr>
              <w:pStyle w:val="Normal6a"/>
            </w:pPr>
            <w:r>
              <w:rPr>
                <w:vertAlign w:val="superscript"/>
              </w:rPr>
              <w:t>2</w:t>
            </w:r>
            <w:r>
              <w:t xml:space="preserve"> </w:t>
            </w:r>
            <w:r>
              <w:t>Sdělení Komise ze dne 7. června 2023 o komplexním přístupu k duševnímu zdraví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k provádění evropského akčního plánu pro duševní zdraví v souladu s nedávnými doporučeními Komise</w:t>
            </w:r>
            <w:r>
              <w:rPr>
                <w:vertAlign w:val="superscript"/>
              </w:rPr>
              <w:t>2</w:t>
            </w:r>
            <w:r>
              <w:rPr>
                <w:b/>
                <w:i/>
              </w:rPr>
              <w:t>;</w:t>
            </w:r>
            <w:r>
              <w:t xml:space="preserve"> </w:t>
            </w:r>
            <w:r>
              <w:rPr>
                <w:b/>
                <w:i/>
              </w:rPr>
              <w:t>žádá, aby se evropský semestr zabýval socioekonomickým dopadem osamělosti na produktivitu a duševní pohodu tím, že bude prosazovat strategii EU zaměřenou na nechtěnou osamělost, která bude moci následně podporovat</w:t>
            </w:r>
            <w:r>
              <w:t xml:space="preserve"> mezigenerační solidaritu a </w:t>
            </w:r>
            <w:r>
              <w:rPr>
                <w:b/>
                <w:i/>
              </w:rPr>
              <w:t>posílit</w:t>
            </w:r>
            <w:r>
              <w:t xml:space="preserve"> programy emoční podpory pro mladé i starší lidi;</w:t>
            </w:r>
          </w:p>
        </w:tc>
        <w:tc>
          <w:tcPr>
            <w:tcW w:w="4876" w:type="dxa"/>
            <w:tcBorders>
              <w:top w:val="nil"/>
              <w:left w:val="nil"/>
              <w:bottom w:val="nil"/>
              <w:right w:val="nil"/>
            </w:tcBorders>
          </w:tcPr>
          <w:p>
            <w:pPr>
              <w:pStyle w:val="Normal6a"/>
            </w:pPr>
            <w:r>
              <w:t>4.</w:t>
            </w:r>
            <w:r>
              <w:tab/>
            </w:r>
            <w:r>
              <w:t xml:space="preserve">vyzývá k provádění evropského akčního plánu pro duševní zdraví v souladu s nedávnými doporučeními Komise </w:t>
            </w:r>
            <w:r>
              <w:rPr>
                <w:b/>
                <w:i/>
              </w:rPr>
              <w:t>a k podpoře sociálního předepisování jakožto prvního kroku k duševnímu zdraví</w:t>
            </w:r>
            <w:r>
              <w:rPr>
                <w:vertAlign w:val="superscript"/>
              </w:rPr>
              <w:t>2</w:t>
            </w:r>
            <w:r>
              <w:t xml:space="preserve"> </w:t>
            </w:r>
            <w:r>
              <w:rPr>
                <w:b/>
                <w:i/>
              </w:rPr>
              <w:t>a k podpoře sociálních interakci jakožto prvního kroku k duševnímu zdraví;</w:t>
            </w:r>
            <w:r>
              <w:t xml:space="preserve"> </w:t>
            </w:r>
            <w:r>
              <w:rPr>
                <w:b/>
                <w:i/>
              </w:rPr>
              <w:t>žádá, aby se členské státy zabývaly socioekonomickým dopadem osamělosti na produktivitu a duševní pohodu a podporovaly</w:t>
            </w:r>
            <w:r>
              <w:t xml:space="preserve"> mezigenerační solidaritu a </w:t>
            </w:r>
            <w:r>
              <w:rPr>
                <w:b/>
                <w:i/>
              </w:rPr>
              <w:t>posilovaly</w:t>
            </w:r>
            <w:r>
              <w:t xml:space="preserve"> programy emoční podpory pro mladé i starší lidi;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Sdělení Komise ze dne 7. června 2023 o komplexním přístupu k duševnímu zdraví (COM(2023)0298).</w:t>
            </w:r>
          </w:p>
        </w:tc>
        <w:tc>
          <w:tcPr>
            <w:tcW w:w="4876" w:type="dxa"/>
            <w:tcBorders>
              <w:top w:val="nil"/>
              <w:left w:val="nil"/>
              <w:bottom w:val="nil"/>
              <w:right w:val="nil"/>
            </w:tcBorders>
          </w:tcPr>
          <w:p>
            <w:pPr>
              <w:pStyle w:val="Normal6a"/>
            </w:pPr>
            <w:r>
              <w:rPr>
                <w:vertAlign w:val="superscript"/>
              </w:rPr>
              <w:t>2</w:t>
            </w:r>
            <w:r>
              <w:t xml:space="preserve"> </w:t>
            </w:r>
            <w:r>
              <w:t>Sdělení Komise ze dne 7. června 2023 o komplexním přístupu k duševnímu zdraví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k provádění evropského akčního plánu pro duševní zdraví v souladu s nedávnými doporučeními Komise</w:t>
            </w:r>
            <w:r>
              <w:rPr>
                <w:vertAlign w:val="superscript"/>
              </w:rPr>
              <w:t>2</w:t>
            </w:r>
            <w:r>
              <w:t xml:space="preserve">; </w:t>
            </w:r>
            <w:r>
              <w:rPr>
                <w:b/>
                <w:i/>
              </w:rPr>
              <w:t>žádá, aby se evropský semestr zabýval socioekonomickým dopadem osamělosti na produktivitu a duševní pohodu tím, že bude prosazovat strategii EU zaměřenou na nechtěnou osamělost, která bude moci následně podporovat mezigenerační solidaritu a posílit programy emoční podpory pro mladé i starší lidi</w:t>
            </w:r>
            <w:r>
              <w:t>;</w:t>
            </w:r>
          </w:p>
        </w:tc>
        <w:tc>
          <w:tcPr>
            <w:tcW w:w="4876" w:type="dxa"/>
            <w:tcBorders>
              <w:top w:val="nil"/>
              <w:left w:val="nil"/>
              <w:bottom w:val="nil"/>
              <w:right w:val="nil"/>
            </w:tcBorders>
          </w:tcPr>
          <w:p>
            <w:pPr>
              <w:pStyle w:val="Normal6a"/>
            </w:pPr>
            <w:r>
              <w:t>4.</w:t>
            </w:r>
            <w:r>
              <w:tab/>
            </w:r>
            <w:r>
              <w:t>vyzývá k provádění evropského akčního plánu pro duševní zdraví v souladu s nedávnými doporučeními Komise</w:t>
            </w:r>
            <w:r>
              <w:rPr>
                <w:vertAlign w:val="superscript"/>
              </w:rPr>
              <w:t>2</w:t>
            </w:r>
            <w:r>
              <w:t xml:space="preserve">; </w:t>
            </w:r>
            <w:r>
              <w:rPr>
                <w:b/>
                <w:i/>
              </w:rPr>
              <w:t>vyzývá k přijetí směrnice na úrovni EU o psychosociálních rizicích, která by řešila zvýšenou prevalenci některých psychosociálních rizik na pracovištích EU s cílem zajistit účinné provádění zásad bezpečnosti a ochrany zdraví při práci zakotvených v rámcové směrnici, a to i pokud jde o psychosociální rizika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Sdělení Komise ze dne 7. června 2023 o komplexním přístupu k duševnímu zdraví (COM(2023)0298).</w:t>
            </w:r>
          </w:p>
        </w:tc>
        <w:tc>
          <w:tcPr>
            <w:tcW w:w="4876" w:type="dxa"/>
            <w:tcBorders>
              <w:top w:val="nil"/>
              <w:left w:val="nil"/>
              <w:bottom w:val="nil"/>
              <w:right w:val="nil"/>
            </w:tcBorders>
          </w:tcPr>
          <w:p>
            <w:pPr>
              <w:pStyle w:val="Normal6a"/>
            </w:pPr>
            <w:r>
              <w:rPr>
                <w:vertAlign w:val="superscript"/>
              </w:rPr>
              <w:t>2</w:t>
            </w:r>
            <w:r>
              <w:t xml:space="preserve"> </w:t>
            </w:r>
            <w:r>
              <w:t>Sdělení Komise ze dne 7. června 2023 o komplexním přístupu k duševnímu zdraví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vyzývá k tomu, aby se evropský semestr zabýval sociálně-ekonomickými výzvami a příležitostmi demografické změny a stárnutí na základě osamělosti, pokud jde o produktivitu, dobré životní podmínky a sociální soudržnost, a to prosazováním ucelené strategie EU pro stárnutí, která se bude zabývat nechtěnou osamělostí, potřebou důstojného, přístupného a přizpůsobeného bydlení, přístupem k profesionální a inkluzivní péči a službám dlouhodobé péče a podporou aktivního začleňování a rovných příležitostí pro starší pracovníky na trhu práce, což může podpořit mezigenerační solidaritu a posílit programy emocionální podpory pro mladé lidi a starší osoby;</w:t>
            </w:r>
            <w:r>
              <w:t xml:space="preserve"> </w:t>
            </w:r>
            <w:r>
              <w:rPr>
                <w:b/>
                <w:i/>
              </w:rPr>
              <w:t>vyzývá k provádění evropské strategie v oblasti péče, zejména pokud jde o dostupnost vysoce kvalitních a cenově dostupných pečovatelských služeb v oblasti péče v raném dětství a dlouhodobé péče, a k zajištění spravedlivých pracovních podmínek a odborné přípravy pro pečovatele, včetně neformální péče;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zdůrazňuje, že zaměstnavatelé musí podporovat mezigenerační vazby v rámci podniků a vzájemné mezigenerační učení mezi mladými a starými;</w:t>
            </w:r>
            <w:r>
              <w:t xml:space="preserve"> </w:t>
            </w:r>
            <w:r>
              <w:rPr>
                <w:b/>
                <w:i/>
              </w:rPr>
              <w:t>poukazuje na to, že stárnoucí pracovní síla může podniku pomáhat vyvíjet nové produkty a služby, které se kreativnějším a produktivnějším způsobem přizpůsobí potřebám stárnoucí společnosti;</w:t>
            </w:r>
            <w:r>
              <w:t xml:space="preserve"> </w:t>
            </w:r>
            <w:r>
              <w:rPr>
                <w:b/>
                <w:i/>
              </w:rPr>
              <w:t>dále vyzývá k vytvoření pobídek na podporu dobrovolnictví a mentoringu, aby se podpořil přenos znalostí mezi generacemi;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vyzývá k přijetí iniciativ zaměřených na boj proti vyloučení pracovníků v důsledku delší pracovní neschopnosti způsobené závažnými nepřenosnými nemocemi, jako je rakovina, kardiovaskulární onemocnění, cukrovka, chronická respirační onemocnění, duševní zdraví a neurologické poruchy, jakož i revmatickými a muskuloskeletálními onemocněními, zejména iniciativy zaměřené na přizpůsobení pracoviště, pružné pracovní podmínky a strategie na podporu návratu pracovníků po delší nepřítomnosti;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vyzývá evropský semestr, aby se zabýval socioekonomickým dopadem problémů v oblasti duševního zdraví dětí, dospívajících a mladých dospělých na jejich dlouhodobou pohodu a životní úroveň.</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varuje, že podle zpráv ECB jsou reálné mzdy stále pod úrovní před pandemií, zatímco produktivita byla zhruba stejná;</w:t>
            </w:r>
            <w:r>
              <w:t xml:space="preserve"> </w:t>
            </w:r>
            <w:r>
              <w:rPr>
                <w:b/>
                <w:i/>
              </w:rPr>
              <w:t>souhlasí s tím, že to vytváří určitý prostor pro neinflační oživení reálných mezd, a varuje, že pokud by se reálné mzdy nezotavily, zvýšilo by se tím riziko vleklého hospodářského oslabení, které by mohlo mít negativní dopady, a dále by to vedlo ke snížení produktivity v eurozóně ve srovnání s ostatními částmi světa;</w:t>
            </w:r>
            <w:r>
              <w:t xml:space="preserve"> </w:t>
            </w:r>
            <w:r>
              <w:rPr>
                <w:b/>
                <w:i/>
              </w:rPr>
              <w:t>domnívá se, že zvýšení minimální mzdy a posílení rozsahu kolektivního vyjednávání může mít příznivý dopad na úroveň mzdové nerovnosti, zejména tím, že pomůže zranitelnějším pracovníkům na spodních příčkách distribuce mezd, kteří jsou stále více opomíjeni;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vyzývá členské státy a Komisi, aby zvážily akční plán pro řešení izolace a osamělosti venkova;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vyzývá členské státy, aby zajistily důstojné pracovní podmínky zahrnující mimo jiné důstojné mzdy, přístup k sociální ochraně, příležitosti k celoživotnímu učení, bezpečnost a ochranu zdraví při práci, dobrou rovnováhu mezi pracovním a soukromým životem a právo odpojit se, přiměřenou pracovní dobu, zastoupení pracovníků, demokracii na pracovišti a kolektivní smlouvy.</w:t>
            </w:r>
            <w:r>
              <w:t xml:space="preserve"> </w:t>
            </w:r>
            <w:r>
              <w:rPr>
                <w:b/>
                <w:i/>
              </w:rPr>
              <w:t>Členské státy by měly podporovat demokracii na pracovišti, sociální dialog a kolektivní vyjednávání a chránit práva pracovníků, zejména v souvislosti s ekologickou a digitální transformací.</w:t>
            </w:r>
            <w:r>
              <w:t xml:space="preserve"> </w:t>
            </w:r>
            <w:r>
              <w:rPr>
                <w:b/>
                <w:i/>
              </w:rPr>
              <w:t>Měly by rovněž zajistit stejnou odměnu mužů a žen za stejnou práci, zvýšit transparentnost odměňování a řešit nerovnost mezi ženami a muži s cílem odstranit rozdíly v odměňování žen a mužů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vyzývá členské státy a Komisi, aby uznaly stres a duševní onemocnění způsobená prací;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zdůrazňuje úlohu sociálního dialogu a sociálních partnerů, kteří by měli být systematicky začleňováni do navrhování a provádění politik zaměstnanosti a sociálních politik, a zajistit tak zapojení sociálních partnerů na všech úrovních;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zdůrazňuje, že je důležité zavést konkrétní opatření k řešení regionálních nerovností ve vzdělávání a odborné přípravě a zajistit všem rovný přístup k vysoce kvalitnímu a cenově dostupnému vzdělávání;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4f.</w:t>
            </w:r>
            <w:r>
              <w:tab/>
            </w:r>
            <w:r>
              <w:rPr>
                <w:b/>
                <w:i/>
              </w:rPr>
              <w:t>systémy sociální ochrany členských států by měly zajistit přiměřené dávky poskytující minimální příjem každému, kdo nemá dostatečné prostředky, a podporovat sociální začlenění tím, že budou obyvatele v produktivním věku podporovat a vybízet k aktivní účasti na trhu práce a ve společnosti, rovněž prostřednictvím cíleného poskytování sociálních služeb;</w:t>
            </w:r>
            <w:r>
              <w:t xml:space="preserve"> </w:t>
            </w:r>
            <w:r>
              <w:rPr>
                <w:b/>
                <w:i/>
              </w:rPr>
              <w:t>zdůrazňuje, že je třeba, aby v tomto ohledu členské státy rychle a účinně prováděly směrnici o přiměřených minimálních mzdách v Evropské unii, aby byla dosažena důstojná životní úroveň, snížila se chudoba pracujících a podporovala se sociální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 provádění politik, které podporují rovnováhu mezi pracovním a soukromým životem</w:t>
            </w:r>
            <w:r>
              <w:rPr>
                <w:b/>
                <w:i/>
              </w:rPr>
              <w:t>,</w:t>
            </w:r>
            <w:r>
              <w:t xml:space="preserve"> s cílem zlepšit kvalitu života všech rodin; vyzývá Komisi, aby předložila legislativní návrh na vytvoření evropského průkazu velkých rodin a evropského akčního plánu pro rodiče samoživitele, které by těmto skupinám zajišťovaly daňové, vzdělávací a sociální výhody;</w:t>
            </w:r>
          </w:p>
        </w:tc>
        <w:tc>
          <w:tcPr>
            <w:tcW w:w="4876" w:type="dxa"/>
            <w:tcBorders>
              <w:top w:val="nil"/>
              <w:left w:val="nil"/>
              <w:bottom w:val="nil"/>
              <w:right w:val="nil"/>
            </w:tcBorders>
          </w:tcPr>
          <w:p>
            <w:pPr>
              <w:pStyle w:val="Normal6a"/>
            </w:pPr>
            <w:r>
              <w:t>5.</w:t>
            </w:r>
            <w:r>
              <w:tab/>
            </w:r>
            <w:r>
              <w:t xml:space="preserve">vyzývá k provádění politik, které podporují rovnováhu mezi pracovním a soukromým životem </w:t>
            </w:r>
            <w:r>
              <w:rPr>
                <w:b/>
                <w:i/>
              </w:rPr>
              <w:t>a právo odpojit se, se zvláštním zaměřením na politiky týkající se pracovní doby a zkrácení a větší flexibilitu pracovní doby a opatření podporující rovnoměrnější rozdělení placené a neplacené pracovní doby mezi muže a ženy</w:t>
            </w:r>
            <w:r>
              <w:t xml:space="preserve"> s cílem zlepšit kvalitu života všech </w:t>
            </w:r>
            <w:r>
              <w:rPr>
                <w:b/>
                <w:i/>
              </w:rPr>
              <w:t>typů</w:t>
            </w:r>
            <w:r>
              <w:t xml:space="preserve"> rodin </w:t>
            </w:r>
            <w:r>
              <w:rPr>
                <w:b/>
                <w:i/>
              </w:rPr>
              <w:t>a jednotlivců</w:t>
            </w:r>
            <w:r>
              <w:t xml:space="preserve">; vyzývá Komisi, aby předložila legislativní návrh na vytvoření evropského průkazu </w:t>
            </w:r>
            <w:r>
              <w:rPr>
                <w:b/>
                <w:i/>
              </w:rPr>
              <w:t>pro všechny typy</w:t>
            </w:r>
            <w:r>
              <w:t xml:space="preserve"> velkých rodin a evropského akčního plánu pro rodiče samoživitele, které by těmto skupinám zajišťovaly daňové, vzdělávací a sociální výhody </w:t>
            </w:r>
            <w:r>
              <w:rPr>
                <w:b/>
                <w:i/>
              </w:rPr>
              <w:t>a výhody v oblasti péče o děti;</w:t>
            </w:r>
            <w:r>
              <w:t xml:space="preserve"> </w:t>
            </w:r>
            <w:r>
              <w:rPr>
                <w:b/>
                <w:i/>
              </w:rPr>
              <w:t>zdůrazňuje, že v roce 2023 bylo 24,8 % dětí mladších 18 let v EU ohroženo chudobou nebo sociálním vyloučením, což podle společné zprávy o zaměstnanosti představuje nárůst;</w:t>
            </w:r>
            <w:r>
              <w:t xml:space="preserve"> </w:t>
            </w:r>
            <w:r>
              <w:rPr>
                <w:b/>
                <w:i/>
              </w:rPr>
              <w:t>zdůrazňuje, že je důležité provádět evropskou záruku pro děti jako základní kámen pro řešení vysoké míry dětské chudoby ve všech členských státech, včetně opatření k posílení záruky pro děti prostřednictvím navýšení jejího zvláštního rozpočtu na nejméně 20 miliard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k provádění politik, které podporují rovnováhu mezi pracovním a soukromým životem, s cílem zlepšit kvalitu života všech </w:t>
            </w:r>
            <w:r>
              <w:rPr>
                <w:b/>
                <w:i/>
              </w:rPr>
              <w:t>rodin</w:t>
            </w:r>
            <w:r>
              <w:t xml:space="preserve">; vyzývá Komisi, aby </w:t>
            </w:r>
            <w:r>
              <w:rPr>
                <w:b/>
                <w:i/>
              </w:rPr>
              <w:t>předložila legislativní návrh na vytvoření evropského průkazu velkých rodin a evropského akčního plánu pro rodiče samoživitele, které by těmto skupinám zajišťovaly daňové, vzdělávací a sociální výhody</w:t>
            </w:r>
            <w:r>
              <w:t>;</w:t>
            </w:r>
          </w:p>
        </w:tc>
        <w:tc>
          <w:tcPr>
            <w:tcW w:w="4876" w:type="dxa"/>
            <w:tcBorders>
              <w:top w:val="nil"/>
              <w:left w:val="nil"/>
              <w:bottom w:val="nil"/>
              <w:right w:val="nil"/>
            </w:tcBorders>
          </w:tcPr>
          <w:p>
            <w:pPr>
              <w:pStyle w:val="Normal6a"/>
            </w:pPr>
            <w:r>
              <w:t>5.</w:t>
            </w:r>
            <w:r>
              <w:tab/>
            </w:r>
            <w:r>
              <w:t xml:space="preserve">vyzývá k provádění politik, které podporují rovnováhu mezi pracovním a soukromým životem, s cílem zlepšit kvalitu života všech </w:t>
            </w:r>
            <w:r>
              <w:rPr>
                <w:b/>
                <w:i/>
              </w:rPr>
              <w:t>pracujících</w:t>
            </w:r>
            <w:r>
              <w:t xml:space="preserve">; vyzývá Komisi, aby </w:t>
            </w:r>
            <w:r>
              <w:rPr>
                <w:b/>
                <w:i/>
              </w:rPr>
              <w:t>zajistila provádění směrnice o rovnováze mezi pracovním a soukromým životem a evropské strategie v oblasti péče a aby navrhla rámec pro řešení problémů pracovníků v oblasti dlouhodobé péče, včetně usnadnění uznávání dovedností a kvalifikací, podpory dovedností a kariérního postupu a zlepšení pracovních podmínek;</w:t>
            </w:r>
            <w:r>
              <w:t xml:space="preserve"> </w:t>
            </w:r>
            <w:r>
              <w:rPr>
                <w:b/>
                <w:i/>
              </w:rPr>
              <w:t>vyzývá Komisi, aby navrhla směrnici, která by regulovala podmínky práce na dálku a právo odpojit se v celé EU jako zásadní opatření k zajištění duševní pohody pracovníků EU a doplnila směrnici o rovnováze mezi pracovním a soukromým životem;</w:t>
            </w:r>
            <w:r>
              <w:t xml:space="preserve"> </w:t>
            </w:r>
            <w:r>
              <w:rPr>
                <w:b/>
                <w:i/>
              </w:rPr>
              <w:t>dále vyzývá k přijetí směrnice o psychosociálních rizicích a dobrých pracovních podmínkách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 provádění politik, které podporují rovnováhu mezi pracovním a soukromým životem, s cílem zlepšit kvalitu života všech rodin; vyzývá Komisi, aby předložila legislativní návrh na vytvoření evropského průkazu velkých rodin a evropského akčního plánu pro rodiče samoživitele, které by těmto skupinám zajišťovaly daňové, vzdělávací a sociální výhody;</w:t>
            </w:r>
          </w:p>
        </w:tc>
        <w:tc>
          <w:tcPr>
            <w:tcW w:w="4876" w:type="dxa"/>
            <w:tcBorders>
              <w:top w:val="nil"/>
              <w:left w:val="nil"/>
              <w:bottom w:val="nil"/>
              <w:right w:val="nil"/>
            </w:tcBorders>
          </w:tcPr>
          <w:p>
            <w:pPr>
              <w:pStyle w:val="Normal6a"/>
            </w:pPr>
            <w:r>
              <w:t>5.</w:t>
            </w:r>
            <w:r>
              <w:tab/>
            </w:r>
            <w:r>
              <w:t xml:space="preserve">vyzývá k provádění politik, které podporují rovnováhu mezi pracovním a soukromým životem, s cílem zlepšit kvalitu života všech rodin; vyzývá </w:t>
            </w:r>
            <w:r>
              <w:rPr>
                <w:b/>
                <w:i/>
              </w:rPr>
              <w:t>k dalším iniciativám na podporu formálních a neformálních pečovatelů, jejich pracovních podmínek a rovnováhy mezi pracovním a soukromým životem, přiměřené odměny a důstojnosti osob závislých na jejich péči;</w:t>
            </w:r>
            <w:r>
              <w:t xml:space="preserve"> </w:t>
            </w:r>
            <w:r>
              <w:rPr>
                <w:b/>
                <w:i/>
              </w:rPr>
              <w:t>vyzývá</w:t>
            </w:r>
            <w:r>
              <w:t xml:space="preserve"> Komisi, aby předložila legislativní návrh na vytvoření evropského průkazu velkých rodin a evropského akčního plánu pro rodiče samoživitele, které by těmto skupinám zajišťovaly daňové, vzdělávací a sociální výhody;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 provádění politik, které podporují rovnováhu mezi pracovním a soukromým životem</w:t>
            </w:r>
            <w:r>
              <w:rPr>
                <w:b/>
                <w:i/>
              </w:rPr>
              <w:t>,</w:t>
            </w:r>
            <w:r>
              <w:t xml:space="preserve"> s cílem zlepšit kvalitu života </w:t>
            </w:r>
            <w:r>
              <w:rPr>
                <w:b/>
                <w:i/>
              </w:rPr>
              <w:t>všech rodin;</w:t>
            </w:r>
            <w:r>
              <w:t xml:space="preserve"> </w:t>
            </w:r>
            <w:r>
              <w:rPr>
                <w:b/>
                <w:i/>
              </w:rPr>
              <w:t>vyzývá Komisi, aby předložila legislativní návrh na vytvoření evropského průkazu velkých</w:t>
            </w:r>
            <w:r>
              <w:t xml:space="preserve"> rodin a </w:t>
            </w:r>
            <w:r>
              <w:rPr>
                <w:b/>
                <w:i/>
              </w:rPr>
              <w:t>evropského akčního plánu pro rodiče samoživitele, které by těmto skupinám zajišťovaly daňové, vzdělávací a sociální výhody</w:t>
            </w:r>
            <w:r>
              <w:t>;</w:t>
            </w:r>
          </w:p>
        </w:tc>
        <w:tc>
          <w:tcPr>
            <w:tcW w:w="4876" w:type="dxa"/>
            <w:tcBorders>
              <w:top w:val="nil"/>
              <w:left w:val="nil"/>
              <w:bottom w:val="nil"/>
              <w:right w:val="nil"/>
            </w:tcBorders>
          </w:tcPr>
          <w:p>
            <w:pPr>
              <w:pStyle w:val="Normal6a"/>
            </w:pPr>
            <w:r>
              <w:t>5.</w:t>
            </w:r>
            <w:r>
              <w:tab/>
            </w:r>
            <w:r>
              <w:t xml:space="preserve">vyzývá k provádění politik, které podporují rovnováhu mezi pracovním a soukromým životem s cílem zlepšit kvalitu života </w:t>
            </w:r>
            <w:r>
              <w:rPr>
                <w:b/>
                <w:i/>
              </w:rPr>
              <w:t>pracovníků, včetně všech</w:t>
            </w:r>
            <w:r>
              <w:t xml:space="preserve"> rodin a </w:t>
            </w:r>
            <w:r>
              <w:rPr>
                <w:b/>
                <w:i/>
              </w:rPr>
              <w:t>rodičů samoživitelů, nabízejících daňové, vzdělávací a sociální dávky pro rodiny ve zranitelném postavení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k provádění politik, které podporují rovnováhu mezi pracovním a soukromým životem, s cílem zlepšit kvalitu života všech rodin; </w:t>
            </w:r>
            <w:r>
              <w:rPr>
                <w:b/>
                <w:i/>
              </w:rPr>
              <w:t>vyzývá Komisi, aby předložila legislativní návrh na vytvoření evropského průkazu velkých rodin a evropského akčního plánu pro rodiče samoživitele, které by těmto skupinám zajišťovaly</w:t>
            </w:r>
            <w:r>
              <w:t xml:space="preserve"> daňové, vzdělávací a sociální výhody;</w:t>
            </w:r>
          </w:p>
        </w:tc>
        <w:tc>
          <w:tcPr>
            <w:tcW w:w="4876" w:type="dxa"/>
            <w:tcBorders>
              <w:top w:val="nil"/>
              <w:left w:val="nil"/>
              <w:bottom w:val="nil"/>
              <w:right w:val="nil"/>
            </w:tcBorders>
          </w:tcPr>
          <w:p>
            <w:pPr>
              <w:pStyle w:val="Normal6a"/>
            </w:pPr>
            <w:r>
              <w:t>5.</w:t>
            </w:r>
            <w:r>
              <w:tab/>
            </w:r>
            <w:r>
              <w:t xml:space="preserve">vyzývá k provádění politik, které podporují rovnováhu mezi pracovním a soukromým životem, s cílem zlepšit kvalitu života všech rodin; </w:t>
            </w:r>
            <w:r>
              <w:rPr>
                <w:b/>
                <w:i/>
              </w:rPr>
              <w:t>zdůrazňuje, že rodinná politika je v pravomoci členských států;</w:t>
            </w:r>
            <w:r>
              <w:t xml:space="preserve"> </w:t>
            </w:r>
            <w:r>
              <w:rPr>
                <w:b/>
                <w:i/>
              </w:rPr>
              <w:t>zdůrazňuje význam výměny osvědčených postupů mezi členskými státy, pokud jde o stávající podpůrná opatření, která nabízejí</w:t>
            </w:r>
            <w:r>
              <w:t xml:space="preserve"> daňové, vzdělávací a sociální výhody </w:t>
            </w:r>
            <w:r>
              <w:rPr>
                <w:b/>
                <w:i/>
              </w:rPr>
              <w:t>velkým rodinám a rodinám samoživitelů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 provádění politik, které podporují rovnováhu mezi pracovním a soukromým životem, s cílem zlepšit kvalitu života všech rodin; vyzývá Komisi, aby předložila legislativní návrh na vytvoření evropského průkazu velkých rodin a evropského akčního plánu pro rodiče samoživitele, které by těmto skupinám zajišťovaly daňové, vzdělávací a sociální výhody;</w:t>
            </w:r>
          </w:p>
        </w:tc>
        <w:tc>
          <w:tcPr>
            <w:tcW w:w="4876" w:type="dxa"/>
            <w:tcBorders>
              <w:top w:val="nil"/>
              <w:left w:val="nil"/>
              <w:bottom w:val="nil"/>
              <w:right w:val="nil"/>
            </w:tcBorders>
          </w:tcPr>
          <w:p>
            <w:pPr>
              <w:pStyle w:val="Normal6a"/>
            </w:pPr>
            <w:r>
              <w:t>5.</w:t>
            </w:r>
            <w:r>
              <w:tab/>
            </w:r>
            <w:r>
              <w:t xml:space="preserve">vyzývá k provádění politik, které podporují rovnováhu mezi pracovním a soukromým životem, s cílem zlepšit kvalitu života všech </w:t>
            </w:r>
            <w:r>
              <w:rPr>
                <w:b/>
                <w:i/>
              </w:rPr>
              <w:t>evropských</w:t>
            </w:r>
            <w:r>
              <w:t xml:space="preserve"> rodin; vyzývá Komisi, aby předložila legislativní návrh na vytvoření evropského průkazu velkých rodin a evropského akčního plánu pro rodiče samoživitele, které by těmto skupinám zajišťovaly daňové, vzdělávací a sociální výhody;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k provádění politik, které podporují rovnováhu mezi pracovním a soukromým životem, s cílem zlepšit kvalitu života všech rodin; vyzývá Komisi, aby </w:t>
            </w:r>
            <w:r>
              <w:rPr>
                <w:b/>
                <w:i/>
              </w:rPr>
              <w:t>předložila legislativní návrh na</w:t>
            </w:r>
            <w:r>
              <w:t xml:space="preserve"> vytvoření evropského průkazu velkých rodin a evropského akčního plánu pro rodiče samoživitele, které by těmto skupinám zajišťovaly </w:t>
            </w:r>
            <w:r>
              <w:rPr>
                <w:b/>
                <w:i/>
              </w:rPr>
              <w:t>daňové</w:t>
            </w:r>
            <w:r>
              <w:t>, vzdělávací a sociální výhody;</w:t>
            </w:r>
          </w:p>
        </w:tc>
        <w:tc>
          <w:tcPr>
            <w:tcW w:w="4876" w:type="dxa"/>
            <w:tcBorders>
              <w:top w:val="nil"/>
              <w:left w:val="nil"/>
              <w:bottom w:val="nil"/>
              <w:right w:val="nil"/>
            </w:tcBorders>
          </w:tcPr>
          <w:p>
            <w:pPr>
              <w:pStyle w:val="Normal6a"/>
            </w:pPr>
            <w:r>
              <w:t>5.</w:t>
            </w:r>
            <w:r>
              <w:tab/>
            </w:r>
            <w:r>
              <w:t xml:space="preserve">vyzývá k provádění politik, které podporují rovnováhu mezi pracovním a soukromým životem, s cílem zlepšit kvalitu života všech rodin; vyzývá Komisi, aby </w:t>
            </w:r>
            <w:r>
              <w:rPr>
                <w:b/>
                <w:i/>
              </w:rPr>
              <w:t>zvážila</w:t>
            </w:r>
            <w:r>
              <w:t xml:space="preserve"> vytvoření evropského průkazu velkých rodin a evropského akčního plánu pro rodiče samoživitele, které by těmto skupinám zajišťovaly </w:t>
            </w:r>
            <w:r>
              <w:rPr>
                <w:b/>
                <w:i/>
              </w:rPr>
              <w:t>ekonomické</w:t>
            </w:r>
            <w:r>
              <w:t>, vzdělávací a sociální výhody;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vyzývá k provádění politik, které podporují rovnováhu mezi pracovním a soukromým životem, s cílem zlepšit kvalitu života všech </w:t>
            </w:r>
            <w:r>
              <w:rPr>
                <w:b/>
                <w:i/>
              </w:rPr>
              <w:t>rodin</w:t>
            </w:r>
            <w:r>
              <w:t>; vyzývá Komisi, aby předložila legislativní návrh na vytvoření evropského průkazu velkých rodin a evropského akčního plánu pro rodiče samoživitele, které by těmto skupinám zajišťovaly daňové, vzdělávací a sociální výhody;</w:t>
            </w:r>
          </w:p>
        </w:tc>
        <w:tc>
          <w:tcPr>
            <w:tcW w:w="4876" w:type="dxa"/>
            <w:tcBorders>
              <w:top w:val="nil"/>
              <w:left w:val="nil"/>
              <w:bottom w:val="nil"/>
              <w:right w:val="nil"/>
            </w:tcBorders>
          </w:tcPr>
          <w:p>
            <w:pPr>
              <w:pStyle w:val="Normal6a"/>
            </w:pPr>
            <w:r>
              <w:t>5.</w:t>
            </w:r>
            <w:r>
              <w:tab/>
            </w:r>
            <w:r>
              <w:t>vyzývá k provádění politik, které podporují rovnováhu mezi pracovním a soukromým životem, s cílem zlepšit kvalitu života všech; vyzývá Komisi, aby předložila legislativní návrh na vytvoření evropského průkazu velkých rodin a evropského akčního plánu pro rodiče samoživitele, které by těmto skupinám zajišťovaly daňové, vzdělávací a sociální výhody;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 písm.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uznává, že 44 milionů Evropanů plní často úlohu neformálních pečovatelů, z nichž většinu tvoří ženy.</w:t>
            </w:r>
            <w:r>
              <w:rPr>
                <w:b/>
                <w:i/>
                <w:vertAlign w:val="superscript"/>
              </w:rPr>
              <w:t>3a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Dlouhodobá péče v EU v roce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vyzývá k zavedení přístupu založeného na udržitelném rozvoji s cílem konkrétně řešit důsledky strukturálních a demografických změn v jednotlivých evropských zemích (včetně návrhů týkajících se podpory pracovního prostředí vstřícného k rodinám, aby se snížila míra vyhoření a zátěž vyvíjená na systémy sociálního zabezpečení a na rodinný život);</w:t>
            </w:r>
            <w:r>
              <w:t xml:space="preserve"> </w:t>
            </w:r>
            <w:r>
              <w:rPr>
                <w:b/>
                <w:i/>
              </w:rPr>
              <w:t>vyzývá zejména Komisi, aby předložila legislativní návrh na koncepci opatření k vytvoření odpovídajících minimálních norem pro rodinné dávky, které již v členských státech EU existují, aby se tak v dlouhodobém horizontu snížila chudoba dětí a sociální nerovnost a posílily evropské rodiny;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Uznává jedinečnou úlohu pečovatelů ve společnosti, zatímco definice pečovatelů není v celé EU harmonizována, odvětví dlouhodobé péče zaměstnává 6,4 milionu lidí v celé EU.</w:t>
            </w:r>
            <w:r>
              <w:rPr>
                <w:b/>
                <w:i/>
                <w:vertAlign w:val="superscript"/>
              </w:rPr>
              <w:t>4a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Dlouhodobá péče v EU v roce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žádá, aby se v rámci politiky soudržnosti EU staly prioritou demografické výzvy a aby byl význam této politiky postaven na roveň Zelené dohodě pro Evropu a Digitální strategii</w:t>
            </w:r>
            <w:r>
              <w:t xml:space="preserve">; vyzývá Komisi, aby </w:t>
            </w:r>
            <w:r>
              <w:rPr>
                <w:b/>
                <w:i/>
              </w:rPr>
              <w:t>vyhlásila „evropský demografický rok“ a zvýšila objem finančních prostředků pro regiony</w:t>
            </w:r>
            <w:r>
              <w:t xml:space="preserve"> s vysokou mírou vylidňování, </w:t>
            </w:r>
            <w:r>
              <w:rPr>
                <w:b/>
                <w:i/>
              </w:rPr>
              <w:t>kterými by podpořila místní rozvojové</w:t>
            </w:r>
            <w:r>
              <w:t xml:space="preserve"> projekty a základní infrastrukturu </w:t>
            </w:r>
            <w:r>
              <w:rPr>
                <w:b/>
                <w:i/>
              </w:rPr>
              <w:t>ve prospěch</w:t>
            </w:r>
            <w:r>
              <w:t xml:space="preserve"> práva místních obyvatel zůstat v těchto regionech;</w:t>
            </w:r>
          </w:p>
        </w:tc>
        <w:tc>
          <w:tcPr>
            <w:tcW w:w="4876" w:type="dxa"/>
            <w:tcBorders>
              <w:top w:val="nil"/>
              <w:left w:val="nil"/>
              <w:bottom w:val="nil"/>
              <w:right w:val="nil"/>
            </w:tcBorders>
          </w:tcPr>
          <w:p>
            <w:pPr>
              <w:pStyle w:val="Normal6a"/>
            </w:pPr>
            <w:r>
              <w:t>6.</w:t>
            </w:r>
            <w:r>
              <w:tab/>
            </w:r>
            <w:r>
              <w:rPr>
                <w:b/>
                <w:i/>
              </w:rPr>
              <w:t>vyzývá k tomu, aby evropský semestr zahrnoval sociální cíle, které by byly rovnocenné hospodářským cílům;</w:t>
            </w:r>
            <w:r>
              <w:t xml:space="preserve"> </w:t>
            </w:r>
            <w:r>
              <w:rPr>
                <w:b/>
                <w:i/>
              </w:rPr>
              <w:t>je znepokojen rostoucími rozdíly mezi městskými a venkovskými oblastmi v důsledku toho, že méně v urbanizovaných regionech chybí možnosti odborné přípravy a nejsou schopny přilákat a udržet si vysoce kvalifikované pracovníky</w:t>
            </w:r>
            <w:r>
              <w:t xml:space="preserve">; vyzývá Komisi, aby </w:t>
            </w:r>
            <w:r>
              <w:rPr>
                <w:b/>
                <w:i/>
              </w:rPr>
              <w:t>navázala na sdělení o využívání talentů v evropských regionech a na „mechanismus podpory talentů“ s cílem podpořit sociální soudržnost a zvýšit financování regionů</w:t>
            </w:r>
            <w:r>
              <w:t xml:space="preserve"> s vysokou mírou vylidňování, </w:t>
            </w:r>
            <w:r>
              <w:rPr>
                <w:b/>
                <w:i/>
              </w:rPr>
              <w:t>podporovat vytváření kvalitních pracovních míst, veřejné služby, příležitosti ke vzdělávání a odborné přípravě,</w:t>
            </w:r>
            <w:r>
              <w:t xml:space="preserve"> projekty </w:t>
            </w:r>
            <w:r>
              <w:rPr>
                <w:b/>
                <w:i/>
              </w:rPr>
              <w:t>místního rozvoje</w:t>
            </w:r>
            <w:r>
              <w:t xml:space="preserve"> a základní infrastrukturu</w:t>
            </w:r>
            <w:r>
              <w:rPr>
                <w:b/>
                <w:i/>
              </w:rPr>
              <w:t>, které jsou ku prospěchu</w:t>
            </w:r>
            <w:r>
              <w:t xml:space="preserve"> práva místních obyvatel zůstat v těchto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žádá, aby se v rámci politiky soudržnosti EU staly prioritou</w:t>
            </w:r>
            <w:r>
              <w:t xml:space="preserve"> demografické výzvy </w:t>
            </w:r>
            <w:r>
              <w:rPr>
                <w:b/>
                <w:i/>
              </w:rPr>
              <w:t>a aby byl význam této</w:t>
            </w:r>
            <w:r>
              <w:t xml:space="preserve"> politiky </w:t>
            </w:r>
            <w:r>
              <w:rPr>
                <w:b/>
                <w:i/>
              </w:rPr>
              <w:t>postaven na roveň Zelené dohodě pro Evropu a Digitální strategii;</w:t>
            </w:r>
            <w:r>
              <w:t xml:space="preserve"> </w:t>
            </w:r>
            <w:r>
              <w:rPr>
                <w:b/>
                <w:i/>
              </w:rPr>
              <w:t>vyzývá Komisi, aby vyhlásila „evropský demografický rok“ a zvýšila objem finančních prostředků pro regiony s vysokou mírou vylidňování, kterými by podpořila místní rozvojové projekty a základní infrastrukturu ve prospěch práva místních obyvatel zůstat v těchto regionech</w:t>
            </w:r>
            <w:r>
              <w:t>;</w:t>
            </w:r>
          </w:p>
        </w:tc>
        <w:tc>
          <w:tcPr>
            <w:tcW w:w="4876" w:type="dxa"/>
            <w:tcBorders>
              <w:top w:val="nil"/>
              <w:left w:val="nil"/>
              <w:bottom w:val="nil"/>
              <w:right w:val="nil"/>
            </w:tcBorders>
          </w:tcPr>
          <w:p>
            <w:pPr>
              <w:pStyle w:val="Normal6a"/>
            </w:pPr>
            <w:r>
              <w:t>6.</w:t>
            </w:r>
            <w:r>
              <w:tab/>
            </w:r>
            <w:r>
              <w:rPr>
                <w:b/>
                <w:i/>
              </w:rPr>
              <w:t>vyzývá k tomu, aby</w:t>
            </w:r>
            <w:r>
              <w:t xml:space="preserve"> demografické výzvy </w:t>
            </w:r>
            <w:r>
              <w:rPr>
                <w:b/>
                <w:i/>
              </w:rPr>
              <w:t>byly jednou z hlavních priorit</w:t>
            </w:r>
            <w:r>
              <w:t xml:space="preserve"> politiky </w:t>
            </w:r>
            <w:r>
              <w:rPr>
                <w:b/>
                <w:i/>
              </w:rPr>
              <w:t>soudržnosti EU a aby to bylo spojeno se zlepšováním a posilováním politik zaměřených na úspěšnou integraci migrantů na trhu práce a ve společnosti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žádá, aby se v rámci politiky soudržnosti EU staly prioritou demografické výzvy a aby </w:t>
            </w:r>
            <w:r>
              <w:rPr>
                <w:b/>
                <w:i/>
              </w:rPr>
              <w:t>byl význam této politiky postaven na roveň Zelené dohodě</w:t>
            </w:r>
            <w:r>
              <w:t xml:space="preserve"> pro Evropu a Digitální </w:t>
            </w:r>
            <w:r>
              <w:rPr>
                <w:b/>
                <w:i/>
              </w:rPr>
              <w:t>strategii</w:t>
            </w:r>
            <w:r>
              <w:t>; vyzývá Komisi, aby vyhlásila „evropský demografický rok“ a zvýšila objem finančních prostředků pro regiony s vysokou mírou vylidňování, kterými by podpořila místní rozvojové projekty a základní infrastrukturu ve prospěch práva místních obyvatel zůstat v těchto regionech;</w:t>
            </w:r>
          </w:p>
        </w:tc>
        <w:tc>
          <w:tcPr>
            <w:tcW w:w="4876" w:type="dxa"/>
            <w:tcBorders>
              <w:top w:val="nil"/>
              <w:left w:val="nil"/>
              <w:bottom w:val="nil"/>
              <w:right w:val="nil"/>
            </w:tcBorders>
          </w:tcPr>
          <w:p>
            <w:pPr>
              <w:pStyle w:val="Normal6a"/>
            </w:pPr>
            <w:r>
              <w:t>6.</w:t>
            </w:r>
            <w:r>
              <w:tab/>
            </w:r>
            <w:r>
              <w:t xml:space="preserve">žádá, aby se v rámci politiky soudržnosti EU staly prioritou demografické výzvy a aby </w:t>
            </w:r>
            <w:r>
              <w:rPr>
                <w:b/>
                <w:i/>
              </w:rPr>
              <w:t>byla konkrétní opatření na úrovni EU a na národní úrovni sladěna se Zelenou dohodou</w:t>
            </w:r>
            <w:r>
              <w:t xml:space="preserve"> pro Evropu a Digitální </w:t>
            </w:r>
            <w:r>
              <w:rPr>
                <w:b/>
                <w:i/>
              </w:rPr>
              <w:t>strategií</w:t>
            </w:r>
            <w:r>
              <w:t>; vyzývá Komisi, aby vyhlásila „evropský demografický rok“ a zvýšila objem finančních prostředků pro regiony s vysokou mírou vylidňování, kterými by podpořila místní rozvojové projekty</w:t>
            </w:r>
            <w:r>
              <w:rPr>
                <w:b/>
                <w:i/>
              </w:rPr>
              <w:t>, finančně dosažitelné a dostupně veřejné služby</w:t>
            </w:r>
            <w:r>
              <w:t xml:space="preserve"> a základní infrastrukturu ve prospěch práva místních obyvatel</w:t>
            </w:r>
            <w:r>
              <w:rPr>
                <w:b/>
                <w:i/>
              </w:rPr>
              <w:t>, zejména mladých lidí,</w:t>
            </w:r>
            <w:r>
              <w:t xml:space="preserve"> zůstat v těchto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žádá, aby se v rámci politiky soudržnosti EU </w:t>
            </w:r>
            <w:r>
              <w:rPr>
                <w:b/>
                <w:i/>
              </w:rPr>
              <w:t>staly prioritou demografické výzvy</w:t>
            </w:r>
            <w:r>
              <w:t xml:space="preserve"> a aby byl význam této politiky postaven na roveň Zelené dohodě pro Evropu a Digitální strategii; vyzývá Komisi, aby vyhlásila „evropský </w:t>
            </w:r>
            <w:r>
              <w:rPr>
                <w:b/>
                <w:i/>
              </w:rPr>
              <w:t>demografický rok</w:t>
            </w:r>
            <w:r>
              <w:t>“ a zvýšila objem finančních prostředků pro regiony s vysokou mírou vylidňování, kterými by podpořila místní rozvojové projekty a základní infrastrukturu ve prospěch práva místních obyvatel zůstat v těchto regionech;</w:t>
            </w:r>
          </w:p>
        </w:tc>
        <w:tc>
          <w:tcPr>
            <w:tcW w:w="4876" w:type="dxa"/>
            <w:tcBorders>
              <w:top w:val="nil"/>
              <w:left w:val="nil"/>
              <w:bottom w:val="nil"/>
              <w:right w:val="nil"/>
            </w:tcBorders>
          </w:tcPr>
          <w:p>
            <w:pPr>
              <w:pStyle w:val="Normal6a"/>
            </w:pPr>
            <w:r>
              <w:t>6.</w:t>
            </w:r>
            <w:r>
              <w:tab/>
            </w:r>
            <w:r>
              <w:t xml:space="preserve">žádá, aby se v rámci politiky soudržnosti EU </w:t>
            </w:r>
            <w:r>
              <w:rPr>
                <w:b/>
                <w:i/>
              </w:rPr>
              <w:t>řešily regionální nerovnosti a aby patřily k prioritám této politiky</w:t>
            </w:r>
            <w:r>
              <w:t xml:space="preserve"> a aby byl význam této politiky postaven na roveň Zelené dohodě pro Evropu a Digitální strategii; vyzývá Komisi, aby vyhlásila „evropský </w:t>
            </w:r>
            <w:r>
              <w:rPr>
                <w:b/>
                <w:i/>
              </w:rPr>
              <w:t>rok regionů a ostrovů</w:t>
            </w:r>
            <w:r>
              <w:t xml:space="preserve">“ a zvýšila objem finančních prostředků pro regiony s vysokou mírou vylidňování </w:t>
            </w:r>
            <w:r>
              <w:rPr>
                <w:b/>
                <w:i/>
              </w:rPr>
              <w:t>a hospodářské stagnace</w:t>
            </w:r>
            <w:r>
              <w:t>, kterými by podpořila místní rozvojové projekty a základní infrastrukturu ve prospěch práva místních obyvatel zůstat v těchto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žádá, aby se v rámci politiky soudržnosti EU staly prioritou demografické výzvy a aby </w:t>
            </w:r>
            <w:r>
              <w:rPr>
                <w:b/>
                <w:i/>
              </w:rPr>
              <w:t>byl význam této politiky postaven na roveň Zelené dohodě</w:t>
            </w:r>
            <w:r>
              <w:t xml:space="preserve"> pro Evropu a Digitální </w:t>
            </w:r>
            <w:r>
              <w:rPr>
                <w:b/>
                <w:i/>
              </w:rPr>
              <w:t>strategii</w:t>
            </w:r>
            <w:r>
              <w:t xml:space="preserve">; vyzývá Komisi, aby vyhlásila „evropský demografický rok“ a zvýšila objem finančních prostředků pro regiony s vysokou mírou vylidňování, kterými by podpořila místní rozvojové projekty a základní infrastrukturu ve prospěch práva </w:t>
            </w:r>
            <w:r>
              <w:rPr>
                <w:b/>
                <w:i/>
              </w:rPr>
              <w:t>místních obyvatel</w:t>
            </w:r>
            <w:r>
              <w:t xml:space="preserve"> zůstat v těchto regionech;</w:t>
            </w:r>
          </w:p>
        </w:tc>
        <w:tc>
          <w:tcPr>
            <w:tcW w:w="4876" w:type="dxa"/>
            <w:tcBorders>
              <w:top w:val="nil"/>
              <w:left w:val="nil"/>
              <w:bottom w:val="nil"/>
              <w:right w:val="nil"/>
            </w:tcBorders>
          </w:tcPr>
          <w:p>
            <w:pPr>
              <w:pStyle w:val="Normal6a"/>
            </w:pPr>
            <w:r>
              <w:t>6.</w:t>
            </w:r>
            <w:r>
              <w:tab/>
            </w:r>
            <w:r>
              <w:t xml:space="preserve">žádá, aby se v rámci politiky soudržnosti EU staly prioritou demografické výzvy a aby </w:t>
            </w:r>
            <w:r>
              <w:rPr>
                <w:b/>
                <w:i/>
              </w:rPr>
              <w:t>měla tato politika větší význam než Zelená dohoda</w:t>
            </w:r>
            <w:r>
              <w:t xml:space="preserve"> pro Evropu a Digitální </w:t>
            </w:r>
            <w:r>
              <w:rPr>
                <w:b/>
                <w:i/>
              </w:rPr>
              <w:t>strategie</w:t>
            </w:r>
            <w:r>
              <w:t xml:space="preserve">; vyzývá Komisi, aby vyhlásila „evropský demografický rok“ a zvýšila objem finančních prostředků pro regiony s vysokou mírou vylidňování, kterými by podpořila místní rozvojové projekty a základní infrastrukturu ve prospěch práva </w:t>
            </w:r>
            <w:r>
              <w:rPr>
                <w:b/>
                <w:i/>
              </w:rPr>
              <w:t>obyvatel členských států</w:t>
            </w:r>
            <w:r>
              <w:t xml:space="preserve"> zůstat v těchto regionech;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žádá, aby se v rámci politiky soudržnosti EU staly prioritou demografické výzvy </w:t>
            </w:r>
            <w:r>
              <w:rPr>
                <w:b/>
                <w:i/>
              </w:rPr>
              <w:t>a aby byl význam této politiky postaven na roveň Zelené dohodě pro Evropu a Digitální strategii</w:t>
            </w:r>
            <w:r>
              <w:t>; vyzývá Komisi, aby vyhlásila „evropský demografický rok“ a zvýšila objem finančních prostředků pro regiony s vysokou mírou vylidňování, kterými by podpořila místní rozvojové projekty a základní infrastrukturu ve prospěch práva místních obyvatel zůstat v těchto regionech;</w:t>
            </w:r>
          </w:p>
        </w:tc>
        <w:tc>
          <w:tcPr>
            <w:tcW w:w="4876" w:type="dxa"/>
            <w:tcBorders>
              <w:top w:val="nil"/>
              <w:left w:val="nil"/>
              <w:bottom w:val="nil"/>
              <w:right w:val="nil"/>
            </w:tcBorders>
          </w:tcPr>
          <w:p>
            <w:pPr>
              <w:pStyle w:val="Normal6a"/>
            </w:pPr>
            <w:r>
              <w:t>6.</w:t>
            </w:r>
            <w:r>
              <w:tab/>
            </w:r>
            <w:r>
              <w:t xml:space="preserve">žádá, aby se v rámci politiky soudržnosti EU staly prioritou demografické výzvy; vyzývá Komisi, aby vyhlásila „evropský demografický rok“ a zvýšila objem finančních prostředků pro </w:t>
            </w:r>
            <w:r>
              <w:rPr>
                <w:b/>
                <w:i/>
              </w:rPr>
              <w:t>venkovské a nejvzdálenější oblasti a</w:t>
            </w:r>
            <w:r>
              <w:t xml:space="preserve"> regiony s vysokou mírou vylidňování, </w:t>
            </w:r>
            <w:r>
              <w:rPr>
                <w:b/>
                <w:i/>
              </w:rPr>
              <w:t>a</w:t>
            </w:r>
            <w:r>
              <w:t xml:space="preserve"> kterými by podpořila místní rozvojové projekty a základní infrastrukturu ve prospěch práva místních obyvatel zůstat v těchto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rostoucí vliv umělé inteligence a digitálních platforem, které budou hnací silou zásadní transformace technologií na trhu práce, což ovlivní kvalitu pracovních míst a pracovních podmínek, a v důsledku toho i kvalitu života pracovníků, jak je uznáno ve společné zprávě o zaměstnanosti;</w:t>
            </w:r>
            <w:r>
              <w:t xml:space="preserve"> </w:t>
            </w:r>
            <w:r>
              <w:rPr>
                <w:b/>
                <w:i/>
              </w:rPr>
              <w:t>vyzývá Komisi, aby urychleně navrhla směrnici o využívání umělé inteligence (UI) na pracovišti, která zajistí ochranu a dodržování práv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vyzývá Evropskou komisi a členské státy, aby posílily svou podporu neziskovým podnikům a organizacím sociální ekonomiky pomocí vhodných finančních a daňových podpůrných rámců;</w:t>
            </w:r>
            <w:r>
              <w:t xml:space="preserve"> </w:t>
            </w:r>
            <w:r>
              <w:rPr>
                <w:b/>
                <w:i/>
              </w:rPr>
              <w:t>vybízí členské státy, aby usnadnily přístup k financování a zvýšily viditelnost subjektů sociální ekonomiky, jak je zdůrazněno v akčním plánu pro sociální ekonomiku na rok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vyzývá Komisi, aby zajistila ochranu pracovníků na digitálním pracovišti a předložila legislativní návrh, který se bude zabývat právem odpojit se a pracovat na dálku;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vyzývá členské státy, aby prováděly akční plán pro sociální ekonomiku na podporu kvalitní, důstojné a inkluzivní práce, udržitelnosti a oběhového hospodářství a aby podporovaly organizace sociální ekonomiky;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vyzývá Komisi a Radu, aby upřednostnily snižování byrokratických a daňových překážek, které mají dopad na podnikání, zejména v případě malých a středních podniků a začínajících podniků, jež mají zásadní význam pro hospodářský růst a konkurenceschopnost EU, a tudíž i pro financování sociální politiky;</w:t>
            </w:r>
            <w:r>
              <w:t xml:space="preserve"> domnívá se, že větší podpora podnikání, a zejména malých a středních podniků a začínajících podniků, zvýší konkurenceschopnost EU, podpoří inovace a vytvoří kvalitní pracovní místa; naléhavě vyzývá k provedení konkrétních doporučení s cílem dokončit jednotný trh a usnadnit přístup k financování </w:t>
            </w:r>
            <w:r>
              <w:rPr>
                <w:b/>
                <w:i/>
              </w:rPr>
              <w:t>prostřednictvím platforem partnerství veřejného a soukromého sektoru</w:t>
            </w:r>
            <w:r>
              <w:t xml:space="preserve"> a sociální </w:t>
            </w:r>
            <w:r>
              <w:rPr>
                <w:b/>
                <w:i/>
              </w:rPr>
              <w:t>ekonomiky, aby bylo možné</w:t>
            </w:r>
            <w:r>
              <w:t xml:space="preserve"> podpořit dynamické podnikatelské prostředí;</w:t>
            </w:r>
          </w:p>
        </w:tc>
        <w:tc>
          <w:tcPr>
            <w:tcW w:w="4876" w:type="dxa"/>
            <w:tcBorders>
              <w:top w:val="nil"/>
              <w:left w:val="nil"/>
              <w:bottom w:val="nil"/>
              <w:right w:val="nil"/>
            </w:tcBorders>
          </w:tcPr>
          <w:p>
            <w:pPr>
              <w:pStyle w:val="Normal6a"/>
            </w:pPr>
            <w:r>
              <w:t>7.</w:t>
            </w:r>
            <w:r>
              <w:tab/>
            </w:r>
            <w:r>
              <w:t xml:space="preserve">domnívá se, že větší podpora podnikání, a zejména malých a středních podniků a začínajících podniků, zvýší konkurenceschopnost EU, podpoří inovace a vytvoří kvalitní pracovní místa; naléhavě vyzývá k provedení konkrétních doporučení s cílem dokončit jednotný trh a usnadnit přístup k financování a sociální </w:t>
            </w:r>
            <w:r>
              <w:rPr>
                <w:b/>
                <w:i/>
              </w:rPr>
              <w:t>ekonomice s cílem</w:t>
            </w:r>
            <w:r>
              <w:t xml:space="preserve"> podpořit dynamické podnikatelské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vyzývá Komisi a Radu, aby upřednostnily snižování byrokratických a daňových překážek, které mají dopad na podnikání, zejména v případě malých a středních podniků a začínajících podniků, jež mají zásadní význam pro hospodářský růst a konkurenceschopnost EU, a tudíž i pro financování sociální politiky; domnívá se, že větší podpora podnikání, a zejména malých a středních podniků a začínajících podniků, zvýší konkurenceschopnost EU, podpoří inovace a vytvoří kvalitní pracovní místa; naléhavě vyzývá k provedení konkrétních doporučení s cílem dokončit jednotný trh a usnadnit přístup k financování prostřednictvím platforem partnerství veřejného a soukromého sektoru a sociální ekonomiky, aby bylo možné podpořit dynamické podnikatelské prostředí;</w:t>
            </w:r>
          </w:p>
        </w:tc>
        <w:tc>
          <w:tcPr>
            <w:tcW w:w="4876" w:type="dxa"/>
            <w:tcBorders>
              <w:top w:val="nil"/>
              <w:left w:val="nil"/>
              <w:bottom w:val="nil"/>
              <w:right w:val="nil"/>
            </w:tcBorders>
          </w:tcPr>
          <w:p>
            <w:pPr>
              <w:pStyle w:val="Normal6a"/>
            </w:pPr>
            <w:r>
              <w:t>7.</w:t>
            </w:r>
            <w:r>
              <w:tab/>
            </w:r>
            <w:r>
              <w:t xml:space="preserve">vyzývá Komisi a Radu, aby </w:t>
            </w:r>
            <w:r>
              <w:rPr>
                <w:b/>
                <w:i/>
              </w:rPr>
              <w:t>v souladu s Budapešťským prohlášením o nové dohodě pro konkurenceschopnost Evropy ze dne 8. listopadu 2024</w:t>
            </w:r>
            <w:r>
              <w:t xml:space="preserve"> upřednostnily snižování byrokratických a daňových překážek, které mají dopad na podnikání, zejména v případě malých a středních podniků a začínajících podniků, jež mají zásadní význam pro hospodářský růst a konkurenceschopnost EU, a tudíž i pro financování sociální politiky; domnívá se, že větší podpora podnikání, a zejména malých a středních podniků a začínajících podniků, zvýší konkurenceschopnost EU, podpoří inovace a vytvoří kvalitní pracovní místa; naléhavě vyzývá k provedení konkrétních doporučení s cílem dokončit jednotný trh a usnadnit přístup k financování prostřednictvím platforem partnerství veřejného a soukromého sektoru a sociální ekonomiky, aby bylo možné podpořit dynamické podnikatelské prostředí; </w:t>
            </w:r>
            <w:r>
              <w:rPr>
                <w:b/>
                <w:i/>
              </w:rPr>
              <w:t>je přesvědčen, že je důležité postavit Evropu do čela celosvětového výzkumu a inovací, zejména v oblasti přelomových technologií, a dosáhnout toho, aby byl do roku 2030 splněn cíl výdajů na výzkum a vývoj ve výši 3 % HDP;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vyzývá Komisi a Radu, aby upřednostnily snižování byrokratických </w:t>
            </w:r>
            <w:r>
              <w:rPr>
                <w:b/>
                <w:i/>
              </w:rPr>
              <w:t>a daňových</w:t>
            </w:r>
            <w:r>
              <w:t xml:space="preserve"> překážek, které mají dopad na podnikání, zejména v případě malých a středních podniků a začínajících podniků, jež mají zásadní význam pro hospodářský růst a konkurenceschopnost EU, a tudíž i pro financování sociální politiky; domnívá se, že větší podpora </w:t>
            </w:r>
            <w:r>
              <w:rPr>
                <w:b/>
                <w:i/>
              </w:rPr>
              <w:t>podnikání, a zejména</w:t>
            </w:r>
            <w:r>
              <w:t xml:space="preserve"> malých a středních podniků a začínajících podniků</w:t>
            </w:r>
            <w:r>
              <w:rPr>
                <w:b/>
                <w:i/>
              </w:rPr>
              <w:t>, zvýší konkurenceschopnost</w:t>
            </w:r>
            <w:r>
              <w:t xml:space="preserve"> EU, podpoří inovace a vytvoří kvalitní pracovní místa; </w:t>
            </w:r>
            <w:r>
              <w:rPr>
                <w:b/>
                <w:i/>
              </w:rPr>
              <w:t>naléhavě vyzývá k provedení konkrétních doporučení s cílem dokončit jednotný trh a usnadnit přístup k financování prostřednictvím platforem partnerství veřejného a soukromého sektoru a sociální ekonomiky, aby bylo možné podpořit dynamické podnikatelské prostředí;</w:t>
            </w:r>
          </w:p>
        </w:tc>
        <w:tc>
          <w:tcPr>
            <w:tcW w:w="4876" w:type="dxa"/>
            <w:tcBorders>
              <w:top w:val="nil"/>
              <w:left w:val="nil"/>
              <w:bottom w:val="nil"/>
              <w:right w:val="nil"/>
            </w:tcBorders>
          </w:tcPr>
          <w:p>
            <w:pPr>
              <w:pStyle w:val="Normal6a"/>
            </w:pPr>
            <w:r>
              <w:t>7.</w:t>
            </w:r>
            <w:r>
              <w:tab/>
            </w:r>
            <w:r>
              <w:t xml:space="preserve">vyzývá Komisi a Radu, aby upřednostnily snižování byrokratických překážek, které mají dopad na podnikání, zejména v případě malých a středních podniků a začínajících podniků, jež mají zásadní význam pro hospodářský růst a konkurenceschopnost EU, a tudíž i pro financování sociální politiky; domnívá se, že větší podpora </w:t>
            </w:r>
            <w:r>
              <w:rPr>
                <w:b/>
                <w:i/>
              </w:rPr>
              <w:t>začínajících podnikatelů,</w:t>
            </w:r>
            <w:r>
              <w:t xml:space="preserve"> malých a středních podniků a začínajících podniků </w:t>
            </w:r>
            <w:r>
              <w:rPr>
                <w:b/>
                <w:i/>
              </w:rPr>
              <w:t>zlepší sociální ekonomiku</w:t>
            </w:r>
            <w:r>
              <w:t xml:space="preserve"> EU, podpoří inovace a vytvoří kvalitní pracovní místa;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vyzývá Komisi a Radu, aby upřednostnily snižování byrokratických a daňových překážek, které mají dopad na podnikání, zejména v případě malých a středních podniků a začínajících podniků, jež mají zásadní význam pro hospodářský růst a konkurenceschopnost EU, a tudíž i pro financování sociální politiky; domnívá se, že větší podpora podnikání, a zejména malých a středních podniků a začínajících podniků, zvýší konkurenceschopnost EU, podpoří inovace a vytvoří kvalitní pracovní místa; naléhavě vyzývá k provedení konkrétních doporučení s cílem </w:t>
            </w:r>
            <w:r>
              <w:rPr>
                <w:b/>
                <w:i/>
              </w:rPr>
              <w:t>dokončit jednotný trh</w:t>
            </w:r>
            <w:r>
              <w:t xml:space="preserve"> a usnadnit přístup k financování prostřednictvím platforem partnerství veřejného a soukromého sektoru </w:t>
            </w:r>
            <w:r>
              <w:rPr>
                <w:b/>
                <w:i/>
              </w:rPr>
              <w:t>a</w:t>
            </w:r>
            <w:r>
              <w:t xml:space="preserve"> sociální ekonomiky, aby bylo možné podpořit dynamické podnikatelské prostředí;</w:t>
            </w:r>
          </w:p>
        </w:tc>
        <w:tc>
          <w:tcPr>
            <w:tcW w:w="4876" w:type="dxa"/>
            <w:tcBorders>
              <w:top w:val="nil"/>
              <w:left w:val="nil"/>
              <w:bottom w:val="nil"/>
              <w:right w:val="nil"/>
            </w:tcBorders>
          </w:tcPr>
          <w:p>
            <w:pPr>
              <w:pStyle w:val="Normal6a"/>
            </w:pPr>
            <w:r>
              <w:t>7.</w:t>
            </w:r>
            <w:r>
              <w:tab/>
            </w:r>
            <w:r>
              <w:t xml:space="preserve">vyzývá Komisi a Radu, aby upřednostnily snižování byrokratických a daňových překážek, které mají dopad na podnikání, zejména v případě malých a středních podniků a začínajících podniků, jež mají zásadní význam pro hospodářský růst a konkurenceschopnost EU, a tudíž i pro financování sociální politiky; domnívá se, že větší podpora podnikání, a zejména malých a středních podniků a začínajících podniků, zvýší konkurenceschopnost EU, podpoří inovace a vytvoří kvalitní pracovní místa; naléhavě vyzývá k provedení konkrétních doporučení s cílem </w:t>
            </w:r>
            <w:r>
              <w:rPr>
                <w:b/>
                <w:i/>
              </w:rPr>
              <w:t>usnadnit rozvoj vnitřního trhu</w:t>
            </w:r>
            <w:r>
              <w:t xml:space="preserve"> a usnadnit přístup k financování prostřednictvím platforem partnerství veřejného a soukromého sektoru</w:t>
            </w:r>
            <w:r>
              <w:rPr>
                <w:b/>
                <w:i/>
              </w:rPr>
              <w:t>, a to v případě, že je součinnost veřejného a soukromého sektoru velmi pravděpodobná a prokazatelná, a také</w:t>
            </w:r>
            <w:r>
              <w:t xml:space="preserve"> sociální ekonomiky, aby bylo možné podpořit dynamické podnikatelské prostředí;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vyzývá Komisi a Radu, aby upřednostnily snižování byrokratických a daňových překážek, které mají dopad na podnikání, zejména v případě malých a středních podniků a začínajících podniků, jež mají zásadní význam pro hospodářský růst a konkurenceschopnost EU, a tudíž i pro financování sociální politiky; domnívá se, že větší podpora </w:t>
            </w:r>
            <w:r>
              <w:rPr>
                <w:b/>
                <w:i/>
              </w:rPr>
              <w:t>podnikání, a zejména</w:t>
            </w:r>
            <w:r>
              <w:t xml:space="preserve"> malých a středních podniků a začínajících podniků</w:t>
            </w:r>
            <w:r>
              <w:rPr>
                <w:b/>
                <w:i/>
              </w:rPr>
              <w:t>, zvýší</w:t>
            </w:r>
            <w:r>
              <w:t xml:space="preserve"> konkurenceschopnost EU, podpoří inovace a vytvoří kvalitní pracovní místa; naléhavě vyzývá k provedení konkrétních doporučení s cílem </w:t>
            </w:r>
            <w:r>
              <w:rPr>
                <w:b/>
                <w:i/>
              </w:rPr>
              <w:t>dokončit jednotný trh</w:t>
            </w:r>
            <w:r>
              <w:t xml:space="preserve"> a usnadnit přístup k financování prostřednictvím platforem partnerství veřejného a soukromého sektoru a sociální ekonomiky, aby bylo možné podpořit dynamické podnikatelské prostředí;</w:t>
            </w:r>
          </w:p>
        </w:tc>
        <w:tc>
          <w:tcPr>
            <w:tcW w:w="4876" w:type="dxa"/>
            <w:tcBorders>
              <w:top w:val="nil"/>
              <w:left w:val="nil"/>
              <w:bottom w:val="nil"/>
              <w:right w:val="nil"/>
            </w:tcBorders>
          </w:tcPr>
          <w:p>
            <w:pPr>
              <w:pStyle w:val="Normal6a"/>
            </w:pPr>
            <w:r>
              <w:t>7.</w:t>
            </w:r>
            <w:r>
              <w:tab/>
            </w:r>
            <w:r>
              <w:t xml:space="preserve">vyzývá Komisi a Radu, aby upřednostnily snižování byrokratických a daňových překážek, které mají dopad na podnikání, zejména v případě malých a středních podniků a začínajících podniků, jež mají zásadní význam pro hospodářský růst a konkurenceschopnost EU, a tudíž i pro financování sociální politiky; domnívá se, že větší podpora malých a středních podniků a začínajících podniků </w:t>
            </w:r>
            <w:r>
              <w:rPr>
                <w:b/>
                <w:i/>
              </w:rPr>
              <w:t>zlepší dlouhodobou udržitelnost a</w:t>
            </w:r>
            <w:r>
              <w:t xml:space="preserve"> konkurenceschopnost EU, podpoří inovace a vytvoří kvalitní pracovní místa; naléhavě vyzývá k provedení konkrétních doporučení </w:t>
            </w:r>
            <w:r>
              <w:rPr>
                <w:b/>
                <w:i/>
              </w:rPr>
              <w:t>k dokončení jednotného trhu</w:t>
            </w:r>
            <w:r>
              <w:t xml:space="preserve"> s cílem </w:t>
            </w:r>
            <w:r>
              <w:rPr>
                <w:b/>
                <w:i/>
              </w:rPr>
              <w:t>začlenit sociální zásady a zásady udržitelnosti</w:t>
            </w:r>
            <w:r>
              <w:t xml:space="preserve"> a usnadnit přístup k financování prostřednictvím platforem partnerství veřejného a soukromého sektoru a sociální ekonomiky, aby bylo možné podpořit dynamické </w:t>
            </w:r>
            <w:r>
              <w:rPr>
                <w:b/>
                <w:i/>
              </w:rPr>
              <w:t>a inkluzivní</w:t>
            </w:r>
            <w:r>
              <w:t xml:space="preserve"> podnikatelské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vyzývá Komisi a Radu, aby upřednostnily snižování byrokratických </w:t>
            </w:r>
            <w:r>
              <w:rPr>
                <w:b/>
                <w:i/>
              </w:rPr>
              <w:t>a daňových</w:t>
            </w:r>
            <w:r>
              <w:t xml:space="preserve"> překážek, které mají dopad na podnikání, zejména v případě malých a středních podniků a začínajících podniků, jež mají zásadní význam pro hospodářský růst a konkurenceschopnost EU</w:t>
            </w:r>
            <w:r>
              <w:rPr>
                <w:b/>
                <w:i/>
              </w:rPr>
              <w:t>, a tudíž i pro financování sociální politiky</w:t>
            </w:r>
            <w:r>
              <w:t>; domnívá se, že větší podpora podnikání, a zejména malých a středních podniků a začínajících podniků, zvýší konkurenceschopnost EU, podpoří inovace a vytvoří kvalitní pracovní místa; naléhavě vyzývá k provedení konkrétních doporučení s cílem dokončit jednotný trh a usnadnit přístup k financování prostřednictvím platforem partnerství veřejného a soukromého sektoru a sociální ekonomiky, aby bylo možné podpořit dynamické podnikatelské prostředí;</w:t>
            </w:r>
          </w:p>
        </w:tc>
        <w:tc>
          <w:tcPr>
            <w:tcW w:w="4876" w:type="dxa"/>
            <w:tcBorders>
              <w:top w:val="nil"/>
              <w:left w:val="nil"/>
              <w:bottom w:val="nil"/>
              <w:right w:val="nil"/>
            </w:tcBorders>
          </w:tcPr>
          <w:p>
            <w:pPr>
              <w:pStyle w:val="Normal6a"/>
            </w:pPr>
            <w:r>
              <w:t>7.</w:t>
            </w:r>
            <w:r>
              <w:tab/>
            </w:r>
            <w:r>
              <w:t>vyzývá Komisi a Radu, aby upřednostnily snižování byrokratických překážek, které mají dopad na podnikání, zejména v případě malých a středních podniků a začínajících podniků, jež mají zásadní význam pro hospodářský růst a konkurenceschopnost EU;</w:t>
            </w:r>
            <w:r>
              <w:rPr>
                <w:b/>
                <w:i/>
              </w:rPr>
              <w:t> </w:t>
            </w:r>
            <w:r>
              <w:t xml:space="preserve"> domnívá se, že větší podpora podnikání, a zejména malých a středních podniků a začínajících podniků, zvýší konkurenceschopnost EU, podpoří inovace a vytvoří kvalitní pracovní místa; naléhavě vyzývá k provedení konkrétních doporučení s cílem dokončit jednotný trh a usnadnit přístup k financování prostřednictvím platforem partnerství veřejného a soukromého sektoru a sociální ekonomiky, aby bylo možné podpořit dynamické podnikatelské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vyzývá Komisi a Radu, aby upřednostnily snižování byrokratických a daňových překážek, které mají dopad na podnikání, zejména v případě malých a středních podniků a začínajících podniků, jež mají zásadní význam pro hospodářský růst a konkurenceschopnost EU, a tudíž i pro financování sociální politiky; domnívá se, že větší podpora podnikání, a zejména malých a středních podniků </w:t>
            </w:r>
            <w:r>
              <w:rPr>
                <w:b/>
                <w:i/>
              </w:rPr>
              <w:t>a začínajících podniků</w:t>
            </w:r>
            <w:r>
              <w:t>, zvýší konkurenceschopnost EU, podpoří inovace a vytvoří kvalitní pracovní místa; naléhavě vyzývá k provedení konkrétních doporučení s cílem dokončit jednotný trh a usnadnit přístup k financování prostřednictvím platforem partnerství veřejného a soukromého sektoru a sociální ekonomiky, aby bylo možné podpořit dynamické podnikatelské prostředí;</w:t>
            </w:r>
          </w:p>
        </w:tc>
        <w:tc>
          <w:tcPr>
            <w:tcW w:w="4876" w:type="dxa"/>
            <w:tcBorders>
              <w:top w:val="nil"/>
              <w:left w:val="nil"/>
              <w:bottom w:val="nil"/>
              <w:right w:val="nil"/>
            </w:tcBorders>
          </w:tcPr>
          <w:p>
            <w:pPr>
              <w:pStyle w:val="Normal6a"/>
            </w:pPr>
            <w:r>
              <w:t>7.</w:t>
            </w:r>
            <w:r>
              <w:tab/>
            </w:r>
            <w:r>
              <w:t>vyzývá Komisi a Radu, aby upřednostnily snižování byrokratických a daňových překážek, které mají dopad na podnikání, zejména v případě malých a středních podniků a začínajících podniků, jež mají zásadní význam pro hospodářský růst a konkurenceschopnost EU, a tudíž i pro financování sociální politiky; domnívá se, že větší podpora podnikání, a zejména malých a středních podniků</w:t>
            </w:r>
            <w:r>
              <w:rPr>
                <w:b/>
                <w:i/>
              </w:rPr>
              <w:t>, začínajících podniků a osob samostatně výdělečně činných</w:t>
            </w:r>
            <w:r>
              <w:t>, zvýší konkurenceschopnost EU, podpoří inovace a vytvoří kvalitní pracovní místa; naléhavě vyzývá k provedení konkrétních doporučení s cílem dokončit jednotný trh a usnadnit přístup k financování prostřednictvím platforem partnerství veřejného a soukromého sektoru a sociální ekonomiky, aby bylo možné podpořit dynamické podnikatelské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připomíná, že je důležité zlepšit přístup osob samostatně výdělečně činných k sociální ochraně, a vyzývá Komisi, aby v rámci doporučení pro jednotlivé země sledovala vnitrostátní plány provádění doporučení Rady o přístupu pracovníků a osob samostatně výdělečně činných k sociální ochraně;</w:t>
            </w:r>
            <w:r>
              <w:t xml:space="preserve"> </w:t>
            </w:r>
            <w:r>
              <w:rPr>
                <w:b/>
                <w:i/>
              </w:rPr>
              <w:t>v této souvislosti připomíná, že vzhledem k tomu, že podíl samostatně výdělečně činných pracovníků v kulturních a kreativních odvětvích je více než dvojnásobný než u obecné populace, připomíná 13 iniciativ stanovených v reakci Komise na usnesení Evropského parlamentu ze dne 21. listopadu 2023 o rámci EU pro sociální a profesní situaci umělců a pracovníků v kulturních a kreativních odvětvích ze dne 21. února 2024 a vyzývá Komisi, aby je začala provádět ve spolupráci s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varuje před sociálními riziky vyplývajícími z krize automobilového průmyslu, který čelí nebývalému tlaku vnějších i vnitřních faktorů;</w:t>
            </w:r>
            <w:r>
              <w:t xml:space="preserve"> </w:t>
            </w:r>
            <w:r>
              <w:rPr>
                <w:b/>
                <w:i/>
              </w:rPr>
              <w:t>vyzývá Evropskou komisi, aby tomuto odvětví věnovala pozornost a zároveň využívala ukazatele srovnávacího přehledu sociálních ukazatelů k monitorování ochrany pracovníků a posílení sociálního dialogu a účasti pracovníků na procesech přechodu;</w:t>
            </w:r>
            <w:r>
              <w:t xml:space="preserve"> </w:t>
            </w:r>
            <w:r>
              <w:rPr>
                <w:b/>
                <w:i/>
              </w:rPr>
              <w:t>zdůrazňuje naléhavou potřebu koordinované reakce EU prostřednictvím mimořádné pracovní skupiny odborů a zaměstnavatelů, aby bylo možné reagovat na současnou krizi;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vyzývá Komisi, aby u každého nového legislativního návrhu provedla kontroly konkurenceschopnosti a zohlednila přitom celkový dopad právních předpisů EU na společnosti, jakož i na další politiky a programy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zdůrazňuje, že je třeba podporovat partnerství veřejného a soukromého sektoru s cílem zefektivnit poskytování základních sociálních služeb, jako je vzdělávání a zdravotní a sociální péče;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zdůrazňuje, že je třeba podporovat partnerství veřejného a soukromého sektoru s cílem zefektivnit poskytování základních sociálních služeb, jako je vzdělávání a zdravotní a sociální péče;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je třeba </w:t>
            </w:r>
            <w:r>
              <w:rPr>
                <w:b/>
                <w:i/>
              </w:rPr>
              <w:t>podporovat partnerství veřejného a soukromého sektoru s cílem zefektivnit</w:t>
            </w:r>
            <w:r>
              <w:t xml:space="preserve"> poskytování základních sociálních služeb, jako je vzdělávání a zdravotní a sociální péče;</w:t>
            </w:r>
          </w:p>
        </w:tc>
        <w:tc>
          <w:tcPr>
            <w:tcW w:w="4876" w:type="dxa"/>
            <w:tcBorders>
              <w:top w:val="nil"/>
              <w:left w:val="nil"/>
              <w:bottom w:val="nil"/>
              <w:right w:val="nil"/>
            </w:tcBorders>
          </w:tcPr>
          <w:p>
            <w:pPr>
              <w:pStyle w:val="Normal6a"/>
            </w:pPr>
            <w:r>
              <w:t>8.</w:t>
            </w:r>
            <w:r>
              <w:tab/>
            </w:r>
            <w:r>
              <w:t xml:space="preserve">zdůrazňuje, že je třeba </w:t>
            </w:r>
            <w:r>
              <w:rPr>
                <w:b/>
                <w:i/>
              </w:rPr>
              <w:t>zlepšit kvalitu, pokrytí, cenovou dostupnost a účinnost při</w:t>
            </w:r>
            <w:r>
              <w:t xml:space="preserve"> poskytování základních sociálních služeb, jako je vzdělávání a zdravotní a sociální péče</w:t>
            </w:r>
            <w:r>
              <w:rPr>
                <w:b/>
                <w:i/>
              </w:rPr>
              <w:t>, včetně péče o děti a dlouhodobé péče;</w:t>
            </w:r>
            <w:r>
              <w:t xml:space="preserve"> </w:t>
            </w:r>
            <w:r>
              <w:rPr>
                <w:b/>
                <w:i/>
              </w:rPr>
              <w:t>naléhavě vyzývá členské státy, aby pokračovaly v provádění doporučení Rady o přístupu k cenově dostupné a kvalitní dlouhodobé péči s cílem zajistit přístup ke kvalitní péči a zároveň zajistit důstojné pracovní podmínky pro pracovníky v odvětví péče, jakož i pro neformální pečovatele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je třeba </w:t>
            </w:r>
            <w:r>
              <w:rPr>
                <w:b/>
                <w:i/>
              </w:rPr>
              <w:t>podporovat</w:t>
            </w:r>
            <w:r>
              <w:t xml:space="preserve"> partnerství veřejného a soukromého sektoru s cílem zefektivnit poskytování </w:t>
            </w:r>
            <w:r>
              <w:rPr>
                <w:b/>
                <w:i/>
              </w:rPr>
              <w:t>základních</w:t>
            </w:r>
            <w:r>
              <w:t xml:space="preserve"> sociálních služeb, jako je vzdělávání </w:t>
            </w:r>
            <w:r>
              <w:rPr>
                <w:b/>
                <w:i/>
              </w:rPr>
              <w:t>a</w:t>
            </w:r>
            <w:r>
              <w:t xml:space="preserve"> zdravotní a sociální péče;</w:t>
            </w:r>
          </w:p>
        </w:tc>
        <w:tc>
          <w:tcPr>
            <w:tcW w:w="4876" w:type="dxa"/>
            <w:tcBorders>
              <w:top w:val="nil"/>
              <w:left w:val="nil"/>
              <w:bottom w:val="nil"/>
              <w:right w:val="nil"/>
            </w:tcBorders>
          </w:tcPr>
          <w:p>
            <w:pPr>
              <w:pStyle w:val="Normal6a"/>
            </w:pPr>
            <w:r>
              <w:t>8.</w:t>
            </w:r>
            <w:r>
              <w:tab/>
            </w:r>
            <w:r>
              <w:t>zdůrazňuje, že je třeba</w:t>
            </w:r>
            <w:r>
              <w:rPr>
                <w:b/>
                <w:i/>
              </w:rPr>
              <w:t>, aby členské státy podporovaly</w:t>
            </w:r>
            <w:r>
              <w:t xml:space="preserve"> partnerství veřejného a soukromého sektoru s cílem zefektivnit poskytování </w:t>
            </w:r>
            <w:r>
              <w:rPr>
                <w:b/>
                <w:i/>
              </w:rPr>
              <w:t>veřejných</w:t>
            </w:r>
            <w:r>
              <w:t xml:space="preserve"> sociálních služeb, jako je vzdělávání</w:t>
            </w:r>
            <w:r>
              <w:rPr>
                <w:b/>
                <w:i/>
              </w:rPr>
              <w:t>,</w:t>
            </w:r>
            <w:r>
              <w:t xml:space="preserve"> zdravotní </w:t>
            </w:r>
            <w:r>
              <w:rPr>
                <w:b/>
                <w:i/>
              </w:rPr>
              <w:t>péče, bydlení</w:t>
            </w:r>
            <w:r>
              <w:t xml:space="preserve"> a sociální péče</w:t>
            </w:r>
            <w:r>
              <w:rPr>
                <w:b/>
                <w:i/>
              </w:rPr>
              <w:t>, jakož i ochrana dětí, a zároveň zajistit odpovědnost členských států za zajištění poskytování kvalitních veřejných služeb v těchto oblastech a přístupu k nim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že je třeba podporovat partnerství veřejného a soukromého sektoru s cílem zefektivnit poskytování základních sociálních služeb, jako je vzdělávání a zdravotní a sociální péče;</w:t>
            </w:r>
          </w:p>
        </w:tc>
        <w:tc>
          <w:tcPr>
            <w:tcW w:w="4876" w:type="dxa"/>
            <w:tcBorders>
              <w:top w:val="nil"/>
              <w:left w:val="nil"/>
              <w:bottom w:val="nil"/>
              <w:right w:val="nil"/>
            </w:tcBorders>
          </w:tcPr>
          <w:p>
            <w:pPr>
              <w:pStyle w:val="Normal6a"/>
            </w:pPr>
            <w:r>
              <w:t>8.</w:t>
            </w:r>
            <w:r>
              <w:tab/>
            </w:r>
            <w:r>
              <w:t>zdůrazňuje, že je třeba podporovat partnerství veřejného a soukromého sektoru s cílem zefektivnit poskytování základních sociálních služeb, jako je vzdělávání a zdravotní a sociální péče</w:t>
            </w:r>
            <w:r>
              <w:rPr>
                <w:b/>
                <w:i/>
              </w:rPr>
              <w:t>, a to pouze pokud je součinnost mezi veřejným a soukromým sektorem pravděpodobná a prokazatelná a nepovede k ideologické a nesmyslné privatizaci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je třeba </w:t>
            </w:r>
            <w:r>
              <w:rPr>
                <w:b/>
                <w:i/>
              </w:rPr>
              <w:t>podporovat</w:t>
            </w:r>
            <w:r>
              <w:t xml:space="preserve"> partnerství veřejného a soukromého sektoru s cílem zefektivnit poskytování základních sociálních služeb, jako je vzdělávání a zdravotní a sociální péče;</w:t>
            </w:r>
          </w:p>
        </w:tc>
        <w:tc>
          <w:tcPr>
            <w:tcW w:w="4876" w:type="dxa"/>
            <w:tcBorders>
              <w:top w:val="nil"/>
              <w:left w:val="nil"/>
              <w:bottom w:val="nil"/>
              <w:right w:val="nil"/>
            </w:tcBorders>
          </w:tcPr>
          <w:p>
            <w:pPr>
              <w:pStyle w:val="Normal6a"/>
            </w:pPr>
            <w:r>
              <w:t>8.</w:t>
            </w:r>
            <w:r>
              <w:tab/>
            </w:r>
            <w:r>
              <w:rPr>
                <w:b/>
                <w:i/>
              </w:rPr>
              <w:t>souhlasí s návrhem Enrica Letta týkajícím se „páté svobody“ v zájmu posílení výzkumu, inovací a vzdělávání na jednotném trhu a v tomto ohledu</w:t>
            </w:r>
            <w:r>
              <w:t xml:space="preserve"> zdůrazňuje, že je třeba </w:t>
            </w:r>
            <w:r>
              <w:rPr>
                <w:b/>
                <w:i/>
              </w:rPr>
              <w:t>řádně využívat</w:t>
            </w:r>
            <w:r>
              <w:t xml:space="preserve"> partnerství veřejného a soukromého sektoru s cílem zefektivnit poskytování základních sociálních služeb, jako je vzdělávání a zdravotní a sociální péče;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je znepokojen mnoha vnitrostátními politikami, které stále vytvářejí mezery v oblasti zdravotního pojištění a zvyšují nerovnosti jak v rámci členských států, tak mezi nimi, jako je privatizace systémů veřejné zdravotní péče, spoluúčast a nedostatečné pojištění;</w:t>
            </w:r>
            <w:r>
              <w:t xml:space="preserve"> </w:t>
            </w:r>
            <w:r>
              <w:rPr>
                <w:b/>
                <w:i/>
              </w:rPr>
              <w:t>zdůrazňuje, že tyto faktory prohlubují chudobu, narušují zdraví a dobré životní podmínky a zvyšují sociální nerovnosti v rámci zemí EU i mezi nimi;</w:t>
            </w:r>
            <w:r>
              <w:t xml:space="preserve"> </w:t>
            </w:r>
            <w:r>
              <w:rPr>
                <w:b/>
                <w:i/>
              </w:rPr>
              <w:t>varuje, že rovněž oslabují provádění 16. zásady pilíře a cíle udržitelného rozvoje č. 3.8 týkajícího se všeobecné zdravotní péče, jakož i celkového cíle pilíře, kterým je podpora vzestupné sociální konvergence v EU, přičemž nikdo nesmí být opomenut;</w:t>
            </w:r>
            <w:r>
              <w:t xml:space="preserve"> </w:t>
            </w:r>
            <w:r>
              <w:rPr>
                <w:b/>
                <w:i/>
              </w:rPr>
              <w:t>domnívá se, že ukazatele použité ve srovnávacím přehledu sociálních ukazatelů neumožňují komplexní pochopení cenové dostupnosti zdravotní péče;</w:t>
            </w:r>
            <w:r>
              <w:t xml:space="preserve"> </w:t>
            </w:r>
            <w:r>
              <w:rPr>
                <w:b/>
                <w:i/>
              </w:rPr>
              <w:t>vyzývá Komisi, aby do srovnávacího přehledu zahrnula následující ukazatele finančních potíží, jako jsou zbídačující a katastrofické výdaje na zdraví, jakož i kvalitativní analýzu různých rozměrů politiky sociálního zabezpečení (pokrytí obyvatelstva, balíček dávek, poplatky za užívání nebo spoluúčast) v členských státech s cílem určit změny potřebné ke zlepšení cenově dostupného přístupu ke zdravotní péči;</w:t>
            </w:r>
            <w:r>
              <w:t xml:space="preserve"> </w:t>
            </w:r>
            <w:r>
              <w:rPr>
                <w:b/>
                <w:i/>
              </w:rPr>
              <w:t>vyzývá Komisi, aby předložila iniciativu s cílem zajistit odpovídající všeobecnou zdravotní péči pro všechny, aby měl každý přístup ke kvalitní zdravotní péči, aniž by se potýkal s finančními potížemi;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domnívá se, že sociální ekonomika je zásadní součástí sociálně tržního hospodářství EU a hnací silou provádění evropského pilíře sociálních práv a jeho cílů, přičemž často poskytuje zaměstnání zranitelným a vyloučeným skupinám;</w:t>
            </w:r>
            <w:r>
              <w:t xml:space="preserve"> </w:t>
            </w:r>
            <w:r>
              <w:rPr>
                <w:b/>
                <w:i/>
              </w:rPr>
              <w:t>vyzývá členské státy, aby nadále posilovaly sociální ekonomiku v souladu s akčním plánem EU pro sociální ekonomiku a Lutyšským plánem pro sociální ekonomiku v Evropské unii;</w:t>
            </w:r>
            <w:r>
              <w:t xml:space="preserve"> </w:t>
            </w:r>
            <w:r>
              <w:rPr>
                <w:b/>
                <w:i/>
              </w:rPr>
              <w:t>znovu vyzývá Komisi, aby prozkoumala inovativní mechanismy financování, jako jsou dluhopisy se sociálním dopadem, na financování projektů na podporu rozvoje sociální ekonomiky v Evropě</w:t>
            </w:r>
            <w:r>
              <w:rPr>
                <w:b/>
                <w:i/>
                <w:vertAlign w:val="superscript"/>
              </w:rPr>
              <w:t>19a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19a</w:t>
            </w:r>
            <w:r>
              <w:t xml:space="preserve"> </w:t>
            </w:r>
            <w:r>
              <w:rPr>
                <w:b/>
                <w:i/>
              </w:rPr>
              <w:t>Usnesení Evropského parlamentu ze dne 6. července 2022 o akčním plánu EU pro sociální ekonomiku (2021/2179(INI)).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žádá, aby v tomto přechodném roce, kdy jsou prováděna revidovaná pravidla správy ekonomických záležitostí, dostaly členské státy příležitost k nalezení souladu mezi fiskální odpovědností a udržitelným růstem, a konstatuje, že střednědobé fiskální plány by měly upřednostňovat udržitelnost dluhu a zároveň strategicky investovat do vzdělávání, zdravotní péče a bydlení;</w:t>
            </w:r>
            <w:r>
              <w:t xml:space="preserve"> </w:t>
            </w:r>
            <w:r>
              <w:rPr>
                <w:b/>
                <w:i/>
              </w:rPr>
              <w:t>zdůrazňuje, že pro optimalizaci zdrojů a zajištění rozvážného využívání veřejných prostředků je klíčová spolupráce veřejných a soukromých subjektů;</w:t>
            </w:r>
            <w:r>
              <w:t xml:space="preserve"> </w:t>
            </w:r>
            <w:r>
              <w:rPr>
                <w:b/>
                <w:i/>
              </w:rPr>
              <w:t>domnívá se, že by se měla účinně provádět doporučení pro jednotlivé země na podporu udržitelných veřejných důchodových systémů a zdravotní péče, která by měla pomáhat rozvíjet konkurenceschopnost a zajišťovat dlouhodobou prosperitu pro všechny občany;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žádá, aby v tomto přechodném roce, kdy jsou prováděna revidovaná pravidla správy ekonomických záležitostí, dostaly členské státy příležitost k nalezení souladu mezi fiskální odpovědností a udržitelným růstem</w:t>
            </w:r>
            <w:r>
              <w:rPr>
                <w:b/>
                <w:i/>
              </w:rPr>
              <w:t>, a</w:t>
            </w:r>
            <w:r>
              <w:t xml:space="preserve"> konstatuje, že střednědobé fiskální plány by měly </w:t>
            </w:r>
            <w:r>
              <w:rPr>
                <w:b/>
                <w:i/>
              </w:rPr>
              <w:t>upřednostňovat</w:t>
            </w:r>
            <w:r>
              <w:t xml:space="preserve"> udržitelnost dluhu a zároveň strategicky investovat do vzdělávání, zdravotní péče a bydlení</w:t>
            </w:r>
            <w:r>
              <w:rPr>
                <w:b/>
                <w:i/>
              </w:rPr>
              <w:t>;</w:t>
            </w:r>
            <w:r>
              <w:t xml:space="preserve"> </w:t>
            </w:r>
            <w:r>
              <w:rPr>
                <w:b/>
                <w:i/>
              </w:rPr>
              <w:t>zdůrazňuje, že pro optimalizaci zdrojů a zajištění rozvážného využívání veřejných prostředků je klíčová spolupráce veřejných a soukromých subjektů;</w:t>
            </w:r>
            <w:r>
              <w:t xml:space="preserve"> </w:t>
            </w:r>
            <w:r>
              <w:rPr>
                <w:b/>
                <w:i/>
              </w:rPr>
              <w:t>domnívá se, že by se měla účinně provádět</w:t>
            </w:r>
            <w:r>
              <w:t xml:space="preserve"> doporučení pro jednotlivé země na podporu udržitelných veřejných důchodových systémů a zdravotní péče</w:t>
            </w:r>
            <w:r>
              <w:rPr>
                <w:b/>
                <w:i/>
              </w:rPr>
              <w:t>, která</w:t>
            </w:r>
            <w:r>
              <w:t xml:space="preserve"> by měla </w:t>
            </w:r>
            <w:r>
              <w:rPr>
                <w:b/>
                <w:i/>
              </w:rPr>
              <w:t>pomáhat rozvíjet konkurenceschopnost a zajišťovat dlouhodobou prosperitu</w:t>
            </w:r>
            <w:r>
              <w:t xml:space="preserve"> pro všechny </w:t>
            </w:r>
            <w:r>
              <w:rPr>
                <w:b/>
                <w:i/>
              </w:rPr>
              <w:t>občany</w:t>
            </w:r>
            <w:r>
              <w:t>;</w:t>
            </w:r>
          </w:p>
        </w:tc>
        <w:tc>
          <w:tcPr>
            <w:tcW w:w="4876" w:type="dxa"/>
            <w:tcBorders>
              <w:top w:val="nil"/>
              <w:left w:val="nil"/>
              <w:bottom w:val="nil"/>
              <w:right w:val="nil"/>
            </w:tcBorders>
          </w:tcPr>
          <w:p>
            <w:pPr>
              <w:pStyle w:val="Normal6a"/>
            </w:pPr>
            <w:r>
              <w:t>9.</w:t>
            </w:r>
            <w:r>
              <w:tab/>
            </w:r>
            <w:r>
              <w:t xml:space="preserve">žádá, aby v tomto přechodném roce, kdy jsou prováděna revidovaná pravidla správy ekonomických záležitostí, dostaly členské státy příležitost k nalezení souladu mezi fiskální odpovědností a udržitelným růstem </w:t>
            </w:r>
            <w:r>
              <w:rPr>
                <w:b/>
                <w:i/>
              </w:rPr>
              <w:t>podporujícím začlenění; konstatuje, že by mělo být posíleno zapojení sociálních partnerů na všech úrovních, aby se přispělo k cílům nového rámce pro správu ekonomických záležitostí na rok 2024, zejména by měly být před předložením střednědobých fiskálně-strukturálních plánů zajištěny předchozí konzultace se sociálními partnery;</w:t>
            </w:r>
            <w:r>
              <w:t xml:space="preserve"> konstatuje, že střednědobé fiskální plány by měly </w:t>
            </w:r>
            <w:r>
              <w:rPr>
                <w:b/>
                <w:i/>
              </w:rPr>
              <w:t>zajistit</w:t>
            </w:r>
            <w:r>
              <w:t xml:space="preserve"> udržitelnost dluhu a zároveň strategicky investovat do </w:t>
            </w:r>
            <w:r>
              <w:rPr>
                <w:b/>
                <w:i/>
              </w:rPr>
              <w:t>kvalitního</w:t>
            </w:r>
            <w:r>
              <w:t xml:space="preserve"> vzdělávání, </w:t>
            </w:r>
            <w:r>
              <w:rPr>
                <w:b/>
                <w:i/>
              </w:rPr>
              <w:t>kvalitní odborné přípravy, kvalitních veřejných a sociálních služeb,</w:t>
            </w:r>
            <w:r>
              <w:t xml:space="preserve"> zdravotní </w:t>
            </w:r>
            <w:r>
              <w:rPr>
                <w:b/>
                <w:i/>
              </w:rPr>
              <w:t>a dlouhodobé</w:t>
            </w:r>
            <w:r>
              <w:t xml:space="preserve"> péče a </w:t>
            </w:r>
            <w:r>
              <w:rPr>
                <w:b/>
                <w:i/>
              </w:rPr>
              <w:t>cenově dostupného</w:t>
            </w:r>
            <w:r>
              <w:t xml:space="preserve"> bydlení </w:t>
            </w:r>
            <w:r>
              <w:rPr>
                <w:b/>
                <w:i/>
              </w:rPr>
              <w:t>a sociálních služeb;</w:t>
            </w:r>
            <w:r>
              <w:t xml:space="preserve"> </w:t>
            </w:r>
            <w:r>
              <w:rPr>
                <w:b/>
                <w:i/>
              </w:rPr>
              <w:t>doporučuje využít srovnávací statistiky, jako jsou výsledky indexu sociálních služeb (SSI), k identifikaci nedostatků v právních předpisech v oblasti sociálních služeb, financování a přístupu k nim a k vedení strategických investic v oblastech, jako je ochrana dětí, dlouhodobá péče a komunitní podpora;</w:t>
            </w:r>
            <w:r>
              <w:t xml:space="preserve"> </w:t>
            </w:r>
            <w:r>
              <w:rPr>
                <w:b/>
                <w:i/>
              </w:rPr>
              <w:t>zdůrazňuje, že spolupráce mezi veřejnými a soukromými subjekty je někdy dobrým způsobem, jak optimalizovat zdroje a zajistit rozvážné využívání veřejných prostředků;</w:t>
            </w:r>
            <w:r>
              <w:t xml:space="preserve"> </w:t>
            </w:r>
            <w:r>
              <w:rPr>
                <w:b/>
                <w:i/>
              </w:rPr>
              <w:t>domnívá se, že</w:t>
            </w:r>
            <w:r>
              <w:t xml:space="preserve"> doporučení pro jednotlivé země na podporu udržitelných veřejných důchodových systémů a zdravotní péče by měla </w:t>
            </w:r>
            <w:r>
              <w:rPr>
                <w:b/>
                <w:i/>
              </w:rPr>
              <w:t>podporovat důchody, které zajišťují důstojný život, dobré životní podmínky a kvalitní a cenově dostupné zdraví, podporu zdraví a prevenci</w:t>
            </w:r>
            <w:r>
              <w:t xml:space="preserve"> pro všechny;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žádá, aby v tomto přechodném roce, kdy jsou prováděna revidovaná pravidla správy ekonomických záležitostí, dostaly členské státy příležitost </w:t>
            </w:r>
            <w:r>
              <w:rPr>
                <w:b/>
                <w:i/>
              </w:rPr>
              <w:t>k nalezení souladu mezi fiskální odpovědností a udržitelným růstem</w:t>
            </w:r>
            <w:r>
              <w:t xml:space="preserve">, a konstatuje, že střednědobé fiskální plány by měly upřednostňovat udržitelnost </w:t>
            </w:r>
            <w:r>
              <w:rPr>
                <w:b/>
                <w:i/>
              </w:rPr>
              <w:t>dluhu</w:t>
            </w:r>
            <w:r>
              <w:t xml:space="preserve"> a zároveň strategicky investovat do vzdělávání, zdravotní péče a bydlení; zdůrazňuje, že pro optimalizaci zdrojů </w:t>
            </w:r>
            <w:r>
              <w:rPr>
                <w:b/>
                <w:i/>
              </w:rPr>
              <w:t>a zajištění rozvážného využívání veřejných prostředků</w:t>
            </w:r>
            <w:r>
              <w:t xml:space="preserve"> je klíčová spolupráce veřejných a soukromých subjektů; domnívá se, že by </w:t>
            </w:r>
            <w:r>
              <w:rPr>
                <w:b/>
                <w:i/>
              </w:rPr>
              <w:t>se měla účinně provádět doporučení pro jednotlivé země na podporu udržitelných</w:t>
            </w:r>
            <w:r>
              <w:t xml:space="preserve"> veřejných důchodových </w:t>
            </w:r>
            <w:r>
              <w:rPr>
                <w:b/>
                <w:i/>
              </w:rPr>
              <w:t>systémů a</w:t>
            </w:r>
            <w:r>
              <w:t xml:space="preserve"> zdravotní péče</w:t>
            </w:r>
            <w:r>
              <w:rPr>
                <w:b/>
                <w:i/>
              </w:rPr>
              <w:t>, která by měla pomáhat rozvíjet konkurenceschopnost a zajišťovat dlouhodobou prosperitu pro všechny občany</w:t>
            </w:r>
            <w:r>
              <w:t>;</w:t>
            </w:r>
          </w:p>
        </w:tc>
        <w:tc>
          <w:tcPr>
            <w:tcW w:w="4876" w:type="dxa"/>
            <w:tcBorders>
              <w:top w:val="nil"/>
              <w:left w:val="nil"/>
              <w:bottom w:val="nil"/>
              <w:right w:val="nil"/>
            </w:tcBorders>
          </w:tcPr>
          <w:p>
            <w:pPr>
              <w:pStyle w:val="Normal6a"/>
            </w:pPr>
            <w:r>
              <w:t>9.</w:t>
            </w:r>
            <w:r>
              <w:tab/>
            </w:r>
            <w:r>
              <w:t xml:space="preserve">žádá, aby v tomto přechodném roce, kdy jsou prováděna revidovaná pravidla správy ekonomických záležitostí, dostaly členské státy příležitost </w:t>
            </w:r>
            <w:r>
              <w:rPr>
                <w:b/>
                <w:i/>
              </w:rPr>
              <w:t>sladit fiskální odpovědnost s udržitelností a dobrými životními podmínkami</w:t>
            </w:r>
            <w:r>
              <w:t xml:space="preserve">, a konstatuje, že střednědobé fiskální plány by měly upřednostňovat </w:t>
            </w:r>
            <w:r>
              <w:rPr>
                <w:b/>
                <w:i/>
              </w:rPr>
              <w:t>sociální</w:t>
            </w:r>
            <w:r>
              <w:t xml:space="preserve"> udržitelnost a zároveň strategicky investovat do </w:t>
            </w:r>
            <w:r>
              <w:rPr>
                <w:b/>
                <w:i/>
              </w:rPr>
              <w:t>veřejného</w:t>
            </w:r>
            <w:r>
              <w:t xml:space="preserve"> vzdělávání, zdravotní péče a bydlení; zdůrazňuje, že pro optimalizaci zdrojů je klíčová spolupráce veřejných a soukromých subjektů; domnívá se, že </w:t>
            </w:r>
            <w:r>
              <w:rPr>
                <w:b/>
                <w:i/>
              </w:rPr>
              <w:t>doporučení pro jednotlivé země</w:t>
            </w:r>
            <w:r>
              <w:t xml:space="preserve"> by </w:t>
            </w:r>
            <w:r>
              <w:rPr>
                <w:b/>
                <w:i/>
              </w:rPr>
              <w:t>měla upustit od logiky trvalého předepisování rozpočtových škrtů ve</w:t>
            </w:r>
            <w:r>
              <w:t xml:space="preserve"> veřejných důchodových </w:t>
            </w:r>
            <w:r>
              <w:rPr>
                <w:b/>
                <w:i/>
              </w:rPr>
              <w:t>systémech a systémech</w:t>
            </w:r>
            <w:r>
              <w:t xml:space="preserve"> zdravotní péče </w:t>
            </w:r>
            <w:r>
              <w:rPr>
                <w:b/>
                <w:i/>
              </w:rPr>
              <w:t>a místo toho předložit reformní návrhy, které podpoří hospodářský a sociální blahobyt všech občanů;</w:t>
            </w:r>
            <w:r>
              <w:t xml:space="preserve"> </w:t>
            </w:r>
            <w:r>
              <w:rPr>
                <w:b/>
                <w:i/>
              </w:rPr>
              <w:t>připomíná, že je důležité zachovat přiměřený příjem pro důstojný život všech pracovníků během doby jejich odchodu do důchodu, přičemž je třeba zohlednit zranitelnost těch pracovníků, jejichž profesní dráha je segmentovaná, občasná a u nichž dochází k přechodům mezi zaměstnáními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žádá, aby v tomto přechodném roce</w:t>
            </w:r>
            <w:r>
              <w:rPr>
                <w:b/>
                <w:i/>
              </w:rPr>
              <w:t>, kdy jsou prováděna revidovaná pravidla správy ekonomických záležitostí,</w:t>
            </w:r>
            <w:r>
              <w:t xml:space="preserve"> dostaly členské státy příležitost </w:t>
            </w:r>
            <w:r>
              <w:rPr>
                <w:b/>
                <w:i/>
              </w:rPr>
              <w:t>k nalezení souladu mezi fiskální odpovědností a udržitelným růstem</w:t>
            </w:r>
            <w:r>
              <w:t>, a konstatuje, že střednědobé fiskální plány by měly upřednostňovat udržitelnost dluhu a zároveň strategicky investovat do vzdělávání, zdravotní péče a bydlení</w:t>
            </w:r>
            <w:r>
              <w:rPr>
                <w:b/>
                <w:i/>
              </w:rPr>
              <w:t>;</w:t>
            </w:r>
            <w:r>
              <w:t xml:space="preserve"> </w:t>
            </w:r>
            <w:r>
              <w:rPr>
                <w:b/>
                <w:i/>
              </w:rPr>
              <w:t>zdůrazňuje, že pro optimalizaci zdrojů a zajištění rozvážného využívání veřejných prostředků je klíčová spolupráce veřejných a soukromých subjektů;</w:t>
            </w:r>
            <w:r>
              <w:t xml:space="preserve"> </w:t>
            </w:r>
            <w:r>
              <w:rPr>
                <w:b/>
                <w:i/>
              </w:rPr>
              <w:t>domnívá se, že by se měla účinně provádět doporučení pro jednotlivé země na podporu udržitelných veřejných důchodových systémů a zdravotní péče, která by měla pomáhat rozvíjet konkurenceschopnost a zajišťovat</w:t>
            </w:r>
            <w:r>
              <w:t xml:space="preserve"> dlouhodobou prosperitu pro všechny občany;</w:t>
            </w:r>
          </w:p>
        </w:tc>
        <w:tc>
          <w:tcPr>
            <w:tcW w:w="4876" w:type="dxa"/>
            <w:tcBorders>
              <w:top w:val="nil"/>
              <w:left w:val="nil"/>
              <w:bottom w:val="nil"/>
              <w:right w:val="nil"/>
            </w:tcBorders>
          </w:tcPr>
          <w:p>
            <w:pPr>
              <w:pStyle w:val="Normal6a"/>
            </w:pPr>
            <w:r>
              <w:t>9.</w:t>
            </w:r>
            <w:r>
              <w:tab/>
            </w:r>
            <w:r>
              <w:t xml:space="preserve">žádá, aby v tomto přechodném roce dostaly členské státy příležitost </w:t>
            </w:r>
            <w:r>
              <w:rPr>
                <w:b/>
                <w:i/>
              </w:rPr>
              <w:t>pracovat na udržitelném růstu</w:t>
            </w:r>
            <w:r>
              <w:t xml:space="preserve">, a konstatuje, že střednědobé fiskální plány by měly upřednostňovat udržitelnost dluhu a zároveň strategicky investovat do vzdělávání, zdravotní péče a bydlení </w:t>
            </w:r>
            <w:r>
              <w:rPr>
                <w:b/>
                <w:i/>
              </w:rPr>
              <w:t>s cílem podpořit sociální soudržnost a</w:t>
            </w:r>
            <w:r>
              <w:t xml:space="preserve"> dlouhodobou prosperitu pro všechny občany;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žádá, aby v tomto přechodném roce, kdy jsou prováděna revidovaná pravidla správy ekonomických záležitostí, dostaly členské státy příležitost k nalezení souladu mezi fiskální odpovědností a udržitelným růstem, a konstatuje, že střednědobé fiskální plány by měly upřednostňovat udržitelnost dluhu a zároveň strategicky investovat do vzdělávání, zdravotní péče a bydlení; zdůrazňuje, že pro optimalizaci zdrojů a zajištění rozvážného využívání veřejných prostředků je klíčová spolupráce veřejných a soukromých subjektů; domnívá se, že by se měla účinně provádět doporučení pro jednotlivé země na podporu </w:t>
            </w:r>
            <w:r>
              <w:rPr>
                <w:b/>
                <w:i/>
              </w:rPr>
              <w:t>udržitelných veřejných důchodových systémů a</w:t>
            </w:r>
            <w:r>
              <w:t xml:space="preserve"> zdravotní péče, která by měla pomáhat rozvíjet </w:t>
            </w:r>
            <w:r>
              <w:rPr>
                <w:b/>
                <w:i/>
              </w:rPr>
              <w:t>konkurenceschopnost a zajišťovat</w:t>
            </w:r>
            <w:r>
              <w:t xml:space="preserve"> dlouhodobou prosperitu pro všechny občany;</w:t>
            </w:r>
          </w:p>
        </w:tc>
        <w:tc>
          <w:tcPr>
            <w:tcW w:w="4876" w:type="dxa"/>
            <w:tcBorders>
              <w:top w:val="nil"/>
              <w:left w:val="nil"/>
              <w:bottom w:val="nil"/>
              <w:right w:val="nil"/>
            </w:tcBorders>
          </w:tcPr>
          <w:p>
            <w:pPr>
              <w:pStyle w:val="Normal6a"/>
            </w:pPr>
            <w:r>
              <w:t>9.</w:t>
            </w:r>
            <w:r>
              <w:tab/>
            </w:r>
            <w:r>
              <w:t xml:space="preserve">žádá, aby v tomto přechodném roce, kdy jsou prováděna revidovaná pravidla správy ekonomických záležitostí, dostaly členské státy příležitost k nalezení souladu mezi fiskální odpovědností a udržitelným růstem, a konstatuje, že střednědobé fiskální plány by měly upřednostňovat udržitelnost dluhu a zároveň strategicky investovat do </w:t>
            </w:r>
            <w:r>
              <w:rPr>
                <w:b/>
                <w:i/>
              </w:rPr>
              <w:t>cílů evropského pilíře sociálních práv, jako je</w:t>
            </w:r>
            <w:r>
              <w:t xml:space="preserve"> vzdělávání </w:t>
            </w:r>
            <w:r>
              <w:rPr>
                <w:b/>
                <w:i/>
              </w:rPr>
              <w:t>a odborná příprava, sociální ochrana a začleňování</w:t>
            </w:r>
            <w:r>
              <w:t>, zdravotní péče a bydlení; zdůrazňuje, že pro optimalizaci zdrojů a zajištění rozvážného využívání veřejných prostředků </w:t>
            </w:r>
            <w:r>
              <w:rPr>
                <w:b/>
                <w:i/>
              </w:rPr>
              <w:t>na podporu konkurenceschopnosti</w:t>
            </w:r>
            <w:r>
              <w:t xml:space="preserve"> je klíčová spolupráce veřejných a soukromých subjektů; domnívá se, že by se měla účinně provádět doporučení pro jednotlivé země na podporu </w:t>
            </w:r>
            <w:r>
              <w:rPr>
                <w:b/>
                <w:i/>
              </w:rPr>
              <w:t>důchodových systémů s více pilíři a kvalitní</w:t>
            </w:r>
            <w:r>
              <w:t xml:space="preserve"> zdravotní péče, která by měla pomáhat rozvíjet </w:t>
            </w:r>
            <w:r>
              <w:rPr>
                <w:b/>
                <w:i/>
              </w:rPr>
              <w:t>udržitelnost, důstojnost a</w:t>
            </w:r>
            <w:r>
              <w:t> dlouhodobou prosperitu pro všechny občany;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žádá, aby v tomto přechodném roce, kdy jsou prováděna revidovaná pravidla správy ekonomických záležitostí, dostaly členské státy příležitost k nalezení souladu mezi</w:t>
            </w:r>
            <w:r>
              <w:t xml:space="preserve"> fiskální </w:t>
            </w:r>
            <w:r>
              <w:rPr>
                <w:b/>
                <w:i/>
              </w:rPr>
              <w:t>odpovědností a</w:t>
            </w:r>
            <w:r>
              <w:t xml:space="preserve"> udržitelným růstem, a konstatuje, že střednědobé fiskální plány by měly upřednostňovat udržitelnost dluhu a zároveň strategicky investovat do vzdělávání, zdravotní péče a bydlení; zdůrazňuje, že pro optimalizaci zdrojů a zajištění rozvážného využívání veřejných prostředků je klíčová spolupráce veřejných a soukromých subjektů; domnívá se, že by se měla účinně provádět doporučení pro jednotlivé země na podporu udržitelných veřejných důchodových systémů a zdravotní péče, která by měla pomáhat rozvíjet konkurenceschopnost a zajišťovat dlouhodobou prosperitu pro všechny občany;</w:t>
            </w:r>
          </w:p>
        </w:tc>
        <w:tc>
          <w:tcPr>
            <w:tcW w:w="4876" w:type="dxa"/>
            <w:tcBorders>
              <w:top w:val="nil"/>
              <w:left w:val="nil"/>
              <w:bottom w:val="nil"/>
              <w:right w:val="nil"/>
            </w:tcBorders>
          </w:tcPr>
          <w:p>
            <w:pPr>
              <w:pStyle w:val="Normal6a"/>
            </w:pPr>
            <w:r>
              <w:t>9.</w:t>
            </w:r>
            <w:r>
              <w:tab/>
            </w:r>
            <w:r>
              <w:rPr>
                <w:b/>
                <w:i/>
              </w:rPr>
              <w:t>zdůrazňuje, že hlavním cílem nových pravidel správy ekonomických záležitostí je nalézt rovnováhu mezi odpovědným řízením rozpočtu (snížení dluhu) a udržitelným hospodářským růstem (výdaje stimulující růst), a proto má být pravidlům správy ekonomických záležitostí nabídnuta příležitost sladit</w:t>
            </w:r>
            <w:r>
              <w:t xml:space="preserve"> fiskální </w:t>
            </w:r>
            <w:r>
              <w:rPr>
                <w:b/>
                <w:i/>
              </w:rPr>
              <w:t>odpovědnost s</w:t>
            </w:r>
            <w:r>
              <w:t xml:space="preserve"> udržitelným růstem, a konstatuje, že střednědobé fiskální plány by měly upřednostňovat udržitelnost dluhu a zároveň strategicky investovat do vzdělávání, zdravotní péče a bydlení; zdůrazňuje, že pro optimalizaci zdrojů a zajištění rozvážného využívání veřejných prostředků je klíčová spolupráce veřejných a soukromých subjektů; domnívá se, že by se měla účinně provádět doporučení pro jednotlivé země na podporu udržitelných veřejných důchodových systémů a zdravotní péče, která by měla pomáhat rozvíjet konkurenceschopnost a zajišťovat dlouhodobou prosperitu pro všechny občany;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žádá, aby v tomto přechodném roce, kdy jsou prováděna revidovaná pravidla správy ekonomických záležitostí, dostaly členské státy příležitost k nalezení souladu mezi fiskální odpovědností a udržitelným růstem, a konstatuje, že střednědobé fiskální plány by měly </w:t>
            </w:r>
            <w:r>
              <w:rPr>
                <w:b/>
                <w:i/>
              </w:rPr>
              <w:t>upřednostňovat</w:t>
            </w:r>
            <w:r>
              <w:t xml:space="preserve"> udržitelnost dluhu </w:t>
            </w:r>
            <w:r>
              <w:rPr>
                <w:b/>
                <w:i/>
              </w:rPr>
              <w:t>a zároveň strategicky investovat</w:t>
            </w:r>
            <w:r>
              <w:t xml:space="preserve"> do vzdělávání, zdravotní péče a bydlení; zdůrazňuje, že pro optimalizaci zdrojů a zajištění rozvážného využívání veřejných prostředků je klíčová spolupráce veřejných a soukromých subjektů; domnívá se, že by se měla účinně provádět doporučení pro jednotlivé země na podporu udržitelných veřejných důchodových systémů a zdravotní péče, která by měla pomáhat rozvíjet konkurenceschopnost a zajišťovat dlouhodobou prosperitu pro všechny občany;</w:t>
            </w:r>
          </w:p>
        </w:tc>
        <w:tc>
          <w:tcPr>
            <w:tcW w:w="4876" w:type="dxa"/>
            <w:tcBorders>
              <w:top w:val="nil"/>
              <w:left w:val="nil"/>
              <w:bottom w:val="nil"/>
              <w:right w:val="nil"/>
            </w:tcBorders>
          </w:tcPr>
          <w:p>
            <w:pPr>
              <w:pStyle w:val="Normal6a"/>
            </w:pPr>
            <w:r>
              <w:t>9.</w:t>
            </w:r>
            <w:r>
              <w:tab/>
            </w:r>
            <w:r>
              <w:t xml:space="preserve">žádá, aby v tomto přechodném roce, kdy jsou prováděna revidovaná pravidla správy ekonomických záležitostí, dostaly členské státy příležitost k nalezení souladu mezi fiskální odpovědností a udržitelným růstem, a konstatuje, že střednědobé fiskální plány by měly </w:t>
            </w:r>
            <w:r>
              <w:rPr>
                <w:b/>
                <w:i/>
              </w:rPr>
              <w:t>vyvážit</w:t>
            </w:r>
            <w:r>
              <w:t xml:space="preserve"> udržitelnost dluhu </w:t>
            </w:r>
            <w:r>
              <w:rPr>
                <w:b/>
                <w:i/>
              </w:rPr>
              <w:t>se sociálními investicemi</w:t>
            </w:r>
            <w:r>
              <w:t xml:space="preserve"> do vzdělávání, zdravotní péče a bydlení; zdůrazňuje, že pro optimalizaci zdrojů a zajištění rozvážného využívání veřejných prostředků je klíčová spolupráce veřejných a soukromých subjektů; domnívá se, že by se měla účinně provádět doporučení pro jednotlivé země na podporu udržitelných veřejných důchodových systémů a zdravotní péče, která by měla pomáhat rozvíjet konkurenceschopnost a zajišťovat dlouhodobou prosperitu pro všechny občany;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 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Je si vědom destruktivních dopadů, které politiky úsporných opatření měly a nadále mají na společnost jako celek.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vítá skutečnost, že vnitrostátní střednědobé fiskální strukturální plány musí v novém rámci správy ekonomických záležitostí zahrnovat reformy a investice reagující na hlavní výzvy zjištěné v rámci evropského semestru, zejména v doporučeních pro jednotlivé země;</w:t>
            </w:r>
            <w:r>
              <w:t xml:space="preserve"> </w:t>
            </w:r>
            <w:r>
              <w:rPr>
                <w:b/>
                <w:i/>
              </w:rPr>
              <w:t>připomíná, že členské státy mají povinnost vysvětlit, jak provádění reforem a investic bude řešit sociální a hospodářskou odolnost, včetně evropského pilíře sociálních práv, jako součást společných priorit Unie;</w:t>
            </w:r>
            <w:r>
              <w:t xml:space="preserve"> </w:t>
            </w:r>
            <w:r>
              <w:rPr>
                <w:b/>
                <w:i/>
              </w:rPr>
              <w:t>je spokojen s tím, že Komise potvrdila, že všechny členské státy ve svých plánech</w:t>
            </w:r>
            <w:r>
              <w:rPr>
                <w:b/>
                <w:i/>
                <w:vertAlign w:val="superscript"/>
              </w:rPr>
              <w:t>19b</w:t>
            </w:r>
            <w:r>
              <w:t xml:space="preserve"> </w:t>
            </w:r>
            <w:r>
              <w:rPr>
                <w:b/>
                <w:i/>
              </w:rPr>
              <w:t>oznámily své politické záměry v oblasti reforem a investic zaměřených na řešení výzev identifikovaných v rámci evropského semestru a společných priorit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19b</w:t>
            </w:r>
            <w:r>
              <w:t xml:space="preserve"> </w:t>
            </w:r>
            <w:r>
              <w:rPr>
                <w:b/>
                <w:i/>
              </w:rPr>
              <w:t>Sdělení Komise „Evropský semestr 2025: realizace nového rámce správy ekonomických záležitostí“ (COM(2024) 705 final, s.</w:t>
            </w:r>
            <w:r>
              <w:t xml:space="preserve"> </w:t>
            </w:r>
            <w:r>
              <w:rPr>
                <w:b/>
                <w:i/>
              </w:rPr>
              <w:t>4-5.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Komisi, aby monitorovala údaje o restrukturalizaci a jejím dopadu na zaměstnanost, například s využitím Evropského monitoru restrukturalizace, s cílem usnadnit opatření na podporu restrukturalizace a přechodů na trhu práce a aby zvážila zdůraznění vnitrostátních opatření na podporu sociálně odpovědného způsobu restrukturalizace v rámci evropského semestru;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uvědomuje si význam veřejného dohledu nad partnerstvími veřejného a soukromého sektoru, zejména v boji proti plýtvání veřejnými prostředky a korupci;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vítá zejména rozhodnutí pěti členských států prodloužit období fiskální korekce ze 4 na 7 let s cílem umožnit větší flexibilitu při provádění reforem a investic;</w:t>
            </w:r>
            <w:r>
              <w:t xml:space="preserve"> </w:t>
            </w:r>
            <w:r>
              <w:rPr>
                <w:b/>
                <w:i/>
              </w:rPr>
              <w:t>připomíná, že toto prodloužení se opírá o závazky týkající se dalšího souboru reforem a investic v souladu se společnými prioritami EU, jako je sociální odolnost, a že každá z reforem a investic musí být dostatečně podrobná, předsunutá, časově vymezená a ověřitelná;</w:t>
            </w:r>
            <w:r>
              <w:t xml:space="preserve"> </w:t>
            </w:r>
            <w:r>
              <w:rPr>
                <w:b/>
                <w:i/>
              </w:rPr>
              <w:t>vítá skutečnost, že v několika členských státech, u nichž bylo prodlouženo období fiskální korekce, jsou reformy spojeny se sociální odolností, například prostřednictvím plánů důchodové reformy, reformy sociálního zabezpečení nebo reformy systému víz pro práci a hledání zaměstnání;</w:t>
            </w:r>
            <w:r>
              <w:t xml:space="preserve"> </w:t>
            </w:r>
            <w:r>
              <w:rPr>
                <w:b/>
                <w:i/>
              </w:rPr>
              <w:t>zdůrazňuje, že výroční zprávy členských států o pokroku by měly zahrnovat pokrok v těchto reformách a investicích;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zdůrazňuje, že partnerství veřejného a soukromého sektoru mají často rozsáhlé nedostatky a omezené přínosy, jak zdůrazňuje zpráva Evropského účetního dvora z roku 2018</w:t>
            </w:r>
            <w:r>
              <w:rPr>
                <w:b/>
                <w:i/>
                <w:vertAlign w:val="superscript"/>
              </w:rPr>
              <w:t>5a</w:t>
            </w:r>
            <w:r>
              <w:rPr>
                <w:b/>
                <w:i/>
              </w:rPr>
              <w:t>;</w:t>
            </w:r>
            <w:r>
              <w:t xml:space="preserve"> </w:t>
            </w:r>
            <w:r>
              <w:rPr>
                <w:b/>
                <w:i/>
              </w:rPr>
              <w:t>zdůrazňuje, že tato partnerství jsou vystavena značné neefektivnosti v podobě zpoždění a výrazného nárůstu nákladů a že rozdělení rizik mezi veřejné a soukromé partnery je často nevhodné, nesoudržné a neúčinné, zatímco vysoké míry odměňování rizikového kapitálu soukromého partnera jen zřídka odrážejí nesená rizika;</w:t>
            </w:r>
            <w:r>
              <w:t xml:space="preserve"> </w:t>
            </w:r>
            <w:r>
              <w:rPr>
                <w:b/>
                <w:i/>
              </w:rPr>
              <w:t>zdůrazňuje přinejmenším potřebu veřejného dohledu nad partnerstvími veřejného a soukromého sektoru, zejména v boji proti plýtvání veřejnými prostředky a korupci;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https://www.eca.europa.eu/lists/ecadocuments/sr18_09/sr_ppp_en.pdf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vyzývá Evropskou komisi, aby sledovala vývoj minimálních mezd v členských státech po provedení směrnice o minimální mzdě s cílem určit, zda je dosaženo cíle „přiměřenosti“ minimálních mezd;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je znepokojen tím, že dodržování doporučení pro jednotlivé země zůstává trvale nízké;</w:t>
            </w:r>
            <w:r>
              <w:t xml:space="preserve"> </w:t>
            </w:r>
            <w:r>
              <w:rPr>
                <w:b/>
                <w:i/>
              </w:rPr>
              <w:t>vyzývá členské státy, aby v rámci nového rámce pro správu ekonomických záležitostí a jeho cíle posílit vlastní odpovědnost členských států lépe reagovaly na doporučení pro jednotlivé země v oblasti politik zaměstnanosti a sociálních politik v rámci evropského semestru;</w:t>
            </w:r>
            <w:r>
              <w:t xml:space="preserve"> </w:t>
            </w:r>
            <w:r>
              <w:rPr>
                <w:b/>
                <w:i/>
              </w:rPr>
              <w:t>vyzývá Komisi, aby posílila dialog s členskými státy o provádění stávajících doporučení a hlavních směrů politik zaměstnanosti, jakož i o současných nebo budoucích politických opatřeních k řešení zjištěných problémů;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je si vědom krize životních nákladů, která zvýšila zátěž domácností, a rostoucí náklady na bydlení, což přispívá k vysoké míře energetické chudoby v celé EU.</w:t>
            </w:r>
            <w:r>
              <w:t xml:space="preserve"> </w:t>
            </w:r>
            <w:r>
              <w:rPr>
                <w:b/>
                <w:i/>
              </w:rPr>
              <w:t>Zdůrazňuje, že se jedná o historickou krizi, kterou ještě zhoršují politiky úsporných opatření prováděné EU a mnoha členskými státy.</w:t>
            </w:r>
            <w:r>
              <w:t xml:space="preserve"> </w:t>
            </w:r>
            <w:r>
              <w:rPr>
                <w:b/>
                <w:i/>
              </w:rPr>
              <w:t>Vyzývá proto Komisi a členské státy, aby se komplexně zabývaly základními příčinami této krize tím, že upřednostní politiky, které podporují hospodářskou odolnost, sociální soudržnost a udržitelný rozvoj.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vítá vytvoření rámce pro identifikaci rizik pro sociální konvergenci v rámci evropského semestru, což byl důrazný požadavek Evropského parlamentu;</w:t>
            </w:r>
            <w:r>
              <w:t xml:space="preserve"> </w:t>
            </w:r>
            <w:r>
              <w:rPr>
                <w:b/>
                <w:i/>
              </w:rPr>
              <w:t>připomíná, že podle tohoto rámce Komise posuzuje rizika pro vzestupnou sociální konvergenci v členských státech a sleduje pokrok při provádění evropského pilíře sociálních práv na základě srovnávacího přehledu sociálních ukazatelů a zásad rámce sociální konvergence;</w:t>
            </w:r>
            <w:r>
              <w:t xml:space="preserve"> </w:t>
            </w:r>
            <w:r>
              <w:rPr>
                <w:b/>
                <w:i/>
              </w:rPr>
              <w:t>vítá skutečnost, že společná zpráva o zaměstnanosti 2025 obsahuje analýzu jednotlivých zemí založenou na zásadách rámce sociální konvergence;</w:t>
            </w:r>
            <w:r>
              <w:t xml:space="preserve"> </w:t>
            </w:r>
            <w:r>
              <w:rPr>
                <w:b/>
                <w:i/>
              </w:rPr>
              <w:t>vyzývá Komisi, aby v souladu s tímto novým rámcem dále rozvíjela inovativní nástroje kvantitativní a kvalitativní analýzy s cílem optimálně jej využívat v budoucích cyklech evropského semestru;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vítá skutečnost, že první analýza založená na zásadách rámce sociální konvergence poukazuje na vzestupnou konvergenci na trhu práce v roce 2023</w:t>
            </w:r>
            <w:r>
              <w:rPr>
                <w:b/>
                <w:i/>
                <w:vertAlign w:val="superscript"/>
              </w:rPr>
              <w:t>1a</w:t>
            </w:r>
            <w:r>
              <w:rPr>
                <w:b/>
                <w:i/>
              </w:rPr>
              <w:t>;</w:t>
            </w:r>
            <w:r>
              <w:t xml:space="preserve"> </w:t>
            </w:r>
            <w:r>
              <w:rPr>
                <w:b/>
                <w:i/>
              </w:rPr>
              <w:t>se znepokojením konstatuje, že je stále třeba zlepšit výsledky zaměstnanosti nedostatečně zastoupených skupin a že na evropské úrovni přetrvávají rizika vzestupné konvergence, pokud jde o rozvoj dovedností, od předškolního vzdělávání až po celoživotní učení, a sociální výsledky míry ohrožení chudobou a sociálním vyloučením;</w:t>
            </w:r>
            <w:r>
              <w:t xml:space="preserve"> </w:t>
            </w:r>
            <w:r>
              <w:rPr>
                <w:b/>
                <w:i/>
              </w:rPr>
              <w:t>vyzývá Komisi, aby ve druhé fázi analýzy dále analyzovala tato rizika pro vzestupnou sociální konvergenci a aby s dotčenými členskými státy projednala opatření přijatá nebo plánovaná k řešení těchto rizik;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SPOLEČNÁ ZPRÁVA O ZAMĚSTNANOSTI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je znepokojen revizemi srovnávacího přehledu pro postup při makroekonomické nerovnováze, které provedla Komise, a zejména snížením ukazatelů zaměstnanosti a sociálních ukazatelů, které mají zásadní význam pro </w:t>
            </w:r>
            <w:r>
              <w:rPr>
                <w:b/>
                <w:i/>
              </w:rPr>
              <w:t>posuzování</w:t>
            </w:r>
            <w:r>
              <w:t xml:space="preserve"> sociální situace v členských státech;</w:t>
            </w:r>
          </w:p>
        </w:tc>
        <w:tc>
          <w:tcPr>
            <w:tcW w:w="4876" w:type="dxa"/>
            <w:tcBorders>
              <w:top w:val="nil"/>
              <w:left w:val="nil"/>
              <w:bottom w:val="nil"/>
              <w:right w:val="nil"/>
            </w:tcBorders>
          </w:tcPr>
          <w:p>
            <w:pPr>
              <w:pStyle w:val="Normal6a"/>
            </w:pPr>
            <w:r>
              <w:t>10.</w:t>
            </w:r>
            <w:r>
              <w:tab/>
            </w:r>
            <w:r>
              <w:t xml:space="preserve">je znepokojen revizemi srovnávacího přehledu pro postup při makroekonomické nerovnováze, které provedla Komise, a zejména snížením ukazatelů zaměstnanosti a sociálních ukazatelů, které mají zásadní význam pro </w:t>
            </w:r>
            <w:r>
              <w:rPr>
                <w:b/>
                <w:i/>
              </w:rPr>
              <w:t>posouzení</w:t>
            </w:r>
            <w:r>
              <w:t xml:space="preserve"> sociální situace </w:t>
            </w:r>
            <w:r>
              <w:rPr>
                <w:b/>
                <w:i/>
              </w:rPr>
              <w:t>a situace na trhu práce</w:t>
            </w:r>
            <w:r>
              <w:t xml:space="preserve"> v členských státech; </w:t>
            </w:r>
            <w:r>
              <w:rPr>
                <w:b/>
                <w:i/>
              </w:rPr>
              <w:t>vyjadřuje zejména politování nad tím, že u bloku zahrnujícího ukazatele zaměstnanosti a sociální ukazatele se míra nezaměstnanosti mladých lidí přes znepokojivou situaci v několika členských státech snižuje z hlavního na pomocný ukazatel;</w:t>
            </w:r>
            <w:r>
              <w:t xml:space="preserve"> </w:t>
            </w:r>
            <w:r>
              <w:rPr>
                <w:b/>
                <w:i/>
              </w:rPr>
              <w:t>připomíná Komisi její povinnost úzce spolupracovat s Evropským parlamentem a Radou při vypracovávání srovnávacího přehledu a souboru makroekonomických a makrofinančních ukazatelů pro členské státy</w:t>
            </w:r>
            <w:r>
              <w:rPr>
                <w:b/>
                <w:i/>
                <w:vertAlign w:val="superscript"/>
              </w:rPr>
              <w:t>20a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20a</w:t>
            </w:r>
            <w:r>
              <w:t xml:space="preserve"> </w:t>
            </w:r>
            <w:r>
              <w:rPr>
                <w:b/>
                <w:i/>
              </w:rPr>
              <w:t>Nařízení (EU) č. 1176/2011 o prevenci a nápravě makroekonomické nerovnováhy, 12. bod odůvodnění.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 znepokojen revizemi srovnávacího přehledu pro postup při makroekonomické nerovnováze, které provedla Komise, a zejména snížením ukazatelů zaměstnanosti a sociálních ukazatelů, které mají zásadní význam pro posuzování sociální situace v členských státech;</w:t>
            </w:r>
          </w:p>
        </w:tc>
        <w:tc>
          <w:tcPr>
            <w:tcW w:w="4876" w:type="dxa"/>
            <w:tcBorders>
              <w:top w:val="nil"/>
              <w:left w:val="nil"/>
              <w:bottom w:val="nil"/>
              <w:right w:val="nil"/>
            </w:tcBorders>
          </w:tcPr>
          <w:p>
            <w:pPr>
              <w:pStyle w:val="Normal6a"/>
            </w:pPr>
            <w:r>
              <w:t>10.</w:t>
            </w:r>
            <w:r>
              <w:tab/>
            </w:r>
            <w:r>
              <w:t xml:space="preserve">je znepokojen revizemi srovnávacího přehledu pro postup při makroekonomické nerovnováze, které provedla Komise, a zejména snížením ukazatelů zaměstnanosti a sociálních ukazatelů, které mají zásadní význam pro posuzování sociální situace v členských státech; </w:t>
            </w:r>
            <w:r>
              <w:rPr>
                <w:b/>
                <w:i/>
              </w:rPr>
              <w:t>vyjadřuje politování nad tím, že míra dlouhodobé nezaměstnanosti a nezaměstnanost mladých lidí již nejsou považovány za hlavní ukazatele, a to navzdory jejich významu při určování a řešení konkrétních problémů na trhu práce a při přijímání odpovídajících veřejných politik;</w:t>
            </w:r>
            <w:r>
              <w:t xml:space="preserve"> </w:t>
            </w:r>
            <w:r>
              <w:rPr>
                <w:b/>
                <w:i/>
              </w:rPr>
              <w:t>vyjadřuje politování nad nedostatečnou symetrií stávajícího ukazatele přebytku salda ve srovnávacím přehledu pro postup při makroekonomické nerovnováze;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 znepokojen revizemi srovnávacího přehledu pro postup při makroekonomické nerovnováze, které provedla Komise, a zejména snížením ukazatelů zaměstnanosti a sociálních ukazatelů, které mají zásadní význam pro posuzování sociální situace v členských státech;</w:t>
            </w:r>
          </w:p>
        </w:tc>
        <w:tc>
          <w:tcPr>
            <w:tcW w:w="4876" w:type="dxa"/>
            <w:tcBorders>
              <w:top w:val="nil"/>
              <w:left w:val="nil"/>
              <w:bottom w:val="nil"/>
              <w:right w:val="nil"/>
            </w:tcBorders>
          </w:tcPr>
          <w:p>
            <w:pPr>
              <w:pStyle w:val="Normal6a"/>
            </w:pPr>
            <w:r>
              <w:t>10.</w:t>
            </w:r>
            <w:r>
              <w:tab/>
            </w:r>
            <w:r>
              <w:t xml:space="preserve">je znepokojen revizemi srovnávacího přehledu pro postup při makroekonomické nerovnováze, které provedla Komise, a zejména snížením ukazatelů zaměstnanosti a sociálních ukazatelů, které mají zásadní význam pro posuzování sociální situace v členských státech </w:t>
            </w:r>
            <w:r>
              <w:rPr>
                <w:b/>
                <w:i/>
              </w:rPr>
              <w:t>a pro směrování politických rozhodnutí;</w:t>
            </w:r>
            <w:r>
              <w:t xml:space="preserve"> </w:t>
            </w:r>
            <w:r>
              <w:rPr>
                <w:b/>
                <w:i/>
              </w:rPr>
              <w:t>zdůrazňuje, že sociální odolnost a provádění zásad evropského pilíře sociálních práv by měly být součástí srovnávacího přehledu pro postup při makroekonomické nerovnováze.</w:t>
            </w:r>
            <w:r>
              <w:t xml:space="preserve"> </w:t>
            </w:r>
            <w:r>
              <w:rPr>
                <w:b/>
                <w:i/>
              </w:rPr>
              <w:t>Vyzývá členské státy, aby sladily fiskální politiky s prioritami v oblasti sociálních investic v souladu s novým rámcem pro správu ekonomických záležitostí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 znepokojen revizemi srovnávacího přehledu pro postup při makroekonomické nerovnováze, které provedla Komise, a zejména snížením ukazatelů zaměstnanosti a sociálních ukazatelů, které mají zásadní význam pro posuzování sociální situace v členských státech;</w:t>
            </w:r>
          </w:p>
        </w:tc>
        <w:tc>
          <w:tcPr>
            <w:tcW w:w="4876" w:type="dxa"/>
            <w:tcBorders>
              <w:top w:val="nil"/>
              <w:left w:val="nil"/>
              <w:bottom w:val="nil"/>
              <w:right w:val="nil"/>
            </w:tcBorders>
          </w:tcPr>
          <w:p>
            <w:pPr>
              <w:pStyle w:val="Normal6a"/>
            </w:pPr>
            <w:r>
              <w:t>10.</w:t>
            </w:r>
            <w:r>
              <w:tab/>
            </w:r>
            <w:r>
              <w:t xml:space="preserve">je znepokojen revizemi srovnávacího přehledu pro postup při makroekonomické nerovnováze, které provedla Komise, a zejména snížením ukazatelů zaměstnanosti a sociálních ukazatelů, které mají zásadní význam pro posuzování sociální situace v členských státech; </w:t>
            </w:r>
            <w:r>
              <w:rPr>
                <w:b/>
                <w:i/>
              </w:rPr>
              <w:t>zdůrazňuje, že životní úroveň by měla být v rozhodovacím procesu postavena na roveň tradičním hospodářským ukazatelům.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 znepokojen revizemi srovnávacího přehledu pro postup při makroekonomické nerovnováze, které provedla Komise, a zejména snížením ukazatelů zaměstnanosti a sociálních ukazatelů, které mají zásadní význam pro posuzování sociální situace v členských státech;</w:t>
            </w:r>
          </w:p>
        </w:tc>
        <w:tc>
          <w:tcPr>
            <w:tcW w:w="4876" w:type="dxa"/>
            <w:tcBorders>
              <w:top w:val="nil"/>
              <w:left w:val="nil"/>
              <w:bottom w:val="nil"/>
              <w:right w:val="nil"/>
            </w:tcBorders>
          </w:tcPr>
          <w:p>
            <w:pPr>
              <w:pStyle w:val="Normal6a"/>
            </w:pPr>
            <w:r>
              <w:t>10.</w:t>
            </w:r>
            <w:r>
              <w:tab/>
            </w:r>
            <w:r>
              <w:t xml:space="preserve">je znepokojen revizemi srovnávacího přehledu pro postup při makroekonomické nerovnováze, které provedla Komise, a zejména snížením ukazatelů zaměstnanosti a sociálních ukazatelů, které mají zásadní význam pro posuzování </w:t>
            </w:r>
            <w:r>
              <w:rPr>
                <w:b/>
                <w:i/>
              </w:rPr>
              <w:t>a zlepšování</w:t>
            </w:r>
            <w:r>
              <w:t xml:space="preserve"> sociální situace v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je znepokojen revizemi</w:t>
            </w:r>
            <w:r>
              <w:t xml:space="preserve"> srovnávacího přehledu pro postup při makroekonomické nerovnováze, které provedla Komise, a zejména </w:t>
            </w:r>
            <w:r>
              <w:rPr>
                <w:b/>
                <w:i/>
              </w:rPr>
              <w:t>snížením</w:t>
            </w:r>
            <w:r>
              <w:t xml:space="preserve"> ukazatelů zaměstnanosti a sociálních ukazatelů, které mají zásadní význam pro posuzování sociální situace v členských státech;</w:t>
            </w:r>
          </w:p>
        </w:tc>
        <w:tc>
          <w:tcPr>
            <w:tcW w:w="4876" w:type="dxa"/>
            <w:tcBorders>
              <w:top w:val="nil"/>
              <w:left w:val="nil"/>
              <w:bottom w:val="nil"/>
              <w:right w:val="nil"/>
            </w:tcBorders>
          </w:tcPr>
          <w:p>
            <w:pPr>
              <w:pStyle w:val="Normal6a"/>
            </w:pPr>
            <w:r>
              <w:t>10.</w:t>
            </w:r>
            <w:r>
              <w:tab/>
            </w:r>
            <w:r>
              <w:rPr>
                <w:b/>
                <w:i/>
              </w:rPr>
              <w:t>bere na vědomí revize</w:t>
            </w:r>
            <w:r>
              <w:t xml:space="preserve"> srovnávacího přehledu pro postup při makroekonomické nerovnováze, které provedla Komise, a zejména </w:t>
            </w:r>
            <w:r>
              <w:rPr>
                <w:b/>
                <w:i/>
              </w:rPr>
              <w:t>snížení</w:t>
            </w:r>
            <w:r>
              <w:t xml:space="preserve"> ukazatelů zaměstnanosti a sociálních ukazatelů, které mají zásadní význam pro posuzování sociální situace v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domnívá se, že vzhledem k tomu, že neexistuje stabilizátor výdajů na sociální investice a sociální výdaje financovaný EU, pokračující fiskální konsolidace vnitrostátních rozpočtů poškodí sociální cíle správy ekonomických záležitostí, konkrétně vytváření kvalitních pracovních míst, ochranu pracovníků při přechodu trhu práce a přizpůsobování systémů sociálního zabezpečení a sociální ochrany demografickým trendům.</w:t>
            </w:r>
            <w:r>
              <w:t xml:space="preserve"> </w:t>
            </w:r>
            <w:r>
              <w:rPr>
                <w:b/>
                <w:i/>
              </w:rPr>
              <w:t>domnívá se, že územní a sociální soudržnost jsou základními prvky agendy konkurenceschopnosti a že nástroje, jako je evropský nástroj pro dočasnou podporu na zmírnění rizik nezaměstnanosti v mimořádné situaci (SURE), jsou i nadále pozitivním příkladem, který inspiruje budoucí iniciativy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domnívá se, že Komise EU a členské státy by měly zajistit, aby fiskální politiky v rámci evropského semestru podporovaly investice v souladu s evropským pilířem sociálních práv, zejména v oblastech, jako je důstojné a cenově dostupné bydlení, kvalitní zdravotní péče, vzdělávání a systémy sociální ochrany, neboť mají zásadní význam pro sociální soudržnost a dlouhodobou hospodářskou udržitelnost a pro řešení problémů zjištěných prostřednictvím sociálních ukazatelů;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vyjadřuje politování nad tím, že Evropská komise nekonzultovala s Evropským parlamentem plánované změny srovnávacího přehledu postupu při makroekonomické nerovnováze, zatímco s Radou tyto změny projednány byly;</w:t>
            </w:r>
            <w:r>
              <w:t xml:space="preserve"> </w:t>
            </w:r>
            <w:r>
              <w:rPr>
                <w:b/>
                <w:i/>
              </w:rPr>
              <w:t>vyjadřuje hluboké politování nad tím, že s Radou a Evropským parlamentem nebylo zacházeno stejně;</w:t>
            </w:r>
            <w:r>
              <w:t xml:space="preserve"> </w:t>
            </w:r>
            <w:r>
              <w:rPr>
                <w:b/>
                <w:i/>
              </w:rPr>
              <w:t>naléhavě vyzývá Komisi, aby před provedením dalších změn řádně konzultovala Evropský parlament;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je třeba řešit klíčové výzvy, které byly ve srovnávacím přehledu sociálních ukazatelů označeny jako „v kritické situaci“ a „je nutné sledovat“, včetně péče o děti, rozdílů v zaměstnanosti osob se zdravotním postižením, vlivu sociálních transferů na snižování chudoby a základních digitálních dovedností</w:t>
            </w:r>
            <w:r>
              <w:rPr>
                <w:vertAlign w:val="superscript"/>
              </w:rPr>
              <w:t>3</w:t>
            </w:r>
            <w:r>
              <w:t>;</w:t>
            </w:r>
          </w:p>
        </w:tc>
        <w:tc>
          <w:tcPr>
            <w:tcW w:w="4876" w:type="dxa"/>
            <w:tcBorders>
              <w:top w:val="nil"/>
              <w:left w:val="nil"/>
              <w:bottom w:val="nil"/>
              <w:right w:val="nil"/>
            </w:tcBorders>
          </w:tcPr>
          <w:p>
            <w:pPr>
              <w:pStyle w:val="Normal6a"/>
            </w:pPr>
            <w:r>
              <w:t>11.</w:t>
            </w:r>
            <w:r>
              <w:tab/>
            </w:r>
            <w:r>
              <w:t>zdůrazňuje, že je třeba řešit klíčové výzvy, které byly ve srovnávacím přehledu sociálních ukazatelů označeny jako „v kritické situaci“ a „je nutné sledovat“, včetně péče o děti, rozdílů v zaměstnanosti osob se zdravotním postižením, vlivu sociálních transferů na snižování chudoby a základních digitálních dovedností</w:t>
            </w:r>
            <w:r>
              <w:rPr>
                <w:vertAlign w:val="superscript"/>
              </w:rPr>
              <w:t>3</w:t>
            </w:r>
            <w:r>
              <w:t xml:space="preserve">; </w:t>
            </w:r>
            <w:r>
              <w:rPr>
                <w:b/>
                <w:i/>
              </w:rPr>
              <w:t>tyto výzvy je třeba řešit tak, aby hodnotily přínos sociálních partnerů, jejichž účast na provádění rámce sociální konvergence musí být posílena v souladu se společným prohlášením EKOS, SGIEurope a SMEUnited za faktické a věcné zapojení sociálních partnerů do správy ekonomických záležitostí a evropského semestru;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Návrh společné zprávy Komise a Rady o zaměstnanosti (COM(2023)0904).</w:t>
            </w:r>
          </w:p>
        </w:tc>
        <w:tc>
          <w:tcPr>
            <w:tcW w:w="4876" w:type="dxa"/>
            <w:tcBorders>
              <w:top w:val="nil"/>
              <w:left w:val="nil"/>
              <w:bottom w:val="nil"/>
              <w:right w:val="nil"/>
            </w:tcBorders>
          </w:tcPr>
          <w:p>
            <w:pPr>
              <w:pStyle w:val="Normal6a"/>
            </w:pPr>
            <w:r>
              <w:rPr>
                <w:vertAlign w:val="superscript"/>
              </w:rPr>
              <w:t>3</w:t>
            </w:r>
            <w:r>
              <w:t xml:space="preserve"> </w:t>
            </w:r>
            <w:r>
              <w:t>Návrh společné zprávy Komise a Rady o zaměstnanosti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je třeba řešit klíčové výzvy, které byly ve srovnávacím přehledu sociálních ukazatelů označeny jako „v kritické situaci“ a „je nutné sledovat“, včetně péče o děti, rozdílů v zaměstnanosti osob se zdravotním postižením, vlivu sociálních transferů na snižování chudoby a základních digitálních dovedností</w:t>
            </w:r>
            <w:r>
              <w:rPr>
                <w:vertAlign w:val="superscript"/>
              </w:rPr>
              <w:t>3</w:t>
            </w:r>
            <w:r>
              <w:t>;</w:t>
            </w:r>
          </w:p>
        </w:tc>
        <w:tc>
          <w:tcPr>
            <w:tcW w:w="4876" w:type="dxa"/>
            <w:tcBorders>
              <w:top w:val="nil"/>
              <w:left w:val="nil"/>
              <w:bottom w:val="nil"/>
              <w:right w:val="nil"/>
            </w:tcBorders>
          </w:tcPr>
          <w:p>
            <w:pPr>
              <w:pStyle w:val="Normal6a"/>
            </w:pPr>
            <w:r>
              <w:t>11.</w:t>
            </w:r>
            <w:r>
              <w:tab/>
            </w:r>
            <w:r>
              <w:t xml:space="preserve">zdůrazňuje, že je třeba řešit klíčové výzvy, které byly ve srovnávacím přehledu sociálních ukazatelů označeny jako „v kritické situaci“ a „je nutné sledovat“, včetně péče o děti </w:t>
            </w:r>
            <w:r>
              <w:rPr>
                <w:b/>
                <w:i/>
              </w:rPr>
              <w:t>a dlouhodobé péče</w:t>
            </w:r>
            <w:r>
              <w:t>, rozdílů v zaměstnanosti osob se zdravotním postižením, vlivu sociálních transferů na snižování chudoby a základních digitálních dovedností</w:t>
            </w:r>
            <w:r>
              <w:rPr>
                <w:vertAlign w:val="superscript"/>
              </w:rPr>
              <w:t>3</w:t>
            </w:r>
            <w:r>
              <w:rPr>
                <w:b/>
                <w:i/>
              </w:rPr>
              <w:t>, zejména u zranitelných skupin, jako jsou mladí a starší osoby, osoby se zdravotním postižením a migranti</w:t>
            </w:r>
            <w:r>
              <w:rPr>
                <w:b/>
                <w:i/>
                <w:vertAlign w:val="superscript"/>
              </w:rPr>
              <w:t>5a</w:t>
            </w:r>
            <w:r>
              <w:rPr>
                <w:b/>
                <w:i/>
              </w:rPr>
              <w:t>, přístup k bydlení, dětská chudoba a přístup ke zdravotní péči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Návrh společné zprávy Komise a Rady o zaměstnanosti (COM(2023)0904).</w:t>
            </w:r>
          </w:p>
        </w:tc>
        <w:tc>
          <w:tcPr>
            <w:tcW w:w="4876" w:type="dxa"/>
            <w:tcBorders>
              <w:top w:val="nil"/>
              <w:left w:val="nil"/>
              <w:bottom w:val="nil"/>
              <w:right w:val="nil"/>
            </w:tcBorders>
          </w:tcPr>
          <w:p>
            <w:pPr>
              <w:pStyle w:val="Normal6a"/>
            </w:pPr>
            <w:r>
              <w:rPr>
                <w:vertAlign w:val="superscript"/>
              </w:rPr>
              <w:t>3</w:t>
            </w:r>
            <w:r>
              <w:t xml:space="preserve"> </w:t>
            </w:r>
            <w:r>
              <w:t>Návrh společné zprávy Komise a Rady o zaměstnanosti (COM(2023)0904).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Návrh společné zprávy Komise a Rady o zaměstnanosti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je třeba řešit klíčové výzvy, které byly ve srovnávacím přehledu sociálních ukazatelů označeny jako „v kritické situaci“ a „je nutné sledovat“, včetně péče o děti, rozdílů v zaměstnanosti osob se zdravotním postižením, vlivu sociálních transferů na snižování chudoby a základních digitálních dovedností</w:t>
            </w:r>
            <w:r>
              <w:rPr>
                <w:vertAlign w:val="superscript"/>
              </w:rPr>
              <w:t>3</w:t>
            </w:r>
            <w:r>
              <w:t>;</w:t>
            </w:r>
          </w:p>
        </w:tc>
        <w:tc>
          <w:tcPr>
            <w:tcW w:w="4876" w:type="dxa"/>
            <w:tcBorders>
              <w:top w:val="nil"/>
              <w:left w:val="nil"/>
              <w:bottom w:val="nil"/>
              <w:right w:val="nil"/>
            </w:tcBorders>
          </w:tcPr>
          <w:p>
            <w:pPr>
              <w:pStyle w:val="Normal6a"/>
            </w:pPr>
            <w:r>
              <w:t>11.</w:t>
            </w:r>
            <w:r>
              <w:tab/>
            </w:r>
            <w:r>
              <w:t xml:space="preserve">zdůrazňuje, že je třeba řešit klíčové výzvy, které byly ve srovnávacím přehledu sociálních ukazatelů označeny jako „v kritické situaci“ a „je nutné sledovat“, včetně </w:t>
            </w:r>
            <w:r>
              <w:rPr>
                <w:b/>
                <w:i/>
              </w:rPr>
              <w:t>dětí ohrožených chudobou nebo sociálním vyloučením,</w:t>
            </w:r>
            <w:r>
              <w:t xml:space="preserve"> péče o děti, rozdílů v zaměstnanosti osob se zdravotním postižením</w:t>
            </w:r>
            <w:r>
              <w:rPr>
                <w:b/>
                <w:i/>
              </w:rPr>
              <w:t>, rozdílů v zaměstnanosti žen a mužů, příliš vysokých nákladů na bydlení</w:t>
            </w:r>
            <w:r>
              <w:t>, vlivu sociálních transferů na snižování chudoby a základních digitálních dovedností</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Návrh společné zprávy Komise a Rady o zaměstnanosti (COM(2023)0904).</w:t>
            </w:r>
          </w:p>
        </w:tc>
        <w:tc>
          <w:tcPr>
            <w:tcW w:w="4876" w:type="dxa"/>
            <w:tcBorders>
              <w:top w:val="nil"/>
              <w:left w:val="nil"/>
              <w:bottom w:val="nil"/>
              <w:right w:val="nil"/>
            </w:tcBorders>
          </w:tcPr>
          <w:p>
            <w:pPr>
              <w:pStyle w:val="Normal6a"/>
            </w:pPr>
            <w:r>
              <w:rPr>
                <w:vertAlign w:val="superscript"/>
              </w:rPr>
              <w:t>3</w:t>
            </w:r>
            <w:r>
              <w:t xml:space="preserve"> </w:t>
            </w:r>
            <w:r>
              <w:t>Návrh společné zprávy Komise a Rady o zaměstnanosti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zdůrazňuje, že je třeba řešit klíčové výzvy, které byly ve srovnávacím přehledu sociálních ukazatelů označeny jako „v kritické situaci“ a „je nutné sledovat“, včetně péče</w:t>
            </w:r>
            <w:r>
              <w:t xml:space="preserve"> o děti, </w:t>
            </w:r>
            <w:r>
              <w:rPr>
                <w:b/>
                <w:i/>
              </w:rPr>
              <w:t>rozdílů</w:t>
            </w:r>
            <w:r>
              <w:t xml:space="preserve"> v zaměstnanosti osob se zdravotním postižením</w:t>
            </w:r>
            <w:r>
              <w:rPr>
                <w:b/>
                <w:i/>
              </w:rPr>
              <w:t>, vlivu sociálních transferů na snižování chudoby a základních digitálních dovedností</w:t>
            </w:r>
            <w:r>
              <w:rPr>
                <w:vertAlign w:val="superscript"/>
              </w:rPr>
              <w:t>3</w:t>
            </w:r>
            <w:r>
              <w:t>;</w:t>
            </w:r>
          </w:p>
        </w:tc>
        <w:tc>
          <w:tcPr>
            <w:tcW w:w="4876" w:type="dxa"/>
            <w:tcBorders>
              <w:top w:val="nil"/>
              <w:left w:val="nil"/>
              <w:bottom w:val="nil"/>
              <w:right w:val="nil"/>
            </w:tcBorders>
          </w:tcPr>
          <w:p>
            <w:pPr>
              <w:pStyle w:val="Normal6a"/>
            </w:pPr>
            <w:r>
              <w:t>11.</w:t>
            </w:r>
            <w:r>
              <w:tab/>
            </w:r>
            <w:r>
              <w:rPr>
                <w:b/>
                <w:i/>
              </w:rPr>
              <w:t>vyzývá členské státy, aby podnikly další kroky s cílem zajistit včasnou péči</w:t>
            </w:r>
            <w:r>
              <w:t xml:space="preserve"> o děti, </w:t>
            </w:r>
            <w:r>
              <w:rPr>
                <w:b/>
                <w:i/>
              </w:rPr>
              <w:t>snížit rozdíly</w:t>
            </w:r>
            <w:r>
              <w:t xml:space="preserve"> v zaměstnanosti osob se zdravotním postižením </w:t>
            </w:r>
            <w:r>
              <w:rPr>
                <w:b/>
                <w:i/>
              </w:rPr>
              <w:t>a chudobu a podpořit základní digitální dovednosti</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Návrh společné zprávy Komise a Rady o zaměstnanosti (COM(2023)0904).</w:t>
            </w:r>
          </w:p>
        </w:tc>
        <w:tc>
          <w:tcPr>
            <w:tcW w:w="4876" w:type="dxa"/>
            <w:tcBorders>
              <w:top w:val="nil"/>
              <w:left w:val="nil"/>
              <w:bottom w:val="nil"/>
              <w:right w:val="nil"/>
            </w:tcBorders>
          </w:tcPr>
          <w:p>
            <w:pPr>
              <w:pStyle w:val="Normal6a"/>
            </w:pPr>
            <w:r>
              <w:rPr>
                <w:vertAlign w:val="superscript"/>
              </w:rPr>
              <w:t>3</w:t>
            </w:r>
            <w:r>
              <w:t xml:space="preserve"> </w:t>
            </w:r>
            <w:r>
              <w:t>Návrh společné zprávy Komise a Rady o zaměstnanosti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negativní dopady krize životních nákladů na osoby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vyzývá členské státy a Komisi, aby byly v boji proti chudobě aktivnější;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vyzývá členské státy, aby se zabývaly problémy, jimž čelí chudí pracující, a uznává, že značná část pracovní síly v EU žije v chudobě, přestože je zaměstnána.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naléhavě vyzývá členské státy, aby zvážily důrazné politiky, které zajistí spravedlivé mzdy a zlepší pracovní podmínky, zejména pro pracovníky s nízkými příjmy a s nejistými pracovními podmínkami.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11e.</w:t>
            </w:r>
            <w:r>
              <w:tab/>
            </w:r>
            <w:r>
              <w:rPr>
                <w:b/>
                <w:i/>
              </w:rPr>
              <w:t>vyzývá členské státy, aby posílily sociální záchranné sítě s cílem poskytnout přiměřenou podporu těm, jejichž příjem ze zaměstnání nepostačuje k pokrytí základních životních nákladů;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w:t>
            </w:r>
            <w:r>
              <w:rPr>
                <w:b/>
                <w:i/>
              </w:rPr>
              <w:t>ke zdokonalení srovnávacího přehledu sociálních ukazatelů zavedením ukazatelů odrážejících vývoj a příčiny nerovnosti, jako je kvalitní zaměstnanost, rozdělení bohatství, přístup k veřejným službám,</w:t>
            </w:r>
            <w:r>
              <w:t xml:space="preserve"> přiměřené důchody, duševní zdraví </w:t>
            </w:r>
            <w:r>
              <w:rPr>
                <w:b/>
                <w:i/>
              </w:rPr>
              <w:t>a nezaměstnanost</w:t>
            </w:r>
            <w:r>
              <w:t>; připomíná, že ukazatel ohrožení chudobou nebo sociálním vyloučením (AROPE) neodhaluje příčiny komplexní nerovnosti;</w:t>
            </w:r>
          </w:p>
        </w:tc>
        <w:tc>
          <w:tcPr>
            <w:tcW w:w="4876" w:type="dxa"/>
            <w:tcBorders>
              <w:top w:val="nil"/>
              <w:left w:val="nil"/>
              <w:bottom w:val="nil"/>
              <w:right w:val="nil"/>
            </w:tcBorders>
          </w:tcPr>
          <w:p>
            <w:pPr>
              <w:pStyle w:val="Normal6a"/>
            </w:pPr>
            <w:r>
              <w:t>12.</w:t>
            </w:r>
            <w:r>
              <w:tab/>
            </w:r>
            <w:r>
              <w:rPr>
                <w:b/>
                <w:i/>
              </w:rPr>
              <w:t>naléhavě</w:t>
            </w:r>
            <w:r>
              <w:t xml:space="preserve"> vyzývá </w:t>
            </w:r>
            <w:r>
              <w:rPr>
                <w:b/>
                <w:i/>
              </w:rPr>
              <w:t>členské státy, aby podporovaly vzestupnou sociální konvergenci, zlepšily přístup ke kvalitnímu zaměstnání a kvalitním veřejným službám a dále zvýšily účast dětí mladších 3 let na formální péči o děti, zejména pro zranitelné skupiny;</w:t>
            </w:r>
            <w:r>
              <w:t xml:space="preserve"> </w:t>
            </w:r>
            <w:r>
              <w:rPr>
                <w:b/>
                <w:i/>
              </w:rPr>
              <w:t>přijaly aktivní opatření ke snížení míry předčasného ukončování školní docházky a nezaměstnanosti mladých lidí, zajistily</w:t>
            </w:r>
            <w:r>
              <w:t xml:space="preserve"> přiměřené důchody, </w:t>
            </w:r>
            <w:r>
              <w:rPr>
                <w:b/>
                <w:i/>
              </w:rPr>
              <w:t>zvýšily účinnost sociálních transferů a podpořily</w:t>
            </w:r>
            <w:r>
              <w:t xml:space="preserve"> duševní zdraví </w:t>
            </w:r>
            <w:r>
              <w:rPr>
                <w:b/>
                <w:i/>
              </w:rPr>
              <w:t>ve všech věkových skupinách</w:t>
            </w:r>
            <w:r>
              <w:t>; připomíná, že ukazatel ohrožení chudobou nebo sociálním vyloučením (AROPE) neodhaluje příčiny komplexní nerovnosti</w:t>
            </w:r>
            <w:r>
              <w:rPr>
                <w:b/>
                <w:i/>
              </w:rPr>
              <w:t>, ale uznává, že podíl osob ohrožených chudobou nebo sociálním vyloučením v roce 2023 mírně poklesl v EU díky rozhodným politickým opatřením ke zmírnění negativních sociálních dopadů vysokých životních nákladů, a vyzývá k přijetí vhodných opatření k dalšímu snížení chudoby a sociálního vyloučení, zejména u dětí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ke zdokonalení srovnávacího přehledu sociálních ukazatelů zavedením ukazatelů odrážejících vývoj a příčiny nerovnosti, jako </w:t>
            </w:r>
            <w:r>
              <w:rPr>
                <w:b/>
                <w:i/>
              </w:rPr>
              <w:t>je</w:t>
            </w:r>
            <w:r>
              <w:t xml:space="preserve"> kvalitní </w:t>
            </w:r>
            <w:r>
              <w:rPr>
                <w:b/>
                <w:i/>
              </w:rPr>
              <w:t>zaměstnanost</w:t>
            </w:r>
            <w:r>
              <w:t xml:space="preserve">, rozdělení bohatství, </w:t>
            </w:r>
            <w:r>
              <w:rPr>
                <w:b/>
                <w:i/>
              </w:rPr>
              <w:t>přístup</w:t>
            </w:r>
            <w:r>
              <w:t xml:space="preserve"> k veřejným službám, </w:t>
            </w:r>
            <w:r>
              <w:rPr>
                <w:b/>
                <w:i/>
              </w:rPr>
              <w:t>přiměřené důchody, duševní</w:t>
            </w:r>
            <w:r>
              <w:t xml:space="preserve"> zdraví a </w:t>
            </w:r>
            <w:r>
              <w:rPr>
                <w:b/>
                <w:i/>
              </w:rPr>
              <w:t>nezaměstnanost</w:t>
            </w:r>
            <w:r>
              <w:t>; připomíná, že ukazatel ohrožení chudobou nebo sociálním vyloučením (AROPE) neodhaluje příčiny komplexní nerovnosti;</w:t>
            </w:r>
          </w:p>
        </w:tc>
        <w:tc>
          <w:tcPr>
            <w:tcW w:w="4876" w:type="dxa"/>
            <w:tcBorders>
              <w:top w:val="nil"/>
              <w:left w:val="nil"/>
              <w:bottom w:val="nil"/>
              <w:right w:val="nil"/>
            </w:tcBorders>
          </w:tcPr>
          <w:p>
            <w:pPr>
              <w:pStyle w:val="Normal6a"/>
            </w:pPr>
            <w:r>
              <w:t>12.</w:t>
            </w:r>
            <w:r>
              <w:tab/>
            </w:r>
            <w:r>
              <w:t xml:space="preserve">vyzývá ke zdokonalení srovnávacího přehledu sociálních ukazatelů zavedením </w:t>
            </w:r>
            <w:r>
              <w:rPr>
                <w:b/>
                <w:i/>
              </w:rPr>
              <w:t>příslušných</w:t>
            </w:r>
            <w:r>
              <w:t xml:space="preserve"> ukazatelů odrážejících vývoj a příčiny nerovnosti, jako </w:t>
            </w:r>
            <w:r>
              <w:rPr>
                <w:b/>
                <w:i/>
              </w:rPr>
              <w:t>jsou ukazatele rovných příležitostí,</w:t>
            </w:r>
            <w:r>
              <w:t xml:space="preserve"> kvalitní </w:t>
            </w:r>
            <w:r>
              <w:rPr>
                <w:b/>
                <w:i/>
              </w:rPr>
              <w:t>zaměstnanosti</w:t>
            </w:r>
            <w:r>
              <w:t xml:space="preserve">, rozdělení bohatství, </w:t>
            </w:r>
            <w:r>
              <w:rPr>
                <w:b/>
                <w:i/>
              </w:rPr>
              <w:t>přístupu</w:t>
            </w:r>
            <w:r>
              <w:t xml:space="preserve"> k veřejným službám, </w:t>
            </w:r>
            <w:r>
              <w:rPr>
                <w:b/>
                <w:i/>
              </w:rPr>
              <w:t>pokrytí sociálních služeb včetně energie, vody a hygieny, pečovatelských služeb, přiměřených důchodů, míry bezdomovectví, duševního</w:t>
            </w:r>
            <w:r>
              <w:t xml:space="preserve"> zdraví a </w:t>
            </w:r>
            <w:r>
              <w:rPr>
                <w:b/>
                <w:i/>
              </w:rPr>
              <w:t>nezaměstnanosti, dávek, jakož i ukazatelů měřících sociální dopad zhoršování životního prostředí a změny klimatu;</w:t>
            </w:r>
            <w:r>
              <w:t xml:space="preserve"> </w:t>
            </w:r>
            <w:r>
              <w:rPr>
                <w:b/>
                <w:i/>
              </w:rPr>
              <w:t>zdůrazňuje, že je třeba zahrnout ukazatele týkající se pokrytí sociálních služeb a výdajů na ně</w:t>
            </w:r>
            <w:r>
              <w:t>; připomíná, že ukazatel ohrožení chudobou nebo sociálním vyloučením (AROPE) neodhaluje příčiny komplexní nerovnosti;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vyzývá ke zdokonalení srovnávacího přehledu sociálních ukazatelů </w:t>
            </w:r>
            <w:r>
              <w:rPr>
                <w:b/>
                <w:i/>
              </w:rPr>
              <w:t>zavedením ukazatelů odrážejících</w:t>
            </w:r>
            <w:r>
              <w:t xml:space="preserve"> vývoj a příčiny nerovnosti, jako je kvalitní zaměstnanost, rozdělení bohatství, přístup k veřejným službám, přiměřené důchody, duševní zdraví a nezaměstnanost; připomíná, že ukazatel ohrožení chudobou nebo sociálním vyloučením (AROPE) neodhaluje příčiny komplexní nerovnosti;</w:t>
            </w:r>
          </w:p>
        </w:tc>
        <w:tc>
          <w:tcPr>
            <w:tcW w:w="4876" w:type="dxa"/>
            <w:tcBorders>
              <w:top w:val="nil"/>
              <w:left w:val="nil"/>
              <w:bottom w:val="nil"/>
              <w:right w:val="nil"/>
            </w:tcBorders>
          </w:tcPr>
          <w:p>
            <w:pPr>
              <w:pStyle w:val="Normal6a"/>
            </w:pPr>
            <w:r>
              <w:t>12.</w:t>
            </w:r>
            <w:r>
              <w:tab/>
            </w:r>
            <w:r>
              <w:rPr>
                <w:b/>
                <w:i/>
              </w:rPr>
              <w:t>zdůrazňuje, že jsou zapotřebí včasné a harmonizované údaje o sociálních politikách s cílem zlepšit tvorbu politik založenou na důkazech a cílené sociální investice;</w:t>
            </w:r>
            <w:r>
              <w:t xml:space="preserve"> vyzývá ke zdokonalení srovnávacího přehledu sociálních ukazatelů </w:t>
            </w:r>
            <w:r>
              <w:rPr>
                <w:b/>
                <w:i/>
              </w:rPr>
              <w:t>tak, aby zahrnoval 20 zásad evropského pilíře sociálních práv a ukazatele odrážející</w:t>
            </w:r>
            <w:r>
              <w:t xml:space="preserve"> vývoj a příčiny nerovnosti, jako je kvalitní zaměstnanost, rozdělení bohatství, přístup k veřejným službám, </w:t>
            </w:r>
            <w:r>
              <w:rPr>
                <w:b/>
                <w:i/>
              </w:rPr>
              <w:t>pokrytí sociálních služeb,</w:t>
            </w:r>
            <w:r>
              <w:t xml:space="preserve"> přiměřené důchody, duševní zdraví</w:t>
            </w:r>
            <w:r>
              <w:rPr>
                <w:b/>
                <w:i/>
              </w:rPr>
              <w:t>, diskriminace</w:t>
            </w:r>
            <w:r>
              <w:t xml:space="preserve"> a nezaměstnanost; připomíná, že ukazatel ohrožení chudobou nebo sociálním vyloučením (AROPE) neodhaluje příčiny komplexní nerovnosti;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vyzývá Evropskou komisi a členské státy EU, aby vytvořily spolehlivý evropský rámec pro shromažďování údajů o sociálních službách s cílem sledovat investice do sociálních služeb a jejich pokrytí;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doporučuje, aby evropský semestr zahrnoval údaje o regulaci sociálních služeb, výdajích a pokrytí s cílem posílit podávání zpráv o schopnosti členských států EU zajistit poskytování sociálních služeb, včetně přístupu k nim a jejich dostupnosti pro obyvatelstvo;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767.871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146</w:t>
    </w:r>
    <w:r>
      <w:fldChar w:fldCharType="end"/>
    </w:r>
    <w:r>
      <w:t>/</w:t>
    </w:r>
    <w:r>
      <w:fldChar w:fldCharType="begin"/>
    </w:r>
    <w:r>
      <w:instrText xml:space="preserve"> NUMPAGES </w:instrText>
    </w:r>
    <w:r>
      <w:fldChar w:fldCharType="separate"/>
    </w:r>
    <w:r>
      <w:t>147</w:t>
    </w:r>
    <w:r>
      <w:fldChar w:fldCharType="end"/>
    </w:r>
    <w:r>
      <w:tab/>
    </w:r>
    <w:r>
      <w:rPr>
        <w:rStyle w:val="HideTWBExt"/>
      </w:rPr>
      <w:t>&lt;PathFdR&gt;</w:t>
    </w:r>
    <w:r>
      <w:t>AM\1312899CS.docx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AM\1312899CS.docx</w:t>
    </w:r>
    <w:r>
      <w:rPr>
        <w:rStyle w:val="HideTWBExt"/>
      </w:rPr>
      <w:t>&lt;/PathFdR&gt;</w:t>
    </w:r>
    <w:r>
      <w:tab/>
    </w:r>
    <w:r>
      <w:fldChar w:fldCharType="begin"/>
    </w:r>
    <w:r>
      <w:instrText xml:space="preserve"> PAGE </w:instrText>
    </w:r>
    <w:r>
      <w:fldChar w:fldCharType="separate"/>
    </w:r>
    <w:r>
      <w:t>147</w:t>
    </w:r>
    <w:r>
      <w:fldChar w:fldCharType="end"/>
    </w:r>
    <w:r>
      <w:t>/</w:t>
    </w:r>
    <w:r>
      <w:fldChar w:fldCharType="begin"/>
    </w:r>
    <w:r>
      <w:instrText xml:space="preserve"> NUMPAGES </w:instrText>
    </w:r>
    <w:r>
      <w:fldChar w:fldCharType="separate"/>
    </w:r>
    <w:r>
      <w:t>147</w:t>
    </w:r>
    <w:r>
      <w:fldChar w:fldCharType="end"/>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AM\1312899CS.docx</w:t>
    </w:r>
    <w:r>
      <w:rPr>
        <w:rStyle w:val="HideTWBExt"/>
      </w:rPr>
      <w:t>&lt;/PathFdR&gt;</w:t>
    </w:r>
    <w:r>
      <w:tab/>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147</Pages>
  <Words>29646</Words>
  <Characters>178624</Characters>
  <Application>Microsoft Office Word</Application>
  <DocSecurity>0</DocSecurity>
  <Lines>1</Lines>
  <Paragraphs>2409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115613</vt:lpwstr>
  </property>
  <property fmtid="{D5CDD505-2E9C-101B-9397-08002B2CF9AE}" pid="7" name="dmxml.render.traceId">
    <vt:lpwstr>67922c7a11633dbe110507fed47bce6f</vt:lpwstr>
  </property>
  <property fmtid="{D5CDD505-2E9C-101B-9397-08002B2CF9AE}" pid="8" name="FooterPath">
    <vt:lpwstr>AM\1312899CS.docx</vt:lpwstr>
  </property>
  <property fmtid="{D5CDD505-2E9C-101B-9397-08002B2CF9AE}" pid="9" name="PE Number">
    <vt:lpwstr>767.871</vt:lpwstr>
  </property>
  <property fmtid="{D5CDD505-2E9C-101B-9397-08002B2CF9AE}" pid="10" name="UID">
    <vt:lpwstr>eu.europa.europarl-DIN1-2025-0000002210_02.00-cs-01.00_text-xml</vt:lpwstr>
  </property>
</Properties>
</file>