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Επιτροπή Απασχόλησης και Κοινωνικών Υποθέσεων</w:t>
      </w:r>
      <w:r>
        <w:rPr>
          <w:rStyle w:val="HideTWBExt"/>
        </w:rPr>
        <w:t>&lt;/Commission&gt;</w:t>
      </w:r>
    </w:p>
    <w:p>
      <w:pPr>
        <w:pStyle w:val="LineBottom"/>
      </w:pPr>
      <w:r>
        <w:t xml:space="preserve"> </w:t>
      </w:r>
    </w:p>
    <w:p>
      <w:pPr>
        <w:pStyle w:val="CoverReference"/>
      </w:pPr>
      <w:r>
        <w:rPr>
          <w:rStyle w:val="HideTWBExt"/>
        </w:rPr>
        <w:t>&lt;RefProc&gt;</w:t>
      </w:r>
      <w:r>
        <w:t>2024/2084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{10/01/2025}</w:t>
      </w:r>
      <w:r>
        <w:t>10.1.2025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271</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Maravillas Abadía Jover</w:t>
      </w:r>
      <w:r>
        <w:rPr>
          <w:rStyle w:val="HideTWBExt"/>
        </w:rPr>
        <w:t>&lt;/Rapporteur&gt;</w:t>
      </w:r>
    </w:p>
    <w:p>
      <w:pPr>
        <w:pStyle w:val="CoverNormal24a"/>
      </w:pPr>
      <w:r>
        <w:rPr>
          <w:rStyle w:val="HideTWBExt"/>
        </w:rPr>
        <w:t>&lt;DocRefPE&gt;</w:t>
      </w:r>
      <w:r>
        <w:t>(PE766.649v02-00)</w:t>
      </w:r>
      <w:r>
        <w:rPr>
          <w:rStyle w:val="HideTWBExt"/>
        </w:rPr>
        <w:t>&lt;/DocRefPE&gt;</w:t>
      </w:r>
    </w:p>
    <w:p>
      <w:pPr>
        <w:pStyle w:val="CoverNormal"/>
      </w:pPr>
      <w:r>
        <w:rPr>
          <w:rStyle w:val="HideTWBExt"/>
        </w:rPr>
        <w:t>&lt;Titre&gt;</w:t>
      </w:r>
      <w:r>
        <w:t>Ευρωπαϊκό Εξάμηνο για τον συντονισμό της οικονομικής πολιτικής: προτεραιότητες όσον αφορά την απασχόληση και κοινωνικές προτεραιότητες για το 2025</w:t>
      </w:r>
      <w:r>
        <w:rPr>
          <w:rStyle w:val="HideTWBExt"/>
        </w:rPr>
        <w:t>&lt;/Titre&gt;</w:t>
      </w:r>
    </w:p>
    <w:p>
      <w:pPr>
        <w:pStyle w:val="CoverNormal24a"/>
      </w:pPr>
      <w:r>
        <w:rPr>
          <w:rStyle w:val="HideTWBExt"/>
        </w:rPr>
        <w:t>&lt;DocRef&gt;</w:t>
      </w:r>
      <w:r>
        <w:t>(2024/2084(INI))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ευρωπαϊκό πυλώνα κοινωνικών δικαιωμάτων που διακηρύχθηκε και υπογράφηκε από το Κοινοβούλιο, το Συμβούλιο και την Επιτροπή στις 17 Νοεμβρίου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τα άρθρα 121 και 148 της Συνθήκης για τη λειτουργία της Ευρωπαϊκής Ένωσης (ΣΛΕΕ),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τις αρχές του ευρωπαϊκού πυλώνα κοινωνικών δικαιωμάτων και ειδικότερα την αρχή 11 που αφορά τη φροντίδα και υποστήριξη των παιδιών,</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πίνακα κοινωνικών αποτελεσμάτων της ΕΕ, καθώς και τους πρωταρχικούς και δευτερεύοντες δείκτες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4ης Μαρτίου 2021, με τίτλο «Σχέδιο δράσης για τον ευρωπαϊκό πυλώνα κοινωνικών δικαιωμάτων» (COM(2021)0102) και τους προτεινόμενους πρωταρχικούς στόχους του για το 2030 σχετικά με την απασχόληση, τις δεξιότητες και τη μείωση της φτώχειας,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σχέδιο δράσης του 2021 για τον ευρωπαϊκό πυλώνα κοινωνικών δικαιωμάτων σχετικά με την προώθηση της ανοδικής κοινωνικής σύγκλισης έως το 2030, και ιδίως τον πρωταρχικό του στόχο 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δήλωση της La Hulpe σχετικά με το μέλλον του ευρωπαϊκού πυλώνα κοινωνικών δικαιωμάτων, που υπογράφηκε από το Κοινοβούλιο, την Επιτροπή, την Ευρωπαϊκή Οικονομική και Κοινωνική Επιτροπή και το Συμβούλιο στις 16 Απριλίου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κανονισμό (ΕΕ) 2023/955 του Ευρωπαϊκού Κοινοβουλίου και του Συμβουλίου, της 10ης Μαΐου 2023, για τη σύσταση Κοινωνικού Ταμείου για το Κλίμα και για την τροποποίηση του κανονισμού (ΕΕ) 2021/1060</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ΕΕ L 130 της 16.5.2023, σ.</w:t>
            </w:r>
            <w:r>
              <w:t xml:space="preserve"> </w:t>
            </w:r>
            <w:r>
              <w:rPr>
                <w:b/>
                <w:i/>
              </w:rPr>
              <w:t>1–51.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 και ιδίως τα άρθρα 3,4,13 και 27</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ΕΕ L, 2024/1263 της 30.4.2024.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7ης Οκτωβρίου 2020, με τίτλο «Μια Ένωση ισότητας: στρατηγικό πλαίσιο της ΕΕ για την ισότητα, την ένταξη και τη συμμετοχή των Ρομά για την περίοδο 2020-2030» (COM(2020)620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3ης Μαρτίου 2021, με τίτλο «Ένωση ισότητας: στρατηγική για τα δικαιώματα των ατόμων με αναπηρία 2021-2030» (COM(2021)101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17ης Ιανουαρίου 2023, με τίτλο «Αξιοποίηση ταλέντων στις περιφέρειες της Ευρώπης» (COM(2023) 32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ι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20ης Μαρτίου 2023, με τίτλο «Ελλείψεις εργατικού δυναμικού και δεξιοτήτων στην ΕΕ» (COM(2023) 32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ια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της Επιτροπής, της 19ης Σεπτεμβρίου 2024, με τίτλο «Απασχόληση και κοινωνικές εξελίξεις στην Ευρώπη (ESDE): ανοδική κοινωνική σύγκλιση στην ΕΕ και ο ρόλος των κοινωνικών επενδύσεων»,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26ης Νοεμβρίου 2024, με τίτλο «Ευρωπαϊκό Εξάμηνο 2025: Εφαρμογή του νέου πλαισίου οικονομικής διακυβέρνησης στην πράξη» (COM(2024) 705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17ης Δεκεμβρίου 2024, με τίτλο «Ευρωπαϊκό Εξάμηνο 2025 – Φθινοπωρινή δέσμη» (COM(2024)0600),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έχοντας υπόψη την πρόταση της Επιτροπής, της </w:t>
            </w:r>
            <w:r>
              <w:rPr>
                <w:b/>
                <w:i/>
              </w:rPr>
              <w:t>ΧΧΧ</w:t>
            </w:r>
            <w:r>
              <w:t xml:space="preserve"> 2024, για μια κοινή έκθεση για την απασχόληση από την Επιτροπή και το Συμβούλιο (COM(2024)</w:t>
            </w:r>
            <w:r>
              <w:rPr>
                <w:b/>
                <w:i/>
              </w:rPr>
              <w:t>ΧΧΧΧ</w:t>
            </w:r>
            <w:r>
              <w:t>),</w:t>
            </w:r>
          </w:p>
        </w:tc>
        <w:tc>
          <w:tcPr>
            <w:tcW w:w="4876" w:type="dxa"/>
            <w:tcBorders>
              <w:top w:val="nil"/>
              <w:left w:val="nil"/>
              <w:bottom w:val="nil"/>
              <w:right w:val="nil"/>
            </w:tcBorders>
          </w:tcPr>
          <w:p>
            <w:pPr>
              <w:pStyle w:val="Normal6a"/>
            </w:pPr>
            <w:r>
              <w:rPr>
                <w:b/>
                <w:i/>
              </w:rPr>
              <w:t>–</w:t>
            </w:r>
            <w:r>
              <w:tab/>
            </w:r>
            <w:r>
              <w:t xml:space="preserve">έχοντας υπόψη την πρόταση της Επιτροπής, της </w:t>
            </w:r>
            <w:r>
              <w:rPr>
                <w:b/>
                <w:i/>
              </w:rPr>
              <w:t>17ης Δεκεμβρίου</w:t>
            </w:r>
            <w:r>
              <w:t xml:space="preserve"> 2024, για μια κοινή έκθεση για την απασχόληση από την Επιτροπή και το Συμβούλιο (COM(2024) </w:t>
            </w:r>
            <w:r>
              <w:rPr>
                <w:b/>
                <w:i/>
              </w:rPr>
              <w:t>701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έχοντας υπόψη τη σύσταση της Επιτροπής, της </w:t>
            </w:r>
            <w:r>
              <w:rPr>
                <w:b/>
                <w:i/>
              </w:rPr>
              <w:t>ΧΧΧ</w:t>
            </w:r>
            <w:r>
              <w:t xml:space="preserve"> 2024, για σύσταση του Συμβουλίου σχετικά με την οικονομική πολιτική της ζώνης του ευρώ (COM(2024)</w:t>
            </w:r>
            <w:r>
              <w:rPr>
                <w:b/>
                <w:i/>
              </w:rPr>
              <w:t>ΧΧΧΧ</w:t>
            </w:r>
            <w:r>
              <w:t>),</w:t>
            </w:r>
          </w:p>
        </w:tc>
        <w:tc>
          <w:tcPr>
            <w:tcW w:w="4876" w:type="dxa"/>
            <w:tcBorders>
              <w:top w:val="nil"/>
              <w:left w:val="nil"/>
              <w:bottom w:val="nil"/>
              <w:right w:val="nil"/>
            </w:tcBorders>
          </w:tcPr>
          <w:p>
            <w:pPr>
              <w:pStyle w:val="Normal6a"/>
            </w:pPr>
            <w:r>
              <w:rPr>
                <w:b/>
                <w:i/>
              </w:rPr>
              <w:t>–</w:t>
            </w:r>
            <w:r>
              <w:tab/>
            </w:r>
            <w:r>
              <w:t xml:space="preserve">έχοντας υπόψη τη σύσταση της Επιτροπής, της </w:t>
            </w:r>
            <w:r>
              <w:rPr>
                <w:b/>
                <w:i/>
              </w:rPr>
              <w:t>17ης Δεκεμβρίου</w:t>
            </w:r>
            <w:r>
              <w:t xml:space="preserve"> 2024, για σύσταση του Συμβουλίου σχετικά με την οικονομική πολιτική της ζώνης του ευρώ (COM(2024) </w:t>
            </w:r>
            <w:r>
              <w:rPr>
                <w:b/>
                <w:i/>
              </w:rPr>
              <w:t>704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έχοντας υπόψη την έκθεση της Επιτροπής, της </w:t>
            </w:r>
            <w:r>
              <w:rPr>
                <w:b/>
                <w:i/>
              </w:rPr>
              <w:t>ΧΧΧ</w:t>
            </w:r>
            <w:r>
              <w:t xml:space="preserve"> 2024, με τίτλο «Έκθεση του μηχανισμού επαγρύπνησης 2025»,</w:t>
            </w:r>
          </w:p>
        </w:tc>
        <w:tc>
          <w:tcPr>
            <w:tcW w:w="4876" w:type="dxa"/>
            <w:tcBorders>
              <w:top w:val="nil"/>
              <w:left w:val="nil"/>
              <w:bottom w:val="nil"/>
              <w:right w:val="nil"/>
            </w:tcBorders>
          </w:tcPr>
          <w:p>
            <w:pPr>
              <w:pStyle w:val="Normal6a"/>
            </w:pPr>
            <w:r>
              <w:rPr>
                <w:b/>
                <w:i/>
              </w:rPr>
              <w:t>–</w:t>
            </w:r>
            <w:r>
              <w:tab/>
            </w:r>
            <w:r>
              <w:t xml:space="preserve">έχοντας υπόψη την έκθεση της Επιτροπής, της </w:t>
            </w:r>
            <w:r>
              <w:rPr>
                <w:b/>
                <w:i/>
              </w:rPr>
              <w:t>17ης Δεκεμβρίου</w:t>
            </w:r>
            <w:r>
              <w:t xml:space="preserve"> 2024, με τίτλο «Έκθεση του μηχανισμού επαγρύπνησης 2025» </w:t>
            </w:r>
            <w:r>
              <w:rPr>
                <w:b/>
                <w:i/>
              </w:rPr>
              <w:t>(COM(2024) 702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έχοντας υπόψη το σχέδιο εγγράφου εργασίας των υπηρεσιών της Επιτροπής σχετικά με τις </w:t>
            </w:r>
            <w:r>
              <w:rPr>
                <w:b/>
                <w:i/>
              </w:rPr>
              <w:t>προγραμματισμένες αναθεωρήσεις του</w:t>
            </w:r>
            <w:r>
              <w:t xml:space="preserve"> πίνακα αποτελεσμάτων της διαδικασίας μακροοικονομικών ανισορροπιών </w:t>
            </w:r>
            <w:r>
              <w:rPr>
                <w:b/>
                <w:i/>
              </w:rPr>
              <w:t>στο πλαίσιο της διαδικασίας τακτικής επανεξέτασης (SWD(2024)XXX</w:t>
            </w:r>
            <w:r>
              <w:t>),</w:t>
            </w:r>
          </w:p>
        </w:tc>
        <w:tc>
          <w:tcPr>
            <w:tcW w:w="4876" w:type="dxa"/>
            <w:tcBorders>
              <w:top w:val="nil"/>
              <w:left w:val="nil"/>
              <w:bottom w:val="nil"/>
              <w:right w:val="nil"/>
            </w:tcBorders>
          </w:tcPr>
          <w:p>
            <w:pPr>
              <w:pStyle w:val="Normal6a"/>
            </w:pPr>
            <w:r>
              <w:rPr>
                <w:b/>
                <w:i/>
              </w:rPr>
              <w:t>–</w:t>
            </w:r>
            <w:r>
              <w:tab/>
            </w:r>
            <w:r>
              <w:t xml:space="preserve">έχοντας υπόψη το σχέδιο εγγράφου εργασίας των υπηρεσιών της Επιτροπής σχετικά με τις </w:t>
            </w:r>
            <w:r>
              <w:rPr>
                <w:b/>
                <w:i/>
              </w:rPr>
              <w:t>αλλαγές στον</w:t>
            </w:r>
            <w:r>
              <w:t xml:space="preserve"> πίνακα αποτελεσμάτων της διαδικασίας μακροοικονομικών ανισορροπιών </w:t>
            </w:r>
            <w:r>
              <w:rPr>
                <w:b/>
                <w:i/>
              </w:rPr>
              <w:t>(SWD(2024) 702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διοργανική δήλωση της La Hulpe για το μέλλον του ευρωπαϊκού πυλώνα κοινωνικών δικαιωμάτων, η οποία υπεγράφη από τα θεσμικά όργανα της ΕΕ, τους κοινωνικούς εταίρους και την κοινωνία των πολιτών το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δήλωση της Βουδαπέστης, της 8ης Νοεμβρίου 2024, σχετικά με τη νέα ευρωπαϊκή συμφωνία για την ανταγωνιστικότητα,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απόφαση του Συμβουλίου σχετικά με τις κατευθυντήριες γραμμές για την απασχόληση, η οποία εγκρίθηκε από το Συμβούλιο EPSCO στις 2 Δεκεμβρίου 2024 και καθορίζει προτεραιότητες όσον αφορά την απασχόληση και κοινωνικές προτεραιότητες που ευθυγραμμίζονται με τις αρχές του ευρωπαϊκού πυλώνα κοινωνικών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της Επιτροπής με τίτλο «Απασχόληση και κοινωνικές εξελίξεις στην Ευρώπη» που δημοσιεύτηκε τον Σεπτέμβριο του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δήλωση της La Hulpe σχετικά με το μέλλον του ευρωπαϊκού πυλώνα κοινωνικών δικαιωμάτων</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τριμερή δήλωση για έναν γόνιμο ευρωπαϊκό κοινωνικό διάλογο και έχοντας υπόψη το επικείμενο σύμφωνο για τον κοινωνικό διάλογο,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ευρωπαϊκό θεματολόγιο δεξιοτήτων για το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7ης Σεπτεμβρίου 2022, σχετικά με την ευρωπαϊκή στρατηγική για τη φροντίδα (COM(2022)440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ευρωπαϊκό πυλώνα κοινωνικών δικαιωμάτων (ΕΠΚΔ), που διακηρύχθηκε από το Συμβούλιο, το Κοινοβούλιο και την Επιτροπή τον Νοέμβριο του 2017, και το συνοδευτικό σχέδιο δράσης που εγκρίθηκε το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Επιτροπής, της 17ης Δεκεμβρίου 2024, με θέμα «Ευρωπαϊκό Εξάμηνο 2025 – Φθινοπωρινή δέσμη» (COM(2024)700),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πρόταση της Επιτροπής, της 17ης Δεκεμβρίου 2025, σχετικά με την κοινή έκθεση για την απασχόληση 2025 (COM(2024)701),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οδηγία (ΕΕ) 2022/2041 του Ευρωπαϊκού Κοινοβουλίου και του Συμβουλίου, της 19ης Οκτωβρίου 2022, για επαρκείς κατώτατους μισθούς στην Ευρωπαϊκή Ένωση,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Ευρωπαϊκό Κοινωνικό Χάρτη (ΕΚΧ), που αναφέρεται στο προοίμιο του ΕΠΚΔ,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σύσταση του Συμβουλίου σχετικά με την πρόσβαση σε οικονομικά προσιτή και υψηλής ποιότητας μακροχρόνια φροντίδα,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τους Στόχους Βιώσιμης Ανάπτυξης των Ηνωμένων Εθνών (ΣΒΑ),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στρατηγική για την ισότητα των φύλων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σχέδιο δράσης της ΕΕ για την καταπολέμηση του ρατσισμού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στρατηγικό πλαίσιο της ΕΕ για την ισότητα, την ένταξη και τη συμμετοχή των Ρομά για την περίοδο 2020-2030,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στρατηγική για την ισότητα των ΛΟΑΤΚΙ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στρατηγική για τα δικαιώματα των ατόμων με αναπηρία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13 ιθ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w:t>
            </w:r>
            <w:r>
              <w:rPr>
                <w:b/>
                <w:i/>
              </w:rPr>
              <w:t>έχει σημειωθεί πρόοδος προς την επίτευξη των στόχων της ΕΕ για την απασχόληση</w:t>
            </w:r>
            <w:r>
              <w:t xml:space="preserve"> παρά την αβεβαιότητα που δημιούργησε ο επιθετικός πόλεμος της Ρωσίας κατά της Ουκρανίας και </w:t>
            </w:r>
            <w:r>
              <w:rPr>
                <w:b/>
                <w:i/>
              </w:rPr>
              <w:t>τον αντίκτυπο</w:t>
            </w:r>
            <w:r>
              <w:t xml:space="preserve"> του υψηλού πληθωρισμού· </w:t>
            </w:r>
            <w:r>
              <w:rPr>
                <w:b/>
                <w:i/>
              </w:rPr>
              <w:t>λαμβάνοντας υπόψη ότι η αύξηση της απασχόλησης</w:t>
            </w:r>
            <w:r>
              <w:t xml:space="preserve"> στην ΕΕ </w:t>
            </w:r>
            <w:r>
              <w:rPr>
                <w:b/>
                <w:i/>
              </w:rPr>
              <w:t>παρέμεινε ισχυρή το 2023, αν και τα υψηλά ποσοστά ανεργίας, ιδίως τα ποσοστά ανεργίας των νέων, εξακολουθούν να υφίστανται σε ορισμένα κράτη μέλη, όπως και οι σημαντικές ανισότητες μεταξύ τομέων και περιφερειών</w:t>
            </w:r>
            <w:r>
              <w:t>, οι οποίες θα μπορούσαν να επηρεάσουν αρνητικά την κοινωνική συνοχή και την ευημερία των Ευρωπαίων πολιτών μακροπρόθεσμα·</w:t>
            </w:r>
          </w:p>
        </w:tc>
        <w:tc>
          <w:tcPr>
            <w:tcW w:w="4876" w:type="dxa"/>
            <w:tcBorders>
              <w:top w:val="nil"/>
              <w:left w:val="nil"/>
              <w:bottom w:val="nil"/>
              <w:right w:val="nil"/>
            </w:tcBorders>
          </w:tcPr>
          <w:p>
            <w:pPr>
              <w:pStyle w:val="Normal6a"/>
            </w:pPr>
            <w:r>
              <w:t>Α.</w:t>
            </w:r>
            <w:r>
              <w:tab/>
            </w:r>
            <w:r>
              <w:t>λαμβάνοντας υπόψη ότι</w:t>
            </w:r>
            <w:r>
              <w:rPr>
                <w:b/>
                <w:i/>
              </w:rPr>
              <w:t>, σύμφωνα με τις φθινοπωρινές οικονομικές προβλέψεις της Επιτροπής για το 2025, το ποσοστό απασχόλησης στην ΕΕ ανήλθε σε 75,3 %·</w:t>
            </w:r>
            <w:r>
              <w:t xml:space="preserve"> </w:t>
            </w:r>
            <w:r>
              <w:rPr>
                <w:b/>
                <w:i/>
              </w:rPr>
              <w:t>λαμβάνοντας υπόψη ότι πρέπει να δοθεί αξία στην οικονομική απόδοση των επενδύσεων κοινωνικής πρόνοιας που όχι μόνο βελτιώνουν το βιοτικό επίπεδο αλλά οδηγούν επίσης σε οικονομική ανάπτυξη και υψηλότερα ποσοστά απασχόλησης·</w:t>
            </w:r>
            <w:r>
              <w:t xml:space="preserve"> </w:t>
            </w:r>
            <w:r>
              <w:rPr>
                <w:b/>
                <w:i/>
              </w:rPr>
              <w:t>λαμβάνοντας υπόψη ότι ορισμένα κράτη μέλη αγγίζουν πρωτοφανή επίπεδα απασχόλησης και παρουσιάζουν αύξηση των ποσοστών απασχόλησης</w:t>
            </w:r>
            <w:r>
              <w:t xml:space="preserve"> παρά την αβεβαιότητα που δημιούργησε ο επιθετικός πόλεμος της Ρωσίας κατά της Ουκρανίας και </w:t>
            </w:r>
            <w:r>
              <w:rPr>
                <w:b/>
                <w:i/>
              </w:rPr>
              <w:t>τις επιπτώσεις</w:t>
            </w:r>
            <w:r>
              <w:t xml:space="preserve"> του υψηλού πληθωρισμού· </w:t>
            </w:r>
            <w:r>
              <w:rPr>
                <w:b/>
                <w:i/>
              </w:rPr>
              <w:t>ωστόσο, εξακολουθούν να υπάρχουν σημαντικές προκλήσεις</w:t>
            </w:r>
            <w:r>
              <w:t xml:space="preserve"> στην ΕΕ</w:t>
            </w:r>
            <w:r>
              <w:rPr>
                <w:b/>
                <w:i/>
              </w:rPr>
              <w:t>, συμπεριλαμβανομένων των υψηλών ποσοστών ανεργίας στους νέους, τις γυναίκες, τους ηλικιωμένους, τα άτομα με χαμηλό ή μεσαίο επίπεδο προσόντων, τους μετανάστες και τα άτομα με αναπηρία, σε συνδυασμό με τις επισφαλείς συνθήκες εργασίας, τις δομικές ανισότητες και τα κενά στην κοινωνική προστασία σε όλους τους τομείς, τις περιφέρειες και τις κοινωνικές ομάδες</w:t>
            </w:r>
            <w:r>
              <w:t>, οι οποίες θα μπορούσαν να επηρεάσουν αρνητικά την κοινωνική συνοχή και την ευημερία των Ευρωπαίων πολιτών μακροπρόθεσμα·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έχει σημειωθεί πρόοδος προς την επίτευξη των στόχων της ΕΕ για την απασχόληση παρά την αβεβαιότητα που δημιούργησε ο επιθετικός πόλεμος της Ρωσίας κατά της Ουκρανίας και τον αντίκτυπο του υψηλού πληθωρισμού</w:t>
            </w:r>
            <w:r>
              <w:rPr>
                <w:b/>
                <w:i/>
              </w:rPr>
              <w:t>·</w:t>
            </w:r>
            <w:r>
              <w:t xml:space="preserve"> λαμβάνοντας υπόψη ότι η αύξηση της απασχόλησης στην ΕΕ παρέμεινε ισχυρή το 2023</w:t>
            </w:r>
            <w:r>
              <w:rPr>
                <w:b/>
                <w:i/>
              </w:rPr>
              <w:t>, αν και</w:t>
            </w:r>
            <w:r>
              <w:t xml:space="preserve"> τα υψηλά ποσοστά ανεργίας, ιδίως </w:t>
            </w:r>
            <w:r>
              <w:rPr>
                <w:b/>
                <w:i/>
              </w:rPr>
              <w:t>τα ποσοστά ανεργίας των νέων</w:t>
            </w:r>
            <w:r>
              <w:t xml:space="preserve">, εξακολουθούν να υφίστανται σε ορισμένα κράτη μέλη, όπως και οι σημαντικές </w:t>
            </w:r>
            <w:r>
              <w:rPr>
                <w:b/>
                <w:i/>
              </w:rPr>
              <w:t>ανισότητες</w:t>
            </w:r>
            <w:r>
              <w:t xml:space="preserve"> μεταξύ τομέων και περιφερειών, οι οποίες </w:t>
            </w:r>
            <w:r>
              <w:rPr>
                <w:b/>
                <w:i/>
              </w:rPr>
              <w:t>θα μπορούσαν</w:t>
            </w:r>
            <w:r>
              <w:t xml:space="preserve"> να επηρεάσουν αρνητικά την κοινωνική συνοχή και την ευημερία των Ευρωπαίων πολιτών μακροπρόθεσμα·</w:t>
            </w:r>
          </w:p>
        </w:tc>
        <w:tc>
          <w:tcPr>
            <w:tcW w:w="4876" w:type="dxa"/>
            <w:tcBorders>
              <w:top w:val="nil"/>
              <w:left w:val="nil"/>
              <w:bottom w:val="nil"/>
              <w:right w:val="nil"/>
            </w:tcBorders>
          </w:tcPr>
          <w:p>
            <w:pPr>
              <w:pStyle w:val="Normal6a"/>
            </w:pPr>
            <w:r>
              <w:t>Α.</w:t>
            </w:r>
            <w:r>
              <w:tab/>
            </w:r>
            <w:r>
              <w:t>λαμβάνοντας υπόψη ότι έχει σημειωθεί πρόοδος προς την επίτευξη των στόχων της ΕΕ για την απασχόληση</w:t>
            </w:r>
            <w:r>
              <w:rPr>
                <w:b/>
                <w:i/>
              </w:rPr>
              <w:t>, δηλαδή ότι τουλάχιστον το 78 % των ατόμων ηλικίας 20 έως 64 ετών θα πρέπει να εργάζεται έως το 2030,</w:t>
            </w:r>
            <w:r>
              <w:t xml:space="preserve"> παρά την αβεβαιότητα που δημιούργησε ο επιθετικός πόλεμος της Ρωσίας κατά της Ουκρανίας</w:t>
            </w:r>
            <w:r>
              <w:rPr>
                <w:b/>
                <w:i/>
              </w:rPr>
              <w:t>, την οικονομική στασιμότητα</w:t>
            </w:r>
            <w:r>
              <w:t xml:space="preserve"> και τον αντίκτυπο του υψηλού πληθωρισμού</w:t>
            </w:r>
            <w:r>
              <w:rPr>
                <w:b/>
                <w:i/>
              </w:rPr>
              <w:t>, και</w:t>
            </w:r>
            <w:r>
              <w:t xml:space="preserve"> λαμβάνοντας υπόψη ότι η αύξηση της απασχόλησης στην ΕΕ παρέμεινε ισχυρή το 2023 </w:t>
            </w:r>
            <w:r>
              <w:rPr>
                <w:b/>
                <w:i/>
              </w:rPr>
              <w:t>αγγίζοντας το επίπεδο ρεκόρ του 75,3 %·</w:t>
            </w:r>
            <w:r>
              <w:t xml:space="preserve"> </w:t>
            </w:r>
            <w:r>
              <w:rPr>
                <w:b/>
                <w:i/>
              </w:rPr>
              <w:t>λαμβάνοντας υπόψη ότι τα κράτη μέλη έχουν δεσμευτεί για την επίτευξη εθνικών στόχων, προκειμένου να επιτευχθεί ο πρωταρχικός στόχος, και ότι στα δύο τρίτα των κρατών μελών η αύξηση της απασχόλησης το 2023 βρισκόταν σε καλή πορεία για την επίτευξη του εθνικού στόχου για το 2030·</w:t>
            </w:r>
            <w:r>
              <w:t xml:space="preserve"> </w:t>
            </w:r>
            <w:r>
              <w:rPr>
                <w:b/>
                <w:i/>
              </w:rPr>
              <w:t>ωστόσο, λαμβάνοντας υπόψη ότι</w:t>
            </w:r>
            <w:r>
              <w:t xml:space="preserve"> τα υψηλά ποσοστά ανεργίας, ιδίως </w:t>
            </w:r>
            <w:r>
              <w:rPr>
                <w:b/>
                <w:i/>
              </w:rPr>
              <w:t>μεταξύ των νέων, των ατόμων με αναπηρία, των ηλικιωμένων και των γυναικών</w:t>
            </w:r>
            <w:r>
              <w:t xml:space="preserve">, εξακολουθούν να υφίστανται σε ορισμένα κράτη μέλη, όπως και οι σημαντικές </w:t>
            </w:r>
            <w:r>
              <w:rPr>
                <w:b/>
                <w:i/>
              </w:rPr>
              <w:t>διαφορές</w:t>
            </w:r>
            <w:r>
              <w:t xml:space="preserve"> μεταξύ τομέων και περιφερειών, οι οποίες </w:t>
            </w:r>
            <w:r>
              <w:rPr>
                <w:b/>
                <w:i/>
              </w:rPr>
              <w:t>μπορούν</w:t>
            </w:r>
            <w:r>
              <w:t xml:space="preserve"> να επηρεάσουν αρνητικά την κοινωνική συνοχή και την ευημερία των Ευρωπαίων πολιτών μακροπρόθεσμα·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έχει σημειωθεί πρόοδος προς την επίτευξη των στόχων της ΕΕ για την απασχόληση παρά την αβεβαιότητα που δημιούργησε ο επιθετικός πόλεμος της Ρωσίας κατά της Ουκρανίας και τον αντίκτυπο του υψηλού πληθωρισμού</w:t>
            </w:r>
            <w:r>
              <w:rPr>
                <w:b/>
                <w:i/>
              </w:rPr>
              <w:t>·</w:t>
            </w:r>
            <w:r>
              <w:t xml:space="preserve"> λαμβάνοντας υπόψη ότι η αύξηση της απασχόλησης στην ΕΕ παρέμεινε ισχυρή το 2023</w:t>
            </w:r>
            <w:r>
              <w:rPr>
                <w:b/>
                <w:i/>
              </w:rPr>
              <w:t>, αν και τα υψηλά ποσοστά</w:t>
            </w:r>
            <w:r>
              <w:t xml:space="preserve"> ανεργίας</w:t>
            </w:r>
            <w:r>
              <w:rPr>
                <w:b/>
                <w:i/>
              </w:rPr>
              <w:t>, ιδίως τα ποσοστά</w:t>
            </w:r>
            <w:r>
              <w:t xml:space="preserve"> ανεργίας των νέων</w:t>
            </w:r>
            <w:r>
              <w:rPr>
                <w:b/>
                <w:i/>
              </w:rPr>
              <w:t>, εξακολουθούν να υφίστανται σε</w:t>
            </w:r>
            <w:r>
              <w:t xml:space="preserve"> ορισμένα </w:t>
            </w:r>
            <w:r>
              <w:rPr>
                <w:b/>
                <w:i/>
              </w:rPr>
              <w:t>κράτη μέλη, όπως και οι</w:t>
            </w:r>
            <w:r>
              <w:t xml:space="preserve"> σημαντικές ανισότητες μεταξύ τομέων και περιφερειών, οι οποίες θα μπορούσαν να επηρεάσουν αρνητικά την κοινωνική συνοχή και την ευημερία των Ευρωπαίων πολιτών μακροπρόθεσμα·</w:t>
            </w:r>
          </w:p>
        </w:tc>
        <w:tc>
          <w:tcPr>
            <w:tcW w:w="4876" w:type="dxa"/>
            <w:tcBorders>
              <w:top w:val="nil"/>
              <w:left w:val="nil"/>
              <w:bottom w:val="nil"/>
              <w:right w:val="nil"/>
            </w:tcBorders>
          </w:tcPr>
          <w:p>
            <w:pPr>
              <w:pStyle w:val="Normal6a"/>
            </w:pPr>
            <w:r>
              <w:t>Α.</w:t>
            </w:r>
            <w:r>
              <w:tab/>
            </w:r>
            <w:r>
              <w:t>λαμβάνοντας υπόψη ότι έχει σημειωθεί πρόοδος προς την επίτευξη των στόχων της ΕΕ για την απασχόληση παρά την αβεβαιότητα που δημιούργησε ο επιθετικός πόλεμος της Ρωσίας κατά της Ουκρανίας και τον αντίκτυπο του υψηλού πληθωρισμού</w:t>
            </w:r>
            <w:r>
              <w:rPr>
                <w:b/>
                <w:i/>
              </w:rPr>
              <w:t>, και</w:t>
            </w:r>
            <w:r>
              <w:t xml:space="preserve"> λαμβάνοντας υπόψη ότι η αύξηση της απασχόλησης στην ΕΕ παρέμεινε ισχυρή το 2023 </w:t>
            </w:r>
            <w:r>
              <w:rPr>
                <w:b/>
                <w:i/>
              </w:rPr>
              <w:t>και υπερβαίνει πλέον το 75 % σύμφωνα με τη Eurostat·</w:t>
            </w:r>
            <w:r>
              <w:t xml:space="preserve"> </w:t>
            </w:r>
            <w:r>
              <w:rPr>
                <w:b/>
                <w:i/>
              </w:rPr>
              <w:t>λαμβάνοντας υπόψη ότι το ποσοστό μακροχρόνιας</w:t>
            </w:r>
            <w:r>
              <w:t xml:space="preserve"> ανεργίας </w:t>
            </w:r>
            <w:r>
              <w:rPr>
                <w:b/>
                <w:i/>
              </w:rPr>
              <w:t>στην ΕΕ, το οποίο ανερχόταν σε 2,1 % το 2023, βρίσκεται σε ιστορικά χαμηλό επίπεδο από το 2009 και ότι το ποσοστό</w:t>
            </w:r>
            <w:r>
              <w:t xml:space="preserve"> ανεργίας των νέων </w:t>
            </w:r>
            <w:r>
              <w:rPr>
                <w:b/>
                <w:i/>
              </w:rPr>
              <w:t>στην ΕΕ ήταν 6,3 %, δηλαδή το χαμηλότερο που έχει μετρηθεί·</w:t>
            </w:r>
            <w:r>
              <w:t xml:space="preserve"> </w:t>
            </w:r>
            <w:r>
              <w:rPr>
                <w:b/>
                <w:i/>
              </w:rPr>
              <w:t>λαμβάνοντας υπόψη ότι οι αγορές εργασίας συνέχισαν να είναι εξαιρετικά ανθεκτικές και ότι τα κοινωνικά αποτελέσματα παρουσίασαν</w:t>
            </w:r>
            <w:r>
              <w:t xml:space="preserve"> ορισμένα </w:t>
            </w:r>
            <w:r>
              <w:rPr>
                <w:b/>
                <w:i/>
              </w:rPr>
              <w:t>σημάδια βελτίωσης, η οικονομική ανάπτυξη στην ΕΕ το 2024 υστερούσε σε σχέση με άλλες προηγμένες οικονομίες και εξακολουθούσαν να υφίστανται</w:t>
            </w:r>
            <w:r>
              <w:t xml:space="preserve"> σημαντικές ανισότητες μεταξύ τομέων και περιφερειών, οι οποίες θα μπορούσαν να επηρεάσουν αρνητικά την κοινωνική συνοχή και την ευημερία των Ευρωπαίων πολιτών μακροπρόθεσμα·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έχει σημειωθεί πρόοδος προς την επίτευξη των στόχων της ΕΕ για την απασχόληση παρά την αβεβαιότητα που δημιούργησε ο επιθετικός πόλεμος της Ρωσίας κατά της Ουκρανίας και τον αντίκτυπο του υψηλού πληθωρισμού</w:t>
            </w:r>
            <w:r>
              <w:rPr>
                <w:b/>
                <w:i/>
              </w:rPr>
              <w:t>·</w:t>
            </w:r>
            <w:r>
              <w:t xml:space="preserve"> λαμβάνοντας υπόψη ότι η αύξηση της απασχόλησης στην ΕΕ παρέμεινε ισχυρή το 2023, αν και τα υψηλά ποσοστά ανεργίας, ιδίως τα ποσοστά ανεργίας των νέων, εξακολουθούν να υφίστανται σε ορισμένα κράτη μέλη, όπως και οι σημαντικές ανισότητες μεταξύ τομέων και περιφερειών, οι οποίες θα μπορούσαν να επηρεάσουν αρνητικά την κοινωνική συνοχή και την ευημερία των Ευρωπαίων πολιτών μακροπρόθεσμα·</w:t>
            </w:r>
          </w:p>
        </w:tc>
        <w:tc>
          <w:tcPr>
            <w:tcW w:w="4876" w:type="dxa"/>
            <w:tcBorders>
              <w:top w:val="nil"/>
              <w:left w:val="nil"/>
              <w:bottom w:val="nil"/>
              <w:right w:val="nil"/>
            </w:tcBorders>
          </w:tcPr>
          <w:p>
            <w:pPr>
              <w:pStyle w:val="Normal6a"/>
            </w:pPr>
            <w:r>
              <w:t>Α.</w:t>
            </w:r>
            <w:r>
              <w:tab/>
            </w:r>
            <w:r>
              <w:t>λαμβάνοντας υπόψη ότι έχει σημειωθεί πρόοδος προς την επίτευξη των στόχων της ΕΕ για την απασχόληση παρά την αβεβαιότητα που δημιούργησε ο επιθετικός πόλεμος της Ρωσίας κατά της Ουκρανίας και τον αντίκτυπο του υψηλού πληθωρισμού</w:t>
            </w:r>
            <w:r>
              <w:rPr>
                <w:b/>
                <w:i/>
              </w:rPr>
              <w:t>, και</w:t>
            </w:r>
            <w:r>
              <w:t xml:space="preserve"> λαμβάνοντας υπόψη ότι η αύξηση της απασχόλησης στην ΕΕ παρέμεινε ισχυρή το 2023, αν και τα υψηλά ποσοστά ανεργίας, ιδίως τα ποσοστά ανεργίας των νέων</w:t>
            </w:r>
            <w:r>
              <w:rPr>
                <w:b/>
                <w:i/>
              </w:rPr>
              <w:t>, καθώς και των ατόμων με αναπηρία</w:t>
            </w:r>
            <w:r>
              <w:t>, εξακολουθούν να υφίστανται σε ορισμένα κράτη μέλη, όπως και οι σημαντικές ανισότητες μεταξύ τομέων και περιφερειών, οι οποίες θα μπορούσαν να επηρεάσουν αρνητικά την κοινωνική συνοχή και την ευημερία των Ευρωπαίων πολιτών μακροπρόθεσμα·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έχει σημειωθεί πρόοδος προς την επίτευξη των στόχων της ΕΕ για την απασχόληση παρά την αβεβαιότητα που δημιούργησε ο επιθετικός πόλεμος της Ρωσίας κατά της Ουκρανίας και τον αντίκτυπο του υψηλού πληθωρισμού· λαμβάνοντας υπόψη ότι η αύξηση της απασχόλησης στην ΕΕ παρέμεινε ισχυρή το 2023, αν και τα υψηλά ποσοστά ανεργίας, ιδίως τα ποσοστά ανεργίας των νέων, εξακολουθούν να υφίστανται σε ορισμένα κράτη μέλη, όπως και οι σημαντικές ανισότητες μεταξύ τομέων και περιφερειών, οι οποίες θα μπορούσαν να επηρεάσουν αρνητικά την κοινωνική συνοχή και την ευημερία των Ευρωπαίων πολιτών μακροπρόθεσμα·</w:t>
            </w:r>
          </w:p>
        </w:tc>
        <w:tc>
          <w:tcPr>
            <w:tcW w:w="4876" w:type="dxa"/>
            <w:tcBorders>
              <w:top w:val="nil"/>
              <w:left w:val="nil"/>
              <w:bottom w:val="nil"/>
              <w:right w:val="nil"/>
            </w:tcBorders>
          </w:tcPr>
          <w:p>
            <w:pPr>
              <w:pStyle w:val="Normal6a"/>
            </w:pPr>
            <w:r>
              <w:t>Α.</w:t>
            </w:r>
            <w:r>
              <w:tab/>
            </w:r>
            <w:r>
              <w:t xml:space="preserve">λαμβάνοντας υπόψη ότι έχει σημειωθεί </w:t>
            </w:r>
            <w:r>
              <w:rPr>
                <w:b/>
                <w:i/>
              </w:rPr>
              <w:t>κάποια</w:t>
            </w:r>
            <w:r>
              <w:t xml:space="preserve"> πρόοδος προς την επίτευξη των στόχων της ΕΕ για την απασχόληση παρά την αβεβαιότητα που δημιούργησε ο επιθετικός πόλεμος της Ρωσίας κατά της Ουκρανίας και τον αντίκτυπο του υψηλού πληθωρισμού· λαμβάνοντας υπόψη ότι η αύξηση της απασχόλησης στην ΕΕ παρέμεινε ισχυρή το 2023, αν και τα υψηλά ποσοστά ανεργίας, ιδίως τα ποσοστά ανεργίας των νέων, εξακολουθούν να υφίστανται σε ορισμένα κράτη μέλη, όπως και οι σημαντικές ανισότητες μεταξύ τομέων και περιφερειών, οι οποίες θα μπορούσαν να επηρεάσουν αρνητικά την κοινωνική συνοχή και την ευημερία των Ευρωπαίων πολιτών μακροπρόθεσμα·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έχει σημειωθεί πρόοδος προς την επίτευξη των στόχων της ΕΕ για την απασχόληση </w:t>
            </w:r>
            <w:r>
              <w:rPr>
                <w:b/>
                <w:i/>
              </w:rPr>
              <w:t>παρά την αβεβαιότητα που δημιούργησε ο επιθετικός πόλεμος</w:t>
            </w:r>
            <w:r>
              <w:t xml:space="preserve"> της Ρωσίας κατά της Ουκρανίας και </w:t>
            </w:r>
            <w:r>
              <w:rPr>
                <w:b/>
                <w:i/>
              </w:rPr>
              <w:t>τον αντίκτυπο του υψηλού πληθωρισμού·</w:t>
            </w:r>
            <w:r>
              <w:t xml:space="preserve"> </w:t>
            </w:r>
            <w:r>
              <w:rPr>
                <w:b/>
                <w:i/>
              </w:rPr>
              <w:t>λαμβάνοντας υπόψη</w:t>
            </w:r>
            <w:r>
              <w:t xml:space="preserve"> ότι η αύξηση της απασχόλησης στην ΕΕ παρέμεινε ισχυρή το 2023, αν και τα υψηλά ποσοστά ανεργίας, ιδίως τα ποσοστά ανεργίας των νέων, εξακολουθούν να υφίστανται σε ορισμένα κράτη μέλη, όπως και οι σημαντικές ανισότητες μεταξύ τομέων και περιφερειών, οι οποίες θα μπορούσαν να επηρεάσουν αρνητικά την κοινωνική συνοχή και την ευημερία των Ευρωπαίων πολιτών μακροπρόθεσμα·</w:t>
            </w:r>
          </w:p>
        </w:tc>
        <w:tc>
          <w:tcPr>
            <w:tcW w:w="4876" w:type="dxa"/>
            <w:tcBorders>
              <w:top w:val="nil"/>
              <w:left w:val="nil"/>
              <w:bottom w:val="nil"/>
              <w:right w:val="nil"/>
            </w:tcBorders>
          </w:tcPr>
          <w:p>
            <w:pPr>
              <w:pStyle w:val="Normal6a"/>
            </w:pPr>
            <w:r>
              <w:t>Α.</w:t>
            </w:r>
            <w:r>
              <w:tab/>
            </w:r>
            <w:r>
              <w:t>λαμβάνοντας υπόψη ότι έχει σημειωθεί πρόοδος προς την επίτευξη των στόχων της ΕΕ για την απασχόληση</w:t>
            </w:r>
            <w:r>
              <w:rPr>
                <w:b/>
                <w:i/>
              </w:rPr>
              <w:t>, παρά τη σοβαρή πληθωριστική κρίση που προκλήθηκε, μεταξύ άλλων παραγόντων, από τον επιθετικό πόλεμο</w:t>
            </w:r>
            <w:r>
              <w:t xml:space="preserve"> της Ρωσίας κατά της Ουκρανίας και ότι η αύξηση της απασχόλησης στην ΕΕ παρέμεινε ισχυρή το 2023, αν και τα υψηλά ποσοστά ανεργίας, ιδίως τα ποσοστά ανεργίας των νέων, εξακολουθούν να υφίστανται σε ορισμένα κράτη μέλη, όπως και οι σημαντικές ανισότητες μεταξύ τομέων και περιφερειών, οι οποίες θα μπορούσαν να επηρεάσουν αρνητικά την κοινωνική συνοχή και την ευημερία των Ευρωπαίων πολιτών μακροπρόθεσμα·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το Ευρωπαϊκό Εξάμηνο συνδυάζει διάφορα σε ένα ολοκληρωμένο πλαίσιο για τον πολυμερή συντονισμό και την εποπτεία των οικονομικών πολιτικών, των πολιτικών απασχόλησης, καθώς και των κοινωνικών και των περιβαλλοντικών πολιτικών εντός της ΕΕ και πρέπει να καταστεί βασικό εργαλείο για την προώθηση της ανοδικής κοινωνικής σύγκλισης, διασφαλίζοντας ότι οι οικονομικές και δημοσιονομικές πολιτικές όχι μόνο προωθούν την ανάπτυξη αλλά και συμβάλλουν σε μια κοινωνική και βιώσιμη ΕΕ·</w:t>
            </w:r>
            <w:r>
              <w:t xml:space="preserve"> </w:t>
            </w:r>
            <w:r>
              <w:rPr>
                <w:b/>
                <w:i/>
              </w:rPr>
              <w:t>λαμβάνοντας υπόψη ότι, ως μέρος της ολοκληρωμένης ανάλυσης της απασχόλησης και των κοινωνικών εξελίξεων στο πλαίσιο του Ευρωπαϊκού Εξαμήνου, θα πρέπει να αξιολογούνται οι κίνδυνοι για την ανοδική κοινωνική σύγκλιση στα κράτη μέλη και να παρακολουθείται η πρόοδος όσον αφορά την εφαρμογή των αρχών του ευρωπαϊκού πυλώνα κοινωνικών δικαιωμάτων, με βάση τον πίνακα κοινωνικών αποτελεσμάτων και τις αρχές του πλαισίου κοινωνικής σύγκλισης·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α.</w:t>
            </w:r>
            <w:r>
              <w:tab/>
            </w:r>
            <w:r>
              <w:rPr>
                <w:b/>
                <w:i/>
              </w:rPr>
              <w:t>λαμβάνοντας υπόψη ότι η Ευρωπαϊκή Ένωση έχει θέσει ως στόχο τη συμμετοχή τουλάχιστον του 60 % των ενηλίκων σε κατάρτιση ετησίως έως το 2030·</w:t>
            </w:r>
            <w:r>
              <w:t xml:space="preserve"> </w:t>
            </w:r>
            <w:r>
              <w:rPr>
                <w:b/>
                <w:i/>
              </w:rPr>
              <w:t>λαμβάνοντας υπόψη ότι τα κράτη μέλη έχουν δεσμευτεί σε εθνικούς στόχους, προκειμένου να επιτευχθεί αυτός ο πρωταρχικός στόχος, και λαμβάνοντας υπόψη ότι η πλειοψηφία των κρατών μελών έχει μείνει πίσω όσον αφορά την επίτευξη των εν λόγω εθνικών στόχων·</w:t>
            </w:r>
            <w:r>
              <w:t xml:space="preserve"> </w:t>
            </w:r>
            <w:r>
              <w:rPr>
                <w:b/>
                <w:i/>
              </w:rPr>
              <w:t>λαμβάνοντας υπόψη ότι το 2022 το ποσοστό συμμετοχής των ενηλίκων στη μάθηση ήταν 39,5 %, ποσοστό που εξακολουθεί να είναι πολύ χαμηλότερο από τον στόχο της ΕΕ για το 2030·</w:t>
            </w:r>
            <w:r>
              <w:t xml:space="preserve"> </w:t>
            </w:r>
            <w:r>
              <w:rPr>
                <w:b/>
                <w:i/>
              </w:rPr>
              <w:t>λαμβάνοντας υπόψη ότι απαιτούνται περαιτέρω ουσιαστικές προσπάθειες, ώστε να διασφαλιστεί η παροχή ποιοτικών πολιτικών κατάρτισης που προωθούν τη διά βίου μάθηση και ενισχύουν την ανταγωνιστικότητα, την ανθεκτικότητα και τη συμμετοχικότητα του εργατικού δυναμικού της ΕΕ, καθώς και η πρόσβαση στις εν λόγω πολιτικές·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β.</w:t>
            </w:r>
            <w:r>
              <w:tab/>
            </w:r>
            <w:r>
              <w:rPr>
                <w:b/>
                <w:i/>
              </w:rPr>
              <w:t>λαμβάνοντας υπόψη ότι η Ευρωπαϊκή Ένωση έχει εγκρίνει τον στόχο του 2030 για μείωση του αριθμού των ατόμων που διατρέχουν κίνδυνο φτώχειας και κοινωνικού αποκλεισμού κατά τουλάχιστον 15 εκατομμύρια σε σύγκριση με το 2019, συμπεριλαμβανομένων τουλάχιστον 5 εκατομμυρίων παιδιών·</w:t>
            </w:r>
            <w:r>
              <w:t xml:space="preserve"> </w:t>
            </w:r>
            <w:r>
              <w:rPr>
                <w:b/>
                <w:i/>
              </w:rPr>
              <w:t>λαμβάνοντας υπόψη ότι τα κράτη μέλη έχουν δεσμευτεί σε εθνικούς στόχους, προκειμένου να επιτευχθεί αυτός ο πρωταρχικός στόχος, και λαμβάνοντας υπόψη ότι σχεδόν τα μισά κράτη μέλη κινούνται προς την αντίθετη κατεύθυνση·</w:t>
            </w:r>
            <w:r>
              <w:t xml:space="preserve"> </w:t>
            </w:r>
            <w:r>
              <w:rPr>
                <w:b/>
                <w:i/>
              </w:rPr>
              <w:t>λαμβάνοντας υπόψη ότι 94,6 εκατομμύρια άτομα στην ΕΕ (το 21,4 % του πληθυσμού)</w:t>
            </w:r>
            <w:r>
              <w:rPr>
                <w:b/>
                <w:i/>
                <w:vertAlign w:val="superscript"/>
              </w:rPr>
              <w:t>3a</w:t>
            </w:r>
            <w:r>
              <w:t xml:space="preserve"> </w:t>
            </w:r>
            <w:r>
              <w:rPr>
                <w:b/>
                <w:i/>
              </w:rPr>
              <w:t>διέτρεχαν κίνδυνο φτώχειας ή κοινωνικού αποκλεισμού το 2023, ποσοστό ελαφρώς χαμηλότερο από το ποσοστό του 2019·</w:t>
            </w:r>
            <w:r>
              <w:t xml:space="preserve"> </w:t>
            </w:r>
            <w:r>
              <w:rPr>
                <w:b/>
                <w:i/>
              </w:rPr>
              <w:t>λαμβάνοντας υπόψη ότι , εάν δεν αλλάξει η προσέγγιση για την αντιμετώπιση της φτώχειας σε ευρωπαϊκό επίπεδο, δεν θα είναι δυνατόν να αντιστραφεί η τάση και να διασφαλιστεί ότι κάθε πολίτης έχει ίσες ευκαιρίες συμμετοχής στην κοινωνία·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Άτομα που διατρέχουν κίνδυνο φτώχειας ή κοινωνικού αποκλεισμού το 2023, Eurostat, https://ec.europa.eu/eurostat/web/products-eurostat-news/w/ddn-20240612-1#:~:text=In%202023%2C%2094.6%20million%20people,household%20with%20very%20low%20work.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β.</w:t>
            </w:r>
            <w:r>
              <w:tab/>
            </w:r>
            <w:r>
              <w:rPr>
                <w:b/>
                <w:i/>
              </w:rPr>
              <w:t>λαμβάνοντας υπόψη ότι ο ευρωπαϊκός πυλώνας κοινωνικών δικαιωμάτων (ΕΠΚΔ) πρέπει να αποτελέσει την πυξίδα για την καθοδήγηση των κοινωνικών και οικονομικών πολιτικών της ΕΕ, διασφαλίζοντας ότι η Ένωση αναλαμβάνει ηγετικό ρόλο στην προώθηση της κοινωνικής προόδου·</w:t>
            </w:r>
            <w:r>
              <w:t xml:space="preserve"> </w:t>
            </w:r>
            <w:r>
              <w:rPr>
                <w:b/>
                <w:i/>
              </w:rPr>
              <w:t>λαμβάνοντας υπόψη ότι η Ευρωπαϊκή Επιτροπή πρέπει να αξιολογεί τους κινδύνους για την ανοδική κοινωνική σύγκλιση στα κράτη μέλη και να παρακολουθεί την πρόοδο όσον αφορά την εφαρμογή του ΕΠΚΔ, αξιοποιώντας τον πίνακα κοινωνικών αποτελεσμάτων και το πλαίσιο κοινωνικής σύγκλισης·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γ.</w:t>
            </w:r>
            <w:r>
              <w:tab/>
            </w:r>
            <w:r>
              <w:rPr>
                <w:b/>
                <w:i/>
              </w:rPr>
              <w:t>λαμβάνοντας υπόψη ότι ένα στα τέσσερα παιδιά εξακολουθεί να διατρέχει κίνδυνο φτώχειας και κοινωνικού αποκλεισμού στην Ευρωπαϊκή Ένωση και λαμβάνοντας υπόψη ότι με την τρέχουσα τάση δεν θα επιτευχθεί ο στόχος για μείωση του αριθμού των παιδιών που ζουν σε συνθήκες φτώχειας κατά τουλάχιστον 5 εκατομμύρια έως το 2030·</w:t>
            </w:r>
            <w:r>
              <w:t xml:space="preserve"> </w:t>
            </w:r>
            <w:r>
              <w:rPr>
                <w:b/>
                <w:i/>
              </w:rPr>
              <w:t>λαμβάνοντας υπόψη ότι παρατηρούνται σημαντικές διαφορές μεταξύ των παιδιών που προέρχονται από εθνοτικό ή μεταναστευτικό περιβάλλον και των παιδιών με αναπηρία·</w:t>
            </w:r>
            <w:r>
              <w:t xml:space="preserve"> </w:t>
            </w:r>
            <w:r>
              <w:rPr>
                <w:b/>
                <w:i/>
              </w:rPr>
              <w:t>λαμβάνοντας υπόψη ότι το 83 % των παιδιών Ρομά ζούσαν σε νοικοκυριά που διατρέχουν κίνδυνο φτώχειας·</w:t>
            </w:r>
            <w:r>
              <w:t xml:space="preserve"> </w:t>
            </w:r>
            <w:r>
              <w:rPr>
                <w:b/>
                <w:i/>
              </w:rPr>
              <w:t>λαμβάνοντας υπόψη ότι οι ενωσιακοί και εθνικοί πόροι που διατίθενται επί του παρόντος δεν επαρκούν σε καμία περίπτωση για να αντιμετωπιστεί η πρόκληση της παιδικής φτώχειας στην ΕΕ και, συνεπώς, ένα ειδικό χρηματοδοτικό μέσο για την ευρωπαϊκή εγγύηση για τα παιδιά, καθώς και οι συνέργειες με άλλα ευρωπαϊκά και εθνικά κονδύλια είναι υψίστης σημασίας τόσο στο τρέχον όσο και στο επόμενο πολυετές δημοσιονομικό πλαίσιο·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γ.</w:t>
            </w:r>
            <w:r>
              <w:tab/>
            </w:r>
            <w:r>
              <w:rPr>
                <w:b/>
                <w:i/>
              </w:rPr>
              <w:t>λαμβάνοντας υπόψη ότι το πλαίσιο κοινωνικής σύγκλισης αποτελεί βασικό εργαλείο για την αξιολόγηση των κοινωνικών προκλήσεων και της ανοδικής σύγκλισης στο πλαίσιο του Ευρωπαϊκού Εξαμήνου, καθώς και για την παρακολούθηση των κοινωνικών ανισοτήτων μεταξύ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δ.</w:t>
            </w:r>
            <w:r>
              <w:tab/>
            </w:r>
            <w:r>
              <w:rPr>
                <w:b/>
                <w:i/>
              </w:rPr>
              <w:t>λαμβάνοντας υπόψη ότι οι δημόσιες δαπάνες για τα παιδιά και τους νέους δεν θα πρέπει να θεωρούνται μόνο κοινωνικές δαπάνες, αλλά και επένδυση στο μέλλον·</w:t>
            </w:r>
            <w:r>
              <w:t xml:space="preserve"> </w:t>
            </w:r>
            <w:r>
              <w:rPr>
                <w:b/>
                <w:i/>
              </w:rPr>
              <w:t>λαμβάνοντας υπόψη ότι οι κοινωνικές επενδύσεις για τα παιδιά οδηγούν σε καλύτερες προοπτικές εκπαίδευσης και απασχόλησης, γεγονός που με τη σειρά του ενισχύει τους οικονομικούς δείκτες·</w:t>
            </w:r>
            <w:r>
              <w:t xml:space="preserve"> </w:t>
            </w:r>
            <w:r>
              <w:rPr>
                <w:b/>
                <w:i/>
              </w:rPr>
              <w:t>λαμβάνοντας υπόψη ότι τα παιδιά που μπορούν να επωφεληθούν περισσότερο από την προσχολική εκπαίδευση και φροντίδα (ΠΕΦ), όπως τα παιδιά που προέρχονται από μειονεκτούντα περιβάλλοντα, τείνουν να συμμετέχουν λιγότερο και εξακολουθούν να αντιμετωπίζουν εμπόδια όσον αφορά την πρόσβαση·</w:t>
            </w:r>
            <w:r>
              <w:t xml:space="preserve"> </w:t>
            </w:r>
            <w:r>
              <w:rPr>
                <w:b/>
                <w:i/>
              </w:rPr>
              <w:t>λαμβάνοντας υπόψη ότι η ΕΕ θα πρέπει να επενδύσει επιπλέον 11 δισεκατομμύρια EUR ετησίως</w:t>
            </w:r>
            <w:r>
              <w:rPr>
                <w:b/>
                <w:i/>
                <w:vertAlign w:val="superscript"/>
              </w:rPr>
              <w:t>4a</w:t>
            </w:r>
            <w:r>
              <w:rPr>
                <w:b/>
                <w:i/>
              </w:rPr>
              <w:t>, προκειμένου να επιτευχθούν οι στόχοι της Βαρκελώνης για το 2030 όσον αφορά την ΠΕΦ·</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Απασχόληση και κοινωνικές εξελίξεις στην Ευρώπη (ESDE) 2024, Ευρωπαϊκή Επιτροπή, Σεπτέμβριος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δ.</w:t>
            </w:r>
            <w:r>
              <w:tab/>
            </w:r>
            <w:r>
              <w:rPr>
                <w:b/>
                <w:i/>
              </w:rPr>
              <w:t>λαμβάνοντας υπόψη ότι η αντιμετώπιση των προκλήσεων που προσδιορίζονται στην κοινή έκθεση για την απασχόληση (ΚΕΑ) θα συμβάλει στην επίτευξη ανοδικής κοινωνικής σύγκλισης, στη στήριξη της δίκαιης πράσινης και ψηφιακής μετάβασης, στην αντιμετώπιση της δημογραφικής αλλαγής και στην επίτευξη των στόχων βιώσιμης ανάπτυξης·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ε.</w:t>
            </w:r>
            <w:r>
              <w:tab/>
            </w:r>
            <w:r>
              <w:rPr>
                <w:b/>
                <w:i/>
              </w:rPr>
              <w:t>λαμβάνοντας υπόψη ότι εξακολουθούν να υπάρχουν 1,4 εκατομμύρια άτομα που διαμένουν σε ιδρύματα στην ΕΕ·</w:t>
            </w:r>
            <w:r>
              <w:t xml:space="preserve"> </w:t>
            </w:r>
            <w:r>
              <w:rPr>
                <w:b/>
                <w:i/>
              </w:rPr>
              <w:t>λαμβάνοντας υπόψη ότι οι τρόφιμοι των ιδρυμάτων είναι απομονωμένοι από την ευρύτερη κοινότητα και δεν έχουν επαρκή έλεγχο της ζωής τους και των αποφάσεων που τους επηρεάζουν·</w:t>
            </w:r>
            <w:r>
              <w:t xml:space="preserve"> </w:t>
            </w:r>
            <w:r>
              <w:rPr>
                <w:b/>
                <w:i/>
              </w:rPr>
              <w:t>λαμβάνοντας υπόψη ότι, παρά το γεγονός ότι η Ευρωπαϊκή Ένωση είναι εδώ και καιρό προσηλωμένη στη διαδικασία αποϊδρυματοποίησης, απαιτούνται ακόμη προσπάθειες τόσο σε ευρωπαϊκό όσο και σε εθνικό επίπεδο για να δοθεί η δυνατότητα στις ευάλωτες ομάδες να ζουν ανεξάρτητα σε ένα κοινοτικό περιβάλλον·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 ε.</w:t>
            </w:r>
            <w:r>
              <w:tab/>
            </w:r>
            <w:r>
              <w:rPr>
                <w:b/>
                <w:i/>
              </w:rPr>
              <w:t>λαμβάνοντας υπόψη ότι το ποσοστό αυτοαπασχόλησης μειώνεται, μεταξύ άλλων και στους νέους, και ότι οι θέσεις εργασίας χαμηλής ποιότητας μεταξύ των αυτοαπασχολούμενων είναι δυσανάλογα διαδεδομένες·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τη βιωσιμότητα των συστημάτων κοινωνικής πρόνοιας </w:t>
            </w:r>
            <w:r>
              <w:rPr>
                <w:b/>
                <w:i/>
              </w:rPr>
              <w:t>και, συνεπώς, αποτελούν</w:t>
            </w:r>
            <w:r>
              <w:t xml:space="preserve"> διαρθρωτική πρόκληση για την οικονομία της ΕΕ· λαμβάνοντας υπόψη ότι, όπως επισημαίνεται στην έκθεση Draghi, η βιώσιμη ανάπτυξη στην Ευρώπη </w:t>
            </w:r>
            <w:r>
              <w:rPr>
                <w:b/>
                <w:i/>
              </w:rPr>
              <w:t>εξαρτάται</w:t>
            </w:r>
            <w:r>
              <w:t xml:space="preserve"> σε μεγάλο βαθμό από την ένταξη του ενεργού πληθυσμού στην αγορά εργασίας και </w:t>
            </w:r>
            <w:r>
              <w:rPr>
                <w:b/>
                <w:i/>
              </w:rPr>
              <w:t>από</w:t>
            </w:r>
            <w:r>
              <w:t xml:space="preserve"> ένα ισχυρό σύστημα κοινωνικής πρόνοιας·</w:t>
            </w:r>
          </w:p>
        </w:tc>
        <w:tc>
          <w:tcPr>
            <w:tcW w:w="4876" w:type="dxa"/>
            <w:tcBorders>
              <w:top w:val="nil"/>
              <w:left w:val="nil"/>
              <w:bottom w:val="nil"/>
              <w:right w:val="nil"/>
            </w:tcBorders>
          </w:tcPr>
          <w:p>
            <w:pPr>
              <w:pStyle w:val="Normal6a"/>
            </w:pPr>
            <w:r>
              <w:t>Β.</w:t>
            </w:r>
            <w:r>
              <w:tab/>
            </w:r>
            <w:r>
              <w:t xml:space="preserve">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w:t>
            </w:r>
            <w:r>
              <w:rPr>
                <w:b/>
                <w:i/>
              </w:rPr>
              <w:t>το μέγεθος του εργατικού δυναμικού, την παραγωγικότητα της ΕΕ, τις αγορές εργασίας με ελλείψεις εργατικού δυναμικού και δεξιοτήτων που παραμένουν σε ιστορικά υψηλά επίπεδα και, συνεπώς,</w:t>
            </w:r>
            <w:r>
              <w:t xml:space="preserve"> τη βιωσιμότητα των συστημάτων κοινωνικής πρόνοιας</w:t>
            </w:r>
            <w:r>
              <w:rPr>
                <w:b/>
                <w:i/>
              </w:rPr>
              <w:t>, αποτελώντας</w:t>
            </w:r>
            <w:r>
              <w:t xml:space="preserve"> διαρθρωτική πρόκληση για την οικονομία της ΕΕ· λαμβάνοντας υπόψη ότι, όπως επισημαίνεται στην έκθεση Draghi, η βιώσιμη ανάπτυξη </w:t>
            </w:r>
            <w:r>
              <w:rPr>
                <w:b/>
                <w:i/>
              </w:rPr>
              <w:t>και η ανταγωνιστικότητα</w:t>
            </w:r>
            <w:r>
              <w:t xml:space="preserve"> στην Ευρώπη </w:t>
            </w:r>
            <w:r>
              <w:rPr>
                <w:b/>
                <w:i/>
              </w:rPr>
              <w:t>εξαρτώνται</w:t>
            </w:r>
            <w:r>
              <w:t xml:space="preserve"> σε μεγάλο βαθμό από την </w:t>
            </w:r>
            <w:r>
              <w:rPr>
                <w:b/>
                <w:i/>
              </w:rPr>
              <w:t>προσαρμογή των συστημάτων εκπαίδευσης και κατάρτισης στις εξελισσόμενες ανάγκες για δεξιότητες, με προτεραιότητα στην εκπαίδευση ενηλίκων και στην επαγγελματική εκπαίδευση και κατάρτιση, στην</w:t>
            </w:r>
            <w:r>
              <w:t xml:space="preserve"> ένταξη του ενεργού πληθυσμού στην αγορά εργασίας και </w:t>
            </w:r>
            <w:r>
              <w:rPr>
                <w:b/>
                <w:i/>
              </w:rPr>
              <w:t>σε</w:t>
            </w:r>
            <w:r>
              <w:t xml:space="preserve"> ένα ισχυρό σύστημα κοινωνικής πρόνοιας </w:t>
            </w:r>
            <w:r>
              <w:rPr>
                <w:b/>
                <w:i/>
              </w:rPr>
              <w:t>που παρέχει ισχυρές δημόσιες υπηρεσίες·</w:t>
            </w:r>
            <w:r>
              <w:t xml:space="preserve"> </w:t>
            </w:r>
            <w:r>
              <w:rPr>
                <w:b/>
                <w:i/>
              </w:rPr>
              <w:t>λαμβάνοντας υπόψη ότι οι επενδύσεις του ΕΚΤ+ σε ενεργητικές πολιτικές για την αγορά εργασίας προβλέπεται να αυξήσουν την απασχόληση πέραν της επενδυτικής περιόδου, ιδίως για τις ομάδες με χαμηλότερο εισόδημα</w:t>
            </w:r>
            <w:r>
              <w:rPr>
                <w:b/>
                <w:i/>
                <w:vertAlign w:val="superscript"/>
              </w:rPr>
              <w:t>5a</w:t>
            </w:r>
            <w:r>
              <w:rPr>
                <w:b/>
                <w:i/>
              </w:rPr>
              <w:t>·</w:t>
            </w:r>
            <w:r>
              <w:t xml:space="preserve"> </w:t>
            </w:r>
            <w:r>
              <w:rPr>
                <w:b/>
                <w:i/>
              </w:rPr>
              <w:t>λαμβάνοντας υπόψη ότι ο ενεργός πληθυσμός της ΕΕ αναμένεται να συρρικνωθεί κατά 7 εκατομμύρια εργαζομένους</w:t>
            </w:r>
            <w:r>
              <w:rPr>
                <w:b/>
                <w:i/>
                <w:vertAlign w:val="superscript"/>
              </w:rPr>
              <w:t>6a</w:t>
            </w:r>
            <w:r>
              <w:t xml:space="preserve"> </w:t>
            </w:r>
            <w:r>
              <w:rPr>
                <w:b/>
                <w:i/>
              </w:rPr>
              <w:t>έως το 2030 και λαμβάνοντας υπόψη ότι ο αριθμός αυτός αναμένεται να ανέλθει σε επιπλέον 35 εκατομμύρια άτομα έως το 2050</w:t>
            </w:r>
            <w:r>
              <w:rPr>
                <w:b/>
                <w:i/>
                <w:vertAlign w:val="superscript"/>
              </w:rPr>
              <w:t>7a</w:t>
            </w:r>
            <w:r>
              <w:rPr>
                <w:b/>
                <w:i/>
              </w:rPr>
              <w:t>, γεγονός που υποδηλώνει ότι η νόμιμη μετανάστευση εργατικού δυναμικού θα είναι αναγκαία, ώστε να ενισχυθεί το ευρωπαϊκό εργατικό δυναμικό</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Απασχόληση και κοινωνικές εξελίξεις στην Ευρώπη (ESDE) 2024, Ευρωπαϊκή Επιτροπή, Σεπτέμβριος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Απασχόληση και κοινωνικές εξελίξεις στην Ευρώπη (ESDE) 2023, Ευρωπαϊκή Επιτροπή, Ιούλιος 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Ανακοίνωση της Επιτροπής με θέμα «Αξιοποίηση ταλέντων στις περιφέρειες της Ευρώπης» (COM(2023) 32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w:t>
            </w:r>
            <w:r>
              <w:rPr>
                <w:b/>
                <w:i/>
              </w:rPr>
              <w:t>τη βιωσιμότητα των συστημάτων κοινωνικής πρόνοιας</w:t>
            </w:r>
            <w:r>
              <w:t xml:space="preserve"> και, συνεπώς, αποτελούν διαρθρωτική πρόκληση για την οικονομία της ΕΕ</w:t>
            </w:r>
            <w:r>
              <w:rPr>
                <w:b/>
                <w:i/>
              </w:rPr>
              <w:t>·</w:t>
            </w:r>
            <w:r>
              <w:t xml:space="preserve"> λαμβάνοντας υπόψη ότι, όπως επισημαίνεται στην έκθεση Draghi, η βιώσιμη ανάπτυξη στην Ευρώπη εξαρτάται </w:t>
            </w:r>
            <w:r>
              <w:rPr>
                <w:b/>
                <w:i/>
              </w:rPr>
              <w:t>σε μεγάλο βαθμό από</w:t>
            </w:r>
            <w:r>
              <w:t xml:space="preserve"> την ένταξη του ενεργού πληθυσμού στην αγορά εργασίας και από ένα ισχυρό σύστημα κοινωνικής πρόνοιας·</w:t>
            </w:r>
          </w:p>
        </w:tc>
        <w:tc>
          <w:tcPr>
            <w:tcW w:w="4876" w:type="dxa"/>
            <w:tcBorders>
              <w:top w:val="nil"/>
              <w:left w:val="nil"/>
              <w:bottom w:val="nil"/>
              <w:right w:val="nil"/>
            </w:tcBorders>
          </w:tcPr>
          <w:p>
            <w:pPr>
              <w:pStyle w:val="Normal6a"/>
            </w:pPr>
            <w:r>
              <w:t>Β.</w:t>
            </w:r>
            <w:r>
              <w:tab/>
            </w:r>
            <w:r>
              <w:t xml:space="preserve">λαμβάνοντας υπόψη ότι οι δημογραφικές προκλήσεις, όπως η γήρανση του πληθυσμού, τα χαμηλά ποσοστά γεννήσεων και η πληθυσμιακή συρρίκνωση της υπαίθρου, </w:t>
            </w:r>
            <w:r>
              <w:rPr>
                <w:b/>
                <w:i/>
              </w:rPr>
              <w:t>ιδίως η μετακίνηση των νέων προς τις αστικές περιοχές,</w:t>
            </w:r>
            <w:r>
              <w:t xml:space="preserve"> επηρεάζουν σε μεγάλο βαθμό </w:t>
            </w:r>
            <w:r>
              <w:rPr>
                <w:b/>
                <w:i/>
              </w:rPr>
              <w:t>την οικονομική ευρωστία και την ελκυστικότητα των περιοχών της ΕΕ</w:t>
            </w:r>
            <w:r>
              <w:t xml:space="preserve"> και, συνεπώς, αποτελούν διαρθρωτική πρόκληση για την οικονομία της ΕΕ</w:t>
            </w:r>
            <w:r>
              <w:rPr>
                <w:b/>
                <w:i/>
              </w:rPr>
              <w:t>, και</w:t>
            </w:r>
            <w:r>
              <w:t xml:space="preserve"> λαμβάνοντας υπόψη ότι, όπως επισημαίνεται στην έκθεση Draghi, η βιώσιμη ανάπτυξη στην Ευρώπη εξαρτάται </w:t>
            </w:r>
            <w:r>
              <w:rPr>
                <w:b/>
                <w:i/>
              </w:rPr>
              <w:t>από τη διατήρηση ενός ισχυρού συστήματος κοινωνικής προστασίας, την προσβασιμότητα στις δημόσιες υπηρεσίες,</w:t>
            </w:r>
            <w:r>
              <w:t xml:space="preserve"> την ένταξη του ενεργού πληθυσμού στην αγορά εργασίας και από ένα ισχυρό σύστημα κοινωνικής πρόνοιας·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τη βιωσιμότητα των συστημάτων κοινωνικής πρόνοιας και, συνεπώς, αποτελούν διαρθρωτική πρόκληση για την οικονομία της ΕΕ· λαμβάνοντας υπόψη ότι, όπως επισημαίνεται στην έκθεση Draghi, η βιώσιμη ανάπτυξη στην Ευρώπη εξαρτάται σε μεγάλο βαθμό από την ένταξη του ενεργού πληθυσμού στην αγορά εργασίας και από ένα ισχυρό σύστημα κοινωνικής πρόνοιας·</w:t>
            </w:r>
          </w:p>
        </w:tc>
        <w:tc>
          <w:tcPr>
            <w:tcW w:w="4876" w:type="dxa"/>
            <w:tcBorders>
              <w:top w:val="nil"/>
              <w:left w:val="nil"/>
              <w:bottom w:val="nil"/>
              <w:right w:val="nil"/>
            </w:tcBorders>
          </w:tcPr>
          <w:p>
            <w:pPr>
              <w:pStyle w:val="Normal6a"/>
            </w:pPr>
            <w:r>
              <w:t>Β.</w:t>
            </w:r>
            <w:r>
              <w:tab/>
            </w:r>
            <w:r>
              <w:t xml:space="preserve">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τη βιωσιμότητα των συστημάτων κοινωνικής πρόνοιας και, συνεπώς, αποτελούν διαρθρωτική πρόκληση για την οικονομία της ΕΕ· λαμβάνοντας υπόψη ότι, όπως επισημαίνεται στην έκθεση Draghi, η βιώσιμη ανάπτυξη στην Ευρώπη εξαρτάται σε μεγάλο βαθμό από την ένταξη του ενεργού πληθυσμού στην αγορά εργασίας και από ένα ισχυρό σύστημα κοινωνικής πρόνοιας· </w:t>
            </w:r>
            <w:r>
              <w:rPr>
                <w:b/>
                <w:i/>
              </w:rPr>
              <w:t>λαμβάνοντας υπόψη ότι ορισμένοι τομείς χρειάζονται ταχύτερη αυτοματοποίηση και ρομποτοποίηση, προκειμένου να αποφευχθεί η δραστική μείωση της παραγωγικότητας λόγω της έλλειψης εργαζομένων·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τη βιωσιμότητα των συστημάτων κοινωνικής πρόνοιας και, συνεπώς, αποτελούν διαρθρωτική πρόκληση για την οικονομία της ΕΕ· λαμβάνοντας υπόψη ότι, όπως επισημαίνεται στην έκθεση Draghi, η βιώσιμη ανάπτυξη στην Ευρώπη εξαρτάται σε μεγάλο βαθμό από την ένταξη του ενεργού πληθυσμού στην αγορά εργασίας και από ένα ισχυρό σύστημα κοινωνικής πρόνοιας·</w:t>
            </w:r>
          </w:p>
        </w:tc>
        <w:tc>
          <w:tcPr>
            <w:tcW w:w="4876" w:type="dxa"/>
            <w:tcBorders>
              <w:top w:val="nil"/>
              <w:left w:val="nil"/>
              <w:bottom w:val="nil"/>
              <w:right w:val="nil"/>
            </w:tcBorders>
          </w:tcPr>
          <w:p>
            <w:pPr>
              <w:pStyle w:val="Normal6a"/>
            </w:pPr>
            <w:r>
              <w:t>Β.</w:t>
            </w:r>
            <w:r>
              <w:tab/>
            </w:r>
            <w:r>
              <w:t xml:space="preserve">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τη βιωσιμότητα των συστημάτων κοινωνικής πρόνοιας και, συνεπώς, αποτελούν διαρθρωτική πρόκληση για την οικονομία της ΕΕ· λαμβάνοντας υπόψη ότι, όπως επισημαίνεται στην έκθεση Draghi, η βιώσιμη ανάπτυξη στην Ευρώπη εξαρτάται σε μεγάλο βαθμό από την ένταξη του ενεργού πληθυσμού </w:t>
            </w:r>
            <w:r>
              <w:rPr>
                <w:b/>
                <w:i/>
              </w:rPr>
              <w:t>σε εθνικό επίπεδο πρωτίστως και στη συνέχεια σε ευρωπαϊκό επίπεδο</w:t>
            </w:r>
            <w:r>
              <w:t xml:space="preserve"> στην αγορά εργασίας και από ένα ισχυρό σύστημα κοινωνικής πρόνοιας </w:t>
            </w:r>
            <w:r>
              <w:rPr>
                <w:b/>
                <w:i/>
              </w:rPr>
              <w:t>που δεν θα αντικαθιστά σε καμία περίπτωση τις εθνικές ιδιαιτερότητες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τη βιωσιμότητα των συστημάτων κοινωνικής πρόνοιας και, συνεπώς, αποτελούν διαρθρωτική πρόκληση για την οικονομία της ΕΕ· λαμβάνοντας υπόψη ότι, όπως επισημαίνεται στην έκθεση Draghi, η βιώσιμη ανάπτυξη στην Ευρώπη εξαρτάται σε μεγάλο βαθμό από την ένταξη του ενεργού πληθυσμού στην αγορά εργασίας και από ένα ισχυρό σύστημα κοινωνικής πρόνοιας·</w:t>
            </w:r>
          </w:p>
        </w:tc>
        <w:tc>
          <w:tcPr>
            <w:tcW w:w="4876" w:type="dxa"/>
            <w:tcBorders>
              <w:top w:val="nil"/>
              <w:left w:val="nil"/>
              <w:bottom w:val="nil"/>
              <w:right w:val="nil"/>
            </w:tcBorders>
          </w:tcPr>
          <w:p>
            <w:pPr>
              <w:pStyle w:val="Normal6a"/>
            </w:pPr>
            <w:r>
              <w:t>Β.</w:t>
            </w:r>
            <w:r>
              <w:tab/>
            </w:r>
            <w:r>
              <w:t xml:space="preserve">λαμβάνοντας υπόψη ότι οι δημογραφικές προκλήσεις, όπως η γήρανση του πληθυσμού, τα χαμηλά ποσοστά γεννήσεων και η πληθυσμιακή συρρίκνωση της υπαίθρου, επηρεάζουν σε μεγάλο βαθμό τη βιωσιμότητα των συστημάτων κοινωνικής πρόνοιας και </w:t>
            </w:r>
            <w:r>
              <w:rPr>
                <w:b/>
                <w:i/>
              </w:rPr>
              <w:t>επιδεινώνουν περαιτέρω τις περιφερειακές ανισότητες στην ΕΕ και</w:t>
            </w:r>
            <w:r>
              <w:t>, συνεπώς, αποτελούν διαρθρωτική πρόκληση για την οικονομία της ΕΕ· λαμβάνοντας υπόψη ότι, όπως επισημαίνεται στην έκθεση Draghi, η βιώσιμη ανάπτυξη στην Ευρώπη εξαρτάται σε μεγάλο βαθμό από την ένταξη του ενεργού πληθυσμού στην αγορά εργασίας και από ένα ισχυρό σύστημα κοινωνικής πρόνοιας·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οι δημογραφικές </w:t>
            </w:r>
            <w:r>
              <w:rPr>
                <w:b/>
                <w:i/>
              </w:rPr>
              <w:t>προκλήσεις, όπως η γήρανση του πληθυσμού, τα χαμηλά ποσοστά γεννήσεων</w:t>
            </w:r>
            <w:r>
              <w:t xml:space="preserve"> και η πληθυσμιακή συρρίκνωση της υπαίθρου, επηρεάζουν </w:t>
            </w:r>
            <w:r>
              <w:rPr>
                <w:b/>
                <w:i/>
              </w:rPr>
              <w:t>σε μεγάλο βαθμό</w:t>
            </w:r>
            <w:r>
              <w:t xml:space="preserve"> τη βιωσιμότητα των συστημάτων κοινωνικής </w:t>
            </w:r>
            <w:r>
              <w:rPr>
                <w:b/>
                <w:i/>
              </w:rPr>
              <w:t>πρόνοιας</w:t>
            </w:r>
            <w:r>
              <w:t xml:space="preserve"> και, συνεπώς, αποτελούν διαρθρωτική πρόκληση </w:t>
            </w:r>
            <w:r>
              <w:rPr>
                <w:b/>
                <w:i/>
              </w:rPr>
              <w:t>για</w:t>
            </w:r>
            <w:r>
              <w:t xml:space="preserve"> την οικονομία της ΕΕ· λαμβάνοντας υπόψη ότι, όπως επισημαίνεται στην έκθεση Draghi, η βιώσιμη ανάπτυξη στην Ευρώπη εξαρτάται σε μεγάλο βαθμό από την </w:t>
            </w:r>
            <w:r>
              <w:rPr>
                <w:b/>
                <w:i/>
              </w:rPr>
              <w:t>ένταξη του ενεργού πληθυσμού</w:t>
            </w:r>
            <w:r>
              <w:t xml:space="preserve"> στην αγορά εργασίας και από ένα ισχυρό σύστημα κοινωνικής πρόνοιας·</w:t>
            </w:r>
          </w:p>
        </w:tc>
        <w:tc>
          <w:tcPr>
            <w:tcW w:w="4876" w:type="dxa"/>
            <w:tcBorders>
              <w:top w:val="nil"/>
              <w:left w:val="nil"/>
              <w:bottom w:val="nil"/>
              <w:right w:val="nil"/>
            </w:tcBorders>
          </w:tcPr>
          <w:p>
            <w:pPr>
              <w:pStyle w:val="Normal6a"/>
            </w:pPr>
            <w:r>
              <w:t>Β.</w:t>
            </w:r>
            <w:r>
              <w:tab/>
            </w:r>
            <w:r>
              <w:t xml:space="preserve">λαμβάνοντας υπόψη ότι οι δημογραφικές </w:t>
            </w:r>
            <w:r>
              <w:rPr>
                <w:b/>
                <w:i/>
              </w:rPr>
              <w:t>εξελίξεις, η αύξηση του προσδόκιμου ζωής</w:t>
            </w:r>
            <w:r>
              <w:t xml:space="preserve"> και η πληθυσμιακή συρρίκνωση της υπαίθρου, επηρεάζουν τη βιωσιμότητα των συστημάτων κοινωνικής </w:t>
            </w:r>
            <w:r>
              <w:rPr>
                <w:b/>
                <w:i/>
              </w:rPr>
              <w:t>προστασίας και των κοινωνικών υπηρεσιών</w:t>
            </w:r>
            <w:r>
              <w:t xml:space="preserve"> και, συνεπώς, αποτελούν διαρθρωτική πρόκληση </w:t>
            </w:r>
            <w:r>
              <w:rPr>
                <w:b/>
                <w:i/>
              </w:rPr>
              <w:t>όσον αφορά</w:t>
            </w:r>
            <w:r>
              <w:t xml:space="preserve"> την οικονομία της ΕΕ· λαμβάνοντας υπόψη ότι, όπως επισημαίνεται στην έκθεση Draghi, η βιώσιμη ανάπτυξη στην Ευρώπη εξαρτάται σε μεγάλο βαθμό από την </w:t>
            </w:r>
            <w:r>
              <w:rPr>
                <w:b/>
                <w:i/>
              </w:rPr>
              <w:t>αποτελεσματική και δίκαιη ένταξη</w:t>
            </w:r>
            <w:r>
              <w:t xml:space="preserve"> στην αγορά εργασίας</w:t>
            </w:r>
            <w:r>
              <w:rPr>
                <w:b/>
                <w:i/>
              </w:rPr>
              <w:t>, καθώς</w:t>
            </w:r>
            <w:r>
              <w:t xml:space="preserve"> και από ένα ισχυρό σύστημα κοινωνικής πρόνοιας·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όπως επισημαίνεται στην έκθεση Draghi, οι διακινούμενοι εργαζόμενοι αποτελούν σημαντικό παράγοντα για τη μείωση των ελλείψεων εργατικού δυναμικού και είναι πιο πιθανό να εργαστούν σε επαγγέλματα που παρουσιάζουν επίμονες ελλείψεις από ό,τι οι εργαζόμενοι που έχουν γεννηθεί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β.</w:t>
            </w:r>
            <w:r>
              <w:tab/>
            </w:r>
            <w:r>
              <w:rPr>
                <w:b/>
                <w:i/>
              </w:rPr>
              <w:t>λαμβάνοντας υπόψη ότι το 70 % των εργαζομένων στην Ευρώπη κατέχουν ποιοτικές θέσεις εργασίας, το 30 % απασχολούνται σε επιβαρυμένες θέσεις εργασίας, όπου οι απαιτήσεις υπερβαίνουν τους πόρους που διατίθενται για την εξισορρόπηση τους, γεγονός που οδηγεί συνολικά σε θέσεις εργασίας χαμηλής ποιότητας.</w:t>
            </w:r>
            <w:r>
              <w:t xml:space="preserve"> </w:t>
            </w:r>
            <w:r>
              <w:rPr>
                <w:b/>
                <w:i/>
              </w:rPr>
              <w:t>Σε πολλά επαγγέλματα που πλήττονται από επίμονες ελλείψεις εργατικού δυναμικού, το ποσοστό των θέσεων εργασίας χαμηλής ποιότητας υπερβαίνει το 30 %·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λαμβάνοντας υπόψη ότι η έκθεση Letta αποδοκιμάζει τη μείωση του ποσοστού γεννήσεων, επισημαίνοντας τη σημασία της δημιουργίας ενός πλαισίου για τη στήριξη όλων των οικογενειών στο πλαίσιο μιας στρατηγικής ανάπτυξης χωρίς αποκλεισμούς</w:t>
            </w:r>
            <w:r>
              <w:rPr>
                <w:b/>
                <w:i/>
              </w:rPr>
              <w:t>,</w:t>
            </w:r>
            <w:r>
              <w:t xml:space="preserve"> και τονίζοντας την ανάγκη προώθησης πολιτικών για την εξισορρόπηση της οικογενειακής και της επαγγελματικής ζωής·</w:t>
            </w:r>
          </w:p>
        </w:tc>
        <w:tc>
          <w:tcPr>
            <w:tcW w:w="4876" w:type="dxa"/>
            <w:tcBorders>
              <w:top w:val="nil"/>
              <w:left w:val="nil"/>
              <w:bottom w:val="nil"/>
              <w:right w:val="nil"/>
            </w:tcBorders>
          </w:tcPr>
          <w:p>
            <w:pPr>
              <w:pStyle w:val="Normal6a"/>
            </w:pPr>
            <w:r>
              <w:t>Γ.</w:t>
            </w:r>
            <w:r>
              <w:tab/>
            </w:r>
            <w:r>
              <w:t xml:space="preserve">λαμβάνοντας υπόψη ότι η έκθεση Letta αποδοκιμάζει τη μείωση του ποσοστού γεννήσεων, επισημαίνοντας τη σημασία της δημιουργίας ενός πλαισίου για τη </w:t>
            </w:r>
            <w:r>
              <w:rPr>
                <w:b/>
                <w:i/>
              </w:rPr>
              <w:t>βελτίωση της ισότητας των φύλων και τη</w:t>
            </w:r>
            <w:r>
              <w:t xml:space="preserve"> στήριξη όλων των </w:t>
            </w:r>
            <w:r>
              <w:rPr>
                <w:b/>
                <w:i/>
              </w:rPr>
              <w:t>μορφών οικογένειας και των ατόμων, συμπεριλαμβανομένων των μονογονεϊκών</w:t>
            </w:r>
            <w:r>
              <w:t xml:space="preserve"> οικογενειών</w:t>
            </w:r>
            <w:r>
              <w:rPr>
                <w:b/>
                <w:i/>
              </w:rPr>
              <w:t>,</w:t>
            </w:r>
            <w:r>
              <w:t xml:space="preserve"> στο πλαίσιο μιας στρατηγικής ανάπτυξης χωρίς αποκλεισμούς και τονίζοντας την ανάγκη προώθησης πολιτικών για την εξισορρόπηση της οικογενειακής και της επαγγελματικής ζωής </w:t>
            </w:r>
            <w:r>
              <w:rPr>
                <w:b/>
                <w:i/>
              </w:rPr>
              <w:t>που θα διασφαλίζουν προσβάσιμα και επαγγελματικά συστήματα φροντίδας, καθώς και δημόσια ποιοτική εκπαίδευση, άδεια για οικογενειακούς λόγους και ευέλικτες ρυθμίσεις εργασίας σύμφωνα με την ευρωπαϊκή στρατηγική για τη φροντίδα·</w:t>
            </w:r>
            <w:r>
              <w:t xml:space="preserve"> </w:t>
            </w:r>
            <w:r>
              <w:rPr>
                <w:b/>
                <w:i/>
              </w:rPr>
              <w:t>λαμβάνοντας υπόψη ότι η Eurostat τονίζει την αύξηση του πληθυσμού της ΕΕ λόγω της μετανάστευσης και την ανάγκη να καταβληθούν περισσότερες προσπάθειες για την ένταξη των μεταναστών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έκθεση Letta </w:t>
            </w:r>
            <w:r>
              <w:rPr>
                <w:b/>
                <w:i/>
              </w:rPr>
              <w:t>αποδοκιμάζει τη μείωση του ποσοστού γεννήσεων, επισημαίνοντας τη σημασία της δημιουργίας ενός πλαισίου για τη στήριξη όλων των οικογενειών στο πλαίσιο μιας στρατηγικής ανάπτυξης</w:t>
            </w:r>
            <w:r>
              <w:t xml:space="preserve"> χωρίς αποκλεισμούς</w:t>
            </w:r>
            <w:r>
              <w:rPr>
                <w:b/>
                <w:i/>
              </w:rPr>
              <w:t>, και τονίζοντας την ανάγκη προώθησης πολιτικών για την εξισορρόπηση της οικογενειακής και της επαγγελματικής ζωής</w:t>
            </w:r>
            <w:r>
              <w:t>·</w:t>
            </w:r>
          </w:p>
        </w:tc>
        <w:tc>
          <w:tcPr>
            <w:tcW w:w="4876" w:type="dxa"/>
            <w:tcBorders>
              <w:top w:val="nil"/>
              <w:left w:val="nil"/>
              <w:bottom w:val="nil"/>
              <w:right w:val="nil"/>
            </w:tcBorders>
          </w:tcPr>
          <w:p>
            <w:pPr>
              <w:pStyle w:val="Normal6a"/>
            </w:pPr>
            <w:r>
              <w:t>Γ.</w:t>
            </w:r>
            <w:r>
              <w:tab/>
            </w:r>
            <w:r>
              <w:t xml:space="preserve">λαμβάνοντας υπόψη ότι η έκθεση Letta </w:t>
            </w:r>
            <w:r>
              <w:rPr>
                <w:b/>
                <w:i/>
              </w:rPr>
              <w:t>τονίζει την ανάγκη για μια ισχυρή κοινωνική διάσταση της ενιαίας αγοράς της ΕΕ, προκειμένου να αποφευχθούν σημαντικές οικονομικές και κοινωνικές ανισορροπίες, να προωθηθεί η ευημερία, να διασφαλιστούν δίκαιες ευκαιρίες, τα δικαιώματα των εργαζομένων και η κοινωνική προστασία για όλους, συμβάλλοντας παράλληλα στην ανάπτυξη</w:t>
            </w:r>
            <w:r>
              <w:t xml:space="preserve"> χωρίς αποκλεισμούς </w:t>
            </w:r>
            <w:r>
              <w:rPr>
                <w:b/>
                <w:i/>
              </w:rPr>
              <w:t>και την ανταγωνιστικότητα σύμφωνα με τον πυλώνα κοινωνικών δικαιωμάτων·</w:t>
            </w:r>
            <w:r>
              <w:t xml:space="preserve"> </w:t>
            </w:r>
            <w:r>
              <w:rPr>
                <w:b/>
                <w:i/>
              </w:rPr>
              <w:t>λαμβάνοντας υπόψη ότι η έκθεση επισημαίνει ότι η ελεύθερη κυκλοφορία των προσώπων εξακολουθεί να είναι η λιγότερο ανεπτυγμένη από τις τέσσερις ελευθερίες και υποστηρίζει τη μείωση των εμποδίων στην επαγγελματική κινητικότητα εντός της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έκθεση Letta </w:t>
            </w:r>
            <w:r>
              <w:rPr>
                <w:b/>
                <w:i/>
              </w:rPr>
              <w:t>αποδοκιμάζει</w:t>
            </w:r>
            <w:r>
              <w:t xml:space="preserve"> τη μείωση του ποσοστού γεννήσεων, </w:t>
            </w:r>
            <w:r>
              <w:rPr>
                <w:b/>
                <w:i/>
              </w:rPr>
              <w:t>επισημαίνοντας</w:t>
            </w:r>
            <w:r>
              <w:t xml:space="preserve"> τη σημασία της δημιουργίας ενός πλαισίου για τη στήριξη όλων </w:t>
            </w:r>
            <w:r>
              <w:rPr>
                <w:b/>
                <w:i/>
              </w:rPr>
              <w:t>των οικογενειών</w:t>
            </w:r>
            <w:r>
              <w:t xml:space="preserve"> στο πλαίσιο μιας στρατηγικής ανάπτυξης χωρίς αποκλεισμούς</w:t>
            </w:r>
            <w:r>
              <w:rPr>
                <w:b/>
                <w:i/>
              </w:rPr>
              <w:t>,</w:t>
            </w:r>
            <w:r>
              <w:t xml:space="preserve"> και τονίζοντας την ανάγκη προώθησης πολιτικών για την εξισορρόπηση της οικογενειακής και της επαγγελματικής ζωής·</w:t>
            </w:r>
          </w:p>
        </w:tc>
        <w:tc>
          <w:tcPr>
            <w:tcW w:w="4876" w:type="dxa"/>
            <w:tcBorders>
              <w:top w:val="nil"/>
              <w:left w:val="nil"/>
              <w:bottom w:val="nil"/>
              <w:right w:val="nil"/>
            </w:tcBorders>
          </w:tcPr>
          <w:p>
            <w:pPr>
              <w:pStyle w:val="Normal6a"/>
            </w:pPr>
            <w:r>
              <w:t>Γ.</w:t>
            </w:r>
            <w:r>
              <w:tab/>
            </w:r>
            <w:r>
              <w:t xml:space="preserve">λαμβάνοντας υπόψη ότι η έκθεση Letta </w:t>
            </w:r>
            <w:r>
              <w:rPr>
                <w:b/>
                <w:i/>
              </w:rPr>
              <w:t>επισημαίνει</w:t>
            </w:r>
            <w:r>
              <w:t xml:space="preserve"> τη μείωση του ποσοστού γεννήσεων, </w:t>
            </w:r>
            <w:r>
              <w:rPr>
                <w:b/>
                <w:i/>
              </w:rPr>
              <w:t>τονίζοντας</w:t>
            </w:r>
            <w:r>
              <w:t xml:space="preserve"> τη σημασία της δημιουργίας ενός πλαισίου για τη στήριξη όλων </w:t>
            </w:r>
            <w:r>
              <w:rPr>
                <w:b/>
                <w:i/>
              </w:rPr>
              <w:t>στις κοινωνίες μας κατά τη διάρκεια αυτής της άνευ προηγουμένου κρίσης του κόστους ζωής</w:t>
            </w:r>
            <w:r>
              <w:t xml:space="preserve"> στο πλαίσιο μιας στρατηγικής ανάπτυξης χωρίς αποκλεισμούς και τονίζοντας την ανάγκη προώθησης πολιτικών για την εξισορρόπηση της οικογενειακής και της επαγγελματικής ζωής </w:t>
            </w:r>
            <w:r>
              <w:rPr>
                <w:b/>
                <w:i/>
              </w:rPr>
              <w:t>για όλους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λαμβάνοντας υπόψη ότι η έκθεση Letta αποδοκιμάζει τη μείωση του ποσοστού γεννήσεων, επισημαίνοντας τη σημασία της δημιουργίας ενός πλαισίου για τη στήριξη όλων των οικογενειών στο πλαίσιο μιας στρατηγικής ανάπτυξης χωρίς αποκλεισμούς, και τονίζοντας την ανάγκη προώθησης πολιτικών για την εξισορρόπηση της οικογενειακής και της επαγγελματικής ζωής·</w:t>
            </w:r>
          </w:p>
        </w:tc>
        <w:tc>
          <w:tcPr>
            <w:tcW w:w="4876" w:type="dxa"/>
            <w:tcBorders>
              <w:top w:val="nil"/>
              <w:left w:val="nil"/>
              <w:bottom w:val="nil"/>
              <w:right w:val="nil"/>
            </w:tcBorders>
          </w:tcPr>
          <w:p>
            <w:pPr>
              <w:pStyle w:val="Normal6a"/>
            </w:pPr>
            <w:r>
              <w:t>Γ.</w:t>
            </w:r>
            <w:r>
              <w:tab/>
            </w:r>
            <w:r>
              <w:t xml:space="preserve">λαμβάνοντας υπόψη ότι η έκθεση Letta αποδοκιμάζει τη μείωση του ποσοστού γεννήσεων, επισημαίνοντας τη σημασία της δημιουργίας ενός </w:t>
            </w:r>
            <w:r>
              <w:rPr>
                <w:b/>
                <w:i/>
              </w:rPr>
              <w:t>ολοκληρωμένου</w:t>
            </w:r>
            <w:r>
              <w:t xml:space="preserve"> πλαισίου για τη στήριξη όλων των οικογενειών στο πλαίσιο μιας στρατηγικής ανάπτυξης χωρίς αποκλεισμούς, και τονίζοντας την ανάγκη προώθησης πολιτικών για την εξισορρόπηση της οικογενειακής και της επαγγελματικής ζωής·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Γ.</w:t>
            </w:r>
            <w:r>
              <w:tab/>
            </w:r>
            <w:r>
              <w:t xml:space="preserve">λαμβάνοντας υπόψη ότι η έκθεση Letta αποδοκιμάζει τη μείωση του ποσοστού γεννήσεων, επισημαίνοντας τη σημασία της δημιουργίας ενός πλαισίου για τη στήριξη όλων των οικογενειών στο πλαίσιο μιας στρατηγικής ανάπτυξης χωρίς αποκλεισμούς, και τονίζοντας την ανάγκη προώθησης </w:t>
            </w:r>
            <w:r>
              <w:rPr>
                <w:b/>
                <w:i/>
              </w:rPr>
              <w:t>πολιτικών για την εξισορρόπηση της οικογενειακής και της επαγγελματικής ζωής</w:t>
            </w:r>
            <w:r>
              <w:t>·</w:t>
            </w:r>
          </w:p>
        </w:tc>
        <w:tc>
          <w:tcPr>
            <w:tcW w:w="4876" w:type="dxa"/>
            <w:tcBorders>
              <w:top w:val="nil"/>
              <w:left w:val="nil"/>
              <w:bottom w:val="nil"/>
              <w:right w:val="nil"/>
            </w:tcBorders>
          </w:tcPr>
          <w:p>
            <w:pPr>
              <w:pStyle w:val="Normal6a"/>
            </w:pPr>
            <w:r>
              <w:t>Γ.</w:t>
            </w:r>
            <w:r>
              <w:tab/>
            </w:r>
            <w:r>
              <w:t xml:space="preserve">λαμβάνοντας υπόψη ότι η έκθεση Letta αποδοκιμάζει τη μείωση του ποσοστού γεννήσεων, επισημαίνοντας τη σημασία της δημιουργίας ενός πλαισίου για τη στήριξη όλων των οικογενειών </w:t>
            </w:r>
            <w:r>
              <w:rPr>
                <w:b/>
                <w:i/>
              </w:rPr>
              <w:t>των ευρωπαίων πολιτών</w:t>
            </w:r>
            <w:r>
              <w:t xml:space="preserve"> στο πλαίσιο μιας στρατηγικής ανάπτυξης χωρίς αποκλεισμούς, και τονίζοντας την ανάγκη προώθησης </w:t>
            </w:r>
            <w:r>
              <w:rPr>
                <w:b/>
                <w:i/>
              </w:rPr>
              <w:t>οικογενειακών πολιτικών</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α.</w:t>
            </w:r>
            <w:r>
              <w:tab/>
            </w:r>
            <w:r>
              <w:rPr>
                <w:b/>
                <w:i/>
              </w:rPr>
              <w:t>λαμβάνοντας υπόψη ότι η προώθηση μιας ισχυρής, βιώσιμης και χωρίς αποκλεισμούς οικονομικής ανάπτυξης με τη δημιουργία θέσεων εργασίας, σύμφωνα με τις συστάσεις του Ευρωπαϊκού Εξαμήνου, μπορεί να επιτύχει μόνο εάν τα παιδιά είναι σε θέση να αναπτυχθούν με αυτονομία και να αξιοποιήσουν πλήρως το (εκπαιδευτικό) δυναμικό τους, ώστε να είναι προετοιμασμένα για τη μελλοντική αγορά δεξιοτήτων, ενώ παράλληλα προωθεί τις ίσες ευκαιρίες και την κοινωνική συνοχή, μειώνει τις ανισότητες στον τομέα της υγείας και τις κοινωνικές ανισότητες και ενισχύει την κοινωνική ένταξη και την ευημερία των παιδιών·</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β.</w:t>
            </w:r>
            <w:r>
              <w:tab/>
            </w:r>
            <w:r>
              <w:rPr>
                <w:b/>
                <w:i/>
              </w:rPr>
              <w:t>λαμβάνοντας υπόψη ότι, για τον σκοπό αυτό, τα παιδιά πρέπει να έχουν ουσιαστική πρόσβαση σε βασικές υπηρεσίες φροντίδας, όπως η προσχολική εκπαίδευση και φροντίδα, οι εκπαιδευτικές και σχολικές δραστηριότητες και, ιδίως, στη βασική υγειονομική περίθαλψη, με την αποτελεσματική πρόσβαση σε υγιεινή διατροφή, συμπεριλαμβανομένου τουλάχιστον ενός υγιεινού γεύματος ανά σχολική ημέρα, ώστε να ενισχυθεί η ανθεκτικότητά τους·</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γ.</w:t>
            </w:r>
            <w:r>
              <w:tab/>
            </w:r>
            <w:r>
              <w:rPr>
                <w:b/>
                <w:i/>
              </w:rPr>
              <w:t>λαμβάνοντας υπόψη ότι οι οικογένειες πρέπει να ενισχυθούν με στοχευμένο τρόπο, προκειμένου να διασφαλιστεί καλύτερη ανάπτυξη των μελλοντικών γενεών·</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Γ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Γ δ.</w:t>
            </w:r>
            <w:r>
              <w:tab/>
            </w:r>
            <w:r>
              <w:rPr>
                <w:b/>
                <w:i/>
              </w:rPr>
              <w:t>λαμβάνοντας υπόψη ότι πρέπει να σημειωθεί σημαντική πρόοδος για να καταπολεμηθεί η φτώχεια των παιδιών και των οικογενειών τους και για να υπάρξει συμβολή προς τον στόχο που αφορά τη μείωση του αριθμού των ατόμων που πλήττονται από τη φτώχεια κατά τουλάχιστον 15 εκατομμύρια έως το 2030, συμπεριλαμβανομένων τουλάχιστον 5 εκατομμυρίων παιδιών σε όλα τα κράτη μέλη·</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w:t>
            </w:r>
            <w:r>
              <w:rPr>
                <w:b/>
                <w:i/>
              </w:rPr>
              <w:t>ο πληθωρισμός έχει</w:t>
            </w:r>
            <w:r>
              <w:t xml:space="preserve"> αυξήσει την επιβάρυνση των νοικοκυριών </w:t>
            </w:r>
            <w:r>
              <w:rPr>
                <w:b/>
                <w:i/>
              </w:rPr>
              <w:t>και ότι</w:t>
            </w:r>
            <w:r>
              <w:t xml:space="preserve"> το κόστος στέγασης </w:t>
            </w:r>
            <w:r>
              <w:rPr>
                <w:b/>
                <w:i/>
              </w:rPr>
              <w:t>και η ενεργειακή φτώχεια παραμένουν σημαντικά προβλήματα</w:t>
            </w:r>
            <w:r>
              <w:t>·</w:t>
            </w:r>
          </w:p>
        </w:tc>
        <w:tc>
          <w:tcPr>
            <w:tcW w:w="4876" w:type="dxa"/>
            <w:tcBorders>
              <w:top w:val="nil"/>
              <w:left w:val="nil"/>
              <w:bottom w:val="nil"/>
              <w:right w:val="nil"/>
            </w:tcBorders>
          </w:tcPr>
          <w:p>
            <w:pPr>
              <w:pStyle w:val="Normal6a"/>
            </w:pPr>
            <w:r>
              <w:t>Δ.</w:t>
            </w:r>
            <w:r>
              <w:tab/>
            </w:r>
            <w:r>
              <w:t xml:space="preserve">λαμβάνοντας υπόψη ότι </w:t>
            </w:r>
            <w:r>
              <w:rPr>
                <w:b/>
                <w:i/>
              </w:rPr>
              <w:t>τα υψηλά ποσοστά πληθωρισμού έχουν</w:t>
            </w:r>
            <w:r>
              <w:t xml:space="preserve"> αυξήσει </w:t>
            </w:r>
            <w:r>
              <w:rPr>
                <w:b/>
                <w:i/>
              </w:rPr>
              <w:t>το κόστος ζωής και</w:t>
            </w:r>
            <w:r>
              <w:t xml:space="preserve"> την επιβάρυνση των νοικοκυριών</w:t>
            </w:r>
            <w:r>
              <w:rPr>
                <w:b/>
                <w:i/>
              </w:rPr>
              <w:t>, το κόστος στέγασης, η ενεργειακή φτώχεια και ο κοινωνικός αποκλεισμός παραμένουν καίριες προκλήσεις στην ΕΕ, οι οποίες επηρεάζουν ιδιαίτερα τις γυναίκες, τους νέους, τα παιδιά, τα άτομα με αναπηρία, τα άτομα ΛΟΑΤΙ, τα άτομα που προέρχονται από οικογένειες μεταναστών, και τους Ρομά, με σημαντικές διαφορές τόσο μεταξύ όσο και εντός των κρατών μελών και των εν λόγω πληθυσμιακών ομάδων·</w:t>
            </w:r>
            <w:r>
              <w:t xml:space="preserve"> </w:t>
            </w:r>
            <w:r>
              <w:rPr>
                <w:b/>
                <w:i/>
              </w:rPr>
              <w:t>λαμβάνοντας υπόψη ότι η στέγαση καθίσταται οικονομικά ασύμφορη για πολλούς Ευρωπαίους που ζουν σε νοικοκυριά όπου</w:t>
            </w:r>
            <w:r>
              <w:t xml:space="preserve"> το κόστος στέγασης </w:t>
            </w:r>
            <w:r>
              <w:rPr>
                <w:b/>
                <w:i/>
              </w:rPr>
              <w:t>αντιπροσωπεύει το 40 % του συνολικού διαθέσιμου εισοδήματός τους·</w:t>
            </w:r>
            <w:r>
              <w:t xml:space="preserve"> </w:t>
            </w:r>
            <w:r>
              <w:rPr>
                <w:b/>
                <w:i/>
              </w:rPr>
              <w:t>λαμβάνοντας υπόψη ότι η αξιοπρεπής, ποιοτική και οικονομικά προσιτή στέγαση, συμπεριλαμβανομένης της κοινωνικής στέγασης, αποτελεί θεμελιώδη προϋπόθεση για τη διασφάλιση ίσων ευκαιριών και την καταπολέμηση της φτώχειας και/ή του κοινωνικού αποκλεισμού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ο πληθωρισμός έχει αυξήσει την επιβάρυνση των νοικοκυριών και ότι το κόστος στέγασης και η ενεργειακή φτώχεια παραμένουν σημαντικά προβλήματα·</w:t>
            </w:r>
          </w:p>
        </w:tc>
        <w:tc>
          <w:tcPr>
            <w:tcW w:w="4876" w:type="dxa"/>
            <w:tcBorders>
              <w:top w:val="nil"/>
              <w:left w:val="nil"/>
              <w:bottom w:val="nil"/>
              <w:right w:val="nil"/>
            </w:tcBorders>
          </w:tcPr>
          <w:p>
            <w:pPr>
              <w:pStyle w:val="Normal6a"/>
            </w:pPr>
            <w:r>
              <w:t>Δ.</w:t>
            </w:r>
            <w:r>
              <w:tab/>
            </w:r>
            <w:r>
              <w:t xml:space="preserve">λαμβάνοντας υπόψη ότι ο πληθωρισμός έχει αυξήσει την επιβάρυνση των νοικοκυριών και </w:t>
            </w:r>
            <w:r>
              <w:rPr>
                <w:b/>
                <w:i/>
              </w:rPr>
              <w:t>των ΜΜΕ, επιδεινώνοντας τους κινδύνους φτώχειας και κοινωνικού αποκλεισμού·</w:t>
            </w:r>
            <w:r>
              <w:t xml:space="preserve"> </w:t>
            </w:r>
            <w:r>
              <w:rPr>
                <w:b/>
                <w:i/>
              </w:rPr>
              <w:t>λαμβάνοντας υπόψη</w:t>
            </w:r>
            <w:r>
              <w:t xml:space="preserve"> ότι το κόστος </w:t>
            </w:r>
            <w:r>
              <w:rPr>
                <w:b/>
                <w:i/>
              </w:rPr>
              <w:t>ζωής, η διαθεσιμότητα και η οικονομική προσιτότητα της</w:t>
            </w:r>
            <w:r>
              <w:t xml:space="preserve"> στέγασης</w:t>
            </w:r>
            <w:r>
              <w:rPr>
                <w:b/>
                <w:i/>
              </w:rPr>
              <w:t>, καθώς</w:t>
            </w:r>
            <w:r>
              <w:t xml:space="preserve"> και η ενεργειακή φτώχεια </w:t>
            </w:r>
            <w:r>
              <w:rPr>
                <w:b/>
                <w:i/>
              </w:rPr>
              <w:t>και η φτώχεια στον τομέα των μεταφορών</w:t>
            </w:r>
            <w:r>
              <w:t xml:space="preserve"> παραμένουν σημαντικά προβλήματα· </w:t>
            </w:r>
            <w:r>
              <w:rPr>
                <w:b/>
                <w:i/>
              </w:rPr>
              <w:t>λαμβάνοντας υπόψη ότι οι επενδύσεις σε κοινωνικές υπηρεσίες και η αύξηση της προσφοράς στέγασης, συμπεριλαμβανομένης της κοινωνικής στέγασης, καθώς και τα επιδόματα στέγασης, διαδραματίζουν καίριο ρόλο στη μείωση της φτώχειας των ευάλωτων νοικοκυριών και στη βελτίωση της οικονομικής προσιτότητας·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ο πληθωρισμός έχει αυξήσει την επιβάρυνση των νοικοκυριών και ότι το κόστος στέγασης και η ενεργειακή φτώχεια </w:t>
            </w:r>
            <w:r>
              <w:rPr>
                <w:b/>
                <w:i/>
              </w:rPr>
              <w:t>παραμένουν σημαντικά προβλήματα</w:t>
            </w:r>
            <w:r>
              <w:t>·</w:t>
            </w:r>
          </w:p>
        </w:tc>
        <w:tc>
          <w:tcPr>
            <w:tcW w:w="4876" w:type="dxa"/>
            <w:tcBorders>
              <w:top w:val="nil"/>
              <w:left w:val="nil"/>
              <w:bottom w:val="nil"/>
              <w:right w:val="nil"/>
            </w:tcBorders>
          </w:tcPr>
          <w:p>
            <w:pPr>
              <w:pStyle w:val="Normal6a"/>
            </w:pPr>
            <w:r>
              <w:t>Δ.</w:t>
            </w:r>
            <w:r>
              <w:tab/>
            </w:r>
            <w:r>
              <w:t xml:space="preserve">λαμβάνοντας υπόψη ότι ο πληθωρισμός έχει αυξήσει την επιβάρυνση των νοικοκυριών και ότι το κόστος στέγασης και η ενεργειακή φτώχεια </w:t>
            </w:r>
            <w:r>
              <w:rPr>
                <w:b/>
                <w:i/>
              </w:rPr>
              <w:t>αυξήθηκαν το 2023 στην ΕΕ για δεύτερο συνεχόμενο έτος, αντικατοπτρίζοντας τον αντίκτυπο του υψηλού ενεργειακού κόστους, για το οποίο απαιτείται η λήψη δραστικών μέτρων από τα κράτη μέλη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ο πληθωρισμός έχει αυξήσει την επιβάρυνση των νοικοκυριών και ότι το κόστος στέγασης και η ενεργειακή φτώχεια παραμένουν σημαντικά προβλήματα·</w:t>
            </w:r>
          </w:p>
        </w:tc>
        <w:tc>
          <w:tcPr>
            <w:tcW w:w="4876" w:type="dxa"/>
            <w:tcBorders>
              <w:top w:val="nil"/>
              <w:left w:val="nil"/>
              <w:bottom w:val="nil"/>
              <w:right w:val="nil"/>
            </w:tcBorders>
          </w:tcPr>
          <w:p>
            <w:pPr>
              <w:pStyle w:val="Normal6a"/>
            </w:pPr>
            <w:r>
              <w:t>Δ.</w:t>
            </w:r>
            <w:r>
              <w:tab/>
            </w:r>
            <w:r>
              <w:t>λαμβάνοντας υπόψη ότι ο πληθωρισμός έχει αυξήσει την επιβάρυνση των νοικοκυριών</w:t>
            </w:r>
            <w:r>
              <w:rPr>
                <w:b/>
                <w:i/>
              </w:rPr>
              <w:t>, με ιδιαίτερα αρνητικό αντίκτυπο στις μονογονεϊκές οικογένειες, τις πολυμελείς οικογένειες, τους ηλικιωμένους ή τα άτομα με αναπηρία,</w:t>
            </w:r>
            <w:r>
              <w:t xml:space="preserve"> και ότι το κόστος στέγασης και η ενεργειακή φτώχεια παραμένουν σημαντικά προβλήματα·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 xml:space="preserve">λαμβάνοντας υπόψη ότι ο πληθωρισμός </w:t>
            </w:r>
            <w:r>
              <w:rPr>
                <w:b/>
                <w:i/>
              </w:rPr>
              <w:t>έχει</w:t>
            </w:r>
            <w:r>
              <w:t xml:space="preserve"> αυξήσει την επιβάρυνση των νοικοκυριών και ότι το κόστος στέγασης και η ενεργειακή φτώχεια παραμένουν σημαντικά προβλήματα·</w:t>
            </w:r>
          </w:p>
        </w:tc>
        <w:tc>
          <w:tcPr>
            <w:tcW w:w="4876" w:type="dxa"/>
            <w:tcBorders>
              <w:top w:val="nil"/>
              <w:left w:val="nil"/>
              <w:bottom w:val="nil"/>
              <w:right w:val="nil"/>
            </w:tcBorders>
          </w:tcPr>
          <w:p>
            <w:pPr>
              <w:pStyle w:val="Normal6a"/>
            </w:pPr>
            <w:r>
              <w:t>Δ.</w:t>
            </w:r>
            <w:r>
              <w:tab/>
            </w:r>
            <w:r>
              <w:t xml:space="preserve">λαμβάνοντας υπόψη ότι ο πληθωρισμός </w:t>
            </w:r>
            <w:r>
              <w:rPr>
                <w:b/>
                <w:i/>
              </w:rPr>
              <w:t>και η απουσία αναδιανεμητικών πολιτικών έχουν</w:t>
            </w:r>
            <w:r>
              <w:t xml:space="preserve"> αυξήσει την </w:t>
            </w:r>
            <w:r>
              <w:rPr>
                <w:b/>
                <w:i/>
              </w:rPr>
              <w:t>οικονομική</w:t>
            </w:r>
            <w:r>
              <w:t xml:space="preserve"> επιβάρυνση των νοικοκυριών</w:t>
            </w:r>
            <w:r>
              <w:rPr>
                <w:b/>
                <w:i/>
              </w:rPr>
              <w:t>, ιδίως των πλέον ευάλωτων·</w:t>
            </w:r>
            <w:r>
              <w:t xml:space="preserve"> και ότι το κόστος στέγασης και η ενεργειακή φτώχεια παραμένουν σημαντικά προβλήματα </w:t>
            </w:r>
            <w:r>
              <w:rPr>
                <w:b/>
                <w:i/>
              </w:rPr>
              <w:t>σε ολόκληρη την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Δ.</w:t>
            </w:r>
            <w:r>
              <w:tab/>
            </w:r>
            <w:r>
              <w:t>λαμβάνοντας υπόψη ότι ο πληθωρισμός έχει αυξήσει την επιβάρυνση των νοικοκυριών και ότι το κόστος στέγασης και η ενεργειακή φτώχεια παραμένουν σημαντικά προβλήματα·</w:t>
            </w:r>
          </w:p>
        </w:tc>
        <w:tc>
          <w:tcPr>
            <w:tcW w:w="4876" w:type="dxa"/>
            <w:tcBorders>
              <w:top w:val="nil"/>
              <w:left w:val="nil"/>
              <w:bottom w:val="nil"/>
              <w:right w:val="nil"/>
            </w:tcBorders>
          </w:tcPr>
          <w:p>
            <w:pPr>
              <w:pStyle w:val="Normal6a"/>
            </w:pPr>
            <w:r>
              <w:t>Δ.</w:t>
            </w:r>
            <w:r>
              <w:tab/>
            </w:r>
            <w:r>
              <w:t>λαμβάνοντας υπόψη ότι ο πληθωρισμός έχει αυξήσει την επιβάρυνση των νοικοκυριών και ότι το κόστος στέγασης και η ενεργειακή φτώχεια παραμένουν σημαντικά προβλήματα</w:t>
            </w:r>
            <w:r>
              <w:rPr>
                <w:b/>
                <w:i/>
              </w:rPr>
              <w:t>, όταν συνδέονται με υπερβολικά πρότυπα όσον αφορά τη στέγαση και την ενέργεια</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τα μεσοπρόθεσμα δημοσιονομικά διαρθρωτικά σχέδια παρουσιάζουν δημοσιονομικές πορείες που επιβεβαιώνουν τον αναδυόμενο συμβιβασμό μεταξύ της αύξησης των επενδύσεων και των επαρκών επιπέδων κοινωνικών δαπανών·</w:t>
            </w:r>
            <w:r>
              <w:t xml:space="preserve"> </w:t>
            </w:r>
            <w:r>
              <w:rPr>
                <w:b/>
                <w:i/>
              </w:rPr>
              <w:t>και παρουσιάζουν ελλιπή συνοχή μεταξύ των μεταρρυθμίσεων και των επενδύσεων, των δημόσιων επενδύσεων και των στόχων δημόσιας χρηματοδότησης·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α.</w:t>
            </w:r>
            <w:r>
              <w:tab/>
            </w:r>
            <w:r>
              <w:rPr>
                <w:b/>
                <w:i/>
              </w:rPr>
              <w:t>λαμβάνοντας υπόψη ότι, παρά την ελάχιστη μείωση του αριθμού των ατόμων που διατρέχουν κίνδυνο φτώχειας ή κοινωνικού αποκλεισμού στην ΕΕ το 2023, περίπου 1 στα 5 άτομα εξακολουθούν να αντιμετωπίζουν αυτή την πρόκληση, με αξιοσημείωτες διαφορές στα παιδιά, τους νέους και τους ηλικιωμένους, τα άτομα με αναπηρία, τα άτομα ΛΟΑΤΙ, τα άτομα που έχουν γεννηθεί εκτός ΕΕ και τις κοινότητες Ρομά·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Δ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Δ β.</w:t>
            </w:r>
            <w:r>
              <w:tab/>
            </w:r>
            <w:r>
              <w:rPr>
                <w:b/>
                <w:i/>
              </w:rPr>
              <w:t>λαμβάνοντας υπόψη ότι οι ευρωπαϊκές πολύ μικρές, μικρές και μεσαίες επιχειρήσεις αντιμετωπίζουν ιδιαίτερες προκλήσεις, όπως η διατήρηση της ανταγωνιστικότητας συγκριτικά με παράγοντες τρίτων χωρών, η διατήρηση των επιπέδων παραγωγής με ολοένα και υψηλότερο ενεργειακό κόστος και η εξεύρεση των απαραίτητων δεξιοτήτων για την πράσινη και την ψηφιακή μετάβαση·</w:t>
            </w:r>
            <w:r>
              <w:t xml:space="preserve"> </w:t>
            </w:r>
            <w:r>
              <w:rPr>
                <w:b/>
                <w:i/>
              </w:rPr>
              <w:t>λαμβάνοντας υπόψη ότι χρειάζονται οικονομική και τεχνική υποστήριξη για να συμμορφωθούν με τις κανονιστικές απαιτήσεις που απορρέουν από τις ευκαιρίες που προσφέρει η διττή μετάβαση·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w:t>
            </w:r>
            <w:r>
              <w:rPr>
                <w:b/>
                <w:i/>
              </w:rPr>
              <w:t>οι ελλείψεις εργατικού δυναμικού και δεξιοτήτων</w:t>
            </w:r>
            <w:r>
              <w:t xml:space="preserve"> εξακολουθούν να αποτελούν πρόβλημα σε όλα τα επίπεδα, γεγονός που επιδεινώνεται από την έλλειψη υποψηφίων για την πλήρωση κρίσιμων θέσεων σε </w:t>
            </w:r>
            <w:r>
              <w:rPr>
                <w:b/>
                <w:i/>
              </w:rPr>
              <w:t>βασικούς</w:t>
            </w:r>
            <w:r>
              <w:t xml:space="preserve"> τομείς όπως η </w:t>
            </w:r>
            <w:r>
              <w:rPr>
                <w:b/>
                <w:i/>
              </w:rPr>
              <w:t>εκπαίδευση, η υγεία και οι κατασκευές</w:t>
            </w:r>
            <w:r>
              <w:t>, ιδίως σε περιοχές που πλήττονται από μείωση του πληθυσμού·</w:t>
            </w:r>
          </w:p>
        </w:tc>
        <w:tc>
          <w:tcPr>
            <w:tcW w:w="4876" w:type="dxa"/>
            <w:tcBorders>
              <w:top w:val="nil"/>
              <w:left w:val="nil"/>
              <w:bottom w:val="nil"/>
              <w:right w:val="nil"/>
            </w:tcBorders>
          </w:tcPr>
          <w:p>
            <w:pPr>
              <w:pStyle w:val="Normal6a"/>
            </w:pPr>
            <w:r>
              <w:t>Ε.</w:t>
            </w:r>
            <w:r>
              <w:tab/>
            </w:r>
            <w:r>
              <w:t xml:space="preserve">λαμβάνοντας υπόψη ότι </w:t>
            </w:r>
            <w:r>
              <w:rPr>
                <w:b/>
                <w:i/>
              </w:rPr>
              <w:t>η έλλειψη ελκυστικότητας και επενδύσεων σε ποιοτικές δημόσιες υπηρεσίες, οι κακές συνθήκες εργασίας και οι χαμηλοί μισθοί</w:t>
            </w:r>
            <w:r>
              <w:t xml:space="preserve"> εξακολουθούν να αποτελούν πρόβλημα σε όλα τα επίπεδα, γεγονός που επιδεινώνεται από την έλλειψη υποψηφίων για την πλήρωση κρίσιμων θέσεων σε </w:t>
            </w:r>
            <w:r>
              <w:rPr>
                <w:b/>
                <w:i/>
              </w:rPr>
              <w:t>ορισμένους</w:t>
            </w:r>
            <w:r>
              <w:t xml:space="preserve"> τομείς</w:t>
            </w:r>
            <w:r>
              <w:rPr>
                <w:b/>
                <w:i/>
              </w:rPr>
              <w:t>,</w:t>
            </w:r>
            <w:r>
              <w:t xml:space="preserve"> όπως η </w:t>
            </w:r>
            <w:r>
              <w:rPr>
                <w:b/>
                <w:i/>
              </w:rPr>
              <w:t>επιστήμη και η τεχνολογία</w:t>
            </w:r>
            <w:r>
              <w:t xml:space="preserve">, ιδίως σε περιοχές που πλήττονται από μείωση του πληθυσμού· </w:t>
            </w:r>
            <w:r>
              <w:rPr>
                <w:b/>
                <w:i/>
              </w:rPr>
              <w:t>λαμβάνοντας υπόψη ότι η ικανότητα της ΕΕ να αντιμετωπίζει μελλοντικούς κλυδωνισμούς, κρίσεις και πολυπαραγοντικές κρίσεις, ενώ παράλληλα πορεύεται προς τη δημογραφική, την ψηφιακή και την πράσινη μετάβαση, θα εξαρτηθεί σε μεγάλο βαθμό από τις συνθήκες υπό τις οποίες οι εργαζόμενοι σε θέσεις κρίσιμης σημασίας θα μπορούν να εκτελούν την εργασία τους·</w:t>
            </w:r>
            <w:r>
              <w:t xml:space="preserve"> </w:t>
            </w:r>
            <w:r>
              <w:rPr>
                <w:b/>
                <w:i/>
              </w:rPr>
              <w:t>λαμβάνοντας υπόψη ότι η αντιμετώπιση των ελλείψεων και η διατήρηση των ταλέντων κάθε λογής απαιτεί αξιοπρεπείς συνθήκες εργασίας, πρόσβαση σε συστήματα κοινωνικής προστασίας και ευκαιρίες για την ανάπτυξη δεξιοτήτων ανάλογα με τις ανάγκες·</w:t>
            </w:r>
            <w:r>
              <w:t xml:space="preserve"> </w:t>
            </w:r>
            <w:r>
              <w:rPr>
                <w:b/>
                <w:i/>
              </w:rPr>
              <w:t>και λαμβάνοντας υπόψη ότι η αντιμετώπιση των ελλείψεων δεξιοτήτων είναι ζωτικής σημασίας για την επίτευξη της ψηφιακής και της πράσινης μετάβασης, της βιώσιμης και χωρίς αποκλεισμούς ανάπτυξης και για την τόνωση της ανταγωνιστικότητας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οι ελλείψεις εργατικού δυναμικού και δεξιοτήτων </w:t>
            </w:r>
            <w:r>
              <w:rPr>
                <w:b/>
                <w:i/>
              </w:rPr>
              <w:t>εξακολουθούν να αποτελούν πρόβλημα σε όλα τα επίπεδα</w:t>
            </w:r>
            <w:r>
              <w:t xml:space="preserve">, γεγονός που επιδεινώνεται από την έλλειψη υποψηφίων για την πλήρωση κρίσιμων θέσεων σε βασικούς τομείς όπως η εκπαίδευση, η υγεία </w:t>
            </w:r>
            <w:r>
              <w:rPr>
                <w:b/>
                <w:i/>
              </w:rPr>
              <w:t>και</w:t>
            </w:r>
            <w:r>
              <w:t xml:space="preserve"> οι κατασκευές, ιδίως σε περιοχές που πλήττονται από μείωση του πληθυσμού·</w:t>
            </w:r>
          </w:p>
        </w:tc>
        <w:tc>
          <w:tcPr>
            <w:tcW w:w="4876" w:type="dxa"/>
            <w:tcBorders>
              <w:top w:val="nil"/>
              <w:left w:val="nil"/>
              <w:bottom w:val="nil"/>
              <w:right w:val="nil"/>
            </w:tcBorders>
          </w:tcPr>
          <w:p>
            <w:pPr>
              <w:pStyle w:val="Normal6a"/>
            </w:pPr>
            <w:r>
              <w:t>Ε.</w:t>
            </w:r>
            <w:r>
              <w:tab/>
            </w:r>
            <w:r>
              <w:t xml:space="preserve">λαμβάνοντας υπόψη ότι οι ελλείψεις εργατικού δυναμικού και δεξιοτήτων </w:t>
            </w:r>
            <w:r>
              <w:rPr>
                <w:b/>
                <w:i/>
              </w:rPr>
              <w:t>αναφέρονται από εταιρείες κάθε μεγέθους και τομέα</w:t>
            </w:r>
            <w:r>
              <w:t>, γεγονός που επιδεινώνεται από την έλλειψη υποψηφίων για την πλήρωση κρίσιμων θέσεων σε βασικούς τομείς</w:t>
            </w:r>
            <w:r>
              <w:rPr>
                <w:b/>
                <w:i/>
              </w:rPr>
              <w:t>,</w:t>
            </w:r>
            <w:r>
              <w:t xml:space="preserve"> όπως η εκπαίδευση, η υγεία</w:t>
            </w:r>
            <w:r>
              <w:rPr>
                <w:b/>
                <w:i/>
              </w:rPr>
              <w:t>,</w:t>
            </w:r>
            <w:r>
              <w:t xml:space="preserve"> οι κατασκευές, </w:t>
            </w:r>
            <w:r>
              <w:rPr>
                <w:b/>
                <w:i/>
              </w:rPr>
              <w:t>η φιλοξενία, η φροντίδα, οι μεταφορές, η επιστημονική τεχνολογία και η μηχανική,</w:t>
            </w:r>
            <w:r>
              <w:t xml:space="preserve"> ιδίως σε περιοχές που πλήττονται από μείωση του πληθυσμού· </w:t>
            </w:r>
            <w:r>
              <w:rPr>
                <w:b/>
                <w:i/>
              </w:rPr>
              <w:t>λαμβάνοντας υπόψη ότι η ΕΕ έχει δρομολογήσει διάφορες πρωτοβουλίες για να αντιμετωπίσει τις ελλείψεις δεξιοτήτων, όπως το ευρωπαϊκό θεματολόγιο δεξιοτήτων, το σύμφωνο για τις δεξιότητες, η πρωτοβουλία ALMA και οι ακαδημίες μηδενικών καθαρών εκπομπών·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οι ελλείψεις εργατικού δυναμικού και δεξιοτήτων εξακολουθούν να αποτελούν πρόβλημα σε όλα τα επίπεδα, </w:t>
            </w:r>
            <w:r>
              <w:rPr>
                <w:b/>
                <w:i/>
              </w:rPr>
              <w:t>γεγονός που επιδεινώνεται από</w:t>
            </w:r>
            <w:r>
              <w:t xml:space="preserve"> την έλλειψη υποψηφίων για την πλήρωση κρίσιμων θέσεων σε βασικούς τομείς όπως η εκπαίδευση, η υγεία και οι κατασκευές, ιδίως σε περιοχές που πλήττονται από μείωση του πληθυσμού·</w:t>
            </w:r>
          </w:p>
        </w:tc>
        <w:tc>
          <w:tcPr>
            <w:tcW w:w="4876" w:type="dxa"/>
            <w:tcBorders>
              <w:top w:val="nil"/>
              <w:left w:val="nil"/>
              <w:bottom w:val="nil"/>
              <w:right w:val="nil"/>
            </w:tcBorders>
          </w:tcPr>
          <w:p>
            <w:pPr>
              <w:pStyle w:val="Normal6a"/>
            </w:pPr>
            <w:r>
              <w:t>Ε.</w:t>
            </w:r>
            <w:r>
              <w:tab/>
            </w:r>
            <w:r>
              <w:t xml:space="preserve">λαμβάνοντας υπόψη ότι οι ελλείψεις εργατικού δυναμικού και δεξιοτήτων </w:t>
            </w:r>
            <w:r>
              <w:rPr>
                <w:b/>
                <w:i/>
              </w:rPr>
              <w:t>που οφείλονται στις δύσκολες συνθήκες εργασίας, τους μη ελκυστικούς μισθούς, την απουσία κατάρτισης, τους φραγμούς στην πρόσβαση στη μέση και τριτοβάθμια εκπαίδευση και τη μη αναγνώριση των δεξιοτήτων και της εκπαίδευσης</w:t>
            </w:r>
            <w:r>
              <w:t xml:space="preserve"> εξακολουθούν να αποτελούν πρόβλημα σε όλα τα επίπεδα, </w:t>
            </w:r>
            <w:r>
              <w:rPr>
                <w:b/>
                <w:i/>
              </w:rPr>
              <w:t>με αποτέλεσμα</w:t>
            </w:r>
            <w:r>
              <w:t xml:space="preserve"> την έλλειψη υποψηφίων για την πλήρωση κρίσιμων θέσεων σε βασικούς τομείς όπως η εκπαίδευση, η υγεία και οι κατασκευές, ιδίως σε περιοχές που πλήττονται από μείωση του πληθυσμού·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οι ελλείψεις εργατικού δυναμικού και δεξιοτήτων εξακολουθούν να αποτελούν πρόβλημα σε όλα τα επίπεδα, </w:t>
            </w:r>
            <w:r>
              <w:rPr>
                <w:b/>
                <w:i/>
              </w:rPr>
              <w:t>γεγονός που επιδεινώνεται από</w:t>
            </w:r>
            <w:r>
              <w:t xml:space="preserve"> την έλλειψη υποψηφίων για την πλήρωση κρίσιμων θέσεων </w:t>
            </w:r>
            <w:r>
              <w:rPr>
                <w:b/>
                <w:i/>
              </w:rPr>
              <w:t>σε βασικούς τομείς</w:t>
            </w:r>
            <w:r>
              <w:t xml:space="preserve"> όπως η εκπαίδευση, η υγεία και οι κατασκευές, ιδίως σε περιοχές που πλήττονται από μείωση του πληθυσμού·</w:t>
            </w:r>
          </w:p>
        </w:tc>
        <w:tc>
          <w:tcPr>
            <w:tcW w:w="4876" w:type="dxa"/>
            <w:tcBorders>
              <w:top w:val="nil"/>
              <w:left w:val="nil"/>
              <w:bottom w:val="nil"/>
              <w:right w:val="nil"/>
            </w:tcBorders>
          </w:tcPr>
          <w:p>
            <w:pPr>
              <w:pStyle w:val="Normal6a"/>
            </w:pPr>
            <w:r>
              <w:t>Ε.</w:t>
            </w:r>
            <w:r>
              <w:tab/>
            </w:r>
            <w:r>
              <w:t xml:space="preserve">λαμβάνοντας υπόψη ότι οι ελλείψεις εργατικού δυναμικού και δεξιοτήτων εξακολουθούν να αποτελούν πρόβλημα σε όλα τα επίπεδα, </w:t>
            </w:r>
            <w:r>
              <w:rPr>
                <w:b/>
                <w:i/>
              </w:rPr>
              <w:t>ενώ η συμμετοχή των ενηλίκων στην εκπαίδευση και την κατάρτιση παρέμεινε σε επίπεδο χαμηλότερο από τον στόχο της ΕΕ, με αποτέλεσμα</w:t>
            </w:r>
            <w:r>
              <w:t xml:space="preserve"> την έλλειψη υποψηφίων για την πλήρωση κρίσιμων θέσεων </w:t>
            </w:r>
            <w:r>
              <w:rPr>
                <w:b/>
                <w:i/>
              </w:rPr>
              <w:t>ειδικά σε τομείς όπου η ζωντανή εργασία είναι δύσκολο να αντικατασταθεί,</w:t>
            </w:r>
            <w:r>
              <w:t xml:space="preserve"> όπως η εκπαίδευση, η υγεία και οι κατασκευές, ιδίως σε περιοχές που πλήττονται από μείωση του πληθυσμού·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οι ελλείψεις εργατικού δυναμικού και δεξιοτήτων εξακολουθούν να αποτελούν πρόβλημα σε όλα τα επίπεδα, γεγονός που επιδεινώνεται από την έλλειψη υποψηφίων για την πλήρωση κρίσιμων θέσεων σε βασικούς τομείς όπως η εκπαίδευση, η υγεία και </w:t>
            </w:r>
            <w:r>
              <w:rPr>
                <w:b/>
                <w:i/>
              </w:rPr>
              <w:t>οι κατασκευές</w:t>
            </w:r>
            <w:r>
              <w:t>, ιδίως σε περιοχές που πλήττονται από μείωση του πληθυσμού·</w:t>
            </w:r>
          </w:p>
        </w:tc>
        <w:tc>
          <w:tcPr>
            <w:tcW w:w="4876" w:type="dxa"/>
            <w:tcBorders>
              <w:top w:val="nil"/>
              <w:left w:val="nil"/>
              <w:bottom w:val="nil"/>
              <w:right w:val="nil"/>
            </w:tcBorders>
          </w:tcPr>
          <w:p>
            <w:pPr>
              <w:pStyle w:val="Normal6a"/>
            </w:pPr>
            <w:r>
              <w:t>Ε.</w:t>
            </w:r>
            <w:r>
              <w:tab/>
            </w:r>
            <w:r>
              <w:t>λαμβάνοντας υπόψη ότι οι ελλείψεις εργατικού δυναμικού και δεξιοτήτων εξακολουθούν να αποτελούν πρόβλημα σε όλα τα επίπεδα, γεγονός που επιδεινώνεται από την έλλειψη υποψηφίων για την πλήρωση κρίσιμων θέσεων σε βασικούς τομείς</w:t>
            </w:r>
            <w:r>
              <w:rPr>
                <w:b/>
                <w:i/>
              </w:rPr>
              <w:t>,</w:t>
            </w:r>
            <w:r>
              <w:t xml:space="preserve"> όπως η εκπαίδευση, η υγεία και </w:t>
            </w:r>
            <w:r>
              <w:rPr>
                <w:b/>
                <w:i/>
              </w:rPr>
              <w:t>η φροντίδα, καθώς και ο κατασκευαστικός τομέας</w:t>
            </w:r>
            <w:r>
              <w:t>, ιδίως σε περιοχές που πλήττονται από μείωση του πληθυσμού·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Ε.</w:t>
            </w:r>
            <w:r>
              <w:tab/>
            </w:r>
            <w:r>
              <w:t xml:space="preserve">λαμβάνοντας υπόψη ότι </w:t>
            </w:r>
            <w:r>
              <w:rPr>
                <w:b/>
                <w:i/>
              </w:rPr>
              <w:t>οι ελλείψεις εργατικού δυναμικού και δεξιοτήτων εξακολουθούν να αποτελούν πρόβλημα σε όλα τα επίπεδα, γεγονός που επιδεινώνεται από την έλλειψη υποψηφίων για την πλήρωση κρίσιμων θέσεων</w:t>
            </w:r>
            <w:r>
              <w:t xml:space="preserve"> σε βασικούς τομείς όπως η εκπαίδευση, η υγεία και οι κατασκευές, ιδίως σε περιοχές που πλήττονται από μείωση του πληθυσμού·</w:t>
            </w:r>
          </w:p>
        </w:tc>
        <w:tc>
          <w:tcPr>
            <w:tcW w:w="4876" w:type="dxa"/>
            <w:tcBorders>
              <w:top w:val="nil"/>
              <w:left w:val="nil"/>
              <w:bottom w:val="nil"/>
              <w:right w:val="nil"/>
            </w:tcBorders>
          </w:tcPr>
          <w:p>
            <w:pPr>
              <w:pStyle w:val="Normal6a"/>
            </w:pPr>
            <w:r>
              <w:t>Ε.</w:t>
            </w:r>
            <w:r>
              <w:tab/>
            </w:r>
            <w:r>
              <w:t xml:space="preserve">λαμβάνοντας υπόψη ότι </w:t>
            </w:r>
            <w:r>
              <w:rPr>
                <w:b/>
                <w:i/>
              </w:rPr>
              <w:t>η έλλειψη επαρκούς αμοιβής και αξιοπρεπών συνθηκών εργασίας συμβάλλει σημαντικά στις ελλείψεις εργατικού δυναμικού και δεξιοτήτων σε κρίσιμες θέσεις</w:t>
            </w:r>
            <w:r>
              <w:t xml:space="preserve"> σε βασικούς τομείς όπως η εκπαίδευση, η υγεία και οι κατασκευές, ιδίως σε περιοχές που πλήττονται από μείωση του πληθυσμού·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η προώθηση της κινητικότητας εντός της ΕΕ και το ενδεχόμενο προσέλκυσης ειδικευμένων εργαζομένων που είναι υπήκοοι τρίτων χωρών, επιπλέον, διασφαλίζουν τον σεβασμό και την επιβολή των εργασιακών και κοινωνικών δικαιωμάτων και διοχετεύουν τους υπηκόους τρίτων χωρών που εισέρχονται στην ΕΕ μέσω νόμιμων οδών μετανάστευσης προς επαγγέλματα που παρουσιάζουν ελλείψεις, με τη στήριξη από μια αποτελεσματική πολιτική ένταξης και σε πλήρη συμπληρωματικότητα με την αξιοποίηση ταλέντων από το εσωτερικό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α.</w:t>
            </w:r>
            <w:r>
              <w:tab/>
            </w:r>
            <w:r>
              <w:rPr>
                <w:b/>
                <w:i/>
              </w:rPr>
              <w:t>λαμβάνοντας υπόψη ότι οι ειδικευμένοι εργαζόμενοι και η πρόσβαση σε ποιοτική εκπαίδευση, επαγγελματική εκπαίδευση και κατάρτιση, καθώς και στη διά βίου μάθηση είναι ζωτικής σημασίας για να διασφαλιστεί μια βιώσιμη και δίκαιη διττή μετάβαση της ευρωπαϊκής οικονομίας·</w:t>
            </w:r>
            <w:r>
              <w:t xml:space="preserve"> </w:t>
            </w:r>
            <w:r>
              <w:rPr>
                <w:b/>
                <w:i/>
              </w:rPr>
              <w:t>λαμβάνοντας υπόψη ότι τα προγράμματα αναβάθμισης των δεξιοτήτων, επανειδίκευσης και κατάρτισης πρέπει να είναι διαθέσιμα σε όλους τους εργαζόμενους, συμπεριλαμβανομένων των εργαζομένων με αναπηρία, και θα πρέπει επίσης να προσαρμόζονται στις ανάγκες και τις ικανότητες των εργαζομένων·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το 2022 η μέση βαθμολογία του Προγράμματος Διεθνούς Αξιολόγησης Μαθητών (PISA) για τις βασικές δεξιότητες (ανάγνωση, μαθηματικά και θετικές επιστήμες) των ατόμων ηλικίας 15 ετών μειώθηκε κατά 10 μονάδες σε σύγκριση με την τελευταία μέτρηση το 2018·</w:t>
            </w:r>
            <w:r>
              <w:t xml:space="preserve"> </w:t>
            </w:r>
            <w:r>
              <w:rPr>
                <w:b/>
                <w:i/>
              </w:rPr>
              <w:t>λαμβάνοντας υπόψη ότι οι χαμηλές επιδόσεις είναι διαδεδομένες μεταξύ των μειονεκτούντων εκπαιδευομένων, γεγονός που καταδεικνύει την όξυνση των εκπαιδευτικών ανισοτήτων·</w:t>
            </w:r>
            <w:r>
              <w:t xml:space="preserve"> </w:t>
            </w:r>
            <w:r>
              <w:rPr>
                <w:b/>
                <w:i/>
              </w:rPr>
              <w:t>λαμβάνοντας υπόψη ότι η εν λόγω ανησυχητική επιδείνωση απαιτεί μεταρρυθμίσεις και επενδύσεις στην εκπαίδευση και την κατάρτιση·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β.</w:t>
            </w:r>
            <w:r>
              <w:tab/>
            </w:r>
            <w:r>
              <w:rPr>
                <w:b/>
                <w:i/>
              </w:rPr>
              <w:t>λαμβάνοντας υπόψη ότι το μισθολογικό χάσμα μεταξύ των φύλων παραμένει σημαντικό στα περισσότερα κράτη μέλη της ΕΕ και ότι οι ευθύνες φροντίδας αποτελούν σημαντικό παράγοντα που εξακολουθεί να περιορίζει τις γυναίκες σε μερική απασχόληση ή οδηγεί στον αποκλεισμό τους από την αγορά εργασίας, με αποτέλεσμα να υπάρχει μεγαλύτερο χάσμα μεταξύ των φύλων στην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γ.</w:t>
            </w:r>
            <w:r>
              <w:tab/>
            </w:r>
            <w:r>
              <w:rPr>
                <w:b/>
                <w:i/>
              </w:rPr>
              <w:t>λαμβάνοντας υπόψη ότι η πράσινη και η ψηφιακή μετάβαση πρέπει να είναι κοινωνικά δίκαιες και χωρίς αποκλεισμούς για όλους, αξιοποιώντας την ευκαιρία για τη δημιουργία ποιοτικών θέσεων εργασίας, την αντιμετώπιση των διακρίσεων στην εργασία, την προστασία των δικαιωμάτων των εργαζομένων και τη βελτίωση των εργασιακών προτύπων·</w:t>
            </w:r>
            <w:r>
              <w:t xml:space="preserve"> </w:t>
            </w:r>
            <w:r>
              <w:rPr>
                <w:b/>
                <w:i/>
              </w:rPr>
              <w:t>λαμβάνοντας υπόψη ότι είναι σημαντικό να προωθηθούν η δημιουργία ποιοτικών θέσεων εργασίας, η ισχυρή κοινωνική προστασία και οι στοχευμένες επενδύσεις σε δεξιότητες που αντιστοιχούν στις αναδυόμενες ευκαιρίες εργασίας στον πράσινο και τον ψηφιακό τομέα, σε συνδυασμό με την παροχή επιδομάτων για την εκπαίδευση ενηλίκων, ώστε να διασφαλιστεί η πρόσβαση σε ποιοτική αναβάθμιση των δεξιοτήτων και επανειδίκευση για όλους·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δ.</w:t>
            </w:r>
            <w:r>
              <w:tab/>
            </w:r>
            <w:r>
              <w:rPr>
                <w:b/>
                <w:i/>
              </w:rPr>
              <w:t>λαμβάνοντας υπόψη ότι η κοινή έκθεση για την απασχόληση (ΚΕΑ) τονίζει το δικαίωμα στην αποσύνδεση, ιδίως στο πλαίσιο της τηλεργασίας, αναγνωρίζοντας τον κρίσιμο ρόλο του δικαιώματος αυτού στη διασφάλιση της ισορροπίας μεταξύ επαγγελματικής και ιδιωτικής ζωής στο πλαίσιο της αυξανόμενης ψηφιοποίησης και της εξ αποστάσεως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ε.</w:t>
            </w:r>
            <w:r>
              <w:tab/>
            </w:r>
            <w:r>
              <w:rPr>
                <w:b/>
                <w:i/>
              </w:rPr>
              <w:t>λαμβάνοντας υπόψη ότι το 2024 εμφανίστηκαν προκλήσεις σε διάφορους τομείς, όπως η αυτοκινητοβιομηχανία και οι ενεργοβόρες βιομηχανίες, και ότι οι εταιρείες προέβησαν σε ανακοινώσεις αναδιάρθρωσης μεγάλης κλίμακας·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στ.</w:t>
            </w:r>
            <w:r>
              <w:tab/>
            </w:r>
            <w:r>
              <w:rPr>
                <w:b/>
                <w:i/>
              </w:rPr>
              <w:t>λαμβάνοντας υπόψη ότι επί του παρόντος δεν υπάρχει τακτική συλλογή δεδομένων σε επίπεδο ΕΕ σχετικά με τις επενδύσεις σε κοινωνικές υπηρεσίες και την κάλυψη των εν λόγω υπηρεσιών·</w:t>
            </w:r>
            <w:r>
              <w:t xml:space="preserve"> </w:t>
            </w:r>
            <w:r>
              <w:rPr>
                <w:b/>
                <w:i/>
              </w:rPr>
              <w:t>Η συλλογή τέτοιων δεδομένων είναι καίριας σημασίας για την τεκμηριωμένη ανάλυση των εθνικών κοινωνικών πολιτικών κατά την ανάλυση του Ευρωπαϊκού Εξαμήνου.</w:t>
            </w:r>
            <w:r>
              <w:t xml:space="preserve"> </w:t>
            </w:r>
            <w:r>
              <w:rPr>
                <w:b/>
                <w:i/>
              </w:rPr>
              <w:t>Το ζήτημα αυτό θα πρέπει να αντιμετωπιστεί με την εφαρμογή κοινώς συμφωνημένων κριτηρίων και προτύπων συλλογής δεδομένων για τις επενδύσεις σε κοινωνικές υπηρεσίες και την κάλυψη των εν λόγω υπηρεσιών στα κράτη μέλη της ΕΕ.</w:t>
            </w:r>
            <w:r>
              <w:t xml:space="preserve"> </w:t>
            </w:r>
            <w:r>
              <w:rPr>
                <w:b/>
                <w:i/>
              </w:rPr>
              <w:t>Ο δείκτης κοινωνικών υπηρεσιών του Ευρωπαϊκού Κοινωνικού Δικτύου αποτελεί παράδειγμα του τρόπου με τον οποίο η εν λόγω συλλογή δεδομένων μπορεί να συμβάλει στην ανάλυση του Ευρωπαϊκού Εξαμήνου,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Ε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Ε ζ.</w:t>
            </w:r>
            <w:r>
              <w:tab/>
            </w:r>
            <w:r>
              <w:rPr>
                <w:b/>
                <w:i/>
              </w:rPr>
              <w:t>λαμβάνοντας υπόψη ότι υπάρχουν διαφορές στην κάλυψη των κοινωνικών υπηρεσιών, συμπεριλαμβανομένης της μακροχρόνιας φροντίδας, της προστασίας των παιδιών, της υποστήριξης σε θύματα εξ οικείων βίας και της βοήθειας για τους άστεγους, οι οποίες πρέπει να αντιμετωπιστούν μέσω του Ευρωπαϊκού Εξαμήνου,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Idoia Mendia, Alicia Homs Ginel, Isilda Gomes,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w:t>
            </w:r>
            <w:r>
              <w:rPr>
                <w:b/>
                <w:i/>
              </w:rPr>
              <w:t>η κρίση στην ανανέωση των γενεών</w:t>
            </w:r>
            <w:r>
              <w:t xml:space="preserve"> και η περιορισμένη πρόσβαση σε δημόσιες υπηρεσίες έχουν </w:t>
            </w:r>
            <w:r>
              <w:rPr>
                <w:b/>
                <w:i/>
              </w:rPr>
              <w:t>οδηγήσει σε αυξημένο</w:t>
            </w:r>
            <w:r>
              <w:t xml:space="preserve"> κίνδυνο φτώχειας και κοινωνικού αποκλεισμού, πλήττοντας ιδιαίτερα τα παιδιά και τους ηλικιωμένους</w:t>
            </w:r>
            <w:r>
              <w:rPr>
                <w:b/>
                <w:i/>
              </w:rPr>
              <w:t>·</w:t>
            </w:r>
          </w:p>
        </w:tc>
        <w:tc>
          <w:tcPr>
            <w:tcW w:w="4876" w:type="dxa"/>
            <w:tcBorders>
              <w:top w:val="nil"/>
              <w:left w:val="nil"/>
              <w:bottom w:val="nil"/>
              <w:right w:val="nil"/>
            </w:tcBorders>
          </w:tcPr>
          <w:p>
            <w:pPr>
              <w:pStyle w:val="Normal6a"/>
            </w:pPr>
            <w:r>
              <w:t>ΣΤ.</w:t>
            </w:r>
            <w:r>
              <w:tab/>
            </w:r>
            <w:r>
              <w:t xml:space="preserve">λαμβάνοντας υπόψη ότι </w:t>
            </w:r>
            <w:r>
              <w:rPr>
                <w:b/>
                <w:i/>
              </w:rPr>
              <w:t>οι οικονομικές και κοινωνικές ανισότητες, καθώς</w:t>
            </w:r>
            <w:r>
              <w:t xml:space="preserve"> και η περιορισμένη πρόσβαση σε </w:t>
            </w:r>
            <w:r>
              <w:rPr>
                <w:b/>
                <w:i/>
              </w:rPr>
              <w:t>χρηματοδότηση και</w:t>
            </w:r>
            <w:r>
              <w:t xml:space="preserve"> δημόσιες υπηρεσίες έχουν </w:t>
            </w:r>
            <w:r>
              <w:rPr>
                <w:b/>
                <w:i/>
              </w:rPr>
              <w:t>αυξήσει τον</w:t>
            </w:r>
            <w:r>
              <w:t xml:space="preserve"> κίνδυνο φτώχειας και κοινωνικού αποκλεισμού, πλήττοντας ιδιαίτερα τα παιδιά</w:t>
            </w:r>
            <w:r>
              <w:rPr>
                <w:b/>
                <w:i/>
              </w:rPr>
              <w:t>, τα μονογονεϊκά νοικοκυριά, τους νέους</w:t>
            </w:r>
            <w:r>
              <w:t xml:space="preserve"> και τους ηλικιωμένους </w:t>
            </w:r>
            <w:r>
              <w:rPr>
                <w:b/>
                <w:i/>
              </w:rPr>
              <w:t>και άλλες ευάλωτες ομάδες, όπως οι μετανάστες, οι Ρομά, τα άτομα που ζουν σε ερημωμένες περιοχές και τα άτομα με αναπηρία,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η </w:t>
            </w:r>
            <w:r>
              <w:rPr>
                <w:b/>
                <w:i/>
              </w:rPr>
              <w:t>κρίση στην ανανέωση των γενεών και η περιορισμένη πρόσβαση σε δημόσιες υπηρεσίες έχουν οδηγήσει σε αυξημένο</w:t>
            </w:r>
            <w:r>
              <w:t xml:space="preserve"> κίνδυνο φτώχειας </w:t>
            </w:r>
            <w:r>
              <w:rPr>
                <w:b/>
                <w:i/>
              </w:rPr>
              <w:t>και κοινωνικού αποκλεισμού, πλήττοντας ιδιαίτερα τα παιδιά και τους ηλικιωμένους</w:t>
            </w:r>
            <w:r>
              <w:t>·</w:t>
            </w:r>
          </w:p>
        </w:tc>
        <w:tc>
          <w:tcPr>
            <w:tcW w:w="4876" w:type="dxa"/>
            <w:tcBorders>
              <w:top w:val="nil"/>
              <w:left w:val="nil"/>
              <w:bottom w:val="nil"/>
              <w:right w:val="nil"/>
            </w:tcBorders>
          </w:tcPr>
          <w:p>
            <w:pPr>
              <w:pStyle w:val="Normal6a"/>
            </w:pPr>
            <w:r>
              <w:t>ΣΤ.</w:t>
            </w:r>
            <w:r>
              <w:tab/>
            </w:r>
            <w:r>
              <w:t xml:space="preserve">λαμβάνοντας υπόψη ότι η </w:t>
            </w:r>
            <w:r>
              <w:rPr>
                <w:b/>
                <w:i/>
              </w:rPr>
              <w:t>έλλειψη επαρκών κοινωνικών επενδύσεων έχει εντείνει τον κίνδυνο φτώχειας και κοινωνικού αποκλεισμού, πλήττοντας ιδιαίτερα τα παιδιά, τις μονογονεϊκές οικογένειες και τους ηλικιωμένους·</w:t>
            </w:r>
            <w:r>
              <w:t xml:space="preserve"> </w:t>
            </w:r>
            <w:r>
              <w:rPr>
                <w:b/>
                <w:i/>
              </w:rPr>
              <w:t>λαμβάνοντας υπόψη ότι το φαινόμενο αυτό επηρεάζει επίσης ένα τμήμα του εργατικού δυναμικού, με 1 στους 12 εργαζομένους το 2023 να ζουν σε νοικοκυριά που διατρέχουν</w:t>
            </w:r>
            <w:r>
              <w:t xml:space="preserve"> κίνδυνο φτώχειας</w:t>
            </w:r>
            <w:r>
              <w:rPr>
                <w:b/>
                <w:i/>
              </w:rPr>
              <w:t>·</w:t>
            </w:r>
            <w:r>
              <w:t xml:space="preserve"> </w:t>
            </w:r>
            <w:r>
              <w:rPr>
                <w:b/>
                <w:i/>
              </w:rPr>
              <w:t>λαμβάνοντας υπόψη ότι η χάραξη φιλόδοξης ενωσιακής στρατηγικής για την καταπολέμηση της φτώχειας θα είναι απαραίτητη για την αντιστροφή αυτής της τάσης και την παροχή λύσεων στο πολυδιάστατο φαινόμενο της φτώχειας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η κρίση στην ανανέωση των γενεών και η περιορισμένη πρόσβαση σε δημόσιες υπηρεσίες έχουν οδηγήσει σε αυξημένο κίνδυνο φτώχειας και κοινωνικού αποκλεισμού, πλήττοντας ιδιαίτερα τα παιδιά </w:t>
            </w:r>
            <w:r>
              <w:rPr>
                <w:b/>
                <w:i/>
              </w:rPr>
              <w:t>και τους ηλικιωμένους</w:t>
            </w:r>
            <w:r>
              <w:t>·</w:t>
            </w:r>
          </w:p>
        </w:tc>
        <w:tc>
          <w:tcPr>
            <w:tcW w:w="4876" w:type="dxa"/>
            <w:tcBorders>
              <w:top w:val="nil"/>
              <w:left w:val="nil"/>
              <w:bottom w:val="nil"/>
              <w:right w:val="nil"/>
            </w:tcBorders>
          </w:tcPr>
          <w:p>
            <w:pPr>
              <w:pStyle w:val="Normal6a"/>
            </w:pPr>
            <w:r>
              <w:t>ΣΤ.</w:t>
            </w:r>
            <w:r>
              <w:tab/>
            </w:r>
            <w:r>
              <w:t>λαμβάνοντας υπόψη ότι η κρίση στην ανανέωση των γενεών και η περιορισμένη πρόσβαση σε δημόσιες υπηρεσίες</w:t>
            </w:r>
            <w:r>
              <w:rPr>
                <w:b/>
                <w:i/>
              </w:rPr>
              <w:t>, λόγω της έλλειψης μακροπρόθεσμου και βιώσιμου σχεδιασμού στους τομείς της στέγασης, των υποδομών και της ανάπτυξης των κοινοτήτων,</w:t>
            </w:r>
            <w:r>
              <w:t xml:space="preserve"> έχουν οδηγήσει σε αυξημένο κίνδυνο φτώχειας και κοινωνικού αποκλεισμού, πλήττοντας ιδιαίτερα τα παιδιά</w:t>
            </w:r>
            <w:r>
              <w:rPr>
                <w:b/>
                <w:i/>
              </w:rPr>
              <w:t>, τους ηλικιωμένους και τα άτομα που προέρχονται από περιθωριοποιημένα περιβάλλοντα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λαμβάνοντας υπόψη ότι η κρίση στην ανανέωση των γενεών και η περιορισμένη πρόσβαση σε δημόσιες υπηρεσίες έχουν οδηγήσει σε αυξημένο κίνδυνο φτώχειας και κοινωνικού αποκλεισμού, πλήττοντας ιδιαίτερα τα παιδιά και τους ηλικιωμένους·</w:t>
            </w:r>
          </w:p>
        </w:tc>
        <w:tc>
          <w:tcPr>
            <w:tcW w:w="4876" w:type="dxa"/>
            <w:tcBorders>
              <w:top w:val="nil"/>
              <w:left w:val="nil"/>
              <w:bottom w:val="nil"/>
              <w:right w:val="nil"/>
            </w:tcBorders>
          </w:tcPr>
          <w:p>
            <w:pPr>
              <w:pStyle w:val="Normal6a"/>
            </w:pPr>
            <w:r>
              <w:t>ΣΤ.</w:t>
            </w:r>
            <w:r>
              <w:tab/>
            </w:r>
            <w:r>
              <w:t>λαμβάνοντας υπόψη ότι η κρίση στην ανανέωση των γενεών και η περιορισμένη πρόσβαση σε δημόσιες υπηρεσίες έχουν οδηγήσει σε αυξημένο κίνδυνο φτώχειας και κοινωνικού αποκλεισμού, πλήττοντας ιδιαίτερα τα παιδιά και τους ηλικιωμένους</w:t>
            </w:r>
            <w:r>
              <w:rPr>
                <w:b/>
                <w:i/>
              </w:rPr>
              <w:t>, τα μονογονεϊκά νοικοκυριά και τις πολυμελείς οικογένειες, καθώς και τα άτομα με αναπηρία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ΣΤ.</w:t>
            </w:r>
            <w:r>
              <w:tab/>
            </w:r>
            <w:r>
              <w:t xml:space="preserve">λαμβάνοντας υπόψη ότι </w:t>
            </w:r>
            <w:r>
              <w:rPr>
                <w:b/>
                <w:i/>
              </w:rPr>
              <w:t>η κρίση στην ανανέωση των γενεών</w:t>
            </w:r>
            <w:r>
              <w:t xml:space="preserve"> και η </w:t>
            </w:r>
            <w:r>
              <w:rPr>
                <w:b/>
                <w:i/>
              </w:rPr>
              <w:t>περιορισμένη πρόσβαση</w:t>
            </w:r>
            <w:r>
              <w:t xml:space="preserve"> σε δημόσιες υπηρεσίες έχουν οδηγήσει σε αυξημένο κίνδυνο φτώχειας και κοινωνικού αποκλεισμού, πλήττοντας ιδιαίτερα τα παιδιά </w:t>
            </w:r>
            <w:r>
              <w:rPr>
                <w:b/>
                <w:i/>
              </w:rPr>
              <w:t>και</w:t>
            </w:r>
            <w:r>
              <w:t xml:space="preserve"> τους ηλικιωμένους·</w:t>
            </w:r>
          </w:p>
        </w:tc>
        <w:tc>
          <w:tcPr>
            <w:tcW w:w="4876" w:type="dxa"/>
            <w:tcBorders>
              <w:top w:val="nil"/>
              <w:left w:val="nil"/>
              <w:bottom w:val="nil"/>
              <w:right w:val="nil"/>
            </w:tcBorders>
          </w:tcPr>
          <w:p>
            <w:pPr>
              <w:pStyle w:val="Normal6a"/>
            </w:pPr>
            <w:r>
              <w:t>ΣΤ.</w:t>
            </w:r>
            <w:r>
              <w:tab/>
            </w:r>
            <w:r>
              <w:t xml:space="preserve">λαμβάνοντας υπόψη ότι </w:t>
            </w:r>
            <w:r>
              <w:rPr>
                <w:b/>
                <w:i/>
              </w:rPr>
              <w:t>οι δημογραφικές αλλαγές, η περιορισμένη πρόσβαση</w:t>
            </w:r>
            <w:r>
              <w:t xml:space="preserve"> και η </w:t>
            </w:r>
            <w:r>
              <w:rPr>
                <w:b/>
                <w:i/>
              </w:rPr>
              <w:t>υποεπένδυση</w:t>
            </w:r>
            <w:r>
              <w:t xml:space="preserve"> σε δημόσιες υπηρεσίες έχουν οδηγήσει σε αυξημένο κίνδυνο φτώχειας και κοινωνικού αποκλεισμού, πλήττοντας ιδιαίτερα τα παιδιά</w:t>
            </w:r>
            <w:r>
              <w:rPr>
                <w:b/>
                <w:i/>
              </w:rPr>
              <w:t>,</w:t>
            </w:r>
            <w:r>
              <w:t xml:space="preserve"> τους ηλικιωμένους </w:t>
            </w:r>
            <w:r>
              <w:rPr>
                <w:b/>
                <w:i/>
              </w:rPr>
              <w:t>και τις ευάλωτες ομάδες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ΣΤ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Στ α.</w:t>
            </w:r>
            <w:r>
              <w:tab/>
            </w:r>
            <w:r>
              <w:rPr>
                <w:b/>
                <w:i/>
              </w:rPr>
              <w:t>λαμβάνοντας υπόψη ότι το Ευρωβαρόμετρο του Απριλίου 2024 τονίζει ότι το 88 % των ευρωπαίων πολιτών θεωρούν ότι η κοινωνική Ευρώπη είναι σημαντική για τους ίδιους προσωπικά</w:t>
            </w:r>
            <w:r>
              <w:rPr>
                <w:b/>
                <w:i/>
                <w:vertAlign w:val="superscript"/>
              </w:rPr>
              <w:t>8a</w:t>
            </w:r>
            <w:r>
              <w:rPr>
                <w:b/>
                <w:i/>
              </w:rPr>
              <w:t>·</w:t>
            </w:r>
            <w:r>
              <w:t xml:space="preserve"> </w:t>
            </w:r>
            <w:r>
              <w:rPr>
                <w:b/>
                <w:i/>
              </w:rPr>
              <w:t>λαμβάνοντας υπόψη ότι το αποτέλεσμα αυτό επιβεβαιώθηκε από τη μετεκλογική έρευνα της ΕΕ για το 2024, όπου οι ευρωπαίοι πολίτες χαρακτήρισαν την αύξηση των τιμών και του κόστους ζωής (42 %) και την οικονομική κατάσταση (41 %) ως τα κύρια θέματα που τους ώθησαν να ψηφίσουν στις τελευταίες ευρωπαϊκές εκλογές</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https://europa.eu/eurobarometer/surveys/detail/3187.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https://europa.eu/eurobarometer/surveys/detail/3292.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 xml:space="preserve">λαμβάνοντας υπόψη ότι η κοινωνική πρόοδος στην ΕΕ </w:t>
            </w:r>
            <w:r>
              <w:rPr>
                <w:b/>
                <w:i/>
              </w:rPr>
              <w:t>πρέπει να προχωρήσει κατά τρόπο που να συνάδει με τους στόχους σταθερότητας των κριτηρίων του Μάαστριχτ, διασφαλίζοντας</w:t>
            </w:r>
            <w:r>
              <w:t xml:space="preserve"> ότι η </w:t>
            </w:r>
            <w:r>
              <w:rPr>
                <w:b/>
                <w:i/>
              </w:rPr>
              <w:t>οικονομική ολοκλήρωση δεν επιδεινώνει τις ανισότητες</w:t>
            </w:r>
            <w:r>
              <w:t xml:space="preserve"> μεταξύ γενεών και </w:t>
            </w:r>
            <w:r>
              <w:rPr>
                <w:b/>
                <w:i/>
              </w:rPr>
              <w:t>περιφερειών</w:t>
            </w:r>
            <w:r>
              <w:t>·</w:t>
            </w:r>
          </w:p>
        </w:tc>
        <w:tc>
          <w:tcPr>
            <w:tcW w:w="4876" w:type="dxa"/>
            <w:tcBorders>
              <w:top w:val="nil"/>
              <w:left w:val="nil"/>
              <w:bottom w:val="nil"/>
              <w:right w:val="nil"/>
            </w:tcBorders>
          </w:tcPr>
          <w:p>
            <w:pPr>
              <w:pStyle w:val="Normal6a"/>
            </w:pPr>
            <w:r>
              <w:t>Ζ.</w:t>
            </w:r>
            <w:r>
              <w:tab/>
            </w:r>
            <w:r>
              <w:t>λαμβάνοντας υπόψη ότι</w:t>
            </w:r>
            <w:r>
              <w:rPr>
                <w:b/>
                <w:i/>
              </w:rPr>
              <w:t>, σύμφωνα με το άρθρο 3 ΣΕΕ,</w:t>
            </w:r>
            <w:r>
              <w:t xml:space="preserve"> η κοινωνική πρόοδος στην ΕΕ </w:t>
            </w:r>
            <w:r>
              <w:rPr>
                <w:b/>
                <w:i/>
              </w:rPr>
              <w:t>είναι ένας από τους στόχους μιας άκρως ανταγωνιστικής κοινωνικής οικονομίας της αγοράς, σε συνδυασμό με την πλήρη απασχόληση, το υψηλό επίπεδο προστασίας και βελτίωσης της ποιότητας του περιβάλλοντος·</w:t>
            </w:r>
            <w:r>
              <w:t xml:space="preserve"> </w:t>
            </w:r>
            <w:r>
              <w:rPr>
                <w:b/>
                <w:i/>
              </w:rPr>
              <w:t>λαμβάνοντας υπόψη ότι το άρθρο 3 ορίζει επίσης</w:t>
            </w:r>
            <w:r>
              <w:t xml:space="preserve"> ότι η </w:t>
            </w:r>
            <w:r>
              <w:rPr>
                <w:b/>
                <w:i/>
              </w:rPr>
              <w:t>ΕΕ καταπολεμά τον κοινωνικό αποκλεισμό και τις διακρίσεις και προωθεί την κοινωνική δικαιοσύνη και προστασία, την ισότητα</w:t>
            </w:r>
            <w:r>
              <w:t xml:space="preserve"> μεταξύ </w:t>
            </w:r>
            <w:r>
              <w:rPr>
                <w:b/>
                <w:i/>
              </w:rPr>
              <w:t>γυναικών και ανδρών, την αλληλεγγύη μεταξύ των</w:t>
            </w:r>
            <w:r>
              <w:t xml:space="preserve"> γενεών και </w:t>
            </w:r>
            <w:r>
              <w:rPr>
                <w:b/>
                <w:i/>
              </w:rPr>
              <w:t>την προστασία των δικαιωμάτων του παιδιού</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 xml:space="preserve">λαμβάνοντας υπόψη ότι η κοινωνική πρόοδος στην ΕΕ πρέπει να </w:t>
            </w:r>
            <w:r>
              <w:rPr>
                <w:b/>
                <w:i/>
              </w:rPr>
              <w:t>προχωρήσει κατά τρόπο που να συνάδει με τους στόχους σταθερότητας των κριτηρίων του Μάαστριχτ, διασφαλίζοντας</w:t>
            </w:r>
            <w:r>
              <w:t xml:space="preserve"> ότι η οικονομική ολοκλήρωση δεν επιδεινώνει τις ανισότητες μεταξύ γενεών και περιφερειών·</w:t>
            </w:r>
          </w:p>
        </w:tc>
        <w:tc>
          <w:tcPr>
            <w:tcW w:w="4876" w:type="dxa"/>
            <w:tcBorders>
              <w:top w:val="nil"/>
              <w:left w:val="nil"/>
              <w:bottom w:val="nil"/>
              <w:right w:val="nil"/>
            </w:tcBorders>
          </w:tcPr>
          <w:p>
            <w:pPr>
              <w:pStyle w:val="Normal6a"/>
            </w:pPr>
            <w:r>
              <w:t>Ζ.</w:t>
            </w:r>
            <w:r>
              <w:tab/>
            </w:r>
            <w:r>
              <w:t xml:space="preserve">λαμβάνοντας υπόψη ότι η κοινωνική πρόοδος στην ΕΕ πρέπει να </w:t>
            </w:r>
            <w:r>
              <w:rPr>
                <w:b/>
                <w:i/>
              </w:rPr>
              <w:t>διασφαλίσει</w:t>
            </w:r>
            <w:r>
              <w:t xml:space="preserve"> ότι η οικονομική ολοκλήρωση δεν επιδεινώνει τις ανισότητες μεταξύ γενεών και περιφερειών·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 xml:space="preserve">λαμβάνοντας υπόψη ότι η κοινωνική πρόοδος στην ΕΕ </w:t>
            </w:r>
            <w:r>
              <w:rPr>
                <w:b/>
                <w:i/>
              </w:rPr>
              <w:t>πρέπει να προχωρήσει κατά τρόπο που να συνάδει με τους στόχους σταθερότητας των κριτηρίων του Μάαστριχτ,</w:t>
            </w:r>
            <w:r>
              <w:t xml:space="preserve"> διασφαλίζοντας ότι η οικονομική ολοκλήρωση δεν επιδεινώνει τις ανισότητες μεταξύ γενεών και περιφερειών·</w:t>
            </w:r>
          </w:p>
        </w:tc>
        <w:tc>
          <w:tcPr>
            <w:tcW w:w="4876" w:type="dxa"/>
            <w:tcBorders>
              <w:top w:val="nil"/>
              <w:left w:val="nil"/>
              <w:bottom w:val="nil"/>
              <w:right w:val="nil"/>
            </w:tcBorders>
          </w:tcPr>
          <w:p>
            <w:pPr>
              <w:pStyle w:val="Normal6a"/>
            </w:pPr>
            <w:r>
              <w:t>Ζ.</w:t>
            </w:r>
            <w:r>
              <w:tab/>
            </w:r>
            <w:r>
              <w:t xml:space="preserve">λαμβάνοντας υπόψη ότι η κοινωνική πρόοδος στην ΕΕ </w:t>
            </w:r>
            <w:r>
              <w:rPr>
                <w:b/>
                <w:i/>
              </w:rPr>
              <w:t>αντιπροσωπεύει την πιο απτή και αποδοτική επένδυση στη μακροπρόθεσμη ανθεκτικότητα και βιωσιμότητα των κοινωνιών μας·</w:t>
            </w:r>
            <w:r>
              <w:t xml:space="preserve"> </w:t>
            </w:r>
            <w:r>
              <w:rPr>
                <w:b/>
                <w:i/>
              </w:rPr>
              <w:t> </w:t>
            </w:r>
            <w:r>
              <w:t xml:space="preserve">διασφαλίζοντας ότι η </w:t>
            </w:r>
            <w:r>
              <w:rPr>
                <w:b/>
                <w:i/>
              </w:rPr>
              <w:t>περαιτέρω</w:t>
            </w:r>
            <w:r>
              <w:t xml:space="preserve"> οικονομική ολοκλήρωση δεν επιδεινώνει τις </w:t>
            </w:r>
            <w:r>
              <w:rPr>
                <w:b/>
                <w:i/>
              </w:rPr>
              <w:t>κοινωνικές</w:t>
            </w:r>
            <w:r>
              <w:t xml:space="preserve"> ανισότητες μεταξύ γενεών και περιφερειών·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Ζ.</w:t>
            </w:r>
            <w:r>
              <w:tab/>
            </w:r>
            <w:r>
              <w:t xml:space="preserve">λαμβάνοντας υπόψη ότι η κοινωνική πρόοδος στην ΕΕ </w:t>
            </w:r>
            <w:r>
              <w:rPr>
                <w:b/>
                <w:i/>
              </w:rPr>
              <w:t>πρέπει να προχωρήσει κατά τρόπο που να συνάδει με</w:t>
            </w:r>
            <w:r>
              <w:t xml:space="preserve"> τους στόχους σταθερότητας των κριτηρίων του Μάαστριχτ, διασφαλίζοντας ότι η οικονομική ολοκλήρωση δεν επιδεινώνει τις ανισότητες μεταξύ γενεών και περιφερειών·</w:t>
            </w:r>
          </w:p>
        </w:tc>
        <w:tc>
          <w:tcPr>
            <w:tcW w:w="4876" w:type="dxa"/>
            <w:tcBorders>
              <w:top w:val="nil"/>
              <w:left w:val="nil"/>
              <w:bottom w:val="nil"/>
              <w:right w:val="nil"/>
            </w:tcBorders>
          </w:tcPr>
          <w:p>
            <w:pPr>
              <w:pStyle w:val="Normal6a"/>
            </w:pPr>
            <w:r>
              <w:t>Ζ.</w:t>
            </w:r>
            <w:r>
              <w:tab/>
            </w:r>
            <w:r>
              <w:t xml:space="preserve">λαμβάνοντας υπόψη ότι η κοινωνική πρόοδος στην ΕΕ </w:t>
            </w:r>
            <w:r>
              <w:rPr>
                <w:b/>
                <w:i/>
              </w:rPr>
              <w:t>δεν πρέπει να υπονομεύεται από</w:t>
            </w:r>
            <w:r>
              <w:t xml:space="preserve"> τους στόχους σταθερότητας των κριτηρίων του Μάαστριχτ, διασφαλίζοντας ότι η οικονομική ολοκλήρωση δεν επιδεινώνει τις ανισότητες μεταξύ γενεών και περιφερειών·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α.</w:t>
            </w:r>
            <w:r>
              <w:tab/>
            </w:r>
            <w:r>
              <w:rPr>
                <w:b/>
                <w:i/>
              </w:rPr>
              <w:t>λαμβάνοντας υπόψη ότι το νέο πλαίσιο οικονομικής διακυβέρνησης της ΕΕ τέθηκε σε ισχύ τον Απρίλιο του 2024 και έχει ως στόχο να προωθήσει τη βιώσιμη και χωρίς αποκλεισμούς ανάπτυξη, καθώς και να παράσχει περισσότερο χώρο για κοινωνικές επενδύσεις και για την υλοποίηση των στόχων του ευρωπαϊκού πυλώνα κοινωνικών δικαιωμάτων·</w:t>
            </w:r>
            <w:r>
              <w:t xml:space="preserve"> </w:t>
            </w:r>
            <w:r>
              <w:rPr>
                <w:b/>
                <w:i/>
              </w:rPr>
              <w:t>λαμβάνοντας υπόψη ότι η αναθεώρηση περιλαμβάνει για πρώτη φορά ένα πλαίσιο κοινωνικής σύγκλισης ως αναπόσπαστο μέρος του Ευρωπαϊκού Εξαμήνου·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α.</w:t>
            </w:r>
            <w:r>
              <w:tab/>
            </w:r>
            <w:r>
              <w:rPr>
                <w:b/>
                <w:i/>
              </w:rPr>
              <w:t>λαμβάνοντας υπόψη ότι οι ευρωπαίοι κοινωνικοί εταίροι, κατά τη διάρκεια του μακροοικονομικού διαλόγου, κατήγγειλαν την τελευταία συμμετοχή των κοινωνικών εταίρων στην κατάρτιση των μεσοπρόθεσμων δημοσιονομικών διαρθρωτικών σχεδίων και ότι η ΕΣΣΟ, η SMEUnited και η SGIEurope υπέγραψαν κοινή δήλωση για την ουσιαστική και πραγματική συμμετοχή των κοινωνικών εταίρων στην οικονομική διακυβέρνηση και στο Ευρωπαϊκό Εξάμηνο·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α.</w:t>
            </w:r>
            <w:r>
              <w:tab/>
            </w:r>
            <w:r>
              <w:rPr>
                <w:b/>
                <w:i/>
              </w:rPr>
              <w:t>λαμβάνοντας υπόψη ότι ο κίνδυνος φτώχειας ή κοινωνικού αποκλεισμού είναι μεγαλύτερος για τις γυναίκες, τους νεαρούς ενήλικες, τα άτομα με χαμηλό μορφωτικό επίπεδο και τους ανέργους·</w:t>
            </w:r>
            <w:r>
              <w:t xml:space="preserve"> </w:t>
            </w:r>
            <w:r>
              <w:rPr>
                <w:b/>
                <w:i/>
              </w:rPr>
              <w:t>λαμβάνοντας υπόψη ότι εξακολουθούν να υπάρχουν πολλά κενά όσον αφορά την πρόσβαση σε επιδόματα ανεργίας, με το 66 % των ανέργων να δηλώνουν ότι δεν λαμβάνουν επίδομα ή βοήθεια</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Κοινωνική προστασία 2.0:</w:t>
            </w:r>
            <w:r>
              <w:t xml:space="preserve"> </w:t>
            </w:r>
            <w:r>
              <w:rPr>
                <w:b/>
                <w:i/>
              </w:rPr>
              <w:t>επιδόματα ανεργίας και παροχές ελάχιστου εγγυημένου εισοδήματος.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α.</w:t>
            </w:r>
            <w:r>
              <w:tab/>
            </w:r>
            <w:r>
              <w:rPr>
                <w:b/>
                <w:i/>
              </w:rPr>
              <w:t>λαμβάνοντας υπόψη ότι οι διαρθρωτικές μεταρρυθμίσεις πρέπει να δίνουν προτεραιότητα στην κοινωνική πρόοδο, διασφαλίζοντας την πρόσβαση σε επαρκή κοινωνική προστασία, οικονομικά προσιτή και αξιοπρεπή στέγαση και σε βασικές υπηρεσίες για όλες τις μορφές οικογένειας, συμπεριλαμβανομένων των ευάλωτων ομάδων, όπως τα μονογονεϊκά νοικοκυριά και τα άτομα με αναπηρία·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α.</w:t>
            </w:r>
            <w:r>
              <w:tab/>
            </w:r>
            <w:r>
              <w:rPr>
                <w:b/>
                <w:i/>
              </w:rPr>
              <w:t>λαμβάνοντας υπόψη ότι θα καταστήσουμε την Ένωση πιο ανταγωνιστική, παραγωγική, καινοτόμο και βιώσιμη, αξιοποιώντας την οικονομική, κοινωνική και εδαφική συνοχή και διασφαλίζοντας σύγκλιση και ίσους όρους ανταγωνισμού τόσο εντός της Ένωσης όσο και παγκοσμίως·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β.</w:t>
            </w:r>
            <w:r>
              <w:tab/>
            </w:r>
            <w:r>
              <w:rPr>
                <w:b/>
                <w:i/>
              </w:rPr>
              <w:t>λαμβάνοντας υπόψη ότι, σύμφωνα με τον ΟΟΣΑ, κατά μέσο όρο σε όλες τις χώρες του ΟΟΣΑ τα επαγγέλματα που διατρέχουν τον υψηλότερο κίνδυνο αυτοματοποίησης αντιπροσωπεύουν περίπου το 28 % της απασχόλησης</w:t>
            </w:r>
            <w:r>
              <w:rPr>
                <w:b/>
                <w:i/>
                <w:vertAlign w:val="superscript"/>
              </w:rPr>
              <w:t>2a</w:t>
            </w:r>
            <w:r>
              <w:rPr>
                <w:b/>
                <w:i/>
              </w:rPr>
              <w:t>·</w:t>
            </w:r>
            <w:r>
              <w:t xml:space="preserve"> </w:t>
            </w:r>
            <w:r>
              <w:rPr>
                <w:b/>
                <w:i/>
              </w:rPr>
              <w:t>λαμβάνοντας υπόψη ότι ο κοινωνικός διάλογος και οι συλλογικές διαπραγματεύσεις είναι ζωτικής σημασίας στο πλαίσιο αυτό για να διασφαλιστεί συμμετοχική προσέγγιση για τη διαχείριση της αλλαγής λόγω των τεχνολογικών εξελίξεων, την αντιμετώπιση πιθανών ανησυχιών και την ενθάρρυνση της προσαρμογής των εργαζομένων (μεταξύ άλλων, μέσω της παροχής δεξιοτήτων)·</w:t>
            </w:r>
            <w:r>
              <w:t xml:space="preserve"> </w:t>
            </w:r>
            <w:r>
              <w:rPr>
                <w:b/>
                <w:i/>
              </w:rPr>
              <w:t>λαμβάνοντας υπόψη ότι η ψηφιοποίηση, η ρομποτοποίηση, η αυτοματοποίηση και η τεχνητή νοημοσύνη πρέπει να ωφελούν τους εργαζομένους και την κοινωνία, βελτιώνοντας τις συνθήκες εργασίας και την ποιότητα ζωής, διασφαλίζοντας την ισορροπία μεταξύ επαγγελματικής και ιδιωτικής ζωής, δημιουργώντας καλύτερες ευκαιρίες απασχόλησης και συμβάλλοντας στην κοινωνικοοικονομική σύγκλιση·</w:t>
            </w:r>
            <w:r>
              <w:t xml:space="preserve"> </w:t>
            </w:r>
            <w:r>
              <w:rPr>
                <w:b/>
                <w:i/>
              </w:rPr>
              <w:t>λαμβάνοντας υπόψη ότι οι εργαζόμενοι και οι συνδικαλιστικές οργανώσεις τους θα διαδραματίσουν κρίσιμο ρόλο στην πρόβλεψη και την αντιμετώπιση των κινδύνων που προκύπτουν από τις προκλήσεις αυτές·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Έγγραφα εργασίας του ΟΟΣΑ για την κοινωνία, την απασχόληση και τη μετανάστευση αριθ. 282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β.</w:t>
            </w:r>
            <w:r>
              <w:tab/>
            </w:r>
            <w:r>
              <w:rPr>
                <w:b/>
                <w:i/>
              </w:rPr>
              <w:t>λαμβάνοντας υπόψη ότι, σύμφωνα με το νέο πλαίσιο οικονομικής διακυβέρνησης της ΕΕ, όλα τα κράτη μέλη πρέπει να συμπεριλάβουν μεταρρυθμίσεις και επενδύσεις στα μεσοπρόθεσμα σχέδιά τους για την κάλυψη των κοινών προτεραιοτήτων της ΕΕ και των προκλήσεων που προσδιορίζονται στις ειδικές ανά χώρα συστάσεις στο πλαίσιο του Ευρωπαϊκού Εξαμήνου·</w:t>
            </w:r>
            <w:r>
              <w:t xml:space="preserve"> </w:t>
            </w:r>
            <w:r>
              <w:rPr>
                <w:b/>
                <w:i/>
              </w:rPr>
              <w:t>λαμβάνοντας υπόψη ότι οι κοινές προτεραιότητες της ΕΕ περιλαμβάνουν την κοινωνική και οικονομική ανθεκτικότητα, συμπεριλαμβανομένου του ευρωπαϊκού πυλώνα κοινωνικών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β.</w:t>
            </w:r>
            <w:r>
              <w:tab/>
            </w:r>
            <w:r>
              <w:rPr>
                <w:b/>
                <w:i/>
              </w:rPr>
              <w:t>λαμβάνοντας υπόψη ότι πολιτικές της ΕΕ, όπως το NextGenerationEU και το SURE, έχουν εξασφαλίσει ανάπτυξη και οικονομική ανθεκτικότητα, μειώνοντας τις ανισότητες·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β.</w:t>
            </w:r>
            <w:r>
              <w:tab/>
            </w:r>
            <w:r>
              <w:rPr>
                <w:b/>
                <w:i/>
              </w:rPr>
              <w:t>λαμβάνοντας υπόψη ότι πρέπει να εργαστούμε με ενότητα και αλληλεγγύη προς όφελος όλων των πολιτών, των επιχειρήσεων και των κρατών μελών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γ.</w:t>
            </w:r>
            <w:r>
              <w:tab/>
            </w:r>
            <w:r>
              <w:rPr>
                <w:b/>
                <w:i/>
              </w:rPr>
              <w:t>λαμβάνοντας υπόψη ότι και το 2021 σημειώθηκαν περισσότερα από 3.300 θανατηφόρα ατυχήματα και σχεδόν 3 εκατομμύρια μη θανατηφόρα ατυχήματα στην ΕΕ των 27·</w:t>
            </w:r>
            <w:r>
              <w:t xml:space="preserve"> </w:t>
            </w:r>
            <w:r>
              <w:rPr>
                <w:b/>
                <w:i/>
              </w:rPr>
              <w:t>λαμβάνοντας υπόψη ότι περισσότεροι από 200.000 εργαζόμενοι πεθαίνουν κάθε χρόνο από ασθένειες που σχετίζονται με την εργασία·</w:t>
            </w:r>
            <w:r>
              <w:t xml:space="preserve"> </w:t>
            </w:r>
            <w:r>
              <w:rPr>
                <w:b/>
                <w:i/>
              </w:rPr>
              <w:t>λαμβάνοντας υπόψη ότι αυτά τα δεδομένα δεν περιλαμβάνουν όλα τα ατυχήματα που προκαλούνται στο πλαίσιο αδήλωτης εργασίας, καθιστώντας εύλογη την υπόθεση ότι οι πραγματικοί αριθμοί υπερβαίνουν κατά πολύ τα επίσημα στατιστικά στοιχεία·</w:t>
            </w:r>
            <w:r>
              <w:t xml:space="preserve"> </w:t>
            </w:r>
            <w:r>
              <w:rPr>
                <w:b/>
                <w:i/>
              </w:rPr>
              <w:t>λαμβάνοντας υπόψη ότι, σύμφωνα με το Eurofound, το 2017 το 20 % των θέσεων εργασίας στην Ευρώπη ήταν «χαμηλής ποιότητας» και έθετε τους εργαζομένους σε αυξημένο κίνδυνο όσον αφορά τη σωματική ή ψυχική υγεία τους·</w:t>
            </w:r>
            <w:r>
              <w:t xml:space="preserve"> </w:t>
            </w:r>
            <w:r>
              <w:rPr>
                <w:b/>
                <w:i/>
              </w:rPr>
              <w:t>λαμβάνοντας υπόψη ότι 14 % των εργαζομένων έχουν εκτεθεί σε υψηλό επίπεδο ψυχοκοινωνικών κινδύνων·</w:t>
            </w:r>
            <w:r>
              <w:t xml:space="preserve"> </w:t>
            </w:r>
            <w:r>
              <w:rPr>
                <w:b/>
                <w:i/>
              </w:rPr>
              <w:t>λαμβάνοντας υπόψη ότι 23 % των ευρωπαίων εργαζομένων πιστεύουν ότι η εργασία τους θέτει σε κίνδυνο την ασφάλεια ή την υγεία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γ.</w:t>
            </w:r>
            <w:r>
              <w:tab/>
            </w:r>
            <w:r>
              <w:rPr>
                <w:b/>
                <w:i/>
              </w:rPr>
              <w:t>λαμβάνοντας υπόψη ότι οι δημόσιες επενδύσεις αναμένεται να αυξηθούν το 2025 σε όλα σχεδόν τα κράτη μέλη, με σημαντική συμβολή από τον μηχανισμό ανάκαμψης και ανθεκτικότητας (ΜΑΑ) του NextGenerationEU και τα κονδύλια της ΕΕ σε αρκετά κράτη μέλη·</w:t>
            </w:r>
            <w:r>
              <w:t xml:space="preserve"> </w:t>
            </w:r>
            <w:r>
              <w:rPr>
                <w:b/>
                <w:i/>
              </w:rPr>
              <w:t>λαμβάνοντας υπόψη ότι περίπου 162,5 δισεκατομμύρια που διατίθενται στα κράτη μέλη στο πλαίσιο του ΜΑΑ συμβάλλουν σε κοινωνικές δαπάνες, οι οποίες αντιστοιχούν περίπου στο 25 % των συνολικών εκτιμώμενων δαπανών</w:t>
            </w:r>
            <w:r>
              <w:rPr>
                <w:b/>
                <w:i/>
                <w:vertAlign w:val="superscript"/>
              </w:rPr>
              <w:t>10a</w:t>
            </w:r>
            <w:r>
              <w:rPr>
                <w:b/>
                <w:i/>
              </w:rPr>
              <w:t>·</w:t>
            </w:r>
            <w:r>
              <w:t xml:space="preserve"> </w:t>
            </w:r>
            <w:r>
              <w:rPr>
                <w:b/>
                <w:i/>
              </w:rPr>
              <w:t>λαμβάνοντας υπόψη ότι οι κοινωνικές επενδύσεις και μεταρρυθμίσεις σε βασικούς τομείς μπορούν να τονώσουν την απασχόληση, την κοινωνική ένταξη, την ανταγωνιστικότητα και την οικονομική ανάπτυξη</w:t>
            </w:r>
            <w:r>
              <w:rPr>
                <w:b/>
                <w:i/>
                <w:vertAlign w:val="superscript"/>
              </w:rPr>
              <w:t>11a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Ευρωπαϊκό Εξάμηνο 2025:</w:t>
            </w:r>
            <w:r>
              <w:t xml:space="preserve"> </w:t>
            </w:r>
            <w:r>
              <w:rPr>
                <w:b/>
                <w:i/>
              </w:rPr>
              <w:t>πρόταση κοινής έκθεσης για την απασχόληση.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Απασχόληση και κοινωνικές εξελίξεις στην Ευρώπη (ESDE) 2024, Ευρωπαϊκή Επιτροπή, Σεπτέμβριος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γ.</w:t>
            </w:r>
            <w:r>
              <w:tab/>
            </w:r>
            <w:r>
              <w:rPr>
                <w:b/>
                <w:i/>
              </w:rPr>
              <w:t>λαμβάνοντας υπόψη ότι ο κοινωνικός διάλογος και οι συλλογικές διαπραγματεύσεις είναι ουσιαστικής σημασίας για την ανταγωνιστικότητα, την παραγωγικότητα της εργασίας και την κοινωνική συνοχή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γ.</w:t>
            </w:r>
            <w:r>
              <w:tab/>
            </w:r>
            <w:r>
              <w:rPr>
                <w:b/>
                <w:i/>
              </w:rPr>
              <w:t>λαμβάνοντας υπόψη ότι θα επιδιώξουμε τον διττό στόχο της στρατηγικής ενεργειακής κυριαρχίας και της κλιματικής ουδετερότητας έως το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δ.</w:t>
            </w:r>
            <w:r>
              <w:tab/>
            </w:r>
            <w:r>
              <w:rPr>
                <w:b/>
                <w:i/>
              </w:rPr>
              <w:t>λαμβάνοντας υπόψη ότι οι κοινωνικοί εταίροι είναι απαραίτητοι για τον σχεδιασμό και την εφαρμογή πολιτικών που προωθούν τη βιώσιμη και χωρίς αποκλεισμούς ανάπτυξη, την αξιοπρεπή και ποιοτική εργασία και τις δίκαιες μεταβάσεις και πρέπει να συμμετέχουν σε όλα τα επίπεδα διακυβέρνησης σύμφωνα με τη ΣΛΕΕ·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ε.</w:t>
            </w:r>
            <w:r>
              <w:tab/>
            </w:r>
            <w:r>
              <w:rPr>
                <w:b/>
                <w:i/>
              </w:rPr>
              <w:t>λαμβάνοντας υπόψη ότι τα κράτη μέλη θα πρέπει να εφαρμόσουν χωρίς καθυστέρηση την οδηγία για επαρκείς κατώτατους μισθούς και να καταρτίσουν σχέδια δράσης που αυξάνουν την κάλυψη των συλλογικών διαπραγματεύσεων σύμφωνα με την οδηγία, κατά περίπτωση·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Ζ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Ζ στ.</w:t>
            </w:r>
            <w:r>
              <w:tab/>
            </w:r>
            <w:r>
              <w:rPr>
                <w:b/>
                <w:i/>
              </w:rPr>
              <w:t>λαμβάνοντας υπόψη ότι, σύμφωνα με έρευνα του Eurofound, τα ποσοστά αυτοκτονιών αυξάνονται από το 2021, μετά από δεκαετίες πτωτικής πορείας, και πρέπει να καταβληθούν περισσότερες προσπάθειες για να αντιμετωπιστούν τα αίτια των προβλημάτων ψυχικής υγείας στις συνθήκες εργασίας και διαβίωσης (κυρίως η κοινωνική ένταξη), και ότι η πρόσβαση σε στήριξη για άτομα με κακή ψυχική υγεία εξακολουθεί να αποτελεί πρόβλημα·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θεωρεί ότι η</w:t>
            </w:r>
            <w:r>
              <w:t xml:space="preserve"> Επιτροπή και </w:t>
            </w:r>
            <w:r>
              <w:rPr>
                <w:b/>
                <w:i/>
              </w:rPr>
              <w:t>το Συμβούλιο θα πρέπει</w:t>
            </w:r>
            <w:r>
              <w:t xml:space="preserve"> να συνεχίσουν να εφαρμόζουν τον ευρωπαϊκό πυλώνα κοινωνικών δικαιωμάτων, σύμφωνα με το σχέδιο δράσης του Μαρτίου 2021·</w:t>
            </w:r>
          </w:p>
        </w:tc>
        <w:tc>
          <w:tcPr>
            <w:tcW w:w="4876" w:type="dxa"/>
            <w:tcBorders>
              <w:top w:val="nil"/>
              <w:left w:val="nil"/>
              <w:bottom w:val="nil"/>
              <w:right w:val="nil"/>
            </w:tcBorders>
          </w:tcPr>
          <w:p>
            <w:pPr>
              <w:pStyle w:val="Normal6a"/>
            </w:pPr>
            <w:r>
              <w:t>1.</w:t>
            </w:r>
            <w:r>
              <w:tab/>
            </w:r>
            <w:r>
              <w:rPr>
                <w:b/>
                <w:i/>
              </w:rPr>
              <w:t>καλεί την</w:t>
            </w:r>
            <w:r>
              <w:t xml:space="preserve"> Επιτροπή και </w:t>
            </w:r>
            <w:r>
              <w:rPr>
                <w:b/>
                <w:i/>
              </w:rPr>
              <w:t>τα κράτη μέλη</w:t>
            </w:r>
            <w:r>
              <w:t xml:space="preserve"> να συνεχίσουν να εφαρμόζουν τον ευρωπαϊκό πυλώνα κοινωνικών δικαιωμάτων </w:t>
            </w:r>
            <w:r>
              <w:rPr>
                <w:b/>
                <w:i/>
              </w:rPr>
              <w:t>(ΕΠΚΔ)</w:t>
            </w:r>
            <w:r>
              <w:t xml:space="preserve">, σύμφωνα με το σχέδιο δράσης του Μαρτίου 2021 </w:t>
            </w:r>
            <w:r>
              <w:rPr>
                <w:b/>
                <w:i/>
              </w:rPr>
              <w:t>και τη δήλωση της La Hulpe για την επίτευξη των πρωταρχικών στόχων για το 2030·</w:t>
            </w:r>
            <w:r>
              <w:t xml:space="preserve"> </w:t>
            </w:r>
            <w:r>
              <w:rPr>
                <w:b/>
                <w:i/>
              </w:rPr>
              <w:t>στο πλαίσιο αυτό, επικροτεί την ανακοίνωση νέου σχεδίου δράσης για την εφαρμογή του ΕΠΚΔ</w:t>
            </w:r>
            <w:r>
              <w:rPr>
                <w:b/>
                <w:i/>
                <w:vertAlign w:val="superscript"/>
              </w:rPr>
              <w:t>12a</w:t>
            </w:r>
            <w:r>
              <w:t xml:space="preserve"> </w:t>
            </w:r>
            <w:r>
              <w:rPr>
                <w:b/>
                <w:i/>
              </w:rPr>
              <w:t>για το 2025, προκειμένου να δοθεί νέα ώθηση στην κοινωνική πρόοδο·</w:t>
            </w:r>
            <w:r>
              <w:t xml:space="preserve"> </w:t>
            </w:r>
            <w:r>
              <w:rPr>
                <w:b/>
                <w:i/>
              </w:rPr>
              <w:t>τονίζει ότι είναι αναγκαίο το επικαιροποιημένο σχέδιο δράσης να περιλαμβάνει φιλόδοξες προτάσεις για την αντιμετώπιση της φτώχειας και του κοινωνικού αποκλεισμού, καθώς και υποστηρικτικά μέτρα για τους εργαζομένους με στόχο τη διαχείριση της διττής μετάβασης, ιδίως όσον αφορά τις δεξιότητες, την επαγγελματική εκπαίδευση και κατάρτιση και τη διά βίου μάθηση</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Η επιλογή της Ευρώπης, Πολιτικές κατευθύνσεις για την επόμενη Ευρωπαϊκή Επιτροπή 2024-2029, Ursula von der Leyen (Ιούλιος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θεωρεί ότι η Επιτροπή και το Συμβούλιο θα πρέπει να </w:t>
            </w:r>
            <w:r>
              <w:rPr>
                <w:b/>
                <w:i/>
              </w:rPr>
              <w:t>συνεχίσουν να εφαρμόζουν τον ευρωπαϊκό</w:t>
            </w:r>
            <w:r>
              <w:t xml:space="preserve"> πυλώνα κοινωνικών δικαιωμάτων, σύμφωνα με το σχέδιο δράσης του Μαρτίου 2021·</w:t>
            </w:r>
          </w:p>
        </w:tc>
        <w:tc>
          <w:tcPr>
            <w:tcW w:w="4876" w:type="dxa"/>
            <w:tcBorders>
              <w:top w:val="nil"/>
              <w:left w:val="nil"/>
              <w:bottom w:val="nil"/>
              <w:right w:val="nil"/>
            </w:tcBorders>
          </w:tcPr>
          <w:p>
            <w:pPr>
              <w:pStyle w:val="Normal6a"/>
            </w:pPr>
            <w:r>
              <w:t>1.</w:t>
            </w:r>
            <w:r>
              <w:tab/>
            </w:r>
            <w:r>
              <w:t xml:space="preserve">θεωρεί ότι η Επιτροπή και το Συμβούλιο θα πρέπει να </w:t>
            </w:r>
            <w:r>
              <w:rPr>
                <w:b/>
                <w:i/>
              </w:rPr>
              <w:t>επιταχύνουν την πλήρη εφαρμογή του ευρωπαϊκού</w:t>
            </w:r>
            <w:r>
              <w:t xml:space="preserve"> πυλώνα κοινωνικών δικαιωμάτων, σύμφωνα με το σχέδιο δράσης του Μαρτίου 2021· </w:t>
            </w:r>
            <w:r>
              <w:rPr>
                <w:b/>
                <w:i/>
              </w:rPr>
              <w:t>καλεί την Επιτροπή να υποβάλει επικαιροποιημένο σχέδιο για τον ευρωπαϊκό πυλώνα κοινωνικών δικαιωμάτων για την περίοδο 2025-2029, διασφαλίζοντας την ενσωμάτωση νέων προτεραιοτήτων·</w:t>
            </w:r>
            <w:r>
              <w:t xml:space="preserve"> </w:t>
            </w:r>
            <w:r>
              <w:rPr>
                <w:b/>
                <w:i/>
              </w:rPr>
              <w:t>τονίζει ότι η χρήση του πίνακα κοινωνικών αποτελεσμάτων και του πλαισίου κοινωνικής σύγκλισης είναι σημαντική για τον εντοπισμό των κινδύνων και την παρακολούθηση της προόδου όσον αφορά τη μείωση των ανισοτήτων, την ενίσχυση των συστημάτων κοινωνικής προστασίας και την προώθηση καλών συνθηκών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θεωρεί ότι η Επιτροπή και το Συμβούλιο θα πρέπει να συνεχίσουν να εφαρμόζουν τον ευρωπαϊκό πυλώνα κοινωνικών δικαιωμάτων, σύμφωνα με το σχέδιο δράσης του Μαρτίου 2021·</w:t>
            </w:r>
          </w:p>
        </w:tc>
        <w:tc>
          <w:tcPr>
            <w:tcW w:w="4876" w:type="dxa"/>
            <w:tcBorders>
              <w:top w:val="nil"/>
              <w:left w:val="nil"/>
              <w:bottom w:val="nil"/>
              <w:right w:val="nil"/>
            </w:tcBorders>
          </w:tcPr>
          <w:p>
            <w:pPr>
              <w:pStyle w:val="Normal6a"/>
            </w:pPr>
            <w:r>
              <w:t>1.</w:t>
            </w:r>
            <w:r>
              <w:tab/>
            </w:r>
            <w:r>
              <w:t xml:space="preserve">θεωρεί ότι η Επιτροπή και το Συμβούλιο θα πρέπει να συνεχίσουν να εφαρμόζουν τον ευρωπαϊκό πυλώνα κοινωνικών δικαιωμάτων, σύμφωνα με το σχέδιο δράσης του Μαρτίου 2021· </w:t>
            </w:r>
            <w:r>
              <w:rPr>
                <w:b/>
                <w:i/>
              </w:rPr>
              <w:t>ζητεί να ενισχυθεί ο κοινωνικός διάλογος και παράλληλα να διαφυλαχθούν οι ίσες ευκαιρίες και να μειωθούν οι ανισότητες σύμφωνα με τον ευρωπαϊκό πυλώνα κοινωνικών δικαιωμάτων, με σεβασμό προς τις αρμοδιότητες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θεωρεί ότι η Επιτροπή και το Συμβούλιο θα πρέπει να συνεχίσουν να εφαρμόζουν τον ευρωπαϊκό πυλώνα κοινωνικών δικαιωμάτων, </w:t>
            </w:r>
            <w:r>
              <w:rPr>
                <w:b/>
                <w:i/>
              </w:rPr>
              <w:t>σύμφωνα</w:t>
            </w:r>
            <w:r>
              <w:t xml:space="preserve"> με το </w:t>
            </w:r>
            <w:r>
              <w:rPr>
                <w:b/>
                <w:i/>
              </w:rPr>
              <w:t>σχέδιο δράσης του Μαρτίου 2021·</w:t>
            </w:r>
          </w:p>
        </w:tc>
        <w:tc>
          <w:tcPr>
            <w:tcW w:w="4876" w:type="dxa"/>
            <w:tcBorders>
              <w:top w:val="nil"/>
              <w:left w:val="nil"/>
              <w:bottom w:val="nil"/>
              <w:right w:val="nil"/>
            </w:tcBorders>
          </w:tcPr>
          <w:p>
            <w:pPr>
              <w:pStyle w:val="Normal6a"/>
            </w:pPr>
            <w:r>
              <w:t>1.</w:t>
            </w:r>
            <w:r>
              <w:tab/>
            </w:r>
            <w:r>
              <w:t xml:space="preserve">θεωρεί ότι η Επιτροπή και το Συμβούλιο θα πρέπει να συνεχίσουν να εφαρμόζουν τον ευρωπαϊκό πυλώνα κοινωνικών δικαιωμάτων, </w:t>
            </w:r>
            <w:r>
              <w:rPr>
                <w:b/>
                <w:i/>
              </w:rPr>
              <w:t>σε πλήρη συμμόρφωση</w:t>
            </w:r>
            <w:r>
              <w:t xml:space="preserve"> με το </w:t>
            </w:r>
            <w:r>
              <w:rPr>
                <w:b/>
                <w:i/>
              </w:rPr>
              <w:t>εθνικό δίκαιο, κατά τρόπο συμπληρωματικό και χωρίς περιορισμούς.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θεωρεί ότι η Επιτροπή και το Συμβούλιο θα πρέπει να </w:t>
            </w:r>
            <w:r>
              <w:rPr>
                <w:b/>
                <w:i/>
              </w:rPr>
              <w:t>συνεχίσουν να εφαρμόζουν τον ευρωπαϊκό</w:t>
            </w:r>
            <w:r>
              <w:t xml:space="preserve"> πυλώνα κοινωνικών δικαιωμάτων, </w:t>
            </w:r>
            <w:r>
              <w:rPr>
                <w:b/>
                <w:i/>
              </w:rPr>
              <w:t>σύμφωνα με το σχέδιο δράσης του Μαρτίου 2021</w:t>
            </w:r>
            <w:r>
              <w:t>·</w:t>
            </w:r>
          </w:p>
        </w:tc>
        <w:tc>
          <w:tcPr>
            <w:tcW w:w="4876" w:type="dxa"/>
            <w:tcBorders>
              <w:top w:val="nil"/>
              <w:left w:val="nil"/>
              <w:bottom w:val="nil"/>
              <w:right w:val="nil"/>
            </w:tcBorders>
          </w:tcPr>
          <w:p>
            <w:pPr>
              <w:pStyle w:val="Normal6a"/>
            </w:pPr>
            <w:r>
              <w:t>1.</w:t>
            </w:r>
            <w:r>
              <w:tab/>
            </w:r>
            <w:r>
              <w:t xml:space="preserve">θεωρεί ότι η Επιτροπή και το Συμβούλιο θα πρέπει να </w:t>
            </w:r>
            <w:r>
              <w:rPr>
                <w:b/>
                <w:i/>
              </w:rPr>
              <w:t>εντείνουν τις προσπάθειές τους για την εφαρμογή του ευρωπαϊκού</w:t>
            </w:r>
            <w:r>
              <w:t xml:space="preserve"> πυλώνα κοινωνικών δικαιωμάτων, </w:t>
            </w:r>
            <w:r>
              <w:rPr>
                <w:b/>
                <w:i/>
              </w:rPr>
              <w:t>ενόψει της επικείμενης αναθεώρησης του σχεδίου δράσης το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υπενθυμίζει ότι οι στόχοι μιας κοινωνικής Ευρώπης έχουν επανειλημμένα προσδιοριστεί από τους ευρωπαίους πολίτες ως προτεραιότητες·</w:t>
            </w:r>
            <w:r>
              <w:t xml:space="preserve"> </w:t>
            </w:r>
            <w:r>
              <w:rPr>
                <w:b/>
                <w:i/>
              </w:rPr>
              <w:t>τονίζει ότι, προκειμένου να πραγματωθεί η κοινωνική Ευρώπη και να εξασφαλιστεί υψηλό επίπεδο κοινωνικής προστασίας κατά τις μεταβάσεις, είναι αναγκαίο να διασφαλιστεί μια βιώσιμη, δίκαιη και χωρίς αποκλεισμούς Ευρώπη, όπου τα κοινωνικά δικαιώματα προστατεύονται πλήρως και διασφαλίζονται στο ίδιο επίπεδο με τις οικονομικές ελευθερίες, και να εξεταστούν μέθοδοι για τη διασφάλιση του ευρωπαϊκού κοινωνικού συμβολαίου·</w:t>
            </w:r>
            <w:r>
              <w:t xml:space="preserve"> </w:t>
            </w:r>
            <w:r>
              <w:rPr>
                <w:b/>
                <w:i/>
              </w:rPr>
              <w:t>στο πλαίσιο αυτό, επαναλαμβάνει την έκκλησή του για ένα πρωτόκολλο κοινωνικής προόδου που θα προσαρτηθεί στις Συνθήκες</w:t>
            </w:r>
            <w:r>
              <w:rPr>
                <w:b/>
                <w:i/>
                <w:vertAlign w:val="superscript"/>
              </w:rPr>
              <w:t>13a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Ψήφισμα του Ευρωπαϊκού Κοινοβουλίου της 22ας Νοεμβρίου 2023 σχετικά με σχέδιο του Ευρωπαϊκού Κοινοβουλίου για την αναθεώρηση των Συνθηκών (2022/2051(INL)).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ζητεί την εφαρμογή ανοδικής σύγκλισης με τη λήψη άμεσων μέτρων για ποιοτική δημόσια φροντίδα, εκπαίδευση και δεξιότητες επόμενης γενιάς, και ιδίως μέσω περαιτέρω επενδύσεων για την αποτελεσματική πρόσβαση σε υγιεινή διατροφή, παρέχοντας τουλάχιστον ένα δωρεάν ζεστό γεύμα ανά ημέρα για κάθε παιδί στην ΕΕ σε όλες τις εγκαταστάσεις παιδικής φροντίδας και τα σχολεία·</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α.</w:t>
            </w:r>
            <w:r>
              <w:tab/>
            </w:r>
            <w:r>
              <w:rPr>
                <w:b/>
                <w:i/>
              </w:rPr>
              <w:t>καλεί την Επιτροπή να διασφαλίσει ότι η ΚΕΑ 2026 αναλύει την εφαρμογή όλων των αρχών του ΕΠΚΔ σύμφωνα με τον κανονισμό 2024/1263 και να ενσωματώσει στην ΚΕΑ την ανάλυση της κοινωνικής διάστασης των εθνικών μεσοπρόθεσμων δημοσιονομικών-διαρθρωτικών σχεδίων που σχετίζονται με την κοινωνική ανθεκτικότητα, συμπεριλαμβανομένου του ευρωπαϊκού πυλώνα κοινωνικών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β.</w:t>
            </w:r>
            <w:r>
              <w:tab/>
            </w:r>
            <w:r>
              <w:rPr>
                <w:b/>
                <w:i/>
              </w:rPr>
              <w:t>εκφράζει την ανησυχία του για το γεγονός ότι 94,6 εκατομμύρια άτομα στην ΕΕ το 2023 εξακολουθούσαν να διατρέχουν κίνδυνο φτώχειας ή κοινωνικού αποκλεισμού·</w:t>
            </w:r>
            <w:r>
              <w:t xml:space="preserve"> </w:t>
            </w:r>
            <w:r>
              <w:rPr>
                <w:b/>
                <w:i/>
              </w:rPr>
              <w:t>τονίζει ότι χωρίς αλλαγή παραδείγματος στην προσέγγιση για την καταπολέμηση της φτώχειας, η Ευρωπαϊκή Ένωση και τα κράτη μέλη της δεν θα επιτύχουν τους στόχους τους όσον αφορά τη μείωση της φτώχειας·</w:t>
            </w:r>
            <w:r>
              <w:t xml:space="preserve"> </w:t>
            </w:r>
            <w:r>
              <w:rPr>
                <w:b/>
                <w:i/>
              </w:rPr>
              <w:t>πιστεύει ότι η ανακοίνωση της πρώτης στρατηγικής της ΕΕ για την καταπολέμηση της φτώχειας αποτελεί βήμα προς τη σωστή κατεύθυνση για την αντιστροφή της τάσης, αλλά πρέπει να παρέχει μια ολοκληρωμένη προσέγγιση για την αντιμετώπιση των πολυδιάστατων πτυχών της φτώχειας και του κοινωνικού αποκλεισμού με συγκεκριμένες δράσεις, αυστηρή εφαρμογή και παρακολούθηση·</w:t>
            </w:r>
            <w:r>
              <w:t xml:space="preserve"> </w:t>
            </w:r>
            <w:r>
              <w:rPr>
                <w:b/>
                <w:i/>
              </w:rPr>
              <w:t>ζητεί η στρατηγική αυτή να συμπεριλαμβάνει όλα τα άτομα που αντιμετωπίζουν φτώχεια και κοινωνικό αποκλεισμό, πρωτίστως τα πλέον μειονεκτούντα άτομα, αλλά και να προβλέπει ειδικά μέτρα για διάφορες ομάδες, όπως τα άτομα που αντιμετωπίζουν εργασιακή φτώχεια, οι άστεγοι, τα άτομα με αναπηρία, οι μονογονεϊκές οικογένειες και κυρίως τα παιδιά, προκειμένου να «σπάσει» με βιώσιμο τρόπο ο κύκλος της φτώχειας·</w:t>
            </w:r>
            <w:r>
              <w:t xml:space="preserve"> </w:t>
            </w:r>
            <w:r>
              <w:rPr>
                <w:b/>
                <w:i/>
              </w:rPr>
              <w:t>τονίζει ότι η μεταφορά της οδηγίας για επαρκείς κατώτατους μισθούς θα είναι καίριας σημασίας για την πρόληψη και την καταπολέμηση των κινδύνων φτώχειας μεταξύ των εργαζομένων, ενισχύοντας παράλληλα τα κίνητρα για εργασία, και επικροτεί το γεγονός ότι αρκετά κράτη μέλη έχουν τροποποιήσει ή σχεδιάζουν να τροποποιήσουν τα οικεία πλαίσια για τους κατώτατους μισθούς·</w:t>
            </w:r>
            <w:r>
              <w:t xml:space="preserve"> </w:t>
            </w:r>
            <w:r>
              <w:rPr>
                <w:b/>
                <w:i/>
              </w:rPr>
              <w:t>τονίζει ότι μια οδηγία-πλαίσιο της ΕΕ για επαρκές ελάχιστο εισόδημα και την ενεργό ένταξη, σύμφωνα με την αρχή της επικουρικότητας, θα συμβάλει στην επίτευξη των στόχων για μείωση της φτώχειας και στην προώθηση της ένταξης των ατόμων που βρίσκονται εκτός αγοράς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β.</w:t>
            </w:r>
            <w:r>
              <w:tab/>
            </w:r>
            <w:r>
              <w:rPr>
                <w:b/>
                <w:i/>
              </w:rPr>
              <w:t>αποδοκιμάζει την έλλειψη δεδομένων και αναλύσεων σχετικά με την άνιση κατανομή και συγκέντρωση πλούτου στην ΕΕ, καθώς πρόκειται για έναν από τους κύριους καθοριστικούς παράγοντες της φτώχειας·</w:t>
            </w:r>
            <w:r>
              <w:t xml:space="preserve"> </w:t>
            </w:r>
            <w:r>
              <w:rPr>
                <w:b/>
                <w:i/>
              </w:rPr>
              <w:t>επισημαίνει ότι, σύμφωνα με τους λογαριασμούς κατανομής του πλούτου (DWA), το οποίο αποτελεί σύνολο δεδομένων που αναπτύχθηκε από το Ευρωπαϊκό Σύστημα Κεντρικών Τραπεζών (ΕΣΚΤ), το μερίδιο του πλούτου που κατέχει το ανώτερο 10 % ανήλθε σε 56 % το τέταρτο τρίμηνο του 2023, ενώ το κατώτερο ήμισυ κατείχε μόλις το 5 %·</w:t>
            </w:r>
            <w:r>
              <w:t xml:space="preserve"> </w:t>
            </w:r>
            <w:r>
              <w:rPr>
                <w:b/>
                <w:i/>
              </w:rPr>
              <w:t>καλεί την Επιτροπή και τα κράτη μέλη να αξιολογήσουν τον κοινωνικοοικονομικό αντίκτυπο που επιφέρει η άνιση κατανομή του πλούτου και να προτείνουν επειγόντως μέτρα που διασφαλίζουν δικαιότερη κατανομή του πλούτου και των πόρων, προκειμένου να καταστεί δυνατή η πρόοδος για τη μείωση της φτώχειας κατά 15 εκατομμύρια το 2030, καθώς και η διεύρυνση της μεσαίας τάξης·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γ.</w:t>
            </w:r>
            <w:r>
              <w:tab/>
            </w:r>
            <w:r>
              <w:rPr>
                <w:b/>
                <w:i/>
              </w:rPr>
              <w:t>απευθύνει εκ νέου έκκληση στην Επιτροπή να παρακολουθεί προσεκτικά την εφαρμογή της πρωτοβουλίας «Εγγύηση για τα Παιδιά» σε όλα τα κράτη μέλη στο πλαίσιο του Ευρωπαϊκού Εξαμήνου και των ειδικών ανά χώρα συστάσεων·</w:t>
            </w:r>
            <w:r>
              <w:t xml:space="preserve"> </w:t>
            </w:r>
            <w:r>
              <w:rPr>
                <w:b/>
                <w:i/>
              </w:rPr>
              <w:t>απευθύνει εκ νέου έκκληση να αυξηθεί η χρηματοδότηση της ευρωπαϊκής εγγύησης για τα παιδιά με ειδικό προϋπολογισμό ύψους τουλάχιστον 20 δισεκατομμυρίων ευρώ και καλεί όλα τα κράτη μέλη να διαθέσουν τουλάχιστον το 5 % των κονδυλίων του ΕΚΤ+ που διαθέτουν για την καταπολέμηση της παιδικής φτώχειας και την προώθηση της ευημερίας των παιδιών·</w:t>
            </w:r>
            <w:r>
              <w:t xml:space="preserve"> </w:t>
            </w:r>
            <w:r>
              <w:rPr>
                <w:b/>
                <w:i/>
              </w:rPr>
              <w:t>θεωρεί ότι οι ειδικές ανά χώρα συστάσεις θα πρέπει να αντικατοπτρίζουν τη δημοσιονομική συμμόρφωση των κρατών μελών με την ελάχιστη απαίτηση κατανομής για την αντιμετώπιση της παιδικής φτώχειας που ορίζεται στον κανονισμό ΕΚΤ+</w:t>
            </w:r>
            <w:r>
              <w:rPr>
                <w:b/>
                <w:i/>
                <w:vertAlign w:val="superscript"/>
              </w:rPr>
              <w:t>14a</w:t>
            </w:r>
            <w:r>
              <w:rPr>
                <w:b/>
                <w:i/>
              </w:rPr>
              <w:t>·</w:t>
            </w:r>
            <w:r>
              <w:t xml:space="preserve"> </w:t>
            </w:r>
            <w:r>
              <w:rPr>
                <w:b/>
                <w:i/>
              </w:rPr>
              <w:t>καλεί την Επιτροπή να παράσχει έναν φιλόδοξο προϋπολογισμό για την «Εγγύηση για τα Παιδιά» στο επόμενο πολυετές δημοσιονομικό πλαίσιο, προκειμένου να ανταποκριθεί στην αυξανόμενη πρόκληση της παιδικής φτώχειας και του κοινωνικού αποκλεισμού·</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Κανονισμός (ΕΕ) 2021/1057 περί ιδρύσεως του Ευρωπαϊκού Κοινωνικού Ταμείου+ , άρθρο 7 παράγραφος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γ.</w:t>
            </w:r>
            <w:r>
              <w:tab/>
            </w:r>
            <w:r>
              <w:rPr>
                <w:b/>
                <w:i/>
              </w:rPr>
              <w:t>επικροτεί το γεγονός ότι η ΚΕΑ 2025 περιλαμβάνει ανάλυση σχετικά με τη θετική συμβολή των ΣΒΑ και των ευρωπαϊκών στρατηγικών για την ισότητα και καλεί την Επιτροπή να διασφαλίσει ότι η ΚΕΑ 2026 θα περιλαμβάνει τόσο μια ενότητα που αναλύει την πρόοδο προς την επίτευξη των ΣΒΑ που σχετίζονται με την απασχόληση και την κοινωνική πολιτική, όσο και μια άλλη ενότητα σχετικά με την πρόοδο ως προς την εξάλειψη των κοινωνικών και εργασιακών διακρίσεων σύμφωνα με τη στρατηγική για την ισότητα των φύλων 2020-2025, το σχέδιο δράσης της ΕΕ για την καταπολέμηση του ρατσισμού 2020-2025, το στρατηγικό πλαίσιο της ΕΕ για την ισότητα, την ένταξη και τη συμμετοχή των Ρομά 2020-2030, τη στρατηγική για την ισότητα των ΛΟΑΤΚΙ 2020-2025 και τη στρατηγική για τα δικαιώματα των ατόμων με αναπηρία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δ.</w:t>
            </w:r>
            <w:r>
              <w:tab/>
            </w:r>
            <w:r>
              <w:rPr>
                <w:b/>
                <w:i/>
              </w:rPr>
              <w:t>εκφράζει ανησυχία για το επαναλαμβανόμενο κλείσιμο εργοστασίων που δραστηριοποιούνται σε διάφορους τομείς στην Ευρωπαϊκή Ένωση και για τον αντίκτυπο που επιφέρει στους εργαζομένους που αντιμετωπίζουν απώλειες θέσεων εργασίας·</w:t>
            </w:r>
            <w:r>
              <w:t xml:space="preserve"> </w:t>
            </w:r>
            <w:r>
              <w:rPr>
                <w:b/>
                <w:i/>
              </w:rPr>
              <w:t>καλεί την Επιτροπή να διασφαλίσει ότι οι πολιτικές κατάρτισης και απόκτησης δεξιοτήτων που απευθύνονται σε εργαζομένους και η δημιουργία ποιοτικών θέσεων εργασίας θα ενσωματωθούν στην επικείμενη συμφωνία για καθαρή βιομηχανία σύμφωνα με την έκθεση Draghi·</w:t>
            </w:r>
            <w:r>
              <w:t xml:space="preserve"> </w:t>
            </w:r>
            <w:r>
              <w:rPr>
                <w:b/>
                <w:i/>
              </w:rPr>
              <w:t>υπενθυμίζει τον σημαντικό ρόλο που μπορεί να διαδραματίσει το Ευρωπαϊκό Ταμείο Προσαρμογής στην Παγκοσμιοποίηση για τους απολυμένους εργαζομένους (ΕΤΠ) στη στήριξη και την επανειδίκευση των εργαζομένων που απολύθηκαν λόγω σημαντικών αναδιαρθρώσεων που σχετίζονται, για παράδειγμα, με την παγκοσμιοποίηση, τη μετάβαση σε μια οικονομία χαμηλών εκπομπών διοξειδίου του άνθρακα ή ως συνέπεια της ψηφιοποίησης ή της αυτοματοποίησης·</w:t>
            </w:r>
            <w:r>
              <w:t xml:space="preserve"> </w:t>
            </w:r>
            <w:r>
              <w:rPr>
                <w:b/>
                <w:i/>
              </w:rPr>
              <w:t>καλεί τα κράτη μέλη να αξιοποιήσουν το Ταμείο και να διαδώσουν ευρέως πληροφορίες σχετικά με τις δυνατότητες στήριξης των εργαζομένων·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δ.</w:t>
            </w:r>
            <w:r>
              <w:tab/>
            </w:r>
            <w:r>
              <w:rPr>
                <w:b/>
                <w:i/>
              </w:rPr>
              <w:t>καλεί τα κράτη μέλη να εφαρμόσουν τις επικαιροποιημένες κατευθυντήριες γραμμές για την απασχόληση, με έμφαση στην εκπαίδευση και την κατάρτιση για όλους, τις νέες τεχνολογίες, όπως η τεχνητή νοημοσύνη, καθώς και τις πρόσφατες πρωτοβουλίες πολιτικής σχετικά με την εργασία σε πλατφόρμες, την οικονομικά προσιτή και αξιοπρεπή στέγαση και την αντιμετώπιση των ελλείψεων εργατικού δυναμικού και δεξιοτήτων·</w:t>
            </w:r>
            <w:r>
              <w:t xml:space="preserve"> </w:t>
            </w:r>
            <w:r>
              <w:rPr>
                <w:b/>
                <w:i/>
              </w:rPr>
              <w:t>με σκοπό την ενίσχυση της δημοκρατικής λήψης αποφάσεων·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ε.</w:t>
            </w:r>
            <w:r>
              <w:tab/>
            </w:r>
            <w:r>
              <w:rPr>
                <w:b/>
                <w:i/>
              </w:rPr>
              <w:t>τονίζει ότι είναι αναγκαίο να πραγματοποιηθούν σημαντικές επενδύσεις στις δεξιότητες των εργαζομένων και να θεμελιωθεί ατομικό δικαίωμα στην κατάρτιση και τη διά βίου μάθηση·</w:t>
            </w:r>
            <w:r>
              <w:t xml:space="preserve"> </w:t>
            </w:r>
            <w:r>
              <w:rPr>
                <w:b/>
                <w:i/>
              </w:rPr>
              <w:t>καλεί τα κράτη μέλη να αναπτύξουν μέτρα αναβάθμισης των δεξιοτήτων και επανειδίκευσης σε συνεργασία με τοπικούς ενδιαφερόμενους φορείς, συμπεριλαμβανομένων των φορέων εκπαίδευσης και κατάρτισης και των κοινωνικών εταίρων, προκειμένου να ενισχυθεί η σύνδεση μεταξύ των συστημάτων εκπαίδευσης και κατάρτισης και της αγοράς εργασίας και να προβλεφθούν οι ανάγκες της αγοράς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στ.</w:t>
            </w:r>
            <w:r>
              <w:tab/>
            </w:r>
            <w:r>
              <w:rPr>
                <w:b/>
                <w:i/>
              </w:rPr>
              <w:t>επιδοκιμάζει την ανακοίνωση ενός χάρτη πορείας για ποιοτικές θέσεις εργασίας που θα διασφαλίσει μια δίκαιη μετάβαση για όλους, μέσω της στήριξης για δίκαιους μισθούς, καλές συνθήκες εργασίας, κατάρτιση και δίκαιες μεταβάσεις σε θέσεις εργασίας για τους εργαζομένους και τους αυτοαπασχολούμενους, ιδίως με την ενίσχυση της κάλυψης από συλλογικές διαπραγματεύσεις·</w:t>
            </w:r>
            <w:r>
              <w:t xml:space="preserve"> </w:t>
            </w:r>
            <w:r>
              <w:rPr>
                <w:b/>
                <w:i/>
              </w:rPr>
              <w:t>καλεί την Επιτροπή να αναπτύξει αυτόν τον χάρτη πορείας σε συνεργασία με τους κοινωνικούς εταίρους·</w:t>
            </w:r>
            <w:r>
              <w:t xml:space="preserve"> </w:t>
            </w:r>
            <w:r>
              <w:rPr>
                <w:b/>
                <w:i/>
              </w:rPr>
              <w:t>καλεί επιπλέον την Επιτροπή να συμπεριλάβει στον εν λόγω χάρτη πορείας εκτιμήσεις για μέτρα, συμπεριλαμβανομένων νομοθετικών προτάσεων, που συνδέονται με τη χρήση της τεχνητής νοημοσύνης και την αλγοριθμική διαχείριση στον κόσμο της εργασίας, ώστε να αξιοποιηθούν οι νέες τεχνολογίες για τη βελτίωση των συνθηκών εργασίας και της παραγωγικότητας, με παράλληλο σεβασμό των δικαιωμάτων των εργαζομένων και της ισορροπίας μεταξύ επαγγελματικής και ιδιωτικής ζωής·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ζ.</w:t>
            </w:r>
            <w:r>
              <w:tab/>
            </w:r>
            <w:r>
              <w:rPr>
                <w:b/>
                <w:i/>
              </w:rPr>
              <w:t>επικροτεί το γεγονός ότι σχεδόν όλα τα κράτη μέλη αναμένεται να αυξήσουν τις δημόσιες επενδύσεις το 2025</w:t>
            </w:r>
            <w:r>
              <w:rPr>
                <w:b/>
                <w:i/>
                <w:vertAlign w:val="superscript"/>
              </w:rPr>
              <w:t>15a</w:t>
            </w:r>
            <w:r>
              <w:rPr>
                <w:b/>
                <w:i/>
              </w:rPr>
              <w:t>, οι οποίες είναι απαραίτητες για να διασφαλιστεί η πρόσβαση σε ποιοτικές δημόσιες υπηρεσίες και η επίτευξη των στόχων του ΕΠΚΔ·</w:t>
            </w:r>
            <w:r>
              <w:t xml:space="preserve"> </w:t>
            </w:r>
            <w:r>
              <w:rPr>
                <w:b/>
                <w:i/>
              </w:rPr>
              <w:t>υπενθυμίζει ότι ο μηχανισμός ανάκαμψης και ανθεκτικότητας (ΜΑΑ) μπορεί να κινητοποιηθεί από τα κράτη μέλη έως τις 31 Δεκεμβρίου 2026 και τα καλεί να αξιοποιήσουν πλήρως και στοχευμένα τα εν λόγω κονδύλια, προκειμένου να αντιμετωπιστούν οι προκλήσεις που προσδιορίζονται στις ειδικές ανά χώρα συστάσεις στο πλαίσιο του Ευρωπαϊκού Εξαμήνου και να θεσπιστούν πολιτικές για έξυπνη, βιώσιμη και χωρίς αποκλεισμούς ανάπτυξη για την επόμενη γενιά, τα παιδιά και τους νέους, όπως προβλέπεται στον κανονισμό ΜΑΑ</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Ανακοίνωση της Επιτροπής, «Ευρωπαϊκό Εξάμηνο 2025: Εφαρμογή του νέου πλαισίου οικονομικής διακυβέρνησης στην πράξη» (COM(2024) 705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Κανονισμός (ΕΕ) 2021/241 για τη θέσπιση του μηχανισμού ανάκαμψης και ανθεκτικότητας, άρθρο 3, πυλώνες γ) και στ).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η.</w:t>
            </w:r>
            <w:r>
              <w:tab/>
            </w:r>
            <w:r>
              <w:rPr>
                <w:b/>
                <w:i/>
              </w:rPr>
              <w:t>επικροτεί την ανακοίνωση της Επιτροπής σχετικά με τη δημοσίευση της Πυξίδας Ανταγωνιστικότητας τον Ιανουάριο του 2025·</w:t>
            </w:r>
            <w:r>
              <w:t xml:space="preserve"> </w:t>
            </w:r>
            <w:r>
              <w:rPr>
                <w:b/>
                <w:i/>
              </w:rPr>
              <w:t>πιστεύει ότι ο στόχος της Ευρωπαϊκής Ένωσης για την ανταγωνιστικότητα δεν μπορεί να επιτευχθεί, εάν οι ευρωπαίοι εργαζόμενοι δεν εφοδιαστούν με επαρκείς δεξιότητες·</w:t>
            </w:r>
            <w:r>
              <w:t xml:space="preserve"> </w:t>
            </w:r>
            <w:r>
              <w:rPr>
                <w:b/>
                <w:i/>
              </w:rPr>
              <w:t>καλεί την Επιτροπή να συμπεριλάβει στην παρούσα Πυξίδα Ανταγωνιστικότητας μέτρα σχετικά με την ανάπτυξη δεξιοτήτων του ευρωπαϊκού εργατικού δυναμικού·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τη σημασία που έχει η στήριξη της ανάπτυξης δεξιοτήτων </w:t>
            </w:r>
            <w:r>
              <w:rPr>
                <w:b/>
                <w:i/>
              </w:rPr>
              <w:t>στο εργατικό δυναμικό</w:t>
            </w:r>
            <w:r>
              <w:t xml:space="preserve"> για τη βελτίωση της ανταγωνιστικότητας και τη διασφάλιση ποιοτικής απασχόλησης· παροτρύνει τα κράτη μέλη να ενισχύσουν </w:t>
            </w:r>
            <w:r>
              <w:rPr>
                <w:b/>
                <w:i/>
              </w:rPr>
              <w:t>την</w:t>
            </w:r>
            <w:r>
              <w:t xml:space="preserve">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c>
          <w:tcPr>
            <w:tcW w:w="4876" w:type="dxa"/>
            <w:tcBorders>
              <w:top w:val="nil"/>
              <w:left w:val="nil"/>
              <w:bottom w:val="nil"/>
              <w:right w:val="nil"/>
            </w:tcBorders>
          </w:tcPr>
          <w:p>
            <w:pPr>
              <w:pStyle w:val="Normal6a"/>
            </w:pPr>
            <w:r>
              <w:t>2.</w:t>
            </w:r>
            <w:r>
              <w:tab/>
            </w:r>
            <w:r>
              <w:t>επαναλαμβάνει τη σημασία που έχει η στήριξη της ανάπτυξης δεξιοτήτων </w:t>
            </w:r>
            <w:r>
              <w:rPr>
                <w:b/>
                <w:i/>
              </w:rPr>
              <w:t>και της επαγγελματικής κατάρτισης υψηλής ποιότητας που παρέχεται κατά τη διάρκεια του ωραρίου εργασίας και χρηματοδοτείται από τον εργοδότη</w:t>
            </w:r>
            <w:r>
              <w:t xml:space="preserve"> για τη βελτίωση της ανταγωνιστικότητας και τη διασφάλιση </w:t>
            </w:r>
            <w:r>
              <w:rPr>
                <w:b/>
                <w:i/>
              </w:rPr>
              <w:t>δίκαιης και</w:t>
            </w:r>
            <w:r>
              <w:t xml:space="preserve"> ποιοτικής απασχόλησης </w:t>
            </w:r>
            <w:r>
              <w:rPr>
                <w:b/>
                <w:i/>
              </w:rPr>
              <w:t>χωρίς αποκλεισμούς</w:t>
            </w:r>
            <w:r>
              <w:t xml:space="preserve">· παροτρύνει </w:t>
            </w:r>
            <w:r>
              <w:rPr>
                <w:b/>
                <w:i/>
              </w:rPr>
              <w:t>την Επιτροπή και</w:t>
            </w:r>
            <w:r>
              <w:t xml:space="preserve"> τα κράτη μέλη να ενισχύσουν </w:t>
            </w:r>
            <w:r>
              <w:rPr>
                <w:b/>
                <w:i/>
              </w:rPr>
              <w:t>το δικαίωμα για</w:t>
            </w:r>
            <w:r>
              <w:t xml:space="preserve"> επαγγελματική και ψηφιακή κατάρτιση </w:t>
            </w:r>
            <w:r>
              <w:rPr>
                <w:b/>
                <w:i/>
              </w:rPr>
              <w:t>υψηλής ποιότητας και χωρίς αποκλεισμούς για όλους</w:t>
            </w:r>
            <w:r>
              <w:t>, προωθώντας παράλληλα την ένταξη των ατόμων με αναπηρία</w:t>
            </w:r>
            <w:r>
              <w:rPr>
                <w:b/>
                <w:i/>
              </w:rPr>
              <w:t>, των νέων και των ηλικιωμένων εργαζομένων</w:t>
            </w:r>
            <w:r>
              <w:t xml:space="preserve"> στο εργατικό δυναμικό για την αντιμετώπιση των ελλείψεων εργατικού δυναμικού και τη στήριξη των ίσων ευκαιριών στην αγορά εργασίας</w:t>
            </w:r>
            <w:r>
              <w:rPr>
                <w:b/>
                <w:i/>
              </w:rPr>
              <w:t>·</w:t>
            </w:r>
            <w:r>
              <w:t xml:space="preserve"> </w:t>
            </w:r>
            <w:r>
              <w:rPr>
                <w:b/>
                <w:i/>
              </w:rPr>
              <w:t>αυτό πρέπει, μεταξύ άλλων, να διασφαλίζει την πρόσβαση σε αμειβόμενες, ποιοτικές και συμπεριληπτικές περιόδους πρακτικής άσκησης και μαθητείας για τους νέους, να τους δίνει τη δυνατότητα να αποκτήσουν τις πρώτες ουσιαστικές εργασιακές εμπειρίες και να διευκολύνει τη μετάβασή τους από την εκπαίδευση στην απασχόληση, καθώς και να δημιουργεί συνθήκες εργασίας που επιτρέπουν σε ένα γηράσκον εργατικό δυναμικό να παραμείνει υγιές και οικειοθελώς στην αγορά εργασίας·</w:t>
            </w:r>
            <w:r>
              <w:t xml:space="preserve"> </w:t>
            </w:r>
            <w:r>
              <w:rPr>
                <w:b/>
                <w:i/>
              </w:rPr>
              <w:t>τονίζει ότι είναι αναγκαίο να αυξηθούν οι ευκαιρίες για διά βίου ανάπτυξη δεξιοτήτων</w:t>
            </w:r>
            <w:r>
              <w:t>, δεδομένου ότι, παρόλο που έχει σημειωθεί πρόοδος, τα άτομα με αναπηρία</w:t>
            </w:r>
            <w:r>
              <w:rPr>
                <w:b/>
                <w:i/>
              </w:rPr>
              <w:t>, ιδίως οι γυναίκες με αναπηρία,</w:t>
            </w:r>
            <w:r>
              <w:t xml:space="preserve"> εξακολουθούν να αντιμετωπίζουν σημαντικά εμπόδια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επαναλαμβάνει τη σημασία που έχει η στήριξη της ανάπτυξης δεξιοτήτων στο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w:t>
            </w:r>
            <w:r>
              <w:rPr>
                <w:b/>
                <w:i/>
              </w:rPr>
              <w:t>, δεδομένου ότι, παρόλο που έχει σημειωθεί πρόοδος, τα άτομα</w:t>
            </w:r>
            <w:r>
              <w:t xml:space="preserve"> με αναπηρία </w:t>
            </w:r>
            <w:r>
              <w:rPr>
                <w:b/>
                <w:i/>
              </w:rPr>
              <w:t>εξακολουθούν να αντιμετωπίζουν σημαντικά εμπόδια</w:t>
            </w:r>
            <w:r>
              <w:t xml:space="preserve"> στην αγορά εργασίας·</w:t>
            </w:r>
          </w:p>
        </w:tc>
        <w:tc>
          <w:tcPr>
            <w:tcW w:w="4876" w:type="dxa"/>
            <w:tcBorders>
              <w:top w:val="nil"/>
              <w:left w:val="nil"/>
              <w:bottom w:val="nil"/>
              <w:right w:val="nil"/>
            </w:tcBorders>
          </w:tcPr>
          <w:p>
            <w:pPr>
              <w:pStyle w:val="Normal6a"/>
            </w:pPr>
            <w:r>
              <w:t>2.</w:t>
            </w:r>
            <w:r>
              <w:tab/>
            </w:r>
            <w:r>
              <w:t xml:space="preserve">επαναλαμβάνει τη σημασία που έχει η στήριξη της ανάπτυξης δεξιοτήτων στο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w:t>
            </w:r>
            <w:r>
              <w:rPr>
                <w:b/>
                <w:i/>
              </w:rPr>
              <w:t>από μειονεκτούσες ομάδες, όπως τα άτομα</w:t>
            </w:r>
            <w:r>
              <w:t xml:space="preserve"> με αναπηρία</w:t>
            </w:r>
            <w:r>
              <w:rPr>
                <w:b/>
                <w:i/>
              </w:rPr>
              <w:t>,</w:t>
            </w:r>
            <w:r>
              <w:t xml:space="preserve"> στο εργατικό δυναμικό για την αντιμετώπιση των ελλείψεων εργατικού δυναμικού και τη στήριξη των ίσων ευκαιριών στην αγορά εργασίας</w:t>
            </w:r>
            <w:r>
              <w:rPr>
                <w:b/>
                <w:i/>
              </w:rPr>
              <w:t>·</w:t>
            </w:r>
            <w:r>
              <w:t xml:space="preserve"> </w:t>
            </w:r>
            <w:r>
              <w:rPr>
                <w:b/>
                <w:i/>
              </w:rPr>
              <w:t>καλεί τα κράτη μέλη να ενισχύσουν τα μέτρα κατάρτισης, αναβάθμισης των δεξιοτήτων και επανειδίκευσης, καθώς και τις ενεργητικές πολιτικές για την αγορά εργασίας, με στόχο το ανενεργό εργατικό δυναμικό και τις ομάδες με χαμηλή συμμετοχή στην αγορά εργασίας, συμπεριλαμβανομένων των γυναικών, των ατόμων</w:t>
            </w:r>
            <w:r>
              <w:t xml:space="preserve"> με αναπηρία</w:t>
            </w:r>
            <w:r>
              <w:rPr>
                <w:b/>
                <w:i/>
              </w:rPr>
              <w:t>, των ατόμων με χαμηλότερο μορφωτικό επίπεδο, των νέων και των ΕΕΑΚ, των ηλικιωμένων εργαζομένων και των ατόμων που προέρχονται από οικογένειες μεταναστών ή εθνοτικών μειονοτήτων, όπως οι Ρομά·</w:t>
            </w:r>
            <w:r>
              <w:t xml:space="preserve"> </w:t>
            </w:r>
            <w:r>
              <w:rPr>
                <w:b/>
                <w:i/>
              </w:rPr>
              <w:t>τονίζει ότι η καταπολέμηση όλων των μορφών διακρίσεων και στερεοτύπων είναι ζωτικής σημασίας, για να διασφαλιστεί η ένταξη αυτών των ομάδων</w:t>
            </w:r>
            <w:r>
              <w:t xml:space="preserve">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τη σημασία που έχει η στήριξη της ανάπτυξης δεξιοτήτων </w:t>
            </w:r>
            <w:r>
              <w:rPr>
                <w:b/>
                <w:i/>
              </w:rPr>
              <w:t>στο εργατικό δυναμικό</w:t>
            </w:r>
            <w:r>
              <w:t xml:space="preserve">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w:t>
            </w:r>
            <w:r>
              <w:rPr>
                <w:b/>
                <w:i/>
              </w:rPr>
              <w:t>των ατόμων με αναπηρία στο εργατικό δυναμικό</w:t>
            </w:r>
            <w:r>
              <w:t xml:space="preserve"> για την αντιμετώπιση των ελλείψεων εργατικού δυναμικού και τη στήριξη των ίσων ευκαιριών στην αγορά εργασίας, </w:t>
            </w:r>
            <w:r>
              <w:rPr>
                <w:b/>
                <w:i/>
              </w:rPr>
              <w:t>δεδομένου ότι, παρόλο που έχει σημειωθεί πρόοδος,</w:t>
            </w:r>
            <w:r>
              <w:t xml:space="preserve"> τα άτομα με αναπηρία </w:t>
            </w:r>
            <w:r>
              <w:rPr>
                <w:b/>
                <w:i/>
              </w:rPr>
              <w:t>εξακολουθούν να αντιμετωπίζουν σημαντικά εμπόδια</w:t>
            </w:r>
            <w:r>
              <w:t xml:space="preserve"> στην αγορά εργασίας·</w:t>
            </w:r>
          </w:p>
        </w:tc>
        <w:tc>
          <w:tcPr>
            <w:tcW w:w="4876" w:type="dxa"/>
            <w:tcBorders>
              <w:top w:val="nil"/>
              <w:left w:val="nil"/>
              <w:bottom w:val="nil"/>
              <w:right w:val="nil"/>
            </w:tcBorders>
          </w:tcPr>
          <w:p>
            <w:pPr>
              <w:pStyle w:val="Normal6a"/>
            </w:pPr>
            <w:r>
              <w:t>2.</w:t>
            </w:r>
            <w:r>
              <w:tab/>
            </w:r>
            <w:r>
              <w:t>επαναλαμβάνει τη σημασία που έχει η στήριξη της ανάπτυξης δεξιοτήτων</w:t>
            </w:r>
            <w:r>
              <w:rPr>
                <w:b/>
                <w:i/>
              </w:rPr>
              <w:t>, της επανειδίκευσης και της αναβάθμισης των δεξιοτήτων του εργατικού δυναμικού</w:t>
            </w:r>
            <w:r>
              <w:t xml:space="preserve"> για τη βελτίωση της ανταγωνιστικότητας και </w:t>
            </w:r>
            <w:r>
              <w:rPr>
                <w:b/>
                <w:i/>
              </w:rPr>
              <w:t>της μακροπρόθεσμης βιωσιμότητας της ευρωπαϊκής βιομηχανίας και των μικρών και μεσαίων επιχειρήσεων, καθώς και για</w:t>
            </w:r>
            <w:r>
              <w:t xml:space="preserve"> τη διασφάλιση ποιοτικής απασχόλησης </w:t>
            </w:r>
            <w:r>
              <w:rPr>
                <w:b/>
                <w:i/>
              </w:rPr>
              <w:t>για τους εργαζομένους, ιδίως σε τομείς που βρίσκονται σε μετάβαση</w:t>
            </w:r>
            <w:r>
              <w:t xml:space="preserve">· παροτρύνει τα κράτη μέλη να ενισχύσουν την επαγγελματική και ψηφιακή κατάρτιση, προωθώντας παράλληλα την ένταξη </w:t>
            </w:r>
            <w:r>
              <w:rPr>
                <w:b/>
                <w:i/>
              </w:rPr>
              <w:t>στο εργατικό δυναμικό όλων των ομάδων που δυσκολεύονται επί του παρόντος να αποκτήσουν πρόσβαση στην αγορά εργασίας, συμπεριλαμβανομένων των ατόμων με αναπηρία,</w:t>
            </w:r>
            <w:r>
              <w:t xml:space="preserve"> για την αντιμετώπιση των ελλείψεων εργατικού δυναμικού και τη στήριξη των ίσων ευκαιριών στην αγορά εργασίας, </w:t>
            </w:r>
            <w:r>
              <w:rPr>
                <w:b/>
                <w:i/>
              </w:rPr>
              <w:t>λαμβάνοντας υπόψη τα σημαντικά εμπόδια που εξακολουθούν να αντιμετωπίζουν</w:t>
            </w:r>
            <w:r>
              <w:t xml:space="preserve"> τα άτομα με αναπηρία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επαναλαμβάνει τη σημασία που έχει η στήριξη της ανάπτυξης δεξιοτήτων στο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c>
          <w:tcPr>
            <w:tcW w:w="4876" w:type="dxa"/>
            <w:tcBorders>
              <w:top w:val="nil"/>
              <w:left w:val="nil"/>
              <w:bottom w:val="nil"/>
              <w:right w:val="nil"/>
            </w:tcBorders>
          </w:tcPr>
          <w:p>
            <w:pPr>
              <w:pStyle w:val="Normal6a"/>
            </w:pPr>
            <w:r>
              <w:t>2.</w:t>
            </w:r>
            <w:r>
              <w:tab/>
            </w:r>
            <w:r>
              <w:t>επαναλαμβάνει τη σημασία που έχει η στήριξη της ανάπτυξης δεξιοτήτων στο εργατικό δυναμικό για τη βελτίωση της ανταγωνιστικότητας και τη διασφάλιση ποιοτικής απασχόλησης</w:t>
            </w:r>
            <w:r>
              <w:rPr>
                <w:b/>
                <w:i/>
              </w:rPr>
              <w:t>, με σεβασμό των προσωπικών φιλοδοξιών των εργαζομένων</w:t>
            </w:r>
            <w:r>
              <w:t>· παροτρύνει τα κράτη μέλη να ενισχύσουν την επαγγελματική και ψηφιακή κατάρτιση, προωθώντας παράλληλα την ένταξη των ατόμων με αναπηρία</w:t>
            </w:r>
            <w:r>
              <w:rPr>
                <w:b/>
                <w:i/>
              </w:rPr>
              <w:t>, καθώς και των ατόμων με χρόνιες παθήσεις</w:t>
            </w:r>
            <w:r>
              <w:t xml:space="preserve"> στο εργατικό δυναμικό</w:t>
            </w:r>
            <w:r>
              <w:rPr>
                <w:b/>
                <w:i/>
              </w:rPr>
              <w:t>, και την επανένταξη των εργαζομένων μετά από μακρά απουσία,</w:t>
            </w:r>
            <w:r>
              <w:t xml:space="preserve">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επαναλαμβάνει τη σημασία που έχει η στήριξη της ανάπτυξης δεξιοτήτων στο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c>
          <w:tcPr>
            <w:tcW w:w="4876" w:type="dxa"/>
            <w:tcBorders>
              <w:top w:val="nil"/>
              <w:left w:val="nil"/>
              <w:bottom w:val="nil"/>
              <w:right w:val="nil"/>
            </w:tcBorders>
          </w:tcPr>
          <w:p>
            <w:pPr>
              <w:pStyle w:val="Normal6a"/>
            </w:pPr>
            <w:r>
              <w:t>2.</w:t>
            </w:r>
            <w:r>
              <w:tab/>
            </w:r>
            <w:r>
              <w:t xml:space="preserve">επαναλαμβάνει τη σημασία που έχει η στήριξη της ανάπτυξης δεξιοτήτων στο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με αναπηρία </w:t>
            </w:r>
            <w:r>
              <w:rPr>
                <w:b/>
                <w:i/>
              </w:rPr>
              <w:t>και των ατόμων από μειονεκτούντα ή περιθωριοποιημένα περιβάλλοντα</w:t>
            </w:r>
            <w:r>
              <w:t xml:space="preserve">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επαναλαμβάνει τη σημασία που έχει η </w:t>
            </w:r>
            <w:r>
              <w:rPr>
                <w:b/>
                <w:i/>
              </w:rPr>
              <w:t>στήριξη της ανάπτυξης</w:t>
            </w:r>
            <w:r>
              <w:t xml:space="preserve"> δεξιοτήτων στο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c>
          <w:tcPr>
            <w:tcW w:w="4876" w:type="dxa"/>
            <w:tcBorders>
              <w:top w:val="nil"/>
              <w:left w:val="nil"/>
              <w:bottom w:val="nil"/>
              <w:right w:val="nil"/>
            </w:tcBorders>
          </w:tcPr>
          <w:p>
            <w:pPr>
              <w:pStyle w:val="Normal6a"/>
            </w:pPr>
            <w:r>
              <w:t>2.</w:t>
            </w:r>
            <w:r>
              <w:tab/>
            </w:r>
            <w:r>
              <w:t xml:space="preserve">επαναλαμβάνει τη σημασία που έχει η </w:t>
            </w:r>
            <w:r>
              <w:rPr>
                <w:b/>
                <w:i/>
              </w:rPr>
              <w:t>αρχή του επιμερισμού του κόστους μεταξύ κρατικών και ιδιωτικών φορέων για την ανάπτυξη</w:t>
            </w:r>
            <w:r>
              <w:t xml:space="preserve"> δεξιοτήτων στο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επαναλαμβάνει τη σημασία που έχει η στήριξη της ανάπτυξης</w:t>
            </w:r>
            <w:r>
              <w:t xml:space="preserve"> δεξιοτήτων </w:t>
            </w:r>
            <w:r>
              <w:rPr>
                <w:b/>
                <w:i/>
              </w:rPr>
              <w:t>στο εργατικό δυναμικό για τη βελτίωση της ανταγωνιστικότητας και τη διασφάλιση ποιοτικής απασχόλησης</w:t>
            </w:r>
            <w:r>
              <w:t>·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c>
          <w:tcPr>
            <w:tcW w:w="4876" w:type="dxa"/>
            <w:tcBorders>
              <w:top w:val="nil"/>
              <w:left w:val="nil"/>
              <w:bottom w:val="nil"/>
              <w:right w:val="nil"/>
            </w:tcBorders>
          </w:tcPr>
          <w:p>
            <w:pPr>
              <w:pStyle w:val="Normal6a"/>
            </w:pPr>
            <w:r>
              <w:t>2.</w:t>
            </w:r>
            <w:r>
              <w:tab/>
            </w:r>
            <w:r>
              <w:rPr>
                <w:b/>
                <w:i/>
              </w:rPr>
              <w:t>ζητεί να αξιοποιηθούν τα ταλέντα της Ευρώπης και να πραγματοποιηθούν επενδύσεις στην απόκτηση</w:t>
            </w:r>
            <w:r>
              <w:t xml:space="preserve"> δεξιοτήτων </w:t>
            </w:r>
            <w:r>
              <w:rPr>
                <w:b/>
                <w:i/>
              </w:rPr>
              <w:t>για την προώθηση θέσεων εργασίας υψηλής ποιότητας σε ολόκληρη την Ένωση, ώστε να βελτιωθεί η ανταγωνιστικότητα και να διασφαλιστεί η ποιοτική απασχόληση</w:t>
            </w:r>
            <w:r>
              <w:t>·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επαναλαμβάνει τη σημασία που έχει η στήριξη της ανάπτυξης δεξιοτήτων στο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c>
          <w:tcPr>
            <w:tcW w:w="4876" w:type="dxa"/>
            <w:tcBorders>
              <w:top w:val="nil"/>
              <w:left w:val="nil"/>
              <w:bottom w:val="nil"/>
              <w:right w:val="nil"/>
            </w:tcBorders>
          </w:tcPr>
          <w:p>
            <w:pPr>
              <w:pStyle w:val="Normal6a"/>
            </w:pPr>
            <w:r>
              <w:t>2.</w:t>
            </w:r>
            <w:r>
              <w:tab/>
            </w:r>
            <w:r>
              <w:t xml:space="preserve">επαναλαμβάνει τη σημασία που έχει η στήριξη της ανάπτυξης δεξιοτήτων στο </w:t>
            </w:r>
            <w:r>
              <w:rPr>
                <w:b/>
                <w:i/>
              </w:rPr>
              <w:t>ευρωπαϊκό</w:t>
            </w:r>
            <w:r>
              <w:t xml:space="preserve"> εργατικό δυναμικό για τη βελτίωση της ανταγωνιστικότητας και τη διασφάλιση ποιοτικής απασχόλησης· παροτρύνει τα κράτη μέλη να ενισχύσουν την επαγγελματική και ψηφιακή κατάρτιση, προωθώντας παράλληλα την ένταξη των ατόμων με αναπηρία στο εργατικό δυναμικό για την αντιμετώπιση των ελλείψεων εργατικού δυναμικού και τη στήριξη των ίσων ευκαιριών στην αγορά εργασίας, δεδομένου ότι, παρόλο που έχει σημειωθεί πρόοδος, τα άτομα με αναπηρία εξακολουθούν να αντιμετωπίζουν σημαντικά εμπόδια στην αγορά εργασίας·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υπενθυμίζει το επίμονο χάσμα απασχόλησης των ατόμων με αναπηρία, καθώς μόνο το 51,3 % των ενεργών ατόμων με αναπηρία σε ηλικία εργασίας στην ΕΕ απασχολείται σε αμειβόμενη θέση εργασίας·</w:t>
            </w:r>
            <w:r>
              <w:t xml:space="preserve"> </w:t>
            </w:r>
            <w:r>
              <w:rPr>
                <w:b/>
                <w:i/>
              </w:rPr>
              <w:t>καλεί την Επιτροπή να επικαιροποιήσει τη στρατηγική της ΕΕ για την αναπηρία με νέες εμβληματικές πρωτοβουλίες και δράσεις από το 2025 και μετά·</w:t>
            </w:r>
            <w:r>
              <w:t xml:space="preserve"> </w:t>
            </w:r>
            <w:r>
              <w:rPr>
                <w:b/>
                <w:i/>
              </w:rPr>
              <w:t>τονίζει ότι η Επιτροπή θα πρέπει να υποβάλει προτάσεις για να διασφαλίσει τη συμμόρφωση της ΕΕ και των κρατών μελών με τη Σύμβαση των Ηνωμένων Εθνών για τα δικαιώματα των ατόμων με αναπηρία (ΣΗΕΔΑΑ) και ιδίως να αντιμετωπίσει τα ζητήματα της κοινωνικής ένταξης και της ανεξάρτητης διαβίωσης των ατόμων με αναπηρία, τα οποία αποτελούν εναπομένοντα εμπόδια στην ελεύθερη κυκλοφορία τους, καθώς και να διασφαλίσει την πρόσβασή τους σε ποιοτική εκπαίδευση, κατάρτιση και απασχόληση, προσφέροντας καθοδήγηση σχετικά με τη διατήρηση των επιδομάτων αναπηρίας και την καθιέρωση μιας ευρωπαϊκής εγγύησης για την απασχόληση και τις δεξιότητες των ατόμων με αναπηρία·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εκφράζει ανησυχία για την αύξηση των άτυπων συμβάσεων, όπου οι εργαζόμενοι αντιμετωπίζουν εργασιακή φτώχεια και δεν διαθέτουν επαρκή νομική προστασία.</w:t>
            </w:r>
            <w:r>
              <w:t xml:space="preserve"> </w:t>
            </w:r>
            <w:r>
              <w:rPr>
                <w:b/>
                <w:i/>
              </w:rPr>
              <w:t>υπενθυμίζει ότι η εν λόγω μείωση των προτύπων απασχόλησης όχι μόνο επηρεάζει τη χρηματοπιστωτική σταθερότητα των ατόμων, αλλά υπονομεύει επίσης τον ευρύτερο κοινωνικό ιστό, καθώς όλο και περισσότεροι εργαζόμενοι αντιμετωπίζουν προκλήσεις όσον αφορά την πρόσβαση σε βασικές παροχές, όπως η υγειονομική περίθαλψη, τα συνταξιοδοτικά προγράμματα και η επαγγελματική κατάρτιση·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υπογραμμίζει ότι είναι αναγκαίο να δοθεί προσοχή στις κοινωνικές και περιβαλλοντικές πτυχές της ανταγωνιστικότητας, με έμφαση στην ανάγκη για επενδύσεις στην εκπαίδευση και την κατάρτιση για όλους, ώστε να διασφαλιστεί η καθολική πρόσβαση σε υψηλής ποιότητας προγράμματα δημόσιας εκπαίδευσης και επαγγελματικής κατάρτισης, καθώς και σε βιώσιμες πρακτικές για την προώθηση της ανάπτυξης χωρίς αποκλεισμούς· υπογραμμίζει ότι οι κοινωνικοί εταίροι θα πρέπει να διαδραματίσουν καίριο ρόλο στον προσδιορισμό και την κάλυψη των αναγκών σε δεξιότητες σε ολόκληρη 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α.</w:t>
            </w:r>
            <w:r>
              <w:tab/>
            </w:r>
            <w:r>
              <w:rPr>
                <w:b/>
                <w:i/>
              </w:rPr>
              <w:t>επισημαίνει τον ρόλο των κοινωνικών επενδύσεων και τη σημασία των μεταρρυθμίσεων και των επενδύσεων σε βασικούς τομείς, όπως η αναβάθμιση των δεξιοτήτων και η επανειδίκευση, η διά βίου μάθηση, οι ενεργητικές πολιτικές για την αγορά εργασίας, οι πολιτικές για την προσχολική εκπαίδευση και φροντίδα, οι οποίες μπορούν να συμπληρωθούν από υψηλότερες επενδύσεις σε οικονομικά προσιτή στέγαση και κοινωνική προστασία·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β</w:t>
            </w:r>
            <w:r>
              <w:tab/>
            </w:r>
            <w:r>
              <w:rPr>
                <w:b/>
                <w:i/>
              </w:rPr>
              <w:t>εκφράζει ανησυχία που οι Ρομά εξακολουθούν να αντιμετωπίζουν σημαντικά εμπόδια στην απασχόληση, καθώς οι επίμονες προκαταλήψεις περιορίζουν τις προοπτικές τους·</w:t>
            </w:r>
            <w:r>
              <w:t xml:space="preserve"> </w:t>
            </w:r>
            <w:r>
              <w:rPr>
                <w:b/>
                <w:i/>
              </w:rPr>
              <w:t>σημειώνει ότι το στρατηγικό πλαίσιο της ΕΕ για την ισότητα, την ένταξη και τη συμμετοχή των Ρομά επισημαίνει την έλλειψη προόδου όσον αφορά την πρόσβαση στην απασχόληση και το αυξανόμενο ποσοστό των νέων Ρομά που βρίσκονται εκτός απασχόλησης, εκπαίδευσης ή κατάρτισης·</w:t>
            </w:r>
            <w:r>
              <w:t xml:space="preserve"> </w:t>
            </w:r>
            <w:r>
              <w:rPr>
                <w:b/>
                <w:i/>
              </w:rPr>
              <w:t>τονίζει τον στόχο του πλαισίου να μειωθεί κατά το ήμισυ το χάσμα απασχόλησης μεταξύ των Ρομά και του γενικού πληθυσμού και να διασφαλιστεί ότι τουλάχιστον το 60 % των Ρομά θα κατέχει αμειβόμενη θέση εργασίας έως το 2030·</w:t>
            </w:r>
            <w:r>
              <w:t xml:space="preserve"> </w:t>
            </w:r>
            <w:r>
              <w:rPr>
                <w:b/>
                <w:i/>
              </w:rPr>
              <w:t>παροτρύνει τα κράτη μέλη να υιοθετήσουν μια ολοκληρωμένη προσέγγιση με γνώμονα την ισότητα και να διασφαλίσουν ότι οι δημόσιες πολιτικές και υπηρεσίες απευθύνονται αποτελεσματικά σε όλους τους Ρομά, συμπεριλαμβανομένων των Ρομά που διαμένουν σε απομακρυσμένες αγροτικές περιοχές·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γ.</w:t>
            </w:r>
            <w:r>
              <w:tab/>
            </w:r>
            <w:r>
              <w:rPr>
                <w:b/>
                <w:i/>
              </w:rPr>
              <w:t>τονίζει ότι η αντιμετώπιση των ελλείψεων εργατικού δυναμικού στην Ευρωπαϊκή Ένωση περιλαμβάνει επίσης τη βελτίωση και τη διευκόλυνση της κινητικότητας του εργατικού δυναμικού εντός της Ένωσης·</w:t>
            </w:r>
            <w:r>
              <w:t xml:space="preserve"> </w:t>
            </w:r>
            <w:r>
              <w:rPr>
                <w:b/>
                <w:i/>
              </w:rPr>
              <w:t>καλεί τα κράτη μέλη να ενισχύσουν και να διευκολύνουν την αναγνώριση των δεξιοτήτων και των προσόντων στην Ένωση, μεταξύ άλλων και για τους υπηκόους τρίτων χωρών·</w:t>
            </w:r>
            <w:r>
              <w:t xml:space="preserve"> </w:t>
            </w:r>
            <w:r>
              <w:rPr>
                <w:b/>
                <w:i/>
              </w:rPr>
              <w:t>καλεί την Επιτροπή να αναλύσει την αποτελεσματικότητα της πλατφόρμας EURES με σκοπό την πιθανή επανεξέταση της λειτουργίας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δ.</w:t>
            </w:r>
            <w:r>
              <w:tab/>
            </w:r>
            <w:r>
              <w:rPr>
                <w:b/>
                <w:i/>
              </w:rPr>
              <w:t>εκφράζει την ανησυχία του για τη μείωση των εκπαιδευτικών επιδόσεων των νέων, ιδίως όσον αφορά τις βασικές δεξιότητες</w:t>
            </w:r>
            <w:r>
              <w:rPr>
                <w:b/>
                <w:i/>
                <w:vertAlign w:val="superscript"/>
              </w:rPr>
              <w:t>17a</w:t>
            </w:r>
            <w:r>
              <w:rPr>
                <w:b/>
                <w:i/>
              </w:rPr>
              <w:t>·</w:t>
            </w:r>
            <w:r>
              <w:t xml:space="preserve"> </w:t>
            </w:r>
            <w:r>
              <w:rPr>
                <w:b/>
                <w:i/>
              </w:rPr>
              <w:t>στο πλαίσιο αυτό, επικροτεί την ανακοίνωση ενός σχεδίου δράσης για τις βασικές δεξιότητες και ενός στρατηγικού σχεδίου για την εκπαίδευση στις θετικές επιστήμες, την τεχνολογία, τη μηχανική και τα μαθηματικά</w:t>
            </w:r>
            <w:r>
              <w:rPr>
                <w:b/>
                <w:i/>
                <w:vertAlign w:val="superscript"/>
              </w:rPr>
              <w:t>18a</w:t>
            </w:r>
            <w:r>
              <w:rPr>
                <w:b/>
                <w:i/>
              </w:rPr>
              <w:t>·</w:t>
            </w:r>
            <w:r>
              <w:t xml:space="preserve"> </w:t>
            </w:r>
            <w:r>
              <w:rPr>
                <w:b/>
                <w:i/>
              </w:rPr>
              <w:t>καλεί τα κράτη μέλη να επενδύσουν σε προγράμματα που θα εφοδιάσουν τους εκπαιδευόμενους με τις βασικές, ψηφιακές και εγκάρσιες δεξιότητες που απαιτούνται για τον κόσμο της εργασίας και την ψηφιοποίησή της, καθώς και θα συμβάλουν ουσιαστικά στην κοινωνία·</w:t>
            </w:r>
            <w:r>
              <w:t xml:space="preserve"> </w:t>
            </w:r>
            <w:r>
              <w:rPr>
                <w:b/>
                <w:i/>
              </w:rPr>
              <w:t>πιστεύει ότι οι ψηφιακές και εγκάρσιες δεξιότητες πρέπει να περιλαμβάνουν την κριτική σκέψη και την παιδεία στα Μέσα ως δομικά στοιχεία, προκειμένου να μπορεί να αντιμετωπιστεί η απειλή της παραπληροφόρησης·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Γενική Διεύθυνση Εκπαίδευσης, Νεολαίας, Αθλητισμού και Πολιτισμού, Παρακολούθηση Εκπαίδευσης και Κατάρτισης 2024 — Συγκριτική έκθεση, Υπηρεσία Εκδόσεων της Ευρωπαϊκής Ένωσης,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Επιστολή ανάθεσης καθηκόντων στην εκτελεστική αντιπρόεδρο για τα κοινωνικά δικαιώματα και τις δεξιότητες, τις ποιοτικές θέσεις εργασίας και την ετοιμότητα, Δεκέμβριος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ε.</w:t>
            </w:r>
            <w:r>
              <w:tab/>
            </w:r>
            <w:r>
              <w:rPr>
                <w:b/>
                <w:i/>
              </w:rPr>
              <w:t>σημειώνει ότι ο αριθμός των ατόμων που εγκαταλείπουν πρόωρα την εκπαίδευση και την κατάρτιση παραμένει υψηλός σε αρκετά κράτη μέλη, παρά την πτωτική τάση στην Ευρωπαϊκή Ένωση·</w:t>
            </w:r>
            <w:r>
              <w:t xml:space="preserve"> </w:t>
            </w:r>
            <w:r>
              <w:rPr>
                <w:b/>
                <w:i/>
              </w:rPr>
              <w:t>σημειώνει ότι το φαινόμενο αυτό πλήττει ιδιαίτερα τους νέους άνδρες, με το 11,3 % των νέων ανδρών και το 7,7 % των νέων γυναικών στην Ένωση να εγκαταλείπουν την εκπαίδευση και την κατάρτιση στις αρχές του 2023·</w:t>
            </w:r>
            <w:r>
              <w:t xml:space="preserve"> </w:t>
            </w:r>
            <w:r>
              <w:rPr>
                <w:b/>
                <w:i/>
              </w:rPr>
              <w:t>εκφράζει την ανησυχία του για τον αντίκτυπο που επιφέρει η εν λόγω εγκατάλειψη στο μέλλον των νέων αυτών, δεδομένου ότι μόνο 1 στα 2 άτομα που εγκαταλείπουν πρόωρα την εκπαίδευση εργάζονται, σχεδόν 1 στα 3 άτομα που εγκαταλείπουν πρόωρα την εκπαίδευση δεν μπορούν να βρουν εργασία παρόλο που το επιθυμούν, και 1 στα 5 άτομα αποφασίζουν να παραμείνουν μη ενεργά·</w:t>
            </w:r>
            <w:r>
              <w:t xml:space="preserve"> </w:t>
            </w:r>
            <w:r>
              <w:rPr>
                <w:b/>
                <w:i/>
              </w:rPr>
              <w:t>καλεί τα κράτη μέλη να αντιμετωπίσουν την κατάσταση αυτή και να αναπτύξουν εξατομικευμένες λύσεις για την παραμονή των παιδιών και των νέων στο σχολείο·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στ.</w:t>
            </w:r>
            <w:r>
              <w:tab/>
            </w:r>
            <w:r>
              <w:rPr>
                <w:b/>
                <w:i/>
              </w:rPr>
              <w:t>εκφράζει την ανησυχία του για τα επίπεδα ανεργίας των νέων, τα οποία παραμένουν πολύ υψηλά σε αρκετά κράτη μέλη, ενώ είναι υπερδιπλάσια από το συνολικό ποσοστό ανεργίας σε επίπεδο ΕΕ·</w:t>
            </w:r>
            <w:r>
              <w:t xml:space="preserve"> </w:t>
            </w:r>
            <w:r>
              <w:rPr>
                <w:b/>
                <w:i/>
              </w:rPr>
              <w:t>υπενθυμίζει τη δέσμευση που ανέλαβαν τα κράτη μέλη προς τους νέους για τη θέσπιση των εγγυήσεων για τη νεολαία, ώστε όλοι οι νέοι ηλικίας κάτω των 30 ετών να λαμβάνουν ποιοτικές προσφορές απασχόλησης, συνεχούς εκπαίδευσης, μαθητείας ή πρακτικής άσκησης εντός τεσσάρων μηνών από τη στιγμή που καθίστανται άνεργοι ή εξέρχονται από την εκπαίδευση·</w:t>
            </w:r>
            <w:r>
              <w:t xml:space="preserve"> </w:t>
            </w:r>
            <w:r>
              <w:rPr>
                <w:b/>
                <w:i/>
              </w:rPr>
              <w:t>είναι της άποψης ότι απαιτούνται περισσότερες συνέργειες μεταξύ των μέσων «Εγγύηση για τα Παιδιά» και «Εγγυήσεις για τη Νεολαία», προκειμένου να διασφαλιστεί επαρκής στήριξη για τους νέους που έχουν ανάγκη καθ’ όλη τη διάρκεια της προσωπικής και επαγγελματικής τους εξέλιξης·</w:t>
            </w:r>
            <w:r>
              <w:t xml:space="preserve"> </w:t>
            </w:r>
            <w:r>
              <w:rPr>
                <w:b/>
                <w:i/>
              </w:rPr>
              <w:t>εκφράζει την ικανοποίησή του που τα αποτελέσματα όσον αφορά την απασχόληση των πρόσφατων αποφοίτων από την επαγγελματική εκπαίδευση και κατάρτιση (ΕΕΚ) εξακολουθούν να βελτιώνονται σε ολόκληρη την ΕΕ·</w:t>
            </w:r>
            <w:r>
              <w:t xml:space="preserve"> </w:t>
            </w:r>
            <w:r>
              <w:rPr>
                <w:b/>
                <w:i/>
              </w:rPr>
              <w:t>επαναλαμβάνει τον καίριο ρόλο που διαδραματίζει η ΕΕΚ στην παροχή των γνώσεων, των δεξιοτήτων και των ικανοτήτων που απαιτούνται για τους νέους που εισέρχονται στην αγορά εργασίας·</w:t>
            </w:r>
            <w:r>
              <w:t xml:space="preserve"> </w:t>
            </w:r>
            <w:r>
              <w:rPr>
                <w:b/>
                <w:i/>
              </w:rPr>
              <w:t>τονίζει ότι είναι αναγκαίο να πραγματοποιηθούν επενδύσεις στην ποιότητα και την ελκυστικότητα της ΕΕΚ μέσω του ΕΚΤ+ και των ενισχυμένων Εγγυήσεων για τη Νεολαία·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διευκολύνει την κατασκευή </w:t>
            </w:r>
            <w:r>
              <w:rPr>
                <w:b/>
                <w:i/>
              </w:rPr>
              <w:t>προσβάσιμων</w:t>
            </w:r>
            <w:r>
              <w:t xml:space="preserve"> και ενεργειακά αποδοτικών κατοικιών που να ανταποκρίνονται στις ανάγκες των νέων, των ατόμων με μειωμένη κινητικότητα και των </w:t>
            </w:r>
            <w:r>
              <w:rPr>
                <w:b/>
                <w:i/>
              </w:rPr>
              <w:t>επισφαλών</w:t>
            </w:r>
            <w:r>
              <w:t xml:space="preserve"> οικογενειών</w:t>
            </w:r>
            <w:r>
              <w:rPr>
                <w:b/>
                <w:i/>
              </w:rPr>
              <w:t>, καθώς και να προστατεύει τους ιδιοκτήτες κατοικιών από την περαιτέρω μείωση της προσφοράς</w:t>
            </w:r>
            <w:r>
              <w:t>·</w:t>
            </w:r>
          </w:p>
        </w:tc>
        <w:tc>
          <w:tcPr>
            <w:tcW w:w="4876" w:type="dxa"/>
            <w:tcBorders>
              <w:top w:val="nil"/>
              <w:left w:val="nil"/>
              <w:bottom w:val="nil"/>
              <w:right w:val="nil"/>
            </w:tcBorders>
          </w:tcPr>
          <w:p>
            <w:pPr>
              <w:pStyle w:val="Normal6a"/>
            </w:pPr>
            <w:r>
              <w:t>3.</w:t>
            </w:r>
            <w:r>
              <w:tab/>
            </w:r>
            <w:r>
              <w:t xml:space="preserve">καλεί την Επιτροπή </w:t>
            </w:r>
            <w:r>
              <w:rPr>
                <w:b/>
                <w:i/>
              </w:rPr>
              <w:t>και τα κράτη μέλη να θέσουν τη στέγαση ως ακρογωνιαίο λίθο των ευρωπαϊκών πολιτικών·</w:t>
            </w:r>
            <w:r>
              <w:t xml:space="preserve"> </w:t>
            </w:r>
            <w:r>
              <w:rPr>
                <w:b/>
                <w:i/>
              </w:rPr>
              <w:t>τονίζει ότι η ΕΕ και τα κράτη μέλη της έχουν υποχρέωση προς τους πολίτες να διασφαλίζουν την καθολική πρόσβασή τους σε αξιοπρεπή και οικονομικά προσιτή στέγαση σύμφωνα και με θεμελιώδη δικαιώματα, όπως τα άρθρα 16, 30 και 31 του Ευρωπαϊκού Κοινωνικού Χάρτη και τον ευρωπαϊκό πυλώνα κοινωνικών δικαιωμάτων·</w:t>
            </w:r>
            <w:r>
              <w:t xml:space="preserve"> </w:t>
            </w:r>
            <w:r>
              <w:rPr>
                <w:b/>
                <w:i/>
              </w:rPr>
              <w:t>επισημαίνει ότι οι επενδύσεις σε κοινωνική και οικονομικά προσιτή στέγαση είναι κομβικής σημασίας, προκειμένου να διασφαλιστεί και να βελτιωθεί η ποιότητα ζωής για όλους τους πολίτες της ΕΕ·</w:t>
            </w:r>
            <w:r>
              <w:t xml:space="preserve"> </w:t>
            </w:r>
            <w:r>
              <w:rPr>
                <w:b/>
                <w:i/>
              </w:rPr>
              <w:t>καλεί την Επιτροπή να αναπτύξει πολιτική κοινωνικής στέγασης στην ΕΕ και</w:t>
            </w:r>
            <w:r>
              <w:t xml:space="preserve"> να συμπεριλάβει ειδικές συστάσεις σχετικά με την οικονομική προσιτότητα της στέγασης </w:t>
            </w:r>
            <w:r>
              <w:rPr>
                <w:b/>
                <w:i/>
              </w:rPr>
              <w:t>για όλους</w:t>
            </w:r>
            <w:r>
              <w:t xml:space="preserve"> στο Ευρωπαϊκό Εξάμηνο και να προωθήσει τις </w:t>
            </w:r>
            <w:r>
              <w:rPr>
                <w:b/>
                <w:i/>
              </w:rPr>
              <w:t>δημόσιες</w:t>
            </w:r>
            <w:r>
              <w:t xml:space="preserve"> επενδύσεις στον τομέα της στέγασης, μεταξύ άλλων μέσω </w:t>
            </w:r>
            <w:r>
              <w:rPr>
                <w:b/>
                <w:i/>
              </w:rPr>
              <w:t>χρηματοδότησης από την ΕΕ και</w:t>
            </w:r>
            <w:r>
              <w:t xml:space="preserve">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διευκολύνει την κατασκευή </w:t>
            </w:r>
            <w:r>
              <w:rPr>
                <w:b/>
                <w:i/>
              </w:rPr>
              <w:t>δημόσιων, ποιοτικών, αξιοπρεπών</w:t>
            </w:r>
            <w:r>
              <w:t xml:space="preserve"> και ενεργειακά αποδοτικών κατοικιών που να ανταποκρίνονται στις ανάγκες των νέων, των ατόμων με μειωμένη κινητικότητα και των </w:t>
            </w:r>
            <w:r>
              <w:rPr>
                <w:b/>
                <w:i/>
              </w:rPr>
              <w:t>ατόμων με αναπηρία, των ηλικιωμένων και των</w:t>
            </w:r>
            <w:r>
              <w:t xml:space="preserve"> οικογενειών </w:t>
            </w:r>
            <w:r>
              <w:rPr>
                <w:b/>
                <w:i/>
              </w:rPr>
              <w:t>που αντιμετωπίζουν επισφάλεια·</w:t>
            </w:r>
            <w:r>
              <w:t xml:space="preserve"> </w:t>
            </w:r>
            <w:r>
              <w:rPr>
                <w:b/>
                <w:i/>
              </w:rPr>
              <w:t>καλεί την Επιτροπή και τα κράτη μέλη να λάβουν αποφασιστικά μέτρα για την παροχή οικονομικά προσιτής στέγασης για όλους, με τη στήριξη μιας ισχυρής ευρωπαϊκής στρατηγικής για τη στέγαση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w:t>
            </w:r>
            <w:r>
              <w:rPr>
                <w:b/>
                <w:i/>
              </w:rPr>
              <w:t>διευκολύνει</w:t>
            </w:r>
            <w:r>
              <w:t xml:space="preserve"> την κατασκευή προσβάσιμων και ενεργειακά αποδοτικών κατοικιών που </w:t>
            </w:r>
            <w:r>
              <w:rPr>
                <w:b/>
                <w:i/>
              </w:rPr>
              <w:t>να</w:t>
            </w:r>
            <w:r>
              <w:t xml:space="preserve"> ανταποκρίνονται στις ανάγκες των νέων, των ατόμων με μειωμένη κινητικότητα και των </w:t>
            </w:r>
            <w:r>
              <w:rPr>
                <w:b/>
                <w:i/>
              </w:rPr>
              <w:t>επισφαλών οικογενειών</w:t>
            </w:r>
            <w:r>
              <w:t>, καθώς και να προστατεύει τους ιδιοκτήτες κατοικιών από την περαιτέρω μείωση της προσφοράς·</w:t>
            </w:r>
          </w:p>
        </w:tc>
        <w:tc>
          <w:tcPr>
            <w:tcW w:w="4876" w:type="dxa"/>
            <w:tcBorders>
              <w:top w:val="nil"/>
              <w:left w:val="nil"/>
              <w:bottom w:val="nil"/>
              <w:right w:val="nil"/>
            </w:tcBorders>
          </w:tcPr>
          <w:p>
            <w:pPr>
              <w:pStyle w:val="Normal6a"/>
            </w:pPr>
            <w:r>
              <w:t>3.</w:t>
            </w:r>
            <w:r>
              <w:tab/>
            </w:r>
            <w:r>
              <w:t xml:space="preserve">καλεί την Επιτροπή να </w:t>
            </w:r>
            <w:r>
              <w:rPr>
                <w:b/>
                <w:i/>
              </w:rPr>
              <w:t>αναγνωρίσει τις καλές πρακτικές των κρατών μελών για την καταπολέμηση της ενεργειακής φτώχειας, όπως οι επιδοτήσεις τιμών για τους οικιακούς καταναλωτές·</w:t>
            </w:r>
            <w:r>
              <w:t xml:space="preserve"> </w:t>
            </w:r>
            <w:r>
              <w:rPr>
                <w:b/>
                <w:i/>
              </w:rPr>
              <w:t>να</w:t>
            </w:r>
            <w:r>
              <w:t xml:space="preserve">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w:t>
            </w:r>
            <w:r>
              <w:rPr>
                <w:b/>
                <w:i/>
              </w:rPr>
              <w:t>σέβεται τις αρμοδιότητες των κρατών μελών, διευκολύνοντας παράλληλα</w:t>
            </w:r>
            <w:r>
              <w:t xml:space="preserve"> την κατασκευή προσβάσιμων και ενεργειακά αποδοτικών κατοικιών που ανταποκρίνονται στις ανάγκες των νέων, των ατόμων με μειωμένη κινητικότητα και των </w:t>
            </w:r>
            <w:r>
              <w:rPr>
                <w:b/>
                <w:i/>
              </w:rPr>
              <w:t>οικογενειών που αντιμετωπίζουν επισφάλεια</w:t>
            </w:r>
            <w:r>
              <w:t xml:space="preserve">, καθώς και να προστατεύει τους ιδιοκτήτες κατοικιών από την περαιτέρω μείωση της προσφοράς· </w:t>
            </w:r>
            <w:r>
              <w:rPr>
                <w:b/>
                <w:i/>
              </w:rPr>
              <w:t>καλεί την Επιτροπή να αποφύγει να επιβαρύνει τις οικογένειες με το βάρος των μετατροπών της ενεργειακής απόδοσης των κατοικιών·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w:t>
            </w:r>
            <w:r>
              <w:rPr>
                <w:b/>
                <w:i/>
              </w:rPr>
              <w:t>αναθεώρηση του κανονιστικού πλαισίου</w:t>
            </w:r>
            <w:r>
              <w:t xml:space="preserve"> της ΕΕ για τον στεγαστικό τομέα θα πρέπει να διευκολύνει την κατασκευή προσβάσιμων και ενεργειακά αποδοτικών κατοικιών που να ανταποκρίνονται στις ανάγκες των νέων, των ατόμων με μειωμένη κινητικότητα και των </w:t>
            </w:r>
            <w:r>
              <w:rPr>
                <w:b/>
                <w:i/>
              </w:rPr>
              <w:t>επισφαλών οικογενειών</w:t>
            </w:r>
            <w:r>
              <w:t>, καθώς και να προστατεύει τους ιδιοκτήτες κατοικιών από την περαιτέρω μείωση της προσφοράς·</w:t>
            </w:r>
          </w:p>
        </w:tc>
        <w:tc>
          <w:tcPr>
            <w:tcW w:w="4876" w:type="dxa"/>
            <w:tcBorders>
              <w:top w:val="nil"/>
              <w:left w:val="nil"/>
              <w:bottom w:val="nil"/>
              <w:right w:val="nil"/>
            </w:tcBorders>
          </w:tcPr>
          <w:p>
            <w:pPr>
              <w:pStyle w:val="Normal6a"/>
            </w:pPr>
            <w:r>
              <w:t>3.</w:t>
            </w:r>
            <w:r>
              <w:tab/>
            </w:r>
            <w:r>
              <w:t xml:space="preserve">καλεί την Επιτροπή να συμπεριλάβει ειδικές συστάσεις σχετικά με </w:t>
            </w:r>
            <w:r>
              <w:rPr>
                <w:b/>
                <w:i/>
              </w:rPr>
              <w:t>τη διαθεσιμότητα και</w:t>
            </w:r>
            <w:r>
              <w:t xml:space="preserve">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w:t>
            </w:r>
            <w:r>
              <w:rPr>
                <w:b/>
                <w:i/>
              </w:rPr>
              <w:t>αξιολόγηση των πολιτικών και των κονδυλίων της Ένωσης, συμπεριλαμβανομένων των κωλυμάτων στο κανονιστικό πλαίσιο</w:t>
            </w:r>
            <w:r>
              <w:t xml:space="preserve"> της ΕΕ για τον στεγαστικό τομέα</w:t>
            </w:r>
            <w:r>
              <w:rPr>
                <w:b/>
                <w:i/>
              </w:rPr>
              <w:t>, ιδίως στους κανόνες για τις κρατικές ενισχύσεις,</w:t>
            </w:r>
            <w:r>
              <w:t xml:space="preserve"> θα πρέπει να διευκολύνει την κατασκευή</w:t>
            </w:r>
            <w:r>
              <w:rPr>
                <w:b/>
                <w:i/>
              </w:rPr>
              <w:t>, τη μετατροπή και την ανακαίνιση</w:t>
            </w:r>
            <w:r>
              <w:t xml:space="preserve"> προσβάσιμων και ενεργειακά αποδοτικών κατοικιών</w:t>
            </w:r>
            <w:r>
              <w:rPr>
                <w:b/>
                <w:i/>
              </w:rPr>
              <w:t>, συμπεριλαμβανομένης της κοινωνικής στέγασης,</w:t>
            </w:r>
            <w:r>
              <w:t xml:space="preserve"> που να ανταποκρίνονται στις ανάγκες των </w:t>
            </w:r>
            <w:r>
              <w:rPr>
                <w:b/>
                <w:i/>
              </w:rPr>
              <w:t>ομάδων χαμηλού και μεσαίου εισοδήματος, καθώς και των</w:t>
            </w:r>
            <w:r>
              <w:t xml:space="preserve"> νέων, των ατόμων με </w:t>
            </w:r>
            <w:r>
              <w:rPr>
                <w:b/>
                <w:i/>
              </w:rPr>
              <w:t>αναπηρία και</w:t>
            </w:r>
            <w:r>
              <w:t xml:space="preserve"> μειωμένη κινητικότητα και των </w:t>
            </w:r>
            <w:r>
              <w:rPr>
                <w:b/>
                <w:i/>
              </w:rPr>
              <w:t>οικογενειών που αντιμετωπίζουν επισφάλεια</w:t>
            </w:r>
            <w:r>
              <w:t xml:space="preserve">, καθώς και να προστατεύει τους </w:t>
            </w:r>
            <w:r>
              <w:rPr>
                <w:b/>
                <w:i/>
              </w:rPr>
              <w:t>μελλοντικούς</w:t>
            </w:r>
            <w:r>
              <w:t xml:space="preserve"> ιδιοκτήτες κατοικιών από την περαιτέρω μείωση της προσφοράς·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διευκολύνει την κατασκευή προσβάσιμων και ενεργειακά αποδοτικών κατοικιών που να ανταποκρίνονται στις ανάγκες των νέων, των ατόμων με μειωμένη κινητικότητα και των επισφαλών οικογενειών, καθώς και να προστατεύει τους ιδιοκτήτες κατοικιών από την περαιτέρω μείωση της προσφοράς</w:t>
            </w:r>
            <w:r>
              <w:rPr>
                <w:b/>
                <w:i/>
              </w:rPr>
              <w:t>·</w:t>
            </w:r>
          </w:p>
        </w:tc>
        <w:tc>
          <w:tcPr>
            <w:tcW w:w="4876" w:type="dxa"/>
            <w:tcBorders>
              <w:top w:val="nil"/>
              <w:left w:val="nil"/>
              <w:bottom w:val="nil"/>
              <w:right w:val="nil"/>
            </w:tcBorders>
          </w:tcPr>
          <w:p>
            <w:pPr>
              <w:pStyle w:val="Normal6a"/>
            </w:pPr>
            <w:r>
              <w:t>3.</w:t>
            </w:r>
            <w:r>
              <w:tab/>
            </w:r>
            <w:r>
              <w:t>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διευκολύνει την κατασκευή προσβάσιμων και ενεργειακά αποδοτικών κατοικιών που να ανταποκρίνονται στις ανάγκες των νέων, των ατόμων με μειωμένη κινητικότητα και των επισφαλών οικογενειών, καθώς και να προστατεύει τους ιδιοκτήτες κατοικιών από την περαιτέρω μείωση της προσφοράς</w:t>
            </w:r>
            <w:r>
              <w:rPr>
                <w:b/>
                <w:i/>
              </w:rPr>
              <w:t>,</w:t>
            </w:r>
            <w:r>
              <w:t xml:space="preserve"> </w:t>
            </w:r>
            <w:r>
              <w:rPr>
                <w:b/>
                <w:i/>
              </w:rPr>
              <w:t>η οποία αναμένεται να προκαλέσει καθυστερήσεις στην εφαρμογή του χρονοδιαγράμματος σχετικά με τα κτίρια χωρίς επαρκή μόνωση, που αποτελεί σημαντική αιτία αβεβαιότητας και αποκλεισμού από την αγορά ενοικίασης.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διευκολύνει την κατασκευή προσβάσιμων και ενεργειακά αποδοτικών κατοικιών που να ανταποκρίνονται στις ανάγκες των νέων, των ατόμων με μειωμένη κινητικότητα και των </w:t>
            </w:r>
            <w:r>
              <w:rPr>
                <w:b/>
                <w:i/>
              </w:rPr>
              <w:t>επισφαλών οικογενειών</w:t>
            </w:r>
            <w:r>
              <w:t xml:space="preserve">, καθώς και να προστατεύει </w:t>
            </w:r>
            <w:r>
              <w:rPr>
                <w:b/>
                <w:i/>
              </w:rPr>
              <w:t>τους ιδιοκτήτες κατοικιών</w:t>
            </w:r>
            <w:r>
              <w:t xml:space="preserve"> από την περαιτέρω μείωση της προσφοράς·</w:t>
            </w:r>
          </w:p>
        </w:tc>
        <w:tc>
          <w:tcPr>
            <w:tcW w:w="4876" w:type="dxa"/>
            <w:tcBorders>
              <w:top w:val="nil"/>
              <w:left w:val="nil"/>
              <w:bottom w:val="nil"/>
              <w:right w:val="nil"/>
            </w:tcBorders>
          </w:tcPr>
          <w:p>
            <w:pPr>
              <w:pStyle w:val="Normal6a"/>
            </w:pPr>
            <w:r>
              <w:t>3.</w:t>
            </w:r>
            <w:r>
              <w:tab/>
            </w:r>
            <w:r>
              <w:t>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διευκολύνει την κατασκευή προσβάσιμων</w:t>
            </w:r>
            <w:r>
              <w:rPr>
                <w:b/>
                <w:i/>
              </w:rPr>
              <w:t>, οικονομικά προσιτών</w:t>
            </w:r>
            <w:r>
              <w:t xml:space="preserve"> και ενεργειακά αποδοτικών κατοικιών που να ανταποκρίνονται στις ανάγκες των νέων, των ατόμων με μειωμένη κινητικότητα και των </w:t>
            </w:r>
            <w:r>
              <w:rPr>
                <w:b/>
                <w:i/>
              </w:rPr>
              <w:t>οικογενειών που αντιμετωπίζουν επισφάλεια</w:t>
            </w:r>
            <w:r>
              <w:t xml:space="preserve">, καθώς και να προστατεύει </w:t>
            </w:r>
            <w:r>
              <w:rPr>
                <w:b/>
                <w:i/>
              </w:rPr>
              <w:t>τα άτομα που αναζητούν πρόσβαση σε ιδιόκτητη στέγη</w:t>
            </w:r>
            <w:r>
              <w:t xml:space="preserve"> από την περαιτέρω μείωση της προσφοράς· </w:t>
            </w:r>
            <w:r>
              <w:rPr>
                <w:b/>
                <w:i/>
              </w:rPr>
              <w:t>καλεί τα κράτη μέλη και την Επιτροπή να αναγνωρίσουν την κατάλληλη στέγαση ως δικαίωμα.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καλεί την Επιτροπή να συμπεριλάβει ειδικές συστάσεις σχετικά με την οικονομική προσιτότητα της στέγασης στο Ευρωπαϊκό Εξάμηνο </w:t>
            </w:r>
            <w:r>
              <w:rPr>
                <w:b/>
                <w:i/>
              </w:rPr>
              <w:t>και να προωθήσει τις επενδύσεις στον τομέα της στέγασης, μεταξύ άλλων μέσω χρηματοδοτικών μέσων της Ευρωπαϊκής Τράπεζας Επενδύσεων·</w:t>
            </w:r>
            <w:r>
              <w:t xml:space="preserve"> </w:t>
            </w:r>
            <w:r>
              <w:rPr>
                <w:b/>
                <w:i/>
              </w:rPr>
              <w:t>θεωρεί ότι η αναθεώρηση του κανονιστικού πλαισίου της ΕΕ για τον στεγαστικό τομέα θα πρέπει να διευκολύνει την κατασκευή προσβάσιμων και ενεργειακά αποδοτικών κατοικιών που να ανταποκρίνονται στις ανάγκες των νέων, των ατόμων με μειωμένη κινητικότητα και των επισφαλών οικογενειών, καθώς και να προστατεύει τους ιδιοκτήτες κατοικιών από την περαιτέρω μείωση της προσφοράς</w:t>
            </w:r>
            <w:r>
              <w:t>·</w:t>
            </w:r>
          </w:p>
        </w:tc>
        <w:tc>
          <w:tcPr>
            <w:tcW w:w="4876" w:type="dxa"/>
            <w:tcBorders>
              <w:top w:val="nil"/>
              <w:left w:val="nil"/>
              <w:bottom w:val="nil"/>
              <w:right w:val="nil"/>
            </w:tcBorders>
          </w:tcPr>
          <w:p>
            <w:pPr>
              <w:pStyle w:val="Normal6a"/>
            </w:pPr>
            <w:r>
              <w:t>3.</w:t>
            </w:r>
            <w:r>
              <w:tab/>
            </w:r>
            <w:r>
              <w:t>καλεί την Επιτροπή να συμπεριλάβει ειδικές συστάσεις σχετικά με την οικονομική προσιτότητα της στέγασης στο Ευρωπαϊκό Εξάμηνο</w:t>
            </w:r>
            <w:r>
              <w:rPr>
                <w:b/>
                <w:i/>
              </w:rPr>
              <w:t>·</w:t>
            </w:r>
            <w:r>
              <w:t xml:space="preserve"> </w:t>
            </w:r>
            <w:r>
              <w:rPr>
                <w:b/>
                <w:i/>
              </w:rPr>
              <w:t>υπενθυμίζει ότι είναι αναγκαίο να γεφυρωθεί το ετήσιο επενδυτικό χάσμα στην κοινωνική και οικονομικά προσιτή στέγαση ύψους 57 δισεκατομμυρίων ευρώ και ότι είναι σημαντική η ανακοίνωση της πανευρωπαϊκής επενδυτικής πλατφόρμας, ώστε να προωθηθούν οι επενδύσεις στον τομέα της στέγασης, μεταξύ άλλων μέσω κονδυλίων της ΕΕ και χρηματοδοτικών μέσων της Ευρωπαϊκής Τράπεζας Επενδύσεων·</w:t>
            </w:r>
            <w:r>
              <w:t xml:space="preserve"> </w:t>
            </w:r>
            <w:r>
              <w:rPr>
                <w:b/>
                <w:i/>
              </w:rPr>
              <w:t>επισημαίνει την ευκαιρία που προσφέρει ο διπλασιασμός του ποσού των ταμείων συνοχής που προορίζονται για κοινωνική και οικονομικά προσιτή στέγαση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διευκολύνει την κατασκευή προσβάσιμων και ενεργειακά αποδοτικών κατοικιών που να ανταποκρίνονται στις ανάγκες των νέων, των ατόμων με μειωμένη κινητικότητα και των </w:t>
            </w:r>
            <w:r>
              <w:rPr>
                <w:b/>
                <w:i/>
              </w:rPr>
              <w:t>επισφαλών</w:t>
            </w:r>
            <w:r>
              <w:t xml:space="preserve"> οικογενειών, καθώς και να προστατεύει τους ιδιοκτήτες κατοικιών από την περαιτέρω μείωση της προσφοράς·</w:t>
            </w:r>
          </w:p>
        </w:tc>
        <w:tc>
          <w:tcPr>
            <w:tcW w:w="4876" w:type="dxa"/>
            <w:tcBorders>
              <w:top w:val="nil"/>
              <w:left w:val="nil"/>
              <w:bottom w:val="nil"/>
              <w:right w:val="nil"/>
            </w:tcBorders>
          </w:tcPr>
          <w:p>
            <w:pPr>
              <w:pStyle w:val="Normal6a"/>
            </w:pPr>
            <w:r>
              <w:t>3.</w:t>
            </w:r>
            <w:r>
              <w:tab/>
            </w:r>
            <w:r>
              <w:t xml:space="preserve">καλεί την Επιτροπή να συμπεριλάβει ειδικές συστάσεις σχετικά με την οικονομική προσιτότητα της στέγασης στο Ευρωπαϊκό Εξάμηνο και να προωθήσει τις επενδύσεις στον τομέα της στέγασης, μεταξύ άλλων μέσω χρηματοδοτικών μέσων της Ευρωπαϊκής Τράπεζας Επενδύσεων· θεωρεί ότι η αναθεώρηση του κανονιστικού πλαισίου της ΕΕ για τον στεγαστικό τομέα θα πρέπει να διευκολύνει την κατασκευή προσβάσιμων και ενεργειακά αποδοτικών κατοικιών που να ανταποκρίνονται στις ανάγκες των νέων, των ατόμων με μειωμένη κινητικότητα και των </w:t>
            </w:r>
            <w:r>
              <w:rPr>
                <w:b/>
                <w:i/>
              </w:rPr>
              <w:t>ατόμων με αναπηρία και των</w:t>
            </w:r>
            <w:r>
              <w:t xml:space="preserve"> οικογενειών </w:t>
            </w:r>
            <w:r>
              <w:rPr>
                <w:b/>
                <w:i/>
              </w:rPr>
              <w:t>που αντιμετωπίζουν επισφάλεια</w:t>
            </w:r>
            <w:r>
              <w:t>, καθώς και να προστατεύει τους ιδιοκτήτες κατοικιών από την περαιτέρω μείωση της προσφοράς·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 σημείο 1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αποδοκιμάζει το γεγονός ότι ορισμένοι κανόνες και οδηγίες της ΕΕ, όπως η οδηγία για τα μη εξυπηρετούμενα δάνεια, οι δημοσιονομικοί κανόνες και οι κανόνες της ΕΕ για τις κρατικές ενισχύσεις έχουν συμβάλει στην αύξηση των τιμών των κατοικιών και των αστέγων σε ολόκληρη την Ένωση, καθώς συχνά μπορεί να εμποδίζουν τα κράτη μέλη να επενδύουν συνολικά στην αντιμετώπιση του αυξανόμενου κόστους της στέγασης και της αύξησης της αστεγίας·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παροτρύνει τα κράτη μέλη να διασφαλίσουν ότι οι στεγαστικές επενδύσεις στηρίζουν μακροπρόθεσμες ποιοτικές λύσεις στέγασης που είναι πράγματι οικονομικά προσιτές για τα νοικοκυριά χαμηλού και μεσαίου εισοδήματος μέσω κοινωνικών προϋποθέσεων και αντικερδοσκοπικών διασφαλίσεων·</w:t>
            </w:r>
            <w:r>
              <w:t xml:space="preserve"> </w:t>
            </w:r>
            <w:r>
              <w:rPr>
                <w:b/>
                <w:i/>
              </w:rPr>
              <w:t>πιστεύει ότι η αντιμετώπιση των κερδοσκοπικών επενδύσεων και της χρηματιστικοποίησης πρέπει να αποτελεί κεντρικό στοιχείο του ευρωπαϊκού σχεδίου οικονομικά προσιτής στέγασης·</w:t>
            </w:r>
            <w:r>
              <w:t xml:space="preserve"> </w:t>
            </w:r>
            <w:r>
              <w:rPr>
                <w:b/>
                <w:i/>
              </w:rPr>
              <w:t>στο πλαίσιο αυτό, επιδοκιμάζει τη διεξοδική ανάλυση των επιπτώσεων της κερδοσκοπίας στον τομέα της στέγασης και των οικονομικών συνεπειών της, προκειμένου να προωθηθούν η άμεση αντίδραση και επακόλουθες ενέργειες, κατά περίπτωση·</w:t>
            </w:r>
            <w:r>
              <w:t xml:space="preserve"> </w:t>
            </w:r>
            <w:r>
              <w:rPr>
                <w:b/>
                <w:i/>
              </w:rPr>
              <w:t>θεωρεί ότι η αναθεώρηση του κανονιστικού πλαισίου της ΕΕ για τον στεγαστικό τομέα θα πρέπει να διευκολύνει την ανακαίνιση και την κατασκευή —χωρίς περαιτέρω χρήση γης— δημόσιων, προσβάσιμων, οικονομικά προσιτών και ενεργειακά αποδοτικών κατοικιών που να ανταποκρίνονται στις ανάγκες των νέων, των ατόμων με μειωμένη κινητικότητα και των ατόμων που βρίσκονται σε πιο ευάλωτη κατάσταση·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θεωρεί ότι η αστεγία αποτελεί δραματικό κοινωνικό πρόβλημα στην ΕΕ και μία από τις πιο ακραίες μορφές κοινωνικού αποκλεισμού, που στερεί τα άτομα από μια αξιοπρεπή ζωή και τη συμμετοχή τους στην αγορά εργασίας· καλεί την Επιτροπή να αναπτύξει ένα σχέδιο δράσης για την εξάλειψη της αστεγίας στην ΕΕ, προωθώντας την πρόσβαση σε οικονομικά προσιτή και αξιοπρεπή στέγαση·</w:t>
            </w:r>
            <w:r>
              <w:t xml:space="preserve"> </w:t>
            </w:r>
            <w:r>
              <w:rPr>
                <w:b/>
                <w:i/>
              </w:rPr>
              <w:t>ζητεί την καθιέρωση ενός ενιαίου ορισμού για την αστεγία στην ΕΕ, που θα μπορούσε να διευκολύνει τη συστηματική σύγκριση και αξιολόγηση της έκτασης του φαινομένου στις διάφορες χώρες της ΕΕ·</w:t>
            </w:r>
            <w:r>
              <w:t xml:space="preserve"> </w:t>
            </w:r>
            <w:r>
              <w:rPr>
                <w:b/>
                <w:i/>
              </w:rPr>
              <w:t>και θα επέτρεπε επίσης τη συστηματική παρακολούθηση των ποσοστών των αστέγων σε επίπεδο ΕΕ μέσω θεσμικών οργάνων όπως η Eurostat·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επικροτεί την ανακοίνωση του ευρωπαϊκού σχεδίου οικονομικά προσιτής στέγασης για τη στήριξη των κρατών μελών στην αντιμετώπιση της στεγαστικής κρίσης και της εκτίναξης των τιμών ενοικίων και κατοικιών·</w:t>
            </w:r>
            <w:r>
              <w:t xml:space="preserve"> </w:t>
            </w:r>
            <w:r>
              <w:rPr>
                <w:b/>
                <w:i/>
              </w:rPr>
              <w:t>καλεί την Επιτροπή να αναθεωρήσει τους κανόνες για τις κρατικές ενισχύσεις, ώστε να καταστεί δυνατή η λήψη μέτρων στήριξης για τη στέγαση και η κοινωνική στέγαση·</w:t>
            </w:r>
            <w:r>
              <w:t xml:space="preserve"> </w:t>
            </w:r>
            <w:r>
              <w:rPr>
                <w:b/>
                <w:i/>
              </w:rPr>
              <w:t>υπενθυμίζει ότι το Κοινωνικό Ταμείο για το Κλίμα θα παρέχει χρηματοδοτική ενίσχυση στα κράτη μέλη από το 2026 για τη στήριξη των ευάλωτων νοικοκυριών με προσωρινή άμεση εισοδηματική στήριξη, καθώς και μέτρα και επενδύσεις που αποσκοπούν στην αύξηση της ενεργειακής απόδοσης των κτιρίων, την απανθρακοποίηση της θέρμανσης και της ψύξης των κτιρίων και την ενσωμάτωση της παραγωγής και της αποθήκευσης ενέργειας από ανανεώσιμες πηγές στα κτίρια·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α.</w:t>
            </w:r>
            <w:r>
              <w:tab/>
            </w:r>
            <w:r>
              <w:rPr>
                <w:b/>
                <w:i/>
              </w:rPr>
              <w:t>καλεί την Επιτροπή να υποβάλει προτάσεις σχετικά με την ενίσχυση των τεχνολογικών ικανοτήτων της ΕΕ, την επιτάχυνση του ψηφιακού μετασχηματισμού σε όλες τις βιομηχανίες, την αξιοποίηση των ευκαιριών που προσφέρει η οικονομία των δεδομένων, διασφαλίζοντας παράλληλα την ιδιωτικότητα και την ασφάλεια, καθώς και την προώθηση της ανάπτυξης καινοτόμων τεχνολογιών·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υπενθυμίζει τον στόχο της Ένωσης για μετάβαση από την ιδρυματική φροντίδα στη φροντίδα σε επίπεδο κοινότητας ή οικογένειας·</w:t>
            </w:r>
            <w:r>
              <w:t xml:space="preserve"> </w:t>
            </w:r>
            <w:r>
              <w:rPr>
                <w:b/>
                <w:i/>
              </w:rPr>
              <w:t>καλεί την Επιτροπή να υποβάλει σχέδιο δράσης για την αποϊδρυματοποίηση·</w:t>
            </w:r>
            <w:r>
              <w:t xml:space="preserve"> </w:t>
            </w:r>
            <w:r>
              <w:rPr>
                <w:b/>
                <w:i/>
              </w:rPr>
              <w:t>τονίζει ότι το εν λόγω σχέδιο δράσης θα πρέπει να καλύπτει όλες τις ομάδες που εξακολουθούν να διαμένουν σε ιδρύματα, συμπεριλαμβανομένων των παιδιών, των ατόμων με αναπηρία, των ατόμων που πάσχουν από προβλήματα ψυχικής υγείας ή των αστέγων, και των ηλικιωμένων·</w:t>
            </w:r>
            <w:r>
              <w:t xml:space="preserve"> </w:t>
            </w:r>
            <w:r>
              <w:rPr>
                <w:b/>
                <w:i/>
              </w:rPr>
              <w:t>καλεί τα κράτη μέλη να αξιοποιήσουν πλήρως τα κονδύλια του ΕΚΤ+, καθώς και άλλα σχετικά ευρωπαϊκά και εθνικά κονδύλια, προκειμένου να ολοκληρωθεί η διαδικασία αποϊδρυματοποίησης, ώστε να διασφαλιστεί ότι κάθε πολίτης της ΕΕ μπορεί να ζει σε οικογενειακό ή κοινοτικό περιβάλλον·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θεωρεί ότι η ΕΕ πρέπει να αναλάβει επειγόντως δράση για να αντιμετωπίσει τα σταθερά υψηλά επίπεδα φτώχειας και κοινωνικού αποκλεισμού στην ΕΕ, ιδίως μεταξύ των παιδιών, των νέων και των ηλικιωμένων, των ατόμων με αναπηρία, των ατόμων που έχουν γεννηθεί εκτός ΕΕ, των ΛΟΑΤΙ και των κοινοτήτων Ρομά·</w:t>
            </w:r>
            <w:r>
              <w:t xml:space="preserve"> </w:t>
            </w:r>
            <w:r>
              <w:rPr>
                <w:b/>
                <w:i/>
              </w:rPr>
              <w:t>θα πρέπει να δοθεί προτεραιότητα στην πρόσβαση σε ποιοτικές κοινωνικές υπηρεσίες, με δεσμευτικούς στόχους για τη μείωση της αστεγίας και τη διασφάλιση της ενεργειακής ασφάλειας για τα ευάλωτα νοικοκυριά·</w:t>
            </w:r>
            <w:r>
              <w:t xml:space="preserve"> </w:t>
            </w:r>
            <w:r>
              <w:rPr>
                <w:b/>
                <w:i/>
              </w:rPr>
              <w:t>καλεί την Επιτροπή να εγκρίνει την πρώτη στα χρονικά στρατηγική της ΕΕ για την καταπολέμηση της φτώχειας·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β.</w:t>
            </w:r>
            <w:r>
              <w:tab/>
            </w:r>
            <w:r>
              <w:rPr>
                <w:b/>
                <w:i/>
              </w:rPr>
              <w:t>υπενθυμίζει τον στόχο να καταβληθούν προσπάθειες για την εξάλειψη της αστεγίας έως το 2030·</w:t>
            </w:r>
            <w:r>
              <w:t xml:space="preserve"> </w:t>
            </w:r>
            <w:r>
              <w:rPr>
                <w:b/>
                <w:i/>
              </w:rPr>
              <w:t>καλεί τα κράτη μέλη να σχεδιάσουν εθνικές στρατηγικές για την αστεγία με επίκεντρο λύσεις που βασίζονται στη στέγαση, ώστε να ευθυγραμμιστούν με τον εν λόγω στόχο·</w:t>
            </w:r>
            <w:r>
              <w:t xml:space="preserve"> </w:t>
            </w:r>
            <w:r>
              <w:rPr>
                <w:b/>
                <w:i/>
              </w:rPr>
              <w:t>επιδοκιμάζει την πρόθεση να εκδοθεί σύσταση του Συμβουλίου σχετικά με την αστεγία·</w:t>
            </w:r>
            <w:r>
              <w:t xml:space="preserve"> </w:t>
            </w:r>
            <w:r>
              <w:rPr>
                <w:b/>
                <w:i/>
              </w:rPr>
              <w:t>παροτρύνει την Επιτροπή να αυξήσει περαιτέρω τη φιλοδοξία της ευρωπαϊκής πλατφόρμας για την καταπολέμηση της αστεγίας, ιδίως συμπεριλαμβάνοντας σε αυτήν ειδικό προϋπολογισμό·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t xml:space="preserve">· ζητεί το Ευρωπαϊκό Εξάμηνο να αντιμετωπίσει τον κοινωνικοοικονομικό αντίκτυπο της μοναξιάς στην παραγωγικότητα και την ευημερία, προωθώντας μια στρατηγική της ΕΕ για την καταπολέμηση της </w:t>
            </w:r>
            <w:r>
              <w:rPr>
                <w:b/>
                <w:i/>
              </w:rPr>
              <w:t>ανεπιθύμητης</w:t>
            </w:r>
            <w:r>
              <w:t xml:space="preserve"> μοναξιάς</w:t>
            </w:r>
            <w:r>
              <w:rPr>
                <w:b/>
                <w:i/>
              </w:rPr>
              <w:t>, η οποία, με τη σειρά της, μπορεί να προωθήσει την αλληλεγγύη μεταξύ των γενεών και να ενισχύσει τα</w:t>
            </w:r>
            <w:r>
              <w:t xml:space="preserve"> προγράμματα συναισθηματικής στήριξης για </w:t>
            </w:r>
            <w:r>
              <w:rPr>
                <w:b/>
                <w:i/>
              </w:rPr>
              <w:t>τους</w:t>
            </w:r>
            <w:r>
              <w:t xml:space="preserve"> νέους και </w:t>
            </w:r>
            <w:r>
              <w:rPr>
                <w:b/>
                <w:i/>
              </w:rPr>
              <w:t>τους ενήλικες μεγαλύτερης ηλικίας</w:t>
            </w:r>
            <w:r>
              <w:t>·</w:t>
            </w:r>
          </w:p>
        </w:tc>
        <w:tc>
          <w:tcPr>
            <w:tcW w:w="4876" w:type="dxa"/>
            <w:tcBorders>
              <w:top w:val="nil"/>
              <w:left w:val="nil"/>
              <w:bottom w:val="nil"/>
              <w:right w:val="nil"/>
            </w:tcBorders>
          </w:tcPr>
          <w:p>
            <w:pPr>
              <w:pStyle w:val="Normal6a"/>
            </w:pPr>
            <w:r>
              <w:t>4.</w:t>
            </w:r>
            <w:r>
              <w:tab/>
            </w:r>
            <w:r>
              <w:t xml:space="preserve">ζητεί την εφαρμογή ενός </w:t>
            </w:r>
            <w:r>
              <w:rPr>
                <w:b/>
                <w:i/>
              </w:rPr>
              <w:t>ολοκληρωμένου</w:t>
            </w:r>
            <w:r>
              <w:t xml:space="preserve"> ευρωπαϊκού σχεδίου δράσης για την ψυχική υγεία, σύμφωνα με τις πρόσφατες συστάσεις της Επιτροπής</w:t>
            </w:r>
            <w:r>
              <w:rPr>
                <w:vertAlign w:val="superscript"/>
              </w:rPr>
              <w:t>2</w:t>
            </w:r>
            <w:r>
              <w:t xml:space="preserve">· ζητεί το Ευρωπαϊκό Εξάμηνο να αντιμετωπίσει τον κοινωνικοοικονομικό αντίκτυπο της μοναξιάς στην παραγωγικότητα και την ευημερία, προωθώντας μια στρατηγική της ΕΕ για την καταπολέμηση της μοναξιάς </w:t>
            </w:r>
            <w:r>
              <w:rPr>
                <w:b/>
                <w:i/>
              </w:rPr>
              <w:t>και την προώθηση της αλληλεγγύης μεταξύ των γενεών·</w:t>
            </w:r>
            <w:r>
              <w:t xml:space="preserve"> </w:t>
            </w:r>
            <w:r>
              <w:rPr>
                <w:b/>
                <w:i/>
              </w:rPr>
              <w:t>καλεί τα κράτη μέλη να ενισχύσουν την πρόσβαση σε υπηρεσίες ψυχικής υγείας και</w:t>
            </w:r>
            <w:r>
              <w:t xml:space="preserve"> προγράμματα συναισθηματικής στήριξης για </w:t>
            </w:r>
            <w:r>
              <w:rPr>
                <w:b/>
                <w:i/>
              </w:rPr>
              <w:t>παιδιά,</w:t>
            </w:r>
            <w:r>
              <w:t xml:space="preserve"> νέους και </w:t>
            </w:r>
            <w:r>
              <w:rPr>
                <w:b/>
                <w:i/>
              </w:rPr>
              <w:t>ενήλικες, ιδίως σε απομακρυσμένες και λιγότερο ανεπτυγμένες περιφέρειες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t xml:space="preserve">· ζητεί το Ευρωπαϊκό Εξάμηνο να </w:t>
            </w:r>
            <w:r>
              <w:rPr>
                <w:b/>
                <w:i/>
              </w:rPr>
              <w:t>αντιμετωπίσει τον κοινωνικοοικονομικό αντίκτυπο της μοναξιάς στην παραγωγικότητα και την ευημερία, προωθώντας μια στρατηγική της ΕΕ για την καταπολέμηση της ανεπιθύμητης μοναξιάς, η οποία, με τη σειρά της, μπορεί να προωθήσει την αλληλεγγύη μεταξύ των γενεών και να ενισχύσει τα προγράμματα συναισθηματικής στήριξης για τους νέους και τους ενήλικες μεγαλύτερης ηλικίας</w:t>
            </w:r>
            <w:r>
              <w:t>·</w:t>
            </w:r>
          </w:p>
        </w:tc>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t xml:space="preserve">· ζητεί το Ευρωπαϊκό Εξάμηνο να </w:t>
            </w:r>
            <w:r>
              <w:rPr>
                <w:b/>
                <w:i/>
              </w:rPr>
              <w:t>χρησιμοποιήσει τους δείκτες του πίνακα κοινωνικών αποτελεσμάτων για να αντιμετωπίσει τον κοινωνικοοικονομικό αντίκτυπο που επιφέρει η μοναξιά, οι επισφαλείς συνθήκες διαβίωσης και η αβεβαιότητα στην ευεξία, την ψυχική υγεία και τη συμμετοχή των ατόμων στην κοινωνία και στην αγορά εργασίας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t>· ζητεί το Ευρωπαϊκό Εξάμηνο να αντιμετωπίσει τον κοινωνικοοικονομικό αντίκτυπο της μοναξιάς στην παραγωγικότητα και την ευημερία, προωθώντας μια στρατηγική της ΕΕ για την καταπολέμηση της ανεπιθύμητης μοναξιάς, η οποία, με τη σειρά της, μπορεί να προωθήσει την αλληλεγγύη μεταξύ των γενεών και να ενισχύσει τα προγράμματα συναισθηματικής στήριξης για τους νέους και τους ενήλικες μεγαλύτερης ηλικίας·</w:t>
            </w:r>
          </w:p>
        </w:tc>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t>· ζητεί το Ευρωπαϊκό Εξάμηνο να αντιμετωπίσει τον κοινωνικοοικονομικό αντίκτυπο της μοναξιάς στην παραγωγικότητα και την ευημερία, προωθώντας μια στρατηγική της ΕΕ για την καταπολέμηση της ανεπιθύμητης μοναξιάς, η οποία, με τη σειρά της, μπορεί να προωθήσει την αλληλεγγύη μεταξύ των γενεών</w:t>
            </w:r>
            <w:r>
              <w:rPr>
                <w:b/>
                <w:i/>
              </w:rPr>
              <w:t>, την οικονομία της τρίτης ηλικίας</w:t>
            </w:r>
            <w:r>
              <w:t xml:space="preserve"> και να ενισχύσει τα προγράμματα συναισθηματικής στήριξης για τους νέους και τους ενήλικες μεγαλύτερης ηλικίας·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rPr>
                <w:b/>
                <w:i/>
              </w:rPr>
              <w:t>·</w:t>
            </w:r>
            <w:r>
              <w:t xml:space="preserve"> </w:t>
            </w:r>
            <w:r>
              <w:rPr>
                <w:b/>
                <w:i/>
              </w:rPr>
              <w:t>ζητεί το Ευρωπαϊκό Εξάμηνο να αντιμετωπίσει τον κοινωνικοοικονομικό αντίκτυπο της μοναξιάς στην παραγωγικότητα και την ευημερία, προωθώντας μια στρατηγική της ΕΕ για την καταπολέμηση της ανεπιθύμητης</w:t>
            </w:r>
            <w:r>
              <w:t xml:space="preserve"> μοναξιάς</w:t>
            </w:r>
            <w:r>
              <w:rPr>
                <w:b/>
                <w:i/>
              </w:rPr>
              <w:t>, η οποία, με τη σειρά της, μπορεί να προωθήσει</w:t>
            </w:r>
            <w:r>
              <w:t xml:space="preserve"> την αλληλεγγύη μεταξύ των γενεών και να </w:t>
            </w:r>
            <w:r>
              <w:rPr>
                <w:b/>
                <w:i/>
              </w:rPr>
              <w:t>ενισχύσει</w:t>
            </w:r>
            <w:r>
              <w:t xml:space="preserve"> τα προγράμματα συναισθηματικής στήριξης για τους νέους και τους ενήλικες μεγαλύτερης ηλικίας·</w:t>
            </w:r>
          </w:p>
        </w:tc>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rPr>
                <w:b/>
                <w:i/>
              </w:rPr>
              <w:t>, και την προώθηση των κοινωνικών θεραπευτικών παρεμβάσεων ως πρώτο βήμα για την ψυχική υγεία·</w:t>
            </w:r>
            <w:r>
              <w:t xml:space="preserve"> </w:t>
            </w:r>
            <w:r>
              <w:rPr>
                <w:b/>
                <w:i/>
              </w:rPr>
              <w:t>ζητεί τα κράτη μέλη να αντιμετωπίσουν τον κοινωνικοοικονομικό αντίκτυπο της</w:t>
            </w:r>
            <w:r>
              <w:t xml:space="preserve"> μοναξιάς </w:t>
            </w:r>
            <w:r>
              <w:rPr>
                <w:b/>
                <w:i/>
              </w:rPr>
              <w:t>στην παραγωγικότητα και την ευημερία και να προωθήσουν</w:t>
            </w:r>
            <w:r>
              <w:t xml:space="preserve"> την αλληλεγγύη μεταξύ των γενεών και να </w:t>
            </w:r>
            <w:r>
              <w:rPr>
                <w:b/>
                <w:i/>
              </w:rPr>
              <w:t>ενισχύσουν</w:t>
            </w:r>
            <w:r>
              <w:t xml:space="preserve"> τα προγράμματα συναισθηματικής στήριξης για τους νέους και τους ενήλικες μεγαλύτερης ηλικίας·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t xml:space="preserve">· ζητεί </w:t>
            </w:r>
            <w:r>
              <w:rPr>
                <w:b/>
                <w:i/>
              </w:rPr>
              <w:t>το Ευρωπαϊκό Εξάμηνο να αντιμετωπίσει τον κοινωνικοοικονομικό αντίκτυπο της μοναξιάς στην παραγωγικότητα και την ευημερία, προωθώντας μια στρατηγική της ΕΕ για την καταπολέμηση της ανεπιθύμητης μοναξιάς, η οποία, με τη σειρά της, μπορεί να προωθήσει την αλληλεγγύη μεταξύ των γενεών και να ενισχύσει τα προγράμματα συναισθηματικής στήριξης για τους νέους</w:t>
            </w:r>
            <w:r>
              <w:t xml:space="preserve"> και τους </w:t>
            </w:r>
            <w:r>
              <w:rPr>
                <w:b/>
                <w:i/>
              </w:rPr>
              <w:t>ενήλικες μεγαλύτερης ηλικίας</w:t>
            </w:r>
            <w:r>
              <w:t>·</w:t>
            </w:r>
          </w:p>
        </w:tc>
        <w:tc>
          <w:tcPr>
            <w:tcW w:w="4876" w:type="dxa"/>
            <w:tcBorders>
              <w:top w:val="nil"/>
              <w:left w:val="nil"/>
              <w:bottom w:val="nil"/>
              <w:right w:val="nil"/>
            </w:tcBorders>
          </w:tcPr>
          <w:p>
            <w:pPr>
              <w:pStyle w:val="Normal6a"/>
            </w:pPr>
            <w:r>
              <w:t>4.</w:t>
            </w:r>
            <w:r>
              <w:tab/>
            </w:r>
            <w:r>
              <w:t>ζητεί την εφαρμογή ενός ευρωπαϊκού σχεδίου δράσης για την ψυχική υγεία, σύμφωνα με τις πρόσφατες συστάσεις της Επιτροπής</w:t>
            </w:r>
            <w:r>
              <w:rPr>
                <w:vertAlign w:val="superscript"/>
              </w:rPr>
              <w:t>2</w:t>
            </w:r>
            <w:r>
              <w:t xml:space="preserve">· ζητεί </w:t>
            </w:r>
            <w:r>
              <w:rPr>
                <w:b/>
                <w:i/>
              </w:rPr>
              <w:t>την έκδοση οδηγίας σε επίπεδο ΕΕ σχετικά με τους ψυχοκοινωνικούς κινδύνους για να αντιμετωπιστεί η αυξημένη συχνότητα ορισμένων ψυχοκοινωνικών κινδύνων στους χώρους εργασίας της ΕΕ, προκειμένου να διασφαλιστεί ότι οι αρχές της υγείας και της ασφάλειας στην εργασία που κατοχυρώνονται στην οδηγία-πλαίσιο εφαρμόζονται αποτελεσματικά όσον αφορά</w:t>
            </w:r>
            <w:r>
              <w:t xml:space="preserve"> και τους </w:t>
            </w:r>
            <w:r>
              <w:rPr>
                <w:b/>
                <w:i/>
              </w:rPr>
              <w:t>ψυχοκοινωνικούς κινδύνους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c>
          <w:tcPr>
            <w:tcW w:w="4876" w:type="dxa"/>
            <w:tcBorders>
              <w:top w:val="nil"/>
              <w:left w:val="nil"/>
              <w:bottom w:val="nil"/>
              <w:right w:val="nil"/>
            </w:tcBorders>
          </w:tcPr>
          <w:p>
            <w:pPr>
              <w:pStyle w:val="Normal6a"/>
            </w:pPr>
            <w:r>
              <w:rPr>
                <w:vertAlign w:val="superscript"/>
              </w:rPr>
              <w:t>2</w:t>
            </w:r>
            <w:r>
              <w:t xml:space="preserve"> </w:t>
            </w:r>
            <w:r>
              <w:t>Ανακοίνωση της Επιτροπής, της 7ης Ιουνίου 2023, σχετικά με μια ολοκληρωμένη προσέγγιση της ψυχικής υγείας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ζητεί το Ευρωπαϊκό Εξάμηνο να αντιμετωπίσει τις κοινωνικοοικονομικές προκλήσεις και ευκαιρίες της δημογραφικής αλλαγής και της γήρανσης σε μοναχικές συνθήκες όσον αφορά την παραγωγικότητα, την ευημερία και την κοινωνική συνοχή, προωθώντας μια ολιστική στρατηγική της ΕΕ για τη γήρανση που να αντιμετωπίζει την ανεπιθύμητη μοναξιά, την ανάγκη για αξιοπρεπή, προσβάσιμη και προσαρμοσμένη στέγαση, την πρόσβαση σε υπηρεσίες επαγγελματικής και χωρίς αποκλεισμούς φροντίδας και μακροχρόνιας φροντίδας και να προωθεί την ενεργό ένταξη και τις ίσες ευκαιρίες για τους ηλικιωμένους εργαζομένους στην αγορά εργασίας, οι οποίες, με τη σειρά τους, μπορούν να προωθήσουν την αλληλεγγύη μεταξύ των γενεών και να ενισχύσουν τα προγράμματα συναισθηματικής στήριξης για τους νέους και τους ηλικιωμένους·</w:t>
            </w:r>
            <w:r>
              <w:t xml:space="preserve"> </w:t>
            </w:r>
            <w:r>
              <w:rPr>
                <w:b/>
                <w:i/>
              </w:rPr>
              <w:t>ζητεί την εφαρμογή της ευρωπαϊκής στρατηγικής για τη φροντίδα, ιδίως όσον αφορά την προσβασιμότητα σε υψηλής ποιότητας και οικονομικά προσιτές υπηρεσίες φροντίδας για την προσχολική και τη μακροχρόνια φροντίδα, και τη διασφάλιση δίκαιων συνθηκών εργασίας και κατάρτισης για το προσωπικό φροντίδας, συμπεριλαμβανομένης της άτυπης φροντίδας·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υπογραμμίζει ότι οι εργοδότες πρέπει να ενισχύουν τους διαγενεακούς δεσμούς εντός της εταιρείας και τη διαγενεακή μάθηση μεταξύ των νέων και των ηλικιωμένων, και αντιστρόφως·</w:t>
            </w:r>
            <w:r>
              <w:t xml:space="preserve"> </w:t>
            </w:r>
            <w:r>
              <w:rPr>
                <w:b/>
                <w:i/>
              </w:rPr>
              <w:t>υπογραμμίζει ότι ένα γηράσκον εργατικό δυναμικό μπορεί να βοηθήσει μια επιχείρηση να αναπτύξει νέα προϊόντα και υπηρεσίες, ώστε αυτή να προσαρμοστεί στις ανάγκες μιας γηράσκουσας κοινωνίας με πιο δημιουργικό και παραγωγικό τρόπο·</w:t>
            </w:r>
            <w:r>
              <w:t xml:space="preserve"> </w:t>
            </w:r>
            <w:r>
              <w:rPr>
                <w:b/>
                <w:i/>
              </w:rPr>
              <w:t>ζητεί επίσης τη δημιουργία κινήτρων για να ενθαρρυνθεί ο εθελοντισμός και η καθοδήγηση, ώστε να προτρέπεται η μεταφορά γνώσεων μεταξύ των γενεών·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ζητεί να αναληφθούν πρωτοβουλίες κατά του αποκλεισμού του εργατικού δυναμικού ως συνέπεια μεγαλύτερων περιόδων αναρρωτικής άδειας λόγω σοβαρής μη μεταδοτικής νόσου, όπως ο καρκίνος, οι καρδιαγγειακές παθήσεις, ο διαβήτης, οι χρόνιες παθήσεις του αναπνευστικού συστήματος, οι ψυχικές και οι νευρολογικές διαταραχές, καθώς και οι ρευματικές και μυοσκελετικές παθήσεις, ιδίως πρωτοβουλίες που επικεντρώνονται στην προσαρμογή του χώρου εργασίας, σε ευέλικτες συνθήκες εργασίας και σε στρατηγικές για τη στήριξη της επιστροφής των εργαζομένων μετά από μεγαλύτερη απουσία·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α.</w:t>
            </w:r>
            <w:r>
              <w:tab/>
            </w:r>
            <w:r>
              <w:rPr>
                <w:b/>
                <w:i/>
              </w:rPr>
              <w:t>καλεί το Ευρωπαϊκό Εξάμηνο να εξετάσει τον κοινωνικοοικονομικό αντίκτυπο που επιφέρουν τα ζητήματα ψυχικής υγείας των παιδιών, των εφήβων και των νέων ενηλίκων στη μακροπρόθεσμη ευημερία και το βιοτικό τους επίπεδο.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β.</w:t>
            </w:r>
            <w:r>
              <w:tab/>
            </w:r>
            <w:r>
              <w:rPr>
                <w:b/>
                <w:i/>
              </w:rPr>
              <w:t>προειδοποιεί ότι, σύμφωνα με εκθέσεις της ΕΚΤ, οι πραγματικοί μισθοί εξακολουθούν να είναι χαμηλότεροι από τα επίπεδα προ της πανδημίας, ενώ η παραγωγικότητα ήταν περίπου η ίδια·</w:t>
            </w:r>
            <w:r>
              <w:t xml:space="preserve"> </w:t>
            </w:r>
            <w:r>
              <w:rPr>
                <w:b/>
                <w:i/>
              </w:rPr>
              <w:t>συμφωνεί ότι η κατάσταση αυτή επιτρέπει ορισμένα περιθώρια για μη πληθωριστική επαναφορά των πραγματικών μισθών και προειδοποιεί ότι, εάν οι πραγματικοί μισθοί δεν επανέλθουν, αυτό θα αύξανε τον κίνδυνο παρατεταμένης οικονομικής αδυναμίας, η οποία θα μπορούσε να προκαλέσει αρνητικές επιπτώσεις και θα ζημίωνε περαιτέρω την παραγωγικότητα στη ζώνη του ευρώ σε σχέση με άλλα μέρη του κόσμου·</w:t>
            </w:r>
            <w:r>
              <w:t xml:space="preserve"> </w:t>
            </w:r>
            <w:r>
              <w:rPr>
                <w:b/>
                <w:i/>
              </w:rPr>
              <w:t>πιστεύει ότι η αύξηση των κατώτατων μισθών και η ενίσχυση της κάλυψης από συλλογικές διαπραγματεύσεις μπορούν να έχουν ευεργετική επίδραση στα επίπεδα μισθολογικής ανισότητας, ιδίως με την παροχή βοήθειας στους πιο ευάλωτους εργαζομένους που βρίσκονται στο χαμηλότερο επίπεδο της μισθολογικής κατανομής και οι οποίοι αποκλείονται όλο και περισσότερο·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β.</w:t>
            </w:r>
            <w:r>
              <w:tab/>
            </w:r>
            <w:r>
              <w:rPr>
                <w:b/>
                <w:i/>
              </w:rPr>
              <w:t>καλεί τα κράτη μέλη και την Επιτροπή να εξετάσουν ένα σχέδιο δράσης για την αντιμετώπιση της αγροτικής απομόνωσης και μοναξιάς·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γ.</w:t>
            </w:r>
            <w:r>
              <w:tab/>
            </w:r>
            <w:r>
              <w:rPr>
                <w:b/>
                <w:i/>
              </w:rPr>
              <w:t>καλεί τα κράτη μέλη να διασφαλίσουν αξιοπρεπείς συνθήκες εργασίας, οι οποίες περιλαμβάνουν, μεταξύ άλλων, αξιοπρεπείς μισθούς, πρόσβαση στην κοινωνική προστασία, ευκαιρίες διά βίου μάθησης, υγεία και ασφάλεια στην εργασία, καλή ισορροπία μεταξύ επαγγελματικής και ιδιωτικής ζωής και το δικαίωμα στην αποσύνδεση, εύλογο χρόνο εργασίας, εκπροσώπηση των εργαζομένων, δημοκρατία στην εργασία και συλλογικές συμβάσεις·</w:t>
            </w:r>
            <w:r>
              <w:t xml:space="preserve"> </w:t>
            </w:r>
            <w:r>
              <w:rPr>
                <w:b/>
                <w:i/>
              </w:rPr>
              <w:t>Τα κράτη μέλη πρέπει να προωθήσουν τη δημοκρατία στην εργασία, τον κοινωνικό διάλογο και τις συλλογικές διαπραγματεύσεις και να προστατεύουν τα δικαιώματα των εργαζομένων, ιδίως στο πλαίσιο της πράσινης και της ψηφιακής μετάβασης.</w:t>
            </w:r>
            <w:r>
              <w:t xml:space="preserve"> </w:t>
            </w:r>
            <w:r>
              <w:rPr>
                <w:b/>
                <w:i/>
              </w:rPr>
              <w:t>Θα πρέπει επίσης να διασφαλίζουν ίση αμοιβή για ίση εργασία μεταξύ ανδρών και γυναικών, να ενισχύουν τη μισθολογική διαφάνεια και να αντιμετωπίζουν τις ανισότητες λόγω φύλου, ώστε να γεφυρωθεί το μισθολογικό χάσμα μεταξύ των φύλων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γ.</w:t>
            </w:r>
            <w:r>
              <w:tab/>
            </w:r>
            <w:r>
              <w:rPr>
                <w:b/>
                <w:i/>
              </w:rPr>
              <w:t>καλεί τα κράτη μέλη και την Επιτροπή να αναγνωρίσουν το άγχος που προκαλείται από την εργασία και τις ασθένειες ψυχικής υγείας·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δ.</w:t>
            </w:r>
            <w:r>
              <w:tab/>
            </w:r>
            <w:r>
              <w:rPr>
                <w:b/>
                <w:i/>
              </w:rPr>
              <w:t>τονίζει ότι ο ρόλος του κοινωνικού διαλόγου και των κοινωνικών εταίρων θα πρέπει να ενσωματώνεται συστηματικά στον σχεδιασμό και την εφαρμογή των πολιτικών απασχόλησης και των κοινωνικών πολιτικών, διασφαλίζοντας τη συμμετοχή των κοινωνικών εταίρων σε όλα τα επίπεδα·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ε.</w:t>
            </w:r>
            <w:r>
              <w:tab/>
            </w:r>
            <w:r>
              <w:rPr>
                <w:b/>
                <w:i/>
              </w:rPr>
              <w:t>τονίζει ότι είναι σημαντικό να θεσπιστούν ειδικά μέτρα για να αντιμετωπιστούν οι περιφερειακές ανισότητες στην εκπαίδευση και την κατάρτιση, διασφαλίζοντας ισότιμη πρόσβαση σε υψηλής ποιότητας και οικονομικά προσιτή εκπαίδευση για όλους·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4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στ.</w:t>
            </w:r>
            <w:r>
              <w:tab/>
            </w:r>
            <w:r>
              <w:rPr>
                <w:b/>
                <w:i/>
              </w:rPr>
              <w:t>τα συστήματα κοινωνικής προστασίας των κρατών μελών θα πρέπει να διασφαλίζουν επαρκείς παροχές ελάχιστου εισοδήματος για όλα τα άτομα που δεν διαθέτουν επαρκείς πόρους και να προωθούν την κοινωνική ένταξη, στηρίζοντας και ενθαρρύνοντας τα άτομα σε ηλικία εργασίας να συμμετέχουν ενεργά στην αγορά εργασίας και την κοινωνία, μεταξύ άλλων μέσω στοχευμένης παροχής κοινωνικών υπηρεσιών·</w:t>
            </w:r>
            <w:r>
              <w:t xml:space="preserve"> </w:t>
            </w:r>
            <w:r>
              <w:rPr>
                <w:b/>
                <w:i/>
              </w:rPr>
              <w:t>τονίζει, εν προκειμένω, την ανάγκη τα κράτη μέλη να εφαρμόσουν γρήγορα και αποτελεσματικά την οδηγία της ΕΕ για επαρκείς κατώτατους μισθούς, προκειμένου να επιτευχθεί αξιοπρεπές βιοτικό επίπεδο, να μειωθεί η εργασιακή φτώχεια και να προωθηθεί η κοινωνική συνοχή·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όλες τις </w:t>
            </w:r>
            <w:r>
              <w:rPr>
                <w:b/>
                <w:i/>
              </w:rPr>
              <w:t>οικογένειες</w:t>
            </w:r>
            <w:r>
              <w:t xml:space="preserve">· καλεί την Επιτροπή να υποβάλει νομοθετική πρόταση για τη δημιουργία μιας ευρωπαϊκής κάρτας για </w:t>
            </w:r>
            <w:r>
              <w:rPr>
                <w:b/>
                <w:i/>
              </w:rPr>
              <w:t>τις πολυμελείς</w:t>
            </w:r>
            <w:r>
              <w:t xml:space="preserve">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p>
        </w:tc>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w:t>
            </w:r>
            <w:r>
              <w:rPr>
                <w:b/>
                <w:i/>
              </w:rPr>
              <w:t>και το δικαίωμα στην αποσύνδεση, με ιδιαίτερη έμφαση στις πολιτικές που αφορούν τον χρόνο εργασίας, τη μείωση και την αυξημένη ευελιξία του χρόνου εργασίας, καθώς και μέτρα που ενθαρρύνουν την πιο ισότιμη κατανομή του αμειβόμενου και του μη αμειβόμενου χρόνου εργασίας μεταξύ ανδρών και γυναικών</w:t>
            </w:r>
            <w:r>
              <w:t xml:space="preserve">, με στόχο τη βελτίωση της ποιότητας ζωής για όλες τις </w:t>
            </w:r>
            <w:r>
              <w:rPr>
                <w:b/>
                <w:i/>
              </w:rPr>
              <w:t>μορφές οικογένειας και όλα τα άτομα</w:t>
            </w:r>
            <w:r>
              <w:t xml:space="preserve">· καλεί την Επιτροπή να υποβάλει νομοθετική πρόταση για τη δημιουργία μιας ευρωπαϊκής κάρτας για </w:t>
            </w:r>
            <w:r>
              <w:rPr>
                <w:b/>
                <w:i/>
              </w:rPr>
              <w:t>όλες τις μορφές οικογένειας ή για πολύτεκνες</w:t>
            </w:r>
            <w:r>
              <w:t xml:space="preserve">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r>
              <w:rPr>
                <w:b/>
                <w:i/>
              </w:rPr>
              <w:t>, καθώς και πλεονεκτήματα σχετικά με την παιδική φροντίδα·</w:t>
            </w:r>
            <w:r>
              <w:t xml:space="preserve"> </w:t>
            </w:r>
            <w:r>
              <w:rPr>
                <w:b/>
                <w:i/>
              </w:rPr>
              <w:t>επισημαίνει ότι το 2023 το 24,8 % των παιδιών ηλικίας κάτω των 18 ετών στην ΕΕ διέτρεχε κίνδυνο φτώχειας ή κοινωνικού αποκλεισμού, ποσοστό που αντιστοιχεί σε αύξηση σύμφωνα με την ΚΕΑ·</w:t>
            </w:r>
            <w:r>
              <w:t xml:space="preserve"> </w:t>
            </w:r>
            <w:r>
              <w:rPr>
                <w:b/>
                <w:i/>
              </w:rPr>
              <w:t>τονίζει ότι είναι σημαντικό να εφαρμοστεί η ευρωπαϊκή εγγύηση για τα παιδιά ως ακρογωνιαίος λίθος για να καταπολεμηθούν τα υψηλά επίπεδα παιδικής φτώχειας σε όλα τα κράτη μέλη, συμπεριλαμβανομένων μέτρων για την ενίσχυση της εγγύησης για τα παιδιά μέσω της αύξησης του ειδικού προϋπολογισμού της σε τουλάχιστον 20 δισεκατομμύρια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w:t>
            </w:r>
            <w:r>
              <w:rPr>
                <w:b/>
                <w:i/>
              </w:rPr>
              <w:t>όλες τις οικογένειες</w:t>
            </w:r>
            <w:r>
              <w:t xml:space="preserve">· καλεί την Επιτροπή να </w:t>
            </w:r>
            <w:r>
              <w:rPr>
                <w:b/>
                <w:i/>
              </w:rPr>
              <w:t>υποβάλει νομοθετική πρόταση για τη δημιουργία μιας</w:t>
            </w:r>
            <w:r>
              <w:t xml:space="preserve"> ευρωπαϊκής </w:t>
            </w:r>
            <w:r>
              <w:rPr>
                <w:b/>
                <w:i/>
              </w:rPr>
              <w:t>κάρτας για τις πολυμελείς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r>
              <w:t>·</w:t>
            </w:r>
          </w:p>
        </w:tc>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w:t>
            </w:r>
            <w:r>
              <w:rPr>
                <w:b/>
                <w:i/>
              </w:rPr>
              <w:t>όλους τους εργαζομένους</w:t>
            </w:r>
            <w:r>
              <w:t xml:space="preserve">· καλεί την Επιτροπή να </w:t>
            </w:r>
            <w:r>
              <w:rPr>
                <w:b/>
                <w:i/>
              </w:rPr>
              <w:t>διασφαλίσει την εφαρμογή της οδηγίας για την ισορροπία μεταξύ επαγγελματικής και ιδιωτικής ζωής και της</w:t>
            </w:r>
            <w:r>
              <w:t xml:space="preserve"> ευρωπαϊκής </w:t>
            </w:r>
            <w:r>
              <w:rPr>
                <w:b/>
                <w:i/>
              </w:rPr>
              <w:t>στρατηγικής για τη φροντίδα, καθώς και να προτείνει πλαίσιο για να αντιμετωπιστούν οι προκλήσεις του εργατικού δυναμικού στον τομέα της μακροχρόνιας φροντίδας, το οποίο θα συμπεριλαμβάνει τη διευκόλυνση της αναγνώρισης των δεξιοτήτων και των προσόντων, τη στήριξη των δεξιοτήτων και της επαγγελματικής εξέλιξης και τη βελτίωση των συνθηκών εργασίας·</w:t>
            </w:r>
            <w:r>
              <w:t xml:space="preserve"> </w:t>
            </w:r>
            <w:r>
              <w:rPr>
                <w:b/>
                <w:i/>
              </w:rPr>
              <w:t>καλεί την Επιτροπή να προτείνει οδηγία για τη ρύθμιση των συνθηκών τηλεργασίας και του δικαιώματος στην αποσύνδεση σε ολόκληρη την ΕΕ ως βασικό μέτρο για τη διασφάλιση της ψυχικής ευεξίας των εργαζομένων της ΕΕ και τη συμπλήρωση της οδηγίας για την ισορροπία μεταξύ επαγγελματικής και ιδιωτικής ζωής·</w:t>
            </w:r>
            <w:r>
              <w:t xml:space="preserve"> </w:t>
            </w:r>
            <w:r>
              <w:rPr>
                <w:b/>
                <w:i/>
              </w:rPr>
              <w:t>ζητεί επίσης την έκδοση οδηγίας σχετικά με τους ψυχοκοινωνικούς κινδύνους και την ευεξία στην εργασία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ζητεί την εφαρμογή πολιτικών που προωθούν την ισορροπία μεταξύ επαγγελματικής και ιδιωτικής ζωής, με στόχο τη βελτίωση της ποιότητας ζωής για όλες τις οικογένειες· καλεί την Επιτροπή να υποβάλει νομοθετική πρόταση για τη δημιουργία μιας ευρωπαϊκής κάρτας για τις πολυμελείς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p>
        </w:tc>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όλες τις οικογένειες· </w:t>
            </w:r>
            <w:r>
              <w:rPr>
                <w:b/>
                <w:i/>
              </w:rPr>
              <w:t>ζητεί να αναληφθούν περαιτέρω πρωτοβουλίες, προκειμένου να στηριχθούν οι επίσημοι και άτυποι φροντιστές, οι συνθήκες εργασίας τους και η ισορροπία μεταξύ επαγγελματικής και ιδιωτικής ζωής, η επαρκής αμοιβή, καθώς και η αξιοπρέπεια των ατόμων που εξαρτώνται από τη φροντίδα τους·</w:t>
            </w:r>
            <w:r>
              <w:t xml:space="preserve"> καλεί την Επιτροπή να υποβάλει νομοθετική πρόταση για τη δημιουργία μιας ευρωπαϊκής κάρτας για τις πολυμελείς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w:t>
            </w:r>
            <w:r>
              <w:rPr>
                <w:b/>
                <w:i/>
              </w:rPr>
              <w:t>για όλες τις οικογένειες·</w:t>
            </w:r>
            <w:r>
              <w:t xml:space="preserve"> </w:t>
            </w:r>
            <w:r>
              <w:rPr>
                <w:b/>
                <w:i/>
              </w:rPr>
              <w:t>καλεί την Επιτροπή να υποβάλει νομοθετική πρόταση για τη δημιουργία μιας ευρωπαϊκής κάρτας για τις πολυμελείς οικογένειες και ενός ευρωπαϊκού σχεδίου δράσης για τις μονογονεϊκές οικογένειες</w:t>
            </w:r>
            <w:r>
              <w:t>, προσφέροντας φορολογικά, εκπαιδευτικά και κοινωνικά πλεονεκτήματα·</w:t>
            </w:r>
          </w:p>
        </w:tc>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w:t>
            </w:r>
            <w:r>
              <w:rPr>
                <w:b/>
                <w:i/>
              </w:rPr>
              <w:t>των εργαζομένων, συμπεριλαμβανομένων όλων των οικογενειών και των μονογονεϊκών οικογενειών</w:t>
            </w:r>
            <w:r>
              <w:t xml:space="preserve">, προσφέροντας φορολογικά, εκπαιδευτικά και κοινωνικά πλεονεκτήματα </w:t>
            </w:r>
            <w:r>
              <w:rPr>
                <w:b/>
                <w:i/>
              </w:rPr>
              <w:t>σε οικογένειες που βρίσκονται σε ευάλωτη κατάσταση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όλες τις οικογένειες· </w:t>
            </w:r>
            <w:r>
              <w:rPr>
                <w:b/>
                <w:i/>
              </w:rPr>
              <w:t>καλεί την Επιτροπή να υποβάλει νομοθετική πρόταση για τη δημιουργία μιας ευρωπαϊκής κάρτας για τις πολυμελείς οικογένειες και ενός ευρωπαϊκού σχεδίου δράσης για τις μονογονεϊκές οικογένειες, προσφέροντας</w:t>
            </w:r>
            <w:r>
              <w:t xml:space="preserve"> φορολογικά, εκπαιδευτικά και κοινωνικά πλεονεκτήματα·</w:t>
            </w:r>
          </w:p>
        </w:tc>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όλες τις οικογένειες· </w:t>
            </w:r>
            <w:r>
              <w:rPr>
                <w:b/>
                <w:i/>
              </w:rPr>
              <w:t>τονίζει ότι η οικογενειακή πολιτική αποτελεί αρμοδιότητα των κρατών μελών·</w:t>
            </w:r>
            <w:r>
              <w:t xml:space="preserve"> </w:t>
            </w:r>
            <w:r>
              <w:rPr>
                <w:b/>
                <w:i/>
              </w:rPr>
              <w:t>τονίζει τη σημασία της ανταλλαγής ορθών πρακτικών μεταξύ των κρατών μελών σχετικά με τα υφιστάμενα μέτρα στήριξης που προσφέρουν</w:t>
            </w:r>
            <w:r>
              <w:t xml:space="preserve"> φορολογικά, εκπαιδευτικά και κοινωνικά πλεονεκτήματα </w:t>
            </w:r>
            <w:r>
              <w:rPr>
                <w:b/>
                <w:i/>
              </w:rPr>
              <w:t>για τις πολυμελείς οικογένειες και τις μονογονεϊκές οικογένειες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ζητεί την εφαρμογή πολιτικών που προωθούν την ισορροπία μεταξύ επαγγελματικής και ιδιωτικής ζωής, με στόχο τη βελτίωση της ποιότητας ζωής για όλες τις οικογένειες· καλεί την Επιτροπή να υποβάλει νομοθετική πρόταση για τη δημιουργία μιας ευρωπαϊκής κάρτας για τις πολυμελείς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p>
        </w:tc>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όλες τις </w:t>
            </w:r>
            <w:r>
              <w:rPr>
                <w:b/>
                <w:i/>
              </w:rPr>
              <w:t>ευρωπαϊκές</w:t>
            </w:r>
            <w:r>
              <w:t xml:space="preserve"> οικογένειες· καλεί την Επιτροπή να υποβάλει νομοθετική πρόταση για τη δημιουργία μιας ευρωπαϊκής κάρτας για τις πολυμελείς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όλες τις οικογένειες· καλεί την Επιτροπή να </w:t>
            </w:r>
            <w:r>
              <w:rPr>
                <w:b/>
                <w:i/>
              </w:rPr>
              <w:t>υποβάλει νομοθετική πρόταση για τη δημιουργία</w:t>
            </w:r>
            <w:r>
              <w:t xml:space="preserve"> μιας ευρωπαϊκής κάρτας για τις πολυμελείς οικογένειες και ενός ευρωπαϊκού σχεδίου δράσης για τις μονογονεϊκές οικογένειες, προσφέροντας </w:t>
            </w:r>
            <w:r>
              <w:rPr>
                <w:b/>
                <w:i/>
              </w:rPr>
              <w:t>φορολογικά</w:t>
            </w:r>
            <w:r>
              <w:t>, εκπαιδευτικά και κοινωνικά πλεονεκτήματα·</w:t>
            </w:r>
          </w:p>
        </w:tc>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όλες τις οικογένειες· καλεί την Επιτροπή να </w:t>
            </w:r>
            <w:r>
              <w:rPr>
                <w:b/>
                <w:i/>
              </w:rPr>
              <w:t>εξετάσει το ενδεχόμενο</w:t>
            </w:r>
            <w:r>
              <w:t xml:space="preserve"> μιας ευρωπαϊκής κάρτας για τις πολυμελείς οικογένειες και ενός ευρωπαϊκού σχεδίου δράσης για τις μονογονεϊκές οικογένειες, προσφέροντας </w:t>
            </w:r>
            <w:r>
              <w:rPr>
                <w:b/>
                <w:i/>
              </w:rPr>
              <w:t>οικονομικά</w:t>
            </w:r>
            <w:r>
              <w:t>, εκπαιδευτικά και κοινωνικά πλεονεκτήματα·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w:t>
            </w:r>
            <w:r>
              <w:rPr>
                <w:b/>
                <w:i/>
              </w:rPr>
              <w:t>όλες τις οικογένειες</w:t>
            </w:r>
            <w:r>
              <w:t>· καλεί την Επιτροπή να υποβάλει νομοθετική πρόταση για τη δημιουργία μιας ευρωπαϊκής κάρτας για τις πολυμελείς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p>
        </w:tc>
        <w:tc>
          <w:tcPr>
            <w:tcW w:w="4876" w:type="dxa"/>
            <w:tcBorders>
              <w:top w:val="nil"/>
              <w:left w:val="nil"/>
              <w:bottom w:val="nil"/>
              <w:right w:val="nil"/>
            </w:tcBorders>
          </w:tcPr>
          <w:p>
            <w:pPr>
              <w:pStyle w:val="Normal6a"/>
            </w:pPr>
            <w:r>
              <w:t>5.</w:t>
            </w:r>
            <w:r>
              <w:tab/>
            </w:r>
            <w:r>
              <w:t xml:space="preserve">ζητεί την εφαρμογή πολιτικών που προωθούν την ισορροπία μεταξύ επαγγελματικής και ιδιωτικής ζωής, με στόχο τη βελτίωση της ποιότητας ζωής για </w:t>
            </w:r>
            <w:r>
              <w:rPr>
                <w:b/>
                <w:i/>
              </w:rPr>
              <w:t>όλους</w:t>
            </w:r>
            <w:r>
              <w:t>· καλεί την Επιτροπή να υποβάλει νομοθετική πρόταση για τη δημιουργία μιας ευρωπαϊκής κάρτας για τις πολυμελείς οικογένειες και ενός ευρωπαϊκού σχεδίου δράσης για τις μονογονεϊκές οικογένειες, προσφέροντας φορολογικά, εκπαιδευτικά και κοινωνικά πλεονεκτήματα·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 στοιχείο α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w:t>
            </w:r>
            <w:r>
              <w:tab/>
            </w:r>
            <w:r>
              <w:rPr>
                <w:b/>
                <w:i/>
              </w:rPr>
              <w:t>αναγνωρίζει ότι 44 εκατομμύρια Ευρωπαίοι είναι συχνά άτυποι φροντιστές που παρέχουν μακροχρόνια φροντίδα, η πλειονότητα των οποίων είναι γυναίκες</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Η μακροχρόνια φροντίδα στην ΕΕ το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ζητεί να υιοθετηθεί μια προσέγγιση βιώσιμης ανάπτυξης, προκειμένου να αντιμετωπιστούν ειδικά οι συνέπειες των διαρθρωτικών και δημογραφικών αλλαγών στις διάφορες ευρωπαϊκές χώρες (συμπεριλαμβανομένων προτάσεων για την προώθηση ενός φιλικού προς την οικογένεια εργασιακού περιβάλλοντος, ώστε μειωθούν τα ποσοστά επαγγελματικής εξουθένωσης και οι επιβαρύνσεις για την κοινωνική ασφάλιση και την οικογενειακή ζωή)·</w:t>
            </w:r>
            <w:r>
              <w:t xml:space="preserve"> </w:t>
            </w:r>
            <w:r>
              <w:rPr>
                <w:b/>
                <w:i/>
              </w:rPr>
              <w:t>καλεί ειδικότερα την Επιτροπή να υποβάλει νομοθετική πρόταση με μέτρα για τη θέσπιση κατάλληλων ελάχιστων προτύπων για τις οικογενειακές παροχές που ισχύουν ήδη στα κράτη μέλη της ΕΕ, τα οποία θα μειώσουν την παιδική φτώχεια και την κοινωνική ανισότητα και θα ενισχύσουν τις ευρωπαϊκές οικογένειες με βιώσιμο τρόπο·</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α.</w:t>
            </w:r>
            <w:r>
              <w:tab/>
            </w:r>
            <w:r>
              <w:rPr>
                <w:b/>
                <w:i/>
              </w:rPr>
              <w:t>αναγνωρίζει τον μοναδικό ρόλο που διαδραματίζουν οι φροντιστές στην κοινωνία· παρόλο που ο ορισμός των φροντιστών δεν είναι εναρμονισμένος σε ολόκληρη την ΕΕ, ο τομέας της μακροχρόνιας φροντίδας απασχολεί 6,4 εκατομμύρια άτομα σε ολόκληρη την ΕΕ</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Η μακροχρόνια φροντίδα στην ΕΕ το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ζητεί </w:t>
            </w:r>
            <w:r>
              <w:rPr>
                <w:b/>
                <w:i/>
              </w:rPr>
              <w:t>να δοθεί προτεραιότητα στις δημογραφικές προκλήσεις στην πολιτική συνοχής της ΕΕ και να εξομοιωθεί η σημασία τους με την Πράσινη Συμφωνία και την ψηφιακή στρατηγική</w:t>
            </w:r>
            <w:r>
              <w:t xml:space="preserve">· καλεί την Επιτροπή να </w:t>
            </w:r>
            <w:r>
              <w:rPr>
                <w:b/>
                <w:i/>
              </w:rPr>
              <w:t>ανακηρύξει «Ευρωπαϊκό Έτος Δημογραφίας</w:t>
            </w:r>
            <w:r>
              <w:t>» και να αυξήσει τη χρηματοδότηση για τις περιφέρειες με υψηλό ποσοστό πληθυσμιακής συρρίκνωσης, στηρίζοντας τοπικά αναπτυξιακά έργα και βασικές υποδομές που ευνοούν το «δικαίωμα παραμονής» του πληθυσμού·</w:t>
            </w:r>
          </w:p>
        </w:tc>
        <w:tc>
          <w:tcPr>
            <w:tcW w:w="4876" w:type="dxa"/>
            <w:tcBorders>
              <w:top w:val="nil"/>
              <w:left w:val="nil"/>
              <w:bottom w:val="nil"/>
              <w:right w:val="nil"/>
            </w:tcBorders>
          </w:tcPr>
          <w:p>
            <w:pPr>
              <w:pStyle w:val="Normal6a"/>
            </w:pPr>
            <w:r>
              <w:t>6.</w:t>
            </w:r>
            <w:r>
              <w:tab/>
            </w:r>
            <w:r>
              <w:t xml:space="preserve">ζητεί </w:t>
            </w:r>
            <w:r>
              <w:rPr>
                <w:b/>
                <w:i/>
              </w:rPr>
              <w:t>το Ευρωπαϊκό Εξάμηνο να ενσωματώσει τους κοινωνικούς στόχους σε ισότιμη βάση με τους οικονομικούς·</w:t>
            </w:r>
            <w:r>
              <w:t xml:space="preserve"> </w:t>
            </w:r>
            <w:r>
              <w:rPr>
                <w:b/>
                <w:i/>
              </w:rPr>
              <w:t>εκφράζει την ανησυχία του για τις αυξανόμενες ανισότητες μεταξύ αστικών και αγροτικών περιοχών λόγω της έλλειψης ευκαιριών κατάρτισης και της αδυναμίας προσέλκυσης και διατήρησης εργαζομένων υψηλής ειδίκευσης στις λιγότερο αστικοποιημένες περιφέρειες</w:t>
            </w:r>
            <w:r>
              <w:t xml:space="preserve">· καλεί την Επιτροπή να </w:t>
            </w:r>
            <w:r>
              <w:rPr>
                <w:b/>
                <w:i/>
              </w:rPr>
              <w:t>αξιοποιήσει την ανακοίνωση σχετικά με την αξιοποίηση ταλέντων στις περιφέρειες της Ευρώπης και τον «μηχανισμό ενίσχυσης ταλέντων</w:t>
            </w:r>
            <w:r>
              <w:t>»</w:t>
            </w:r>
            <w:r>
              <w:rPr>
                <w:b/>
                <w:i/>
              </w:rPr>
              <w:t>, προκειμένου να προωθήσει την κοινωνική συνοχή</w:t>
            </w:r>
            <w:r>
              <w:t xml:space="preserve"> και να αυξήσει τη χρηματοδότηση για τις περιφέρειες με υψηλό ποσοστό πληθυσμιακής συρρίκνωσης, στηρίζοντας </w:t>
            </w:r>
            <w:r>
              <w:rPr>
                <w:b/>
                <w:i/>
              </w:rPr>
              <w:t>τη δημιουργία ποιοτικών θέσεων εργασίας, τις δημόσιες υπηρεσίες, τις ευκαιρίες εκπαίδευσης και κατάρτισης, τα</w:t>
            </w:r>
            <w:r>
              <w:t> τοπικά αναπτυξιακά έργα και βασικές υποδομές που ευνοούν το «δικαίωμα παραμονής» του πληθυσμού·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ζητεί </w:t>
            </w:r>
            <w:r>
              <w:rPr>
                <w:b/>
                <w:i/>
              </w:rPr>
              <w:t>να δοθεί προτεραιότητα στις δημογραφικές προκλήσεις</w:t>
            </w:r>
            <w:r>
              <w:t xml:space="preserve"> στην πολιτική συνοχής της ΕΕ και </w:t>
            </w:r>
            <w:r>
              <w:rPr>
                <w:b/>
                <w:i/>
              </w:rPr>
              <w:t>να εξομοιωθεί η σημασία τους με την Πράσινη Συμφωνία</w:t>
            </w:r>
            <w:r>
              <w:t xml:space="preserve"> και την </w:t>
            </w:r>
            <w:r>
              <w:rPr>
                <w:b/>
                <w:i/>
              </w:rPr>
              <w:t>ψηφιακή στρατηγική·</w:t>
            </w:r>
            <w:r>
              <w:t xml:space="preserve"> </w:t>
            </w:r>
            <w:r>
              <w:rPr>
                <w:b/>
                <w:i/>
              </w:rPr>
              <w:t>καλεί την Επιτροπή να ανακηρύξει «Ευρωπαϊκό Έτος Δημογραφίας» και να αυξήσει τη χρηματοδότηση για τις περιφέρειες με υψηλό ποσοστό πληθυσμιακής συρρίκνωσης, στηρίζοντας τοπικά αναπτυξιακά έργα και βασικές υποδομές που ευνοούν το «δικαίωμα παραμονής» του πληθυσμού</w:t>
            </w:r>
            <w:r>
              <w:t>·</w:t>
            </w:r>
          </w:p>
        </w:tc>
        <w:tc>
          <w:tcPr>
            <w:tcW w:w="4876" w:type="dxa"/>
            <w:tcBorders>
              <w:top w:val="nil"/>
              <w:left w:val="nil"/>
              <w:bottom w:val="nil"/>
              <w:right w:val="nil"/>
            </w:tcBorders>
          </w:tcPr>
          <w:p>
            <w:pPr>
              <w:pStyle w:val="Normal6a"/>
            </w:pPr>
            <w:r>
              <w:t>6.</w:t>
            </w:r>
            <w:r>
              <w:tab/>
            </w:r>
            <w:r>
              <w:t xml:space="preserve">ζητεί </w:t>
            </w:r>
            <w:r>
              <w:rPr>
                <w:b/>
                <w:i/>
              </w:rPr>
              <w:t>οι δημογραφικές προκλήσεις να αποτελέσουν κορυφαία προτεραιότητα</w:t>
            </w:r>
            <w:r>
              <w:t xml:space="preserve"> στην πολιτική συνοχής της ΕΕ και </w:t>
            </w:r>
            <w:r>
              <w:rPr>
                <w:b/>
                <w:i/>
              </w:rPr>
              <w:t>αυτό να συνδυαστεί με τη βελτίωση</w:t>
            </w:r>
            <w:r>
              <w:t xml:space="preserve"> και την </w:t>
            </w:r>
            <w:r>
              <w:rPr>
                <w:b/>
                <w:i/>
              </w:rPr>
              <w:t>ενίσχυση των πολιτικών που αποσκοπούν στην επιτυχή ένταξη των μεταναστών στην αγορά εργασίας και την κοινωνία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ζητεί να δοθεί προτεραιότητα στις δημογραφικές προκλήσεις στην πολιτική συνοχής της ΕΕ και να </w:t>
            </w:r>
            <w:r>
              <w:rPr>
                <w:b/>
                <w:i/>
              </w:rPr>
              <w:t>εξομοιωθεί η σημασία τους</w:t>
            </w:r>
            <w:r>
              <w:t xml:space="preserve"> με την Πράσινη Συμφωνία και την ψηφιακή στρατηγική· καλεί την Επιτροπή να ανακηρύξει «Ευρωπαϊκό Έτος Δημογραφίας» και να αυξήσει τη χρηματοδότηση για τις περιφέρειες με υψηλό ποσοστό πληθυσμιακής συρρίκνωσης, στηρίζοντας τοπικά αναπτυξιακά έργα και βασικές υποδομές που ευνοούν το «δικαίωμα παραμονής» του πληθυσμού·</w:t>
            </w:r>
          </w:p>
        </w:tc>
        <w:tc>
          <w:tcPr>
            <w:tcW w:w="4876" w:type="dxa"/>
            <w:tcBorders>
              <w:top w:val="nil"/>
              <w:left w:val="nil"/>
              <w:bottom w:val="nil"/>
              <w:right w:val="nil"/>
            </w:tcBorders>
          </w:tcPr>
          <w:p>
            <w:pPr>
              <w:pStyle w:val="Normal6a"/>
            </w:pPr>
            <w:r>
              <w:t>6.</w:t>
            </w:r>
            <w:r>
              <w:tab/>
            </w:r>
            <w:r>
              <w:t xml:space="preserve">ζητεί να δοθεί προτεραιότητα στις δημογραφικές προκλήσεις στην πολιτική συνοχής της ΕΕ και να </w:t>
            </w:r>
            <w:r>
              <w:rPr>
                <w:b/>
                <w:i/>
              </w:rPr>
              <w:t>ευθυγραμμιστούν οι συγκεκριμένες δράσεις σε ενωσιακό και εθνικό επίπεδο</w:t>
            </w:r>
            <w:r>
              <w:t xml:space="preserve"> με την Πράσινη Συμφωνία και την ψηφιακή στρατηγική· καλεί την Επιτροπή να ανακηρύξει «Ευρωπαϊκό Έτος Δημογραφίας» και να αυξήσει τη χρηματοδότηση για τις περιφέρειες με υψηλό ποσοστό πληθυσμιακής συρρίκνωσης, στηρίζοντας τοπικά αναπτυξιακά έργα</w:t>
            </w:r>
            <w:r>
              <w:rPr>
                <w:b/>
                <w:i/>
              </w:rPr>
              <w:t>, οικονομικά προσιτές και προσβάσιμες δημόσιες υπηρεσίες</w:t>
            </w:r>
            <w:r>
              <w:t xml:space="preserve"> και βασικές υποδομές που ευνοούν το «δικαίωμα παραμονής» του πληθυσμού</w:t>
            </w:r>
            <w:r>
              <w:rPr>
                <w:b/>
                <w:i/>
              </w:rPr>
              <w:t>, ιδίως των νέων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ζητεί να δοθεί προτεραιότητα </w:t>
            </w:r>
            <w:r>
              <w:rPr>
                <w:b/>
                <w:i/>
              </w:rPr>
              <w:t>στις δημογραφικές προκλήσεις</w:t>
            </w:r>
            <w:r>
              <w:t xml:space="preserve"> στην πολιτική συνοχής της ΕΕ και να εξομοιωθεί η σημασία </w:t>
            </w:r>
            <w:r>
              <w:rPr>
                <w:b/>
                <w:i/>
              </w:rPr>
              <w:t>τους</w:t>
            </w:r>
            <w:r>
              <w:t xml:space="preserve"> με την Πράσινη Συμφωνία και την ψηφιακή στρατηγική· καλεί την Επιτροπή να ανακηρύξει «Ευρωπαϊκό Έτος </w:t>
            </w:r>
            <w:r>
              <w:rPr>
                <w:b/>
                <w:i/>
              </w:rPr>
              <w:t>Δημογραφίας</w:t>
            </w:r>
            <w:r>
              <w:t>» και να αυξήσει τη χρηματοδότηση για τις περιφέρειες με υψηλό ποσοστό πληθυσμιακής συρρίκνωσης, στηρίζοντας τοπικά αναπτυξιακά έργα και βασικές υποδομές που ευνοούν το «δικαίωμα παραμονής» του πληθυσμού·</w:t>
            </w:r>
          </w:p>
        </w:tc>
        <w:tc>
          <w:tcPr>
            <w:tcW w:w="4876" w:type="dxa"/>
            <w:tcBorders>
              <w:top w:val="nil"/>
              <w:left w:val="nil"/>
              <w:bottom w:val="nil"/>
              <w:right w:val="nil"/>
            </w:tcBorders>
          </w:tcPr>
          <w:p>
            <w:pPr>
              <w:pStyle w:val="Normal6a"/>
            </w:pPr>
            <w:r>
              <w:t>6.</w:t>
            </w:r>
            <w:r>
              <w:tab/>
            </w:r>
            <w:r>
              <w:t xml:space="preserve">ζητεί να </w:t>
            </w:r>
            <w:r>
              <w:rPr>
                <w:b/>
                <w:i/>
              </w:rPr>
              <w:t>αντιμετωπιστεί και να</w:t>
            </w:r>
            <w:r>
              <w:t xml:space="preserve"> δοθεί προτεραιότητα </w:t>
            </w:r>
            <w:r>
              <w:rPr>
                <w:b/>
                <w:i/>
              </w:rPr>
              <w:t>στην περιφερειακή ανισορροπία</w:t>
            </w:r>
            <w:r>
              <w:t xml:space="preserve"> στην πολιτική συνοχής της ΕΕ και να εξομοιωθεί η σημασία </w:t>
            </w:r>
            <w:r>
              <w:rPr>
                <w:b/>
                <w:i/>
              </w:rPr>
              <w:t>της</w:t>
            </w:r>
            <w:r>
              <w:t xml:space="preserve"> με την Πράσινη Συμφωνία και την ψηφιακή στρατηγική· καλεί την Επιτροπή να ανακηρύξει «Ευρωπαϊκό Έτος </w:t>
            </w:r>
            <w:r>
              <w:rPr>
                <w:b/>
                <w:i/>
              </w:rPr>
              <w:t>Περιφερειών και Νήσων</w:t>
            </w:r>
            <w:r>
              <w:t xml:space="preserve">» και να αυξήσει τη χρηματοδότηση για τις περιφέρειες με υψηλό ποσοστό πληθυσμιακής συρρίκνωσης </w:t>
            </w:r>
            <w:r>
              <w:rPr>
                <w:b/>
                <w:i/>
              </w:rPr>
              <w:t>και οικονομικής στασιμότητας</w:t>
            </w:r>
            <w:r>
              <w:t>, στηρίζοντας τοπικά αναπτυξιακά έργα και βασικές υποδομές που ευνοούν το «δικαίωμα παραμονής» του πληθυσμού·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ζητεί να δοθεί προτεραιότητα στις δημογραφικές προκλήσεις στην πολιτική συνοχής της ΕΕ και να </w:t>
            </w:r>
            <w:r>
              <w:rPr>
                <w:b/>
                <w:i/>
              </w:rPr>
              <w:t>εξομοιωθεί</w:t>
            </w:r>
            <w:r>
              <w:t xml:space="preserve"> η σημασία τους </w:t>
            </w:r>
            <w:r>
              <w:rPr>
                <w:b/>
                <w:i/>
              </w:rPr>
              <w:t>με</w:t>
            </w:r>
            <w:r>
              <w:t xml:space="preserve"> την Πράσινη Συμφωνία και την ψηφιακή στρατηγική· καλεί την Επιτροπή να ανακηρύξει «Ευρωπαϊκό Έτος Δημογραφίας» και να αυξήσει τη χρηματοδότηση για τις περιφέρειες με υψηλό ποσοστό πληθυσμιακής συρρίκνωσης, στηρίζοντας τοπικά αναπτυξιακά έργα και βασικές υποδομές που ευνοούν το «δικαίωμα παραμονής» του πληθυσμού·</w:t>
            </w:r>
          </w:p>
        </w:tc>
        <w:tc>
          <w:tcPr>
            <w:tcW w:w="4876" w:type="dxa"/>
            <w:tcBorders>
              <w:top w:val="nil"/>
              <w:left w:val="nil"/>
              <w:bottom w:val="nil"/>
              <w:right w:val="nil"/>
            </w:tcBorders>
          </w:tcPr>
          <w:p>
            <w:pPr>
              <w:pStyle w:val="Normal6a"/>
            </w:pPr>
            <w:r>
              <w:t>6.</w:t>
            </w:r>
            <w:r>
              <w:tab/>
            </w:r>
            <w:r>
              <w:t xml:space="preserve">ζητεί να δοθεί προτεραιότητα στις δημογραφικές προκλήσεις στην πολιτική συνοχής της ΕΕ και να </w:t>
            </w:r>
            <w:r>
              <w:rPr>
                <w:b/>
                <w:i/>
              </w:rPr>
              <w:t>αναδειχθεί</w:t>
            </w:r>
            <w:r>
              <w:t xml:space="preserve"> η σημασία τους </w:t>
            </w:r>
            <w:r>
              <w:rPr>
                <w:b/>
                <w:i/>
              </w:rPr>
              <w:t>περισσότερο από</w:t>
            </w:r>
            <w:r>
              <w:t xml:space="preserve"> την Πράσινη Συμφωνία και την ψηφιακή στρατηγική· καλεί την Επιτροπή να ανακηρύξει «Ευρωπαϊκό Έτος Δημογραφίας» και να αυξήσει τη χρηματοδότηση για τις περιφέρειες με υψηλό ποσοστό πληθυσμιακής συρρίκνωσης, στηρίζοντας τοπικά αναπτυξιακά έργα και βασικές υποδομές που ευνοούν το «δικαίωμα παραμονής» του πληθυσμού </w:t>
            </w:r>
            <w:r>
              <w:rPr>
                <w:b/>
                <w:i/>
              </w:rPr>
              <w:t>των κρατών μελών</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ζητεί να δοθεί προτεραιότητα στις δημογραφικές προκλήσεις στην πολιτική συνοχής της ΕΕ </w:t>
            </w:r>
            <w:r>
              <w:rPr>
                <w:b/>
                <w:i/>
              </w:rPr>
              <w:t>και να εξομοιωθεί η σημασία τους με την Πράσινη Συμφωνία και την ψηφιακή στρατηγική</w:t>
            </w:r>
            <w:r>
              <w:t>· καλεί την Επιτροπή να ανακηρύξει «Ευρωπαϊκό Έτος Δημογραφίας» και να αυξήσει τη χρηματοδότηση για τις περιφέρειες με υψηλό ποσοστό πληθυσμιακής συρρίκνωσης, στηρίζοντας τοπικά αναπτυξιακά έργα και βασικές υποδομές που ευνοούν το «δικαίωμα παραμονής» του πληθυσμού·</w:t>
            </w:r>
          </w:p>
        </w:tc>
        <w:tc>
          <w:tcPr>
            <w:tcW w:w="4876" w:type="dxa"/>
            <w:tcBorders>
              <w:top w:val="nil"/>
              <w:left w:val="nil"/>
              <w:bottom w:val="nil"/>
              <w:right w:val="nil"/>
            </w:tcBorders>
          </w:tcPr>
          <w:p>
            <w:pPr>
              <w:pStyle w:val="Normal6a"/>
            </w:pPr>
            <w:r>
              <w:t>6.</w:t>
            </w:r>
            <w:r>
              <w:tab/>
            </w:r>
            <w:r>
              <w:t xml:space="preserve">ζητεί να δοθεί προτεραιότητα στις δημογραφικές προκλήσεις στην πολιτική συνοχής της ΕΕ· καλεί την Επιτροπή να ανακηρύξει «Ευρωπαϊκό Έτος Δημογραφίας» και να αυξήσει τη χρηματοδότηση για </w:t>
            </w:r>
            <w:r>
              <w:rPr>
                <w:b/>
                <w:i/>
              </w:rPr>
              <w:t>τις αγροτικές και εξόχως απόκεντρες περιοχές και</w:t>
            </w:r>
            <w:r>
              <w:t xml:space="preserve"> τις περιφέρειες με υψηλό ποσοστό πληθυσμιακής συρρίκνωσης, στηρίζοντας τοπικά αναπτυξιακά έργα και βασικές υποδομές που ευνοούν το «δικαίωμα παραμονής» του πληθυσμού·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επισημαίνει την αυξανόμενη επιρροή της τεχνητής νοημοσύνης (ΤΝ) και των ψηφιακών πλατφορμών που θα οδηγήσουν σε ριζικούς μετασχηματισμούς των τεχνολογιών στην αγορά εργασίας, επηρεάζοντας την ποιότητα της εργασίας και τις συνθήκες εργασίας, και, συνεπώς, την ποιότητα ζωής των εργαζομένων, όπως αναγνωρίζεται στην ΚΕΑ·</w:t>
            </w:r>
            <w:r>
              <w:t xml:space="preserve"> </w:t>
            </w:r>
            <w:r>
              <w:rPr>
                <w:b/>
                <w:i/>
              </w:rPr>
              <w:t>καλεί την Επιτροπή να προτείνει επειγόντως οδηγία σχετικά με τη χρήση της τεχνητής νοημοσύνης (ΤΝ) στον χώρο εργασίας, η οποία θα διασφαλίζει την προστασία και τον σεβασμό των δικαιωμάτων των εργαζομένων·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α.</w:t>
            </w:r>
            <w:r>
              <w:tab/>
            </w:r>
            <w:r>
              <w:rPr>
                <w:b/>
                <w:i/>
              </w:rPr>
              <w:t>καλεί την Ευρωπαϊκή Επιτροπή και τα κράτη μέλη να ενισχύσουν τη στήριξή τους προς επιχειρήσεις και οργανισμούς μη κερδοσκοπικής κοινωνικής οικονομίας με κατάλληλα δημοσιονομικά και φορολογικά ευνοϊκά πλαίσια·</w:t>
            </w:r>
            <w:r>
              <w:t xml:space="preserve"> </w:t>
            </w:r>
            <w:r>
              <w:rPr>
                <w:b/>
                <w:i/>
              </w:rPr>
              <w:t>ενθαρρύνει τα κράτη μέλη να διευκολύνουν την πρόσβαση σε χρηματοδότηση και να ενισχύσουν την προβολή των φορέων της κοινωνικής οικονομίας, όπως τονίζεται στο σχέδιο δράσης για την κοινωνική οικονομία του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β.</w:t>
            </w:r>
            <w:r>
              <w:tab/>
            </w:r>
            <w:r>
              <w:rPr>
                <w:b/>
                <w:i/>
              </w:rPr>
              <w:t>καλεί την Επιτροπή να διασφαλίσει την προστασία των εργαζομένων στον ψηφιακό χώρο εργασίας, παρουσιάζοντας νομοθετική πρόταση για την αντιμετώπιση του δικαιώματος στην αποσύνδεση και την τηλεργασία·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6γ.</w:t>
            </w:r>
            <w:r>
              <w:tab/>
            </w:r>
            <w:r>
              <w:rPr>
                <w:b/>
                <w:i/>
              </w:rPr>
              <w:t>καλεί τα κράτη μέλη να εφαρμόσουν το σχέδιο δράσης για την κοινωνική οικονομία, ώστε να προωθηθεί η ποιοτική, αξιοπρεπής και χωρίς αποκλεισμούς εργασία, η βιωσιμότητα και η κυκλική οικονομία, και να στηρίξουν τις οργανώσεις της κοινωνικής οικονομίας·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καλεί την Επιτροπή και το Συμβούλιο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w:t>
            </w:r>
            <w:r>
              <w:t xml:space="preserve"> πιστεύει ότι η καλύτερη στήριξη των επιχειρηματιών, ιδίως των ΜΜΕ και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w:t>
            </w:r>
            <w:r>
              <w:rPr>
                <w:b/>
                <w:i/>
              </w:rPr>
              <w:t>,</w:t>
            </w:r>
            <w:r>
              <w:t xml:space="preserve"> και τη διευκόλυνση της πρόσβασης στη χρηματοδότηση </w:t>
            </w:r>
            <w:r>
              <w:rPr>
                <w:b/>
                <w:i/>
              </w:rPr>
              <w:t>μέσω πλατφορμών σύμπραξης δημόσιου και ιδιωτικού τομέα και της κοινωνικής οικονομίας</w:t>
            </w:r>
            <w:r>
              <w:t xml:space="preserve"> για την προώθηση ενός δυναμικού επιχειρηματικού περιβάλλοντος·</w:t>
            </w:r>
          </w:p>
        </w:tc>
        <w:tc>
          <w:tcPr>
            <w:tcW w:w="4876" w:type="dxa"/>
            <w:tcBorders>
              <w:top w:val="nil"/>
              <w:left w:val="nil"/>
              <w:bottom w:val="nil"/>
              <w:right w:val="nil"/>
            </w:tcBorders>
          </w:tcPr>
          <w:p>
            <w:pPr>
              <w:pStyle w:val="Normal6a"/>
            </w:pPr>
            <w:r>
              <w:t>7.</w:t>
            </w:r>
            <w:r>
              <w:tab/>
            </w:r>
            <w:r>
              <w:t xml:space="preserve">πιστεύει ότι η καλύτερη στήριξη των επιχειρηματιών, ιδίως των ΜΜΕ και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και τη διευκόλυνση της πρόσβασης στη χρηματοδότηση </w:t>
            </w:r>
            <w:r>
              <w:rPr>
                <w:b/>
                <w:i/>
              </w:rPr>
              <w:t>και την κοινωνική οικονομία</w:t>
            </w:r>
            <w:r>
              <w:t xml:space="preserve"> για την προώθηση ενός δυναμικού επιχειρηματικού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καλεί την Επιτροπή και το Συμβούλιο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επιχειρηματιών, ιδίως των ΜΜΕ και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και τη διευκόλυνση της πρόσβασης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w:t>
            </w:r>
          </w:p>
        </w:tc>
        <w:tc>
          <w:tcPr>
            <w:tcW w:w="4876" w:type="dxa"/>
            <w:tcBorders>
              <w:top w:val="nil"/>
              <w:left w:val="nil"/>
              <w:bottom w:val="nil"/>
              <w:right w:val="nil"/>
            </w:tcBorders>
          </w:tcPr>
          <w:p>
            <w:pPr>
              <w:pStyle w:val="Normal6a"/>
            </w:pPr>
            <w:r>
              <w:t>7.</w:t>
            </w:r>
            <w:r>
              <w:tab/>
            </w:r>
            <w:r>
              <w:t>καλεί την Επιτροπή και το Συμβούλιο</w:t>
            </w:r>
            <w:r>
              <w:rPr>
                <w:b/>
                <w:i/>
              </w:rPr>
              <w:t>, σύμφωνα με τη δήλωση της Βουδαπέστης σχετικά με τη νέα ευρωπαϊκή συμφωνία για την ανταγωνιστικότητα, της 8ης Νοεμβρίου 2024,</w:t>
            </w:r>
            <w:r>
              <w:t xml:space="preserve">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επιχειρηματιών, ιδίως των ΜΜΕ και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και τη διευκόλυνση της πρόσβασης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 </w:t>
            </w:r>
            <w:r>
              <w:rPr>
                <w:b/>
                <w:i/>
              </w:rPr>
              <w:t>πιστεύει ότι είναι σημαντικό να τεθεί η Ευρώπη στην πρώτη γραμμή της έρευνας και της καινοτομίας σε παγκόσμιο επίπεδο, ιδίως στον τομέα των ρηξικέλευθων τεχνολογιών, και να επιτευχθεί ο στόχος του 3 % του ΑΕΠ όσον αφορά τις δαπάνες για έρευνα και ανάπτυξη έως το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καλεί την Επιτροπή και το Συμβούλιο να δώσουν προτεραιότητα στη μείωση των γραφειοκρατικών </w:t>
            </w:r>
            <w:r>
              <w:rPr>
                <w:b/>
                <w:i/>
              </w:rPr>
              <w:t>και φορολογικών</w:t>
            </w:r>
            <w:r>
              <w:t xml:space="preserve">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επιχειρηματιών, </w:t>
            </w:r>
            <w:r>
              <w:rPr>
                <w:b/>
                <w:i/>
              </w:rPr>
              <w:t>ιδίως</w:t>
            </w:r>
            <w:r>
              <w:t xml:space="preserve"> των ΜΜΕ και των νεοφυών επιχειρήσεων</w:t>
            </w:r>
            <w:r>
              <w:rPr>
                <w:b/>
                <w:i/>
              </w:rPr>
              <w:t>,</w:t>
            </w:r>
            <w:r>
              <w:t xml:space="preserve"> θα βελτιώσει την </w:t>
            </w:r>
            <w:r>
              <w:rPr>
                <w:b/>
                <w:i/>
              </w:rPr>
              <w:t>ανταγωνιστικότητα</w:t>
            </w:r>
            <w:r>
              <w:t xml:space="preserve"> της ΕΕ, θα τονώσει την καινοτομία και θα δημιουργήσει ποιοτικές θέσεις εργασίας· </w:t>
            </w:r>
            <w:r>
              <w:rPr>
                <w:b/>
                <w:i/>
              </w:rPr>
              <w:t>ζητεί επειγόντως την εφαρμογή ειδικών συστάσεων για την ολοκλήρωση της ενιαίας αγοράς, και τη διευκόλυνση της πρόσβασης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w:t>
            </w:r>
          </w:p>
        </w:tc>
        <w:tc>
          <w:tcPr>
            <w:tcW w:w="4876" w:type="dxa"/>
            <w:tcBorders>
              <w:top w:val="nil"/>
              <w:left w:val="nil"/>
              <w:bottom w:val="nil"/>
              <w:right w:val="nil"/>
            </w:tcBorders>
          </w:tcPr>
          <w:p>
            <w:pPr>
              <w:pStyle w:val="Normal6a"/>
            </w:pPr>
            <w:r>
              <w:t>7.</w:t>
            </w:r>
            <w:r>
              <w:tab/>
            </w:r>
            <w:r>
              <w:t xml:space="preserve">καλεί την Επιτροπή και το Συμβούλιο να δώσουν προτεραιότητα στη μείωση των γραφειοκρατικών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w:t>
            </w:r>
            <w:r>
              <w:rPr>
                <w:b/>
                <w:i/>
              </w:rPr>
              <w:t>επίδοξων</w:t>
            </w:r>
            <w:r>
              <w:t xml:space="preserve"> επιχειρηματιών, των ΜΜΕ και των νεοφυών επιχειρήσεων θα βελτιώσει την </w:t>
            </w:r>
            <w:r>
              <w:rPr>
                <w:b/>
                <w:i/>
              </w:rPr>
              <w:t>κοινωνική οικονομία</w:t>
            </w:r>
            <w:r>
              <w:t xml:space="preserve"> της ΕΕ, θα τονώσει την καινοτομία και θα δημιουργήσει ποιοτικές θέσεις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καλεί την Επιτροπή και το Συμβούλιο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επιχειρηματιών, ιδίως των ΜΜΕ και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w:t>
            </w:r>
            <w:r>
              <w:rPr>
                <w:b/>
                <w:i/>
              </w:rPr>
              <w:t>την ολοκλήρωση της ενιαίας αγοράς,</w:t>
            </w:r>
            <w:r>
              <w:t xml:space="preserve"> και τη διευκόλυνση της πρόσβασης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w:t>
            </w:r>
          </w:p>
        </w:tc>
        <w:tc>
          <w:tcPr>
            <w:tcW w:w="4876" w:type="dxa"/>
            <w:tcBorders>
              <w:top w:val="nil"/>
              <w:left w:val="nil"/>
              <w:bottom w:val="nil"/>
              <w:right w:val="nil"/>
            </w:tcBorders>
          </w:tcPr>
          <w:p>
            <w:pPr>
              <w:pStyle w:val="Normal6a"/>
            </w:pPr>
            <w:r>
              <w:t>7.</w:t>
            </w:r>
            <w:r>
              <w:tab/>
            </w:r>
            <w:r>
              <w:t xml:space="preserve">καλεί την Επιτροπή και το Συμβούλιο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επιχειρηματιών, ιδίως των ΜΜΕ και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w:t>
            </w:r>
            <w:r>
              <w:rPr>
                <w:b/>
                <w:i/>
              </w:rPr>
              <w:t>τη διευκόλυνση της ανάπτυξης των εσωτερικών αγορών</w:t>
            </w:r>
            <w:r>
              <w:t xml:space="preserve"> και τη διευκόλυνση της πρόσβασης στη χρηματοδότηση μέσω πλατφορμών σύμπραξης δημόσιου και ιδιωτικού τομέα</w:t>
            </w:r>
            <w:r>
              <w:rPr>
                <w:b/>
                <w:i/>
              </w:rPr>
              <w:t>, όπου οι συνέργειες μεταξύ του δημόσιου και του ιδιωτικού τομέα είναι πολύ πιθανές και αποδεδειγμένες,</w:t>
            </w:r>
            <w:r>
              <w:t xml:space="preserve"> και της κοινωνικής οικονομίας για την προώθηση ενός δυναμικού επιχειρηματικού περιβάλλοντος·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καλεί την Επιτροπή και το Συμβούλιο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w:t>
            </w:r>
            <w:r>
              <w:rPr>
                <w:b/>
                <w:i/>
              </w:rPr>
              <w:t>επιχειρηματιών, ιδίως των</w:t>
            </w:r>
            <w:r>
              <w:t xml:space="preserve"> ΜΜΕ και των νεοφυών επιχειρήσεων</w:t>
            </w:r>
            <w:r>
              <w:rPr>
                <w:b/>
                <w:i/>
              </w:rPr>
              <w:t>,</w:t>
            </w:r>
            <w:r>
              <w:t xml:space="preserve">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w:t>
            </w:r>
            <w:r>
              <w:rPr>
                <w:b/>
                <w:i/>
              </w:rPr>
              <w:t>και τη διευκόλυνση της πρόσβασης</w:t>
            </w:r>
            <w:r>
              <w:t xml:space="preserve">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w:t>
            </w:r>
          </w:p>
        </w:tc>
        <w:tc>
          <w:tcPr>
            <w:tcW w:w="4876" w:type="dxa"/>
            <w:tcBorders>
              <w:top w:val="nil"/>
              <w:left w:val="nil"/>
              <w:bottom w:val="nil"/>
              <w:right w:val="nil"/>
            </w:tcBorders>
          </w:tcPr>
          <w:p>
            <w:pPr>
              <w:pStyle w:val="Normal6a"/>
            </w:pPr>
            <w:r>
              <w:t>7.</w:t>
            </w:r>
            <w:r>
              <w:tab/>
            </w:r>
            <w:r>
              <w:t xml:space="preserve">καλεί την Επιτροπή και το Συμβούλιο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ΜΜΕ και των νεοφυών επιχειρήσεων θα βελτιώσει </w:t>
            </w:r>
            <w:r>
              <w:rPr>
                <w:b/>
                <w:i/>
              </w:rPr>
              <w:t>τη μακροπρόθεσμη βιωσιμότητα και </w:t>
            </w:r>
            <w:r>
              <w:t xml:space="preserve">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w:t>
            </w:r>
            <w:r>
              <w:rPr>
                <w:b/>
                <w:i/>
              </w:rPr>
              <w:t>οι οποίες ενσωματώνουν κοινωνικές αρχές και αρχές βιωσιμότητας και διευκολύνουν την πρόσβαση</w:t>
            </w:r>
            <w:r>
              <w:t xml:space="preserve"> στη χρηματοδότηση μέσω πλατφορμών σύμπραξης δημόσιου και ιδιωτικού τομέα και της κοινωνικής οικονομίας για την προώθηση ενός δυναμικού </w:t>
            </w:r>
            <w:r>
              <w:rPr>
                <w:b/>
                <w:i/>
              </w:rPr>
              <w:t>και χωρίς αποκλεισμούς</w:t>
            </w:r>
            <w:r>
              <w:t xml:space="preserve"> επιχειρηματικού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καλεί την Επιτροπή και το Συμβούλιο να δώσουν προτεραιότητα στη μείωση των γραφειοκρατικών </w:t>
            </w:r>
            <w:r>
              <w:rPr>
                <w:b/>
                <w:i/>
              </w:rPr>
              <w:t>και φορολογικών</w:t>
            </w:r>
            <w:r>
              <w:t xml:space="preserve">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w:t>
            </w:r>
            <w:r>
              <w:rPr>
                <w:b/>
                <w:i/>
              </w:rPr>
              <w:t>και, κατ’ επέκταση, για τη χρηματοδότηση των κοινωνικών πολιτικών</w:t>
            </w:r>
            <w:r>
              <w:t>· πιστεύει ότι η καλύτερη στήριξη των επιχειρηματιών, ιδίως των ΜΜΕ και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και τη διευκόλυνση της πρόσβασης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w:t>
            </w:r>
          </w:p>
        </w:tc>
        <w:tc>
          <w:tcPr>
            <w:tcW w:w="4876" w:type="dxa"/>
            <w:tcBorders>
              <w:top w:val="nil"/>
              <w:left w:val="nil"/>
              <w:bottom w:val="nil"/>
              <w:right w:val="nil"/>
            </w:tcBorders>
          </w:tcPr>
          <w:p>
            <w:pPr>
              <w:pStyle w:val="Normal6a"/>
            </w:pPr>
            <w:r>
              <w:t>7.</w:t>
            </w:r>
            <w:r>
              <w:tab/>
            </w:r>
            <w:r>
              <w:t>καλεί την Επιτροπή και το Συμβούλιο να δώσουν προτεραιότητα στη μείωση των γραφειοκρατικών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πιστεύει ότι η καλύτερη στήριξη των επιχειρηματιών, ιδίως των ΜΜΕ και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και τη διευκόλυνση της πρόσβασης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καλεί την Επιτροπή και το Συμβούλιο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επιχειρηματιών, ιδίως των ΜΜΕ </w:t>
            </w:r>
            <w:r>
              <w:rPr>
                <w:b/>
                <w:i/>
              </w:rPr>
              <w:t>και</w:t>
            </w:r>
            <w:r>
              <w:t xml:space="preserve"> των νεοφυών επιχειρήσεων,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και τη διευκόλυνση της πρόσβασης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w:t>
            </w:r>
          </w:p>
        </w:tc>
        <w:tc>
          <w:tcPr>
            <w:tcW w:w="4876" w:type="dxa"/>
            <w:tcBorders>
              <w:top w:val="nil"/>
              <w:left w:val="nil"/>
              <w:bottom w:val="nil"/>
              <w:right w:val="nil"/>
            </w:tcBorders>
          </w:tcPr>
          <w:p>
            <w:pPr>
              <w:pStyle w:val="Normal6a"/>
            </w:pPr>
            <w:r>
              <w:t>7.</w:t>
            </w:r>
            <w:r>
              <w:tab/>
            </w:r>
            <w:r>
              <w:t>καλεί την Επιτροπή και το Συμβούλιο να δώσουν προτεραιότητα στη μείωση των γραφειοκρατικών και φορολογικών φραγμών που επηρεάζουν την επιχειρηματικότητα, ιδίως για τις μικρές και μεσαίες επιχειρήσεις (ΜΜΕ) και τις νεοφυείς επιχειρήσεις, οι οποίες είναι απαραίτητες για την οικονομική ανάπτυξη και την ανταγωνιστικότητα της ΕΕ και, κατ’ επέκταση, για τη χρηματοδότηση των κοινωνικών πολιτικών· πιστεύει ότι η καλύτερη στήριξη των επιχειρηματιών, ιδίως των ΜΜΕ</w:t>
            </w:r>
            <w:r>
              <w:rPr>
                <w:b/>
                <w:i/>
              </w:rPr>
              <w:t>,</w:t>
            </w:r>
            <w:r>
              <w:t xml:space="preserve"> των νεοφυών επιχειρήσεων </w:t>
            </w:r>
            <w:r>
              <w:rPr>
                <w:b/>
                <w:i/>
              </w:rPr>
              <w:t>και των αυτοαπασχολουμένων</w:t>
            </w:r>
            <w:r>
              <w:t>, θα βελτιώσει την ανταγωνιστικότητα της ΕΕ, θα τονώσει την καινοτομία και θα δημιουργήσει ποιοτικές θέσεις εργασίας· ζητεί επειγόντως την εφαρμογή ειδικών συστάσεων για την ολοκλήρωση της ενιαίας αγοράς, και τη διευκόλυνση της πρόσβασης στη χρηματοδότηση μέσω πλατφορμών σύμπραξης δημόσιου και ιδιωτικού τομέα και της κοινωνικής οικονομίας για την προώθηση ενός δυναμικού επιχειρηματικού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υπενθυμίζει ότι είναι σημαντικό να βελτιωθεί η πρόσβαση των αυτοαπασχολουμένων στην κοινωνική προστασία και καλεί την Επιτροπή να παρακολουθεί τα κράτη μέλη και τα εθνικά τους σχέδια εφαρμογής της σύστασης του Συμβουλίου σχετικά με την πρόσβαση στην κοινωνική προστασία για τους εργαζομένους και τους αυτοαπασχολουμένους στο πλαίσιο των ειδικών ανά χώρα συστάσεων·</w:t>
            </w:r>
            <w:r>
              <w:t xml:space="preserve"> </w:t>
            </w:r>
            <w:r>
              <w:rPr>
                <w:b/>
                <w:i/>
              </w:rPr>
              <w:t>στο πλαίσιο αυτό, δεδομένου ότι το ποσοστό των αυτοαπασχολούμενων επαγγελματιών στους τομείς του πολιτισμού και της δημιουργικότητας είναι υπερδιπλάσιο από ό,τι στον γενικό πληθυσμό, υπενθυμίζει τις 13 πρωτοβουλίες που ορίζονται στην απάντηση της Επιτροπής, της 21ης Φεβρουαρίου 2024, στο ψήφισμα του Ευρωπαϊκού Κοινοβουλίου της 21ης Νοεμβρίου 2023 σχετικά με ένα πλαίσιο της ΕΕ για την κοινωνική και επαγγελματική κατάσταση των καλλιτεχνών και των εργαζομένων στους τομείς του πολιτισμού και της δημιουργικότητας και καλεί την Επιτροπή να αρχίσει να τις εφαρμόζει σε συνεργασία με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προειδοποιεί για τους κοινωνικούς κινδύνους που απορρέουν από την κρίση της αυτοκινητοβιομηχανίας, η οποία αντιμετωπίζει πρωτοφανείς πιέσεις τόσο από εξωτερικούς όσο και από εσωτερικούς παράγοντες·</w:t>
            </w:r>
            <w:r>
              <w:t xml:space="preserve"> </w:t>
            </w:r>
            <w:r>
              <w:rPr>
                <w:b/>
                <w:i/>
              </w:rPr>
              <w:t>καλεί την Ευρωπαϊκή Επιτροπή να δώσει προσοχή στον εν λόγω τομέα χρησιμοποιώντας παράλληλα τους δείκτες του πίνακα κοινωνικών αποτελεσμάτων για την παρακολούθηση της προστασίας των εργαζομένων, καθώς και την ενίσχυση του κοινωνικού διαλόγου και της συμμετοχής των εργαζομένων στις διαδικασίες μετάβασης·</w:t>
            </w:r>
            <w:r>
              <w:t xml:space="preserve"> </w:t>
            </w:r>
            <w:r>
              <w:rPr>
                <w:b/>
                <w:i/>
              </w:rPr>
              <w:t>τονίζει την επείγουσα ανάγκη για συντονισμένη αντίδραση της ΕΕ μέσω ειδικής ομάδας έκτακτης ανάγκης των συνδικαλιστικών οργανώσεων και των εργοδοτών, προκειμένου να αντιμετωπιστεί η τρέχουσα κρίση·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α.</w:t>
            </w:r>
            <w:r>
              <w:tab/>
            </w:r>
            <w:r>
              <w:rPr>
                <w:b/>
                <w:i/>
              </w:rPr>
              <w:t>καλεί την Επιτροπή να διενεργεί ελέγχους ανταγωνιστικότητας για κάθε νέα νομοθετική πρόταση, λαμβάνοντας υπόψη τον συνολικό αντίκτυπο της νομοθεσίας της ΕΕ στις εταιρείες, καθώς και για άλλες πολιτικές και προγράμματα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τονίζει την ανάγκη προώθησης συμπράξεων δημόσιου και ιδιωτικού τομέα για τη βελτίωση της αποτελεσματικότητας στην παροχή βασικών κοινωνικών υπηρεσιών, όπως η εκπαίδευση, η υγεία και η κοινωνική πρόνοια·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τονίζει την ανάγκη προώθησης συμπράξεων δημόσιου και ιδιωτικού τομέα για τη βελτίωση της αποτελεσματικότητας στην παροχή βασικών κοινωνικών υπηρεσιών, όπως η εκπαίδευση, η υγεία και η κοινωνική πρόνοια·</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τονίζει την ανάγκη </w:t>
            </w:r>
            <w:r>
              <w:rPr>
                <w:b/>
                <w:i/>
              </w:rPr>
              <w:t>προώθησης συμπράξεων δημόσιου και ιδιωτικού τομέα για τη βελτίωση</w:t>
            </w:r>
            <w:r>
              <w:t xml:space="preserve"> της αποτελεσματικότητας στην παροχή βασικών κοινωνικών υπηρεσιών, όπως η εκπαίδευση, η υγεία και η κοινωνική πρόνοια·</w:t>
            </w:r>
          </w:p>
        </w:tc>
        <w:tc>
          <w:tcPr>
            <w:tcW w:w="4876" w:type="dxa"/>
            <w:tcBorders>
              <w:top w:val="nil"/>
              <w:left w:val="nil"/>
              <w:bottom w:val="nil"/>
              <w:right w:val="nil"/>
            </w:tcBorders>
          </w:tcPr>
          <w:p>
            <w:pPr>
              <w:pStyle w:val="Normal6a"/>
            </w:pPr>
            <w:r>
              <w:t>8.</w:t>
            </w:r>
            <w:r>
              <w:tab/>
            </w:r>
            <w:r>
              <w:t xml:space="preserve">τονίζει την ανάγκη </w:t>
            </w:r>
            <w:r>
              <w:rPr>
                <w:b/>
                <w:i/>
              </w:rPr>
              <w:t>βελτίωσης της ποιότητας, της κάλυψης, της οικονομικής προσιτότητας και</w:t>
            </w:r>
            <w:r>
              <w:t xml:space="preserve"> της αποτελεσματικότητας στην παροχή βασικών κοινωνικών υπηρεσιών, όπως η εκπαίδευση, η υγεία και η κοινωνική πρόνοια</w:t>
            </w:r>
            <w:r>
              <w:rPr>
                <w:b/>
                <w:i/>
              </w:rPr>
              <w:t>, συμπεριλαμβανομένης της παιδικής φροντίδας και της μακροχρόνιας φροντίδας·</w:t>
            </w:r>
            <w:r>
              <w:t xml:space="preserve"> </w:t>
            </w:r>
            <w:r>
              <w:rPr>
                <w:b/>
                <w:i/>
              </w:rPr>
              <w:t>παροτρύνει τα κράτη μέλη να συνεχίσουν να εφαρμόζουν τη σύσταση του Συμβουλίου σχετικά με την πρόσβαση σε οικονομικά προσιτή και ποιοτική μακροχρόνια φροντίδα με σκοπό να διασφαλιστεί η πρόσβαση σε ποιοτική φροντίδα, εξασφαλίζοντας παράλληλα αξιοπρεπείς συνθήκες εργασίας για τους εργαζομένους στον τομέα της φροντίδας, καθώς και για τους άτυπους φροντιστές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τονίζει την ανάγκη </w:t>
            </w:r>
            <w:r>
              <w:rPr>
                <w:b/>
                <w:i/>
              </w:rPr>
              <w:t>προώθησης συμπράξεων</w:t>
            </w:r>
            <w:r>
              <w:t xml:space="preserve"> δημόσιου και ιδιωτικού τομέα για τη βελτίωση της αποτελεσματικότητας στην παροχή </w:t>
            </w:r>
            <w:r>
              <w:rPr>
                <w:b/>
                <w:i/>
              </w:rPr>
              <w:t>βασικών</w:t>
            </w:r>
            <w:r>
              <w:t xml:space="preserve"> κοινωνικών υπηρεσιών, όπως η εκπαίδευση, η υγεία και η κοινωνική πρόνοια·</w:t>
            </w:r>
          </w:p>
        </w:tc>
        <w:tc>
          <w:tcPr>
            <w:tcW w:w="4876" w:type="dxa"/>
            <w:tcBorders>
              <w:top w:val="nil"/>
              <w:left w:val="nil"/>
              <w:bottom w:val="nil"/>
              <w:right w:val="nil"/>
            </w:tcBorders>
          </w:tcPr>
          <w:p>
            <w:pPr>
              <w:pStyle w:val="Normal6a"/>
            </w:pPr>
            <w:r>
              <w:t>8.</w:t>
            </w:r>
            <w:r>
              <w:tab/>
            </w:r>
            <w:r>
              <w:t xml:space="preserve">τονίζει την ανάγκη </w:t>
            </w:r>
            <w:r>
              <w:rPr>
                <w:b/>
                <w:i/>
              </w:rPr>
              <w:t>τα κράτη μέλη να προωθήσουν συμπράξεις</w:t>
            </w:r>
            <w:r>
              <w:t xml:space="preserve"> δημόσιου και ιδιωτικού τομέα για τη βελτίωση της αποτελεσματικότητας στην παροχή </w:t>
            </w:r>
            <w:r>
              <w:rPr>
                <w:b/>
                <w:i/>
              </w:rPr>
              <w:t>δημόσιων</w:t>
            </w:r>
            <w:r>
              <w:t xml:space="preserve"> κοινωνικών υπηρεσιών, όπως η εκπαίδευση, η υγεία</w:t>
            </w:r>
            <w:r>
              <w:rPr>
                <w:b/>
                <w:i/>
              </w:rPr>
              <w:t>, η στέγαση</w:t>
            </w:r>
            <w:r>
              <w:t xml:space="preserve"> και η κοινωνική πρόνοια</w:t>
            </w:r>
            <w:r>
              <w:rPr>
                <w:b/>
                <w:i/>
              </w:rPr>
              <w:t>, καθώς και η προστασία των παιδιών, εξασφαλίζοντας παράλληλα την ευθύνη των κρατών μελών για τη διασφάλιση της παροχής και της πρόσβασης σε ποιοτικές δημόσιες υπηρεσίες στους εν λόγω τομείς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τονίζει την ανάγκη προώθησης συμπράξεων δημόσιου και ιδιωτικού τομέα για τη βελτίωση της αποτελεσματικότητας στην παροχή βασικών κοινωνικών υπηρεσιών, όπως η εκπαίδευση, η υγεία και η κοινωνική πρόνοια</w:t>
            </w:r>
            <w:r>
              <w:rPr>
                <w:b/>
                <w:i/>
              </w:rPr>
              <w:t>·</w:t>
            </w:r>
          </w:p>
        </w:tc>
        <w:tc>
          <w:tcPr>
            <w:tcW w:w="4876" w:type="dxa"/>
            <w:tcBorders>
              <w:top w:val="nil"/>
              <w:left w:val="nil"/>
              <w:bottom w:val="nil"/>
              <w:right w:val="nil"/>
            </w:tcBorders>
          </w:tcPr>
          <w:p>
            <w:pPr>
              <w:pStyle w:val="Normal6a"/>
            </w:pPr>
            <w:r>
              <w:t>8.</w:t>
            </w:r>
            <w:r>
              <w:tab/>
            </w:r>
            <w:r>
              <w:t>τονίζει την ανάγκη προώθησης συμπράξεων δημόσιου και ιδιωτικού τομέα για τη βελτίωση της αποτελεσματικότητας στην παροχή βασικών κοινωνικών υπηρεσιών, όπως η εκπαίδευση, η υγεία και η κοινωνική πρόνοια</w:t>
            </w:r>
            <w:r>
              <w:rPr>
                <w:b/>
                <w:i/>
              </w:rPr>
              <w:t>, εάν, και μόνο εάν, η συνέργεια μεταξύ δημόσιου και ιδιωτικού τομέα είναι πιθανή και αποδεδειγμένη και δεν ισοδυναμεί με ιδεολογική και παράλογη ιδιωτικοποίηση.</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τονίζει την ανάγκη </w:t>
            </w:r>
            <w:r>
              <w:rPr>
                <w:b/>
                <w:i/>
              </w:rPr>
              <w:t>προώθησης</w:t>
            </w:r>
            <w:r>
              <w:t xml:space="preserve"> συμπράξεων δημόσιου και ιδιωτικού τομέα για τη βελτίωση της αποτελεσματικότητας στην παροχή βασικών κοινωνικών υπηρεσιών, όπως η εκπαίδευση, η υγεία και η κοινωνική πρόνοια·</w:t>
            </w:r>
          </w:p>
        </w:tc>
        <w:tc>
          <w:tcPr>
            <w:tcW w:w="4876" w:type="dxa"/>
            <w:tcBorders>
              <w:top w:val="nil"/>
              <w:left w:val="nil"/>
              <w:bottom w:val="nil"/>
              <w:right w:val="nil"/>
            </w:tcBorders>
          </w:tcPr>
          <w:p>
            <w:pPr>
              <w:pStyle w:val="Normal6a"/>
            </w:pPr>
            <w:r>
              <w:t>8.</w:t>
            </w:r>
            <w:r>
              <w:tab/>
            </w:r>
            <w:r>
              <w:rPr>
                <w:b/>
                <w:i/>
              </w:rPr>
              <w:t>συμφωνεί με την πρόταση του Enrico Letta για την κατοχύρωση της «πέμπτης ελευθερίας» ώστε να ενισχυθεί η έρευνα, η καινοτομία και η εκπαίδευση στην ενιαία αγορά και</w:t>
            </w:r>
            <w:r>
              <w:t xml:space="preserve"> τονίζει</w:t>
            </w:r>
            <w:r>
              <w:rPr>
                <w:b/>
                <w:i/>
              </w:rPr>
              <w:t>, στο πλαίσιο αυτό,</w:t>
            </w:r>
            <w:r>
              <w:t xml:space="preserve"> την ανάγκη </w:t>
            </w:r>
            <w:r>
              <w:rPr>
                <w:b/>
                <w:i/>
              </w:rPr>
              <w:t>ορθής χρήσης των</w:t>
            </w:r>
            <w:r>
              <w:t xml:space="preserve"> συμπράξεων δημόσιου και ιδιωτικού τομέα για τη βελτίωση της αποτελεσματικότητας στην παροχή βασικών κοινωνικών υπηρεσιών, όπως η εκπαίδευση, η υγεία και η κοινωνική πρόνοια·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εκφράζει την ανησυχία του για πολλές εθνικές πολιτικές που εξακολουθούν να δημιουργούν κενά στην υγειονομική κάλυψη, αυξάνοντας τις ανισότητες τόσο εντός όσο και μεταξύ των κρατών μελών, όπως η ιδιωτικοποίηση των δημόσιων συστημάτων υγειονομικής περίθαλψης, η συμμετοχή του ασφαλισμένου και η απουσία κάλυψης·</w:t>
            </w:r>
            <w:r>
              <w:t xml:space="preserve"> </w:t>
            </w:r>
            <w:r>
              <w:rPr>
                <w:b/>
                <w:i/>
              </w:rPr>
              <w:t>επισημαίνει ότι οι εν λόγω πολιτικές επιδεινώνουν τη φτώχεια, διαβρώνουν την υγεία και την ευημερία και αυξάνουν τις κοινωνικές ανισότητες εντός και μεταξύ των χωρών της ΕΕ·</w:t>
            </w:r>
            <w:r>
              <w:t xml:space="preserve"> </w:t>
            </w:r>
            <w:r>
              <w:rPr>
                <w:b/>
                <w:i/>
              </w:rPr>
              <w:t>προειδοποιεί ότι η κατάσταση αυτή υπονομεύει επίσης την εφαρμογή της αρχής 16 του πυλώνα και του ΣΒΑ 3.8 για την καθολική υγειονομική κάλυψη, καθώς και τον συνολικό στόχο του πυλώνα για την προώθηση της ανοδικής κοινωνικής σύγκλισης στην ΕΕ χωρίς να μένει κανείς στο περιθώριο·</w:t>
            </w:r>
            <w:r>
              <w:t xml:space="preserve"> </w:t>
            </w:r>
            <w:r>
              <w:rPr>
                <w:b/>
                <w:i/>
              </w:rPr>
              <w:t>πιστεύει ότι οι δείκτες που χρησιμοποιούνται στον πίνακα κοινωνικών αποτελεσμάτων δεν εξασφαλίζουν την ολοκληρωμένη κατανόηση της οικονομικής προσιτότητας της υγειονομικής περίθαλψης·</w:t>
            </w:r>
            <w:r>
              <w:t xml:space="preserve"> </w:t>
            </w:r>
            <w:r>
              <w:rPr>
                <w:b/>
                <w:i/>
              </w:rPr>
              <w:t>καλεί την Επιτροπή να συμπεριλάβει στον πίνακα αποτελεσμάτων τους ακόλουθους δείκτες οικονομικής δυσχέρειας, όπως η εξαθλίωση και οι καταστροφικές δαπάνες για την υγεία, καθώς και ποιοτική ανάλυση των διαφόρων διαστάσεων της πολιτικής της κάλυψης (πληθυσμιακή κάλυψη, πακέτα παροχών και χρεώσεις προς τους χρήστες των υπηρεσιών ή συμμετοχή των ασφαλισμένων) στα κράτη μέλη, προκειμένου να προσδιοριστούν οι αλλαγές που απαιτούνται, ώστε να υπάρξει βελτίωση σχετικά με την οικονομικά προσιτή πρόσβαση στην υγειονομική περίθαλψη·</w:t>
            </w:r>
            <w:r>
              <w:t xml:space="preserve"> </w:t>
            </w:r>
            <w:r>
              <w:rPr>
                <w:b/>
                <w:i/>
              </w:rPr>
              <w:t>καλεί την Επιτροπή να παρουσιάσει μια πρωτοβουλία, προκειμένου να διασφαλιστεί επαρκής καθολική υγειονομική κάλυψη για όλους, ώστε όλα τα άτομα να μπορούν να έχουν πρόσβαση σε ποιοτική υγειονομική περίθαλψη χωρίς να αντιμετωπίζουν οικονομική δυσχέρεια·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α.</w:t>
            </w:r>
            <w:r>
              <w:tab/>
            </w:r>
            <w:r>
              <w:rPr>
                <w:b/>
                <w:i/>
              </w:rPr>
              <w:t>θεωρεί ότι η κοινωνική οικονομία αποτελεί βασική συνιστώσα της κοινωνικής οικονομίας της ενωσιακής αγοράς και κινητήρια δύναμη για την υλοποίηση του ΕΠΚΔ και των στόχων του, παρέχοντας συχνά απασχόληση σε ευάλωτες και αποκλεισμένες ομάδες·</w:t>
            </w:r>
            <w:r>
              <w:t xml:space="preserve"> </w:t>
            </w:r>
            <w:r>
              <w:rPr>
                <w:b/>
                <w:i/>
              </w:rPr>
              <w:t>καλεί τα κράτη μέλη να συνεχίσουν να ενισχύουν την κοινωνική οικονομία σύμφωνα με το σχέδιο δράσης της ΕΕ για την κοινωνική οικονομία και τον χάρτη πορείας της Λιέγης για την κοινωνική οικονομία στην Ευρωπαϊκή Ένωση·</w:t>
            </w:r>
            <w:r>
              <w:t xml:space="preserve"> </w:t>
            </w:r>
            <w:r>
              <w:rPr>
                <w:b/>
                <w:i/>
              </w:rPr>
              <w:t>επαναλαμβάνει την έκκλησή του προς την Επιτροπή να διερευνήσει καινοτόμους μηχανισμούς χρηματοδότησης, όπως τα ομόλογα κοινωνικού αντικτύπου, για τη χρηματοδότηση έργων που στηρίζουν την ανάπτυξη της κοινωνικής οικονομίας στην Ευρώπη</w:t>
            </w:r>
            <w:r>
              <w:rPr>
                <w:b/>
                <w:i/>
                <w:vertAlign w:val="superscript"/>
              </w:rPr>
              <w:t>19a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19a</w:t>
            </w:r>
            <w:r>
              <w:t xml:space="preserve"> </w:t>
            </w:r>
            <w:r>
              <w:rPr>
                <w:b/>
                <w:i/>
              </w:rPr>
              <w:t>Ψήφισμα του Ευρωπαϊκού Κοινοβουλίου της 6ης Ιουλίου 2022 σχετικά με το σχέδιο δράσης της ΕΕ για την κοινωνική οικονομία (2021/2179 (INI)).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βιώσιμη ανάπτυξη, και σημειώνει ότι τα μεσοπρόθεσμα δημοσιονομικά σχέδια θα πρέπει να δίνουν προτεραιότητα στη βιωσιμότητα του χρέους, επενδύοντας παράλληλα στρατηγικά στην εκπαίδευση, την υγειονομική περίθαλψη και τη στέγαση·</w:t>
            </w:r>
            <w:r>
              <w:t xml:space="preserve"> </w:t>
            </w:r>
            <w:r>
              <w:rPr>
                <w:b/>
                <w:i/>
              </w:rPr>
              <w:t>τονίζει ότι η συνεργασία μεταξύ δημόσιων και ιδιωτικών φορέων είναι το κλειδί για τη βελτιστοποίηση των πόρων και τη διασφάλιση της ορθολογικής χρήσης των δημόσιων πόρων·</w:t>
            </w:r>
            <w:r>
              <w:t xml:space="preserve"> </w:t>
            </w:r>
            <w:r>
              <w:rPr>
                <w:b/>
                <w:i/>
              </w:rPr>
              <w:t>θεωρεί ότι οι ειδικές ανά χώρα συστάσεις για την προώθηση βιώσιμων δημόσιων συνταξιοδοτικών και υγειονομικών συστημάτων θα πρέπει να εφαρμόζονται αποτελεσματικά και να προωθούν την ανταγωνιστικότητα και τη μακροπρόθεσμη ευημερία για όλους τους πολίτες·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βιώσιμη ανάπτυξη</w:t>
            </w:r>
            <w:r>
              <w:rPr>
                <w:b/>
                <w:i/>
              </w:rPr>
              <w:t>, και</w:t>
            </w:r>
            <w:r>
              <w:t xml:space="preserve"> σημειώνει ότι τα μεσοπρόθεσμα δημοσιονομικά σχέδια θα πρέπει να </w:t>
            </w:r>
            <w:r>
              <w:rPr>
                <w:b/>
                <w:i/>
              </w:rPr>
              <w:t>δίνουν προτεραιότητα στη</w:t>
            </w:r>
            <w:r>
              <w:t xml:space="preserve"> βιωσιμότητα του χρέους, επενδύοντας παράλληλα στρατηγικά στην εκπαίδευση, την </w:t>
            </w:r>
            <w:r>
              <w:rPr>
                <w:b/>
                <w:i/>
              </w:rPr>
              <w:t>υγειονομική περίθαλψη</w:t>
            </w:r>
            <w:r>
              <w:t xml:space="preserve"> και τη στέγαση· τονίζει ότι η συνεργασία μεταξύ δημόσιων και ιδιωτικών φορέων είναι </w:t>
            </w:r>
            <w:r>
              <w:rPr>
                <w:b/>
                <w:i/>
              </w:rPr>
              <w:t>το κλειδί</w:t>
            </w:r>
            <w:r>
              <w:t xml:space="preserve"> για τη βελτιστοποίηση των πόρων και τη διασφάλιση της ορθολογικής χρήσης των δημόσιων πόρων· θεωρεί ότι οι ειδικές ανά χώρα συστάσεις για την προώθηση βιώσιμων δημόσιων συνταξιοδοτικών και υγειονομικών συστημάτων θα πρέπει να </w:t>
            </w:r>
            <w:r>
              <w:rPr>
                <w:b/>
                <w:i/>
              </w:rPr>
              <w:t>εφαρμόζονται αποτελεσματικά και να προωθούν την ανταγωνιστικότητα και τη μακροπρόθεσμη ευημερία</w:t>
            </w:r>
            <w:r>
              <w:t xml:space="preserve"> για όλους </w:t>
            </w:r>
            <w:r>
              <w:rPr>
                <w:b/>
                <w:i/>
              </w:rPr>
              <w:t>τους πολίτες</w:t>
            </w:r>
            <w:r>
              <w:t>·</w:t>
            </w:r>
          </w:p>
        </w:tc>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βιώσιμη </w:t>
            </w:r>
            <w:r>
              <w:rPr>
                <w:b/>
                <w:i/>
              </w:rPr>
              <w:t>και χωρίς αποκλεισμούς</w:t>
            </w:r>
            <w:r>
              <w:t xml:space="preserve"> ανάπτυξη</w:t>
            </w:r>
            <w:r>
              <w:rPr>
                <w:b/>
                <w:i/>
              </w:rPr>
              <w:t>· σημειώνει ότι η συμμετοχή των κοινωνικών εταίρων θα πρέπει να ενισχυθεί σε όλα τα επίπεδα, ώστε να συμβάλει στην επίτευξη των στόχων του νέου πλαισίου οικονομικής διακυβέρνησης 2024, συγκεκριμένα, κατόπιν προηγούμενης διαβούλευσης με τους κοινωνικούς εταίρους πριν από την υποβολή των μεσοπρόθεσμων δημοσιονομικών διαρθρωτικών σχεδίων·</w:t>
            </w:r>
            <w:r>
              <w:t xml:space="preserve"> σημειώνει ότι τα μεσοπρόθεσμα δημοσιονομικά σχέδια θα πρέπει να </w:t>
            </w:r>
            <w:r>
              <w:rPr>
                <w:b/>
                <w:i/>
              </w:rPr>
              <w:t>διασφαλίζουν τη</w:t>
            </w:r>
            <w:r>
              <w:t xml:space="preserve"> βιωσιμότητα του χρέους, επενδύοντας παράλληλα στρατηγικά στην </w:t>
            </w:r>
            <w:r>
              <w:rPr>
                <w:b/>
                <w:i/>
              </w:rPr>
              <w:t>ποιοτική</w:t>
            </w:r>
            <w:r>
              <w:t xml:space="preserve"> εκπαίδευση, την </w:t>
            </w:r>
            <w:r>
              <w:rPr>
                <w:b/>
                <w:i/>
              </w:rPr>
              <w:t>ποιοτική κατάρτιση, τις ποιοτικές δημόσιες και κοινωνικές υπηρεσίες, την υγεία</w:t>
            </w:r>
            <w:r>
              <w:t xml:space="preserve"> και τη </w:t>
            </w:r>
            <w:r>
              <w:rPr>
                <w:b/>
                <w:i/>
              </w:rPr>
              <w:t>μακροχρόνια φροντίδα και την οικονομικά προσιτή</w:t>
            </w:r>
            <w:r>
              <w:t xml:space="preserve"> στέγαση </w:t>
            </w:r>
            <w:r>
              <w:rPr>
                <w:b/>
                <w:i/>
              </w:rPr>
              <w:t>και κοινωνικές υπηρεσίες·</w:t>
            </w:r>
            <w:r>
              <w:t xml:space="preserve"> </w:t>
            </w:r>
            <w:r>
              <w:rPr>
                <w:b/>
                <w:i/>
              </w:rPr>
              <w:t>συνιστά τη χρήση συγκριτικών στατιστικών στοιχείων, όπως τα πορίσματα του δείκτη κοινωνικών υπηρεσιών (SSI), για τον εντοπισμό κενών στη νομοθεσία για τις κοινωνικές υπηρεσίες, τη χρηματοδότηση και την πρόσβαση, καθώς και για την καθοδήγηση στρατηγικών επενδύσεων σε τομείς όπως η προστασία των παιδιών, η μακροχρόνια φροντίδα και η στήριξη σε επίπεδο κοινότητας</w:t>
            </w:r>
            <w:r>
              <w:t xml:space="preserve">· τονίζει ότι η συνεργασία μεταξύ δημόσιων και ιδιωτικών φορέων είναι </w:t>
            </w:r>
            <w:r>
              <w:rPr>
                <w:b/>
                <w:i/>
              </w:rPr>
              <w:t>ενίοτε ένας καλός τρόπος</w:t>
            </w:r>
            <w:r>
              <w:t xml:space="preserve"> για τη βελτιστοποίηση των πόρων και τη διασφάλιση της ορθολογικής χρήσης των δημόσιων πόρων· θεωρεί ότι οι ειδικές ανά χώρα συστάσεις για την προώθηση βιώσιμων δημόσιων συνταξιοδοτικών και υγειονομικών συστημάτων θα πρέπει να </w:t>
            </w:r>
            <w:r>
              <w:rPr>
                <w:b/>
                <w:i/>
              </w:rPr>
              <w:t>προωθούν τις συντάξεις που διασφαλίζουν αξιοπρεπή ζωή, ευημερία και ποιοτική οικονομικά προσιτή υγεία, προαγωγή της υγείας και πρόληψη</w:t>
            </w:r>
            <w:r>
              <w:t xml:space="preserve"> για όλους·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w:t>
            </w:r>
            <w:r>
              <w:rPr>
                <w:b/>
                <w:i/>
              </w:rPr>
              <w:t>βιώσιμη ανάπτυξη</w:t>
            </w:r>
            <w:r>
              <w:t xml:space="preserve">, και σημειώνει ότι τα μεσοπρόθεσμα δημοσιονομικά σχέδια θα πρέπει να δίνουν προτεραιότητα </w:t>
            </w:r>
            <w:r>
              <w:rPr>
                <w:b/>
                <w:i/>
              </w:rPr>
              <w:t>στη</w:t>
            </w:r>
            <w:r>
              <w:t xml:space="preserve"> βιωσιμότητα του χρέους, επενδύοντας παράλληλα στρατηγικά </w:t>
            </w:r>
            <w:r>
              <w:rPr>
                <w:b/>
                <w:i/>
              </w:rPr>
              <w:t>στην</w:t>
            </w:r>
            <w:r>
              <w:t xml:space="preserve"> εκπαίδευση, την υγειονομική περίθαλψη και τη στέγαση· τονίζει ότι η συνεργασία μεταξύ δημόσιων και ιδιωτικών φορέων είναι το κλειδί για τη βελτιστοποίηση των πόρων </w:t>
            </w:r>
            <w:r>
              <w:rPr>
                <w:b/>
                <w:i/>
              </w:rPr>
              <w:t>και τη διασφάλιση της ορθολογικής χρήσης των δημόσιων πόρων·</w:t>
            </w:r>
            <w:r>
              <w:t xml:space="preserve"> </w:t>
            </w:r>
            <w:r>
              <w:rPr>
                <w:b/>
                <w:i/>
              </w:rPr>
              <w:t>θεωρεί ότι οι ειδικές ανά χώρα συστάσεις για την προώθηση βιώσιμων δημόσιων συνταξιοδοτικών και υγειονομικών συστημάτων θα πρέπει να εφαρμόζονται αποτελεσματικά και να</w:t>
            </w:r>
            <w:r>
              <w:t xml:space="preserve"> προωθούν την </w:t>
            </w:r>
            <w:r>
              <w:rPr>
                <w:b/>
                <w:i/>
              </w:rPr>
              <w:t>ανταγωνιστικότητα και τη μακροπρόθεσμη</w:t>
            </w:r>
            <w:r>
              <w:t xml:space="preserve"> ευημερία για όλους τους πολίτες·</w:t>
            </w:r>
          </w:p>
        </w:tc>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w:t>
            </w:r>
            <w:r>
              <w:rPr>
                <w:b/>
                <w:i/>
              </w:rPr>
              <w:t>βιωσιμότητα και την ευημερία</w:t>
            </w:r>
            <w:r>
              <w:t xml:space="preserve">, και σημειώνει ότι τα μεσοπρόθεσμα δημοσιονομικά σχέδια θα πρέπει να δίνουν προτεραιότητα </w:t>
            </w:r>
            <w:r>
              <w:rPr>
                <w:b/>
                <w:i/>
              </w:rPr>
              <w:t>στην κοινωνική</w:t>
            </w:r>
            <w:r>
              <w:t xml:space="preserve"> βιωσιμότητα του χρέους, επενδύοντας παράλληλα στρατηγικά </w:t>
            </w:r>
            <w:r>
              <w:rPr>
                <w:b/>
                <w:i/>
              </w:rPr>
              <w:t>στη δημόσια</w:t>
            </w:r>
            <w:r>
              <w:t xml:space="preserve"> εκπαίδευση, την υγειονομική περίθαλψη και τη στέγαση· τονίζει ότι η συνεργασία μεταξύ δημόσιων και ιδιωτικών φορέων είναι το κλειδί για τη βελτιστοποίηση των πόρων</w:t>
            </w:r>
            <w:r>
              <w:rPr>
                <w:b/>
                <w:i/>
              </w:rPr>
              <w:t>·</w:t>
            </w:r>
            <w:r>
              <w:t xml:space="preserve"> </w:t>
            </w:r>
            <w:r>
              <w:rPr>
                <w:b/>
                <w:i/>
              </w:rPr>
              <w:t>θεωρεί ότι οι ειδικές ανά χώρα συστάσεις θα πρέπει να απομακρυνθούν από τη λογική της επίμονης πρόβλεψης δημοσιονομικών περικοπών στα δημόσια συνταξιοδοτικά και υγειονομικά συστήματα και, αντ’ αυτού, να διατυπώσουν μεταρρυθμιστικές προτάσεις που</w:t>
            </w:r>
            <w:r>
              <w:t xml:space="preserve"> προωθούν την </w:t>
            </w:r>
            <w:r>
              <w:rPr>
                <w:b/>
                <w:i/>
              </w:rPr>
              <w:t>οικονομική και κοινωνική</w:t>
            </w:r>
            <w:r>
              <w:t xml:space="preserve"> ευημερία για όλους τους πολίτες· </w:t>
            </w:r>
            <w:r>
              <w:rPr>
                <w:b/>
                <w:i/>
              </w:rPr>
              <w:t>υπενθυμίζει ότι είναι σημαντικό να διατηρείται επαρκές εισόδημα για μια αξιοπρεπή ζωή για όλους τους εργαζομένους κατά τη διάρκεια της περιόδου συνταξιοδότησής τους, λαμβάνοντας παράλληλα υπόψη την ευαλωτότητα των εργαζομένων των οποίων η σταδιοδρομία χαρακτηρίζεται από κατακερματισμό, ασυνέχεια και εργασιακές μεταβάσεις·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w:t>
            </w:r>
            <w:r>
              <w:rPr>
                <w:b/>
                <w:i/>
              </w:rPr>
              <w:t>με την εφαρμογή των αναθεωρημένων κανόνων οικονομικής διακυβέρνησης,</w:t>
            </w:r>
            <w:r>
              <w:t xml:space="preserve"> η ευκαιρία να </w:t>
            </w:r>
            <w:r>
              <w:rPr>
                <w:b/>
                <w:i/>
              </w:rPr>
              <w:t>ευθυγραμμίσουν τη δημοσιονομική υπευθυνότητα με</w:t>
            </w:r>
            <w:r>
              <w:t xml:space="preserve"> τη βιώσιμη ανάπτυξη, και σημειώνει ότι τα μεσοπρόθεσμα δημοσιονομικά σχέδια θα πρέπει να δίνουν προτεραιότητα στη βιωσιμότητα του χρέους, επενδύοντας παράλληλα στρατηγικά στην εκπαίδευση, την υγειονομική περίθαλψη και τη στέγαση</w:t>
            </w:r>
            <w:r>
              <w:rPr>
                <w:b/>
                <w:i/>
              </w:rPr>
              <w:t>·</w:t>
            </w:r>
            <w:r>
              <w:t xml:space="preserve"> </w:t>
            </w:r>
            <w:r>
              <w:rPr>
                <w:b/>
                <w:i/>
              </w:rPr>
              <w:t>τονίζει ότι η συνεργασία μεταξύ δημόσιων και ιδιωτικών φορέων είναι το κλειδί για τη βελτιστοποίηση των πόρων και τη διασφάλιση της ορθολογικής χρήσης των δημόσιων πόρων·</w:t>
            </w:r>
            <w:r>
              <w:t xml:space="preserve"> </w:t>
            </w:r>
            <w:r>
              <w:rPr>
                <w:b/>
                <w:i/>
              </w:rPr>
              <w:t>θεωρεί ότι οι ειδικές ανά χώρα συστάσεις για την προώθηση βιώσιμων δημόσιων συνταξιοδοτικών και υγειονομικών συστημάτων θα πρέπει να εφαρμόζονται αποτελεσματικά και</w:t>
            </w:r>
            <w:r>
              <w:t xml:space="preserve"> να προωθούν την </w:t>
            </w:r>
            <w:r>
              <w:rPr>
                <w:b/>
                <w:i/>
              </w:rPr>
              <w:t>ανταγωνιστικότητα</w:t>
            </w:r>
            <w:r>
              <w:t xml:space="preserve"> και τη μακροπρόθεσμη ευημερία για όλους τους πολίτες·</w:t>
            </w:r>
          </w:p>
        </w:tc>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η ευκαιρία να </w:t>
            </w:r>
            <w:r>
              <w:rPr>
                <w:b/>
                <w:i/>
              </w:rPr>
              <w:t>εργαστούν για</w:t>
            </w:r>
            <w:r>
              <w:t xml:space="preserve"> τη βιώσιμη ανάπτυξη, και σημειώνει ότι τα μεσοπρόθεσμα δημοσιονομικά σχέδια θα πρέπει να δίνουν προτεραιότητα στη βιωσιμότητα του χρέους, επενδύοντας παράλληλα στρατηγικά στην εκπαίδευση, την υγειονομική περίθαλψη και τη στέγαση</w:t>
            </w:r>
            <w:r>
              <w:rPr>
                <w:b/>
                <w:i/>
              </w:rPr>
              <w:t>, προκειμένου</w:t>
            </w:r>
            <w:r>
              <w:t xml:space="preserve"> να προωθούν την </w:t>
            </w:r>
            <w:r>
              <w:rPr>
                <w:b/>
                <w:i/>
              </w:rPr>
              <w:t>κοινωνική συνοχή</w:t>
            </w:r>
            <w:r>
              <w:t xml:space="preserve"> και τη μακροπρόθεσμη ευημερία για όλους τους πολίτες·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βιώσιμη ανάπτυξη, και σημειώνει ότι τα μεσοπρόθεσμα δημοσιονομικά σχέδια θα πρέπει να δίνουν προτεραιότητα στη βιωσιμότητα του χρέους, επενδύοντας </w:t>
            </w:r>
            <w:r>
              <w:rPr>
                <w:b/>
                <w:i/>
              </w:rPr>
              <w:t>παράλληλα</w:t>
            </w:r>
            <w:r>
              <w:t xml:space="preserve"> στρατηγικά </w:t>
            </w:r>
            <w:r>
              <w:rPr>
                <w:b/>
                <w:i/>
              </w:rPr>
              <w:t>στην</w:t>
            </w:r>
            <w:r>
              <w:t xml:space="preserve"> εκπαίδευση</w:t>
            </w:r>
            <w:r>
              <w:rPr>
                <w:b/>
                <w:i/>
              </w:rPr>
              <w:t>, την</w:t>
            </w:r>
            <w:r>
              <w:t xml:space="preserve"> υγειονομική περίθαλψη και </w:t>
            </w:r>
            <w:r>
              <w:rPr>
                <w:b/>
                <w:i/>
              </w:rPr>
              <w:t>τη</w:t>
            </w:r>
            <w:r>
              <w:t xml:space="preserve"> στέγαση· τονίζει ότι η συνεργασία μεταξύ δημόσιων και ιδιωτικών φορέων είναι το κλειδί για τη βελτιστοποίηση των πόρων και τη διασφάλιση της ορθολογικής χρήσης των δημόσιων πόρων· θεωρεί ότι οι ειδικές ανά χώρα συστάσεις για την προώθηση </w:t>
            </w:r>
            <w:r>
              <w:rPr>
                <w:b/>
                <w:i/>
              </w:rPr>
              <w:t>βιώσιμων δημόσιων συνταξιοδοτικών και υγειονομικών συστημάτων</w:t>
            </w:r>
            <w:r>
              <w:t xml:space="preserve"> θα πρέπει να εφαρμόζονται αποτελεσματικά και να προωθούν </w:t>
            </w:r>
            <w:r>
              <w:rPr>
                <w:b/>
                <w:i/>
              </w:rPr>
              <w:t>την ανταγωνιστικότητα</w:t>
            </w:r>
            <w:r>
              <w:t xml:space="preserve"> και τη μακροπρόθεσμη ευημερία για όλους τους πολίτες·</w:t>
            </w:r>
          </w:p>
        </w:tc>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βιώσιμη ανάπτυξη, και σημειώνει ότι τα μεσοπρόθεσμα δημοσιονομικά σχέδια θα πρέπει να δίνουν προτεραιότητα στη βιωσιμότητα του χρέους, επενδύοντας </w:t>
            </w:r>
            <w:r>
              <w:rPr>
                <w:b/>
                <w:i/>
              </w:rPr>
              <w:t>ταυτόχρονα</w:t>
            </w:r>
            <w:r>
              <w:t xml:space="preserve"> στρατηγικά </w:t>
            </w:r>
            <w:r>
              <w:rPr>
                <w:b/>
                <w:i/>
              </w:rPr>
              <w:t>στους στόχους του ευρωπαϊκού πυλώνα κοινωνικών δικαιωμάτων, όπως η</w:t>
            </w:r>
            <w:r>
              <w:t xml:space="preserve"> εκπαίδευση </w:t>
            </w:r>
            <w:r>
              <w:rPr>
                <w:b/>
                <w:i/>
              </w:rPr>
              <w:t>και κατάρτιση, η κοινωνική προστασία και ένταξη, η</w:t>
            </w:r>
            <w:r>
              <w:t xml:space="preserve"> υγειονομική περίθαλψη και </w:t>
            </w:r>
            <w:r>
              <w:rPr>
                <w:b/>
                <w:i/>
              </w:rPr>
              <w:t>η</w:t>
            </w:r>
            <w:r>
              <w:t xml:space="preserve"> στέγαση· τονίζει ότι η συνεργασία μεταξύ δημόσιων και ιδιωτικών φορέων είναι το κλειδί για τη βελτιστοποίηση των πόρων και τη διασφάλιση της ορθολογικής χρήσης των δημόσιων πόρων </w:t>
            </w:r>
            <w:r>
              <w:rPr>
                <w:b/>
                <w:i/>
              </w:rPr>
              <w:t>για την προώθηση της ανταγωνιστικότητας</w:t>
            </w:r>
            <w:r>
              <w:t xml:space="preserve">· θεωρεί ότι οι ειδικές ανά χώρα συστάσεις για την προώθηση </w:t>
            </w:r>
            <w:r>
              <w:rPr>
                <w:b/>
                <w:i/>
              </w:rPr>
              <w:t>συνταξιοδοτικών συστημάτων πολλαπλών πυλώνων και ποιοτικής υγειονομικής περίθαλψης</w:t>
            </w:r>
            <w:r>
              <w:t xml:space="preserve"> θα πρέπει να εφαρμόζονται αποτελεσματικά και να προωθούν </w:t>
            </w:r>
            <w:r>
              <w:rPr>
                <w:b/>
                <w:i/>
              </w:rPr>
              <w:t>τη βιωσιμότητα, την αξιοπρέπεια</w:t>
            </w:r>
            <w:r>
              <w:t xml:space="preserve"> και τη μακροπρόθεσμη ευημερία για όλους τους πολίτες·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ζητεί να δοθεί στα κράτη μέλη, κατά το τρέχον έτος μετάβασης, με την εφαρμογή των αναθεωρημένων κανόνων</w:t>
            </w:r>
            <w:r>
              <w:t xml:space="preserve"> οικονομικής διακυβέρνησης</w:t>
            </w:r>
            <w:r>
              <w:rPr>
                <w:b/>
                <w:i/>
              </w:rPr>
              <w:t>, η</w:t>
            </w:r>
            <w:r>
              <w:t xml:space="preserve"> ευκαιρία να ευθυγραμμίσουν τη δημοσιονομική υπευθυνότητα με τη βιώσιμη ανάπτυξη, και σημειώνει ότι τα μεσοπρόθεσμα δημοσιονομικά σχέδια θα πρέπει να δίνουν προτεραιότητα στη βιωσιμότητα του χρέους, επενδύοντας παράλληλα στρατηγικά στην εκπαίδευση, την υγειονομική περίθαλψη και τη στέγαση· τονίζει ότι η συνεργασία μεταξύ δημόσιων και ιδιωτικών φορέων είναι το κλειδί για τη βελτιστοποίηση των πόρων και τη διασφάλιση της ορθολογικής χρήσης των δημόσιων πόρων· θεωρεί ότι οι ειδικές ανά χώρα συστάσεις για την προώθηση βιώσιμων δημόσιων συνταξιοδοτικών και υγειονομικών συστημάτων θα πρέπει να εφαρμόζονται αποτελεσματικά και να προωθούν την ανταγωνιστικότητα και τη μακροπρόθεσμη ευημερία για όλους τους πολίτες·</w:t>
            </w:r>
          </w:p>
        </w:tc>
        <w:tc>
          <w:tcPr>
            <w:tcW w:w="4876" w:type="dxa"/>
            <w:tcBorders>
              <w:top w:val="nil"/>
              <w:left w:val="nil"/>
              <w:bottom w:val="nil"/>
              <w:right w:val="nil"/>
            </w:tcBorders>
          </w:tcPr>
          <w:p>
            <w:pPr>
              <w:pStyle w:val="Normal6a"/>
            </w:pPr>
            <w:r>
              <w:t>9.</w:t>
            </w:r>
            <w:r>
              <w:tab/>
            </w:r>
            <w:r>
              <w:rPr>
                <w:b/>
                <w:i/>
              </w:rPr>
              <w:t>υπογραμμίζει ότι πρωταρχικός στόχος των νέων κανόνων οικονομικής διακυβέρνησης είναι να επιτευχθεί ισορροπία μεταξύ της υπεύθυνης διαχείρισης του προϋπολογισμού (μείωση του χρέους) και της βιώσιμης οικονομικής ανάπτυξης (δαπάνες που τονώνουν την ανάπτυξη) και, συνεπώς, οι κανόνες</w:t>
            </w:r>
            <w:r>
              <w:t xml:space="preserve"> οικονομικής διακυβέρνησης </w:t>
            </w:r>
            <w:r>
              <w:rPr>
                <w:b/>
                <w:i/>
              </w:rPr>
              <w:t>πρέπει να έχουν την</w:t>
            </w:r>
            <w:r>
              <w:t xml:space="preserve"> ευκαιρία να ευθυγραμμίσουν τη δημοσιονομική υπευθυνότητα με τη βιώσιμη ανάπτυξη, και σημειώνει ότι τα μεσοπρόθεσμα δημοσιονομικά σχέδια θα πρέπει να δίνουν προτεραιότητα στη βιωσιμότητα του χρέους, επενδύοντας παράλληλα στρατηγικά στην εκπαίδευση, την υγειονομική περίθαλψη και τη στέγαση· τονίζει ότι η συνεργασία μεταξύ δημόσιων και ιδιωτικών φορέων είναι το κλειδί για τη βελτιστοποίηση των πόρων και τη διασφάλιση της ορθολογικής χρήσης των δημόσιων πόρων· θεωρεί ότι οι ειδικές ανά χώρα συστάσεις για την προώθηση βιώσιμων δημόσιων συνταξιοδοτικών και υγειονομικών συστημάτων θα πρέπει να εφαρμόζονται αποτελεσματικά και να προωθούν την ανταγωνιστικότητα και τη μακροπρόθεσμη ευημερία για όλους τους πολίτες·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βιώσιμη ανάπτυξη, και σημειώνει ότι τα μεσοπρόθεσμα δημοσιονομικά σχέδια θα πρέπει να </w:t>
            </w:r>
            <w:r>
              <w:rPr>
                <w:b/>
                <w:i/>
              </w:rPr>
              <w:t>δίνουν προτεραιότητα στη</w:t>
            </w:r>
            <w:r>
              <w:t xml:space="preserve"> βιωσιμότητα του χρέους</w:t>
            </w:r>
            <w:r>
              <w:rPr>
                <w:b/>
                <w:i/>
              </w:rPr>
              <w:t>, επενδύοντας παράλληλα στρατηγικά</w:t>
            </w:r>
            <w:r>
              <w:t xml:space="preserve"> στην εκπαίδευση, την υγειονομική περίθαλψη και τη στέγαση· τονίζει ότι η συνεργασία μεταξύ δημόσιων και ιδιωτικών φορέων είναι το κλειδί για τη βελτιστοποίηση των πόρων και τη διασφάλιση της ορθολογικής χρήσης των δημόσιων πόρων· θεωρεί ότι οι ειδικές ανά χώρα συστάσεις για την προώθηση βιώσιμων δημόσιων συνταξιοδοτικών και υγειονομικών συστημάτων θα πρέπει να εφαρμόζονται αποτελεσματικά και να προωθούν την ανταγωνιστικότητα και τη μακροπρόθεσμη ευημερία για όλους τους πολίτες·</w:t>
            </w:r>
          </w:p>
        </w:tc>
        <w:tc>
          <w:tcPr>
            <w:tcW w:w="4876" w:type="dxa"/>
            <w:tcBorders>
              <w:top w:val="nil"/>
              <w:left w:val="nil"/>
              <w:bottom w:val="nil"/>
              <w:right w:val="nil"/>
            </w:tcBorders>
          </w:tcPr>
          <w:p>
            <w:pPr>
              <w:pStyle w:val="Normal6a"/>
            </w:pPr>
            <w:r>
              <w:t>9.</w:t>
            </w:r>
            <w:r>
              <w:tab/>
            </w:r>
            <w:r>
              <w:t xml:space="preserve">ζητεί να δοθεί στα κράτη μέλη, κατά το τρέχον έτος μετάβασης, με την εφαρμογή των αναθεωρημένων κανόνων οικονομικής διακυβέρνησης, η ευκαιρία να ευθυγραμμίσουν τη δημοσιονομική υπευθυνότητα με τη βιώσιμη ανάπτυξη, και σημειώνει ότι τα μεσοπρόθεσμα δημοσιονομικά σχέδια θα πρέπει να </w:t>
            </w:r>
            <w:r>
              <w:rPr>
                <w:b/>
                <w:i/>
              </w:rPr>
              <w:t>εξισορροπούν τη</w:t>
            </w:r>
            <w:r>
              <w:t xml:space="preserve"> βιωσιμότητα του χρέους </w:t>
            </w:r>
            <w:r>
              <w:rPr>
                <w:b/>
                <w:i/>
              </w:rPr>
              <w:t>με κοινωνικές επενδύσεις</w:t>
            </w:r>
            <w:r>
              <w:t xml:space="preserve"> στην εκπαίδευση, την υγειονομική περίθαλψη και τη στέγαση· τονίζει ότι η συνεργασία μεταξύ δημόσιων και ιδιωτικών φορέων είναι το κλειδί για τη βελτιστοποίηση των πόρων και τη διασφάλιση της ορθολογικής χρήσης των δημόσιων πόρων· θεωρεί ότι οι ειδικές ανά χώρα συστάσεις για την προώθηση βιώσιμων δημόσιων συνταξιοδοτικών και υγειονομικών συστημάτων θα πρέπει να εφαρμόζονται αποτελεσματικά και να προωθούν την ανταγωνιστικότητα και τη μακροπρόθεσμη ευημερία για όλους τους πολίτες·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 σημείο 1 (νέο)</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αναγνωρίζει τις καταστροφικές επιπτώσεις που είχαν και εξακολουθούν να έχουν οι πολιτικές λιτότητας στην κοινωνία στο σύνολό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επικροτεί το γεγονός ότι τα εθνικά μεσοπρόθεσμα δημοσιονομικά διαρθρωτικά σχέδια, δυνάμει του νέου πλαισίου οικονομικής διακυβέρνησης, πρέπει να περιλαμβάνουν τις μεταρρυθμίσεις και τις επενδύσεις που ανταποκρίνονται στις κύριες προκλήσεις που εντοπίστηκαν στο πλαίσιο του Ευρωπαϊκού Εξαμήνου, ιδίως στις ειδικές ανά χώρα συστάσεις·</w:t>
            </w:r>
            <w:r>
              <w:t xml:space="preserve"> </w:t>
            </w:r>
            <w:r>
              <w:rPr>
                <w:b/>
                <w:i/>
              </w:rPr>
              <w:t>υπενθυμίζει ότι τα κράτη μέλη υποχρεούνται να εξηγήσουν τον τρόπο με τον οποίο η υλοποίηση των μεταρρυθμίσεων και των επενδύσεων θα αντιμετωπίσει το ζήτημα της κοινωνικής και οικονομικής ανθεκτικότητας, συμπεριλαμβανομένου του ευρωπαϊκού πυλώνα κοινωνικών δικαιωμάτων, στο πλαίσιο των κοινών προτεραιοτήτων της Ένωσης·</w:t>
            </w:r>
            <w:r>
              <w:t xml:space="preserve"> </w:t>
            </w:r>
            <w:r>
              <w:rPr>
                <w:b/>
                <w:i/>
              </w:rPr>
              <w:t>εκφράζει την ικανοποίησή του που η Επιτροπή επιβεβαίωσε ότι όλα τα κράτη μέλη έχουν αναφέρει τις προθέσεις τους όσον αφορά τη χάραξη πολιτικής σχετικά με μεταρρυθμίσεις και επενδύσεις για την αντιμετώπιση των προκλήσεων που προσδιορίζονται στο πλαίσιο του Ευρωπαϊκού Εξαμήνου και των κοινών προτεραιοτήτων της ΕΕ στα σχέδιά τους</w:t>
            </w:r>
            <w:r>
              <w:rPr>
                <w:b/>
                <w:i/>
                <w:vertAlign w:val="superscript"/>
              </w:rPr>
              <w:t>19β</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19β</w:t>
            </w:r>
            <w:r>
              <w:t xml:space="preserve"> </w:t>
            </w:r>
            <w:r>
              <w:rPr>
                <w:b/>
                <w:i/>
              </w:rPr>
              <w:t>Ανακοίνωση της Επιτροπής, «Ευρωπαϊκό Εξάμηνο 2025: Εφαρμογή του νέου πλαισίου οικονομικής διακυβέρνησης στην πράξη» (COM(2024) 705 final, σ.</w:t>
            </w:r>
            <w:r>
              <w:t xml:space="preserve"> </w:t>
            </w:r>
            <w:r>
              <w:rPr>
                <w:b/>
                <w:i/>
              </w:rPr>
              <w:t>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καλεί την Επιτροπή να παρακολουθεί τα δεδομένα σχετικά με την αναδιάρθρωση και τον αντίκτυπό της στην απασχόληση, όπως με τη χρήση του Ευρωπαϊκού Παρατηρητηρίου Αναδιάρθρωσης, να διευκολύνει μέτρα για τη στήριξη της αναδιάρθρωσης και των μεταβάσεων στην αγορά εργασίας, και να εξετάσει το ενδεχόμενο ανάδειξης εθνικών μέτρων που στηρίζουν έναν κοινωνικά υπεύθυνο τρόπο αναδιάρθρωσης στο πλαίσιο του Ευρωπαϊκού Εξαμήνου·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α.</w:t>
            </w:r>
            <w:r>
              <w:tab/>
            </w:r>
            <w:r>
              <w:rPr>
                <w:b/>
                <w:i/>
              </w:rPr>
              <w:t>αναγνωρίζει τη σημασία της δημόσιας εποπτείας των συμπράξεων δημόσιου και ιδιωτικού τομέα, ιδίως για την αντιμετώπιση της σπατάλης δημόσιου χρήματος και της διαφθοράς,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β.</w:t>
            </w:r>
            <w:r>
              <w:tab/>
            </w:r>
            <w:r>
              <w:rPr>
                <w:b/>
                <w:i/>
              </w:rPr>
              <w:t>επικροτεί ειδικότερα την απόφαση που ελήφθη, με την οποία παρατείνεται η περίοδος δημοσιονομικής προσαρμογής από τέσσερα σε επτά έτη για πέντε κράτη μέλη, προκειμένου να υπάρξει περαιτέρω ευελιξία για την υλοποίηση μεταρρυθμίσεων και επενδύσεων·</w:t>
            </w:r>
            <w:r>
              <w:t xml:space="preserve"> </w:t>
            </w:r>
            <w:r>
              <w:rPr>
                <w:b/>
                <w:i/>
              </w:rPr>
              <w:t>υπενθυμίζει ότι η παράταση αυτή υποστηρίζεται από δεσμεύσεις για ένα πρόσθετο σύνολο μεταρρυθμίσεων και επενδύσεων σύμφωνα με τις κοινές προτεραιότητες της ΕΕ, όπως η κοινωνική ανθεκτικότητα, και ότι καθεμία από τις μεταρρυθμίσεις και τις επενδύσεις πρέπει να περιγράφεται με επαρκή βαθμό λεπτομέρειας, να είναι εμπροσθοβαρής, χρονικά προσδιορισμένη και επαληθεύσιμη·</w:t>
            </w:r>
            <w:r>
              <w:t xml:space="preserve"> </w:t>
            </w:r>
            <w:r>
              <w:rPr>
                <w:b/>
                <w:i/>
              </w:rPr>
              <w:t>επιδοκιμάζει το γεγονός ότι, για αρκετά κράτη μέλη για τα οποία παρατάθηκε η περίοδος δημοσιονομικής προσαρμογής, οι μεταρρυθμίσεις συνδέονται με την κοινωνική ανθεκτικότητα, για παράδειγμα με σχέδια μεταρρύθμισης του συνταξιοδοτικού συστήματος, της κοινωνικής ασφάλισης ή του συστήματος θεώρησης και αναζήτησης εργασίας·</w:t>
            </w:r>
            <w:r>
              <w:t xml:space="preserve"> </w:t>
            </w:r>
            <w:r>
              <w:rPr>
                <w:b/>
                <w:i/>
              </w:rPr>
              <w:t>τονίζει ότι οι ετήσιες εκθέσεις προόδου των κρατών μελών θα πρέπει να περιλαμβάνουν την πρόοδο όσον αφορά τις εν λόγω μεταρρυθμίσεις και επενδύσεις·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β.</w:t>
            </w:r>
            <w:r>
              <w:tab/>
            </w:r>
            <w:r>
              <w:rPr>
                <w:b/>
                <w:i/>
              </w:rPr>
              <w:t>υπογραμμίζει ότι οι συμπράξεις δημόσιου και ιδιωτικού τομέα συχνά παρουσιάζουν εκτεταμένες ελλείψεις και περιορισμένα οφέλη, όπως υπογραμμίζεται σε έκθεση του Ευρωπαϊκού Ελεγκτικού Συνεδρίου του 2018</w:t>
            </w:r>
            <w:r>
              <w:rPr>
                <w:b/>
                <w:i/>
                <w:vertAlign w:val="superscript"/>
              </w:rPr>
              <w:t>5a</w:t>
            </w:r>
            <w:r>
              <w:rPr>
                <w:b/>
                <w:i/>
              </w:rPr>
              <w:t>·</w:t>
            </w:r>
            <w:r>
              <w:t xml:space="preserve"> </w:t>
            </w:r>
            <w:r>
              <w:rPr>
                <w:b/>
                <w:i/>
              </w:rPr>
              <w:t>επισημαίνει ότι οι εν λόγω συμπράξεις υπόκεινται σε σημαντικές ανεπάρκειες με τη μορφή καθυστερήσεων και σημαντικών αυξήσεων του κόστους, και ότι η κατανομή των κινδύνων μεταξύ δημόσιων και ιδιωτικών εταίρων είναι συχνά ακατάλληλη, ασυνεπής και αναποτελεσματική, ενώ τα υψηλά ποσοστά αμοιβής για τα επιχειρηματικά κεφάλαια του εταίρου από τον ιδιωτικό τομέα σπανίως αντικατοπτρίζουν τους κινδύνους που αναλαμβάνονται·</w:t>
            </w:r>
            <w:r>
              <w:t xml:space="preserve"> </w:t>
            </w:r>
            <w:r>
              <w:rPr>
                <w:b/>
                <w:i/>
              </w:rPr>
              <w:t>τονίζει τουλάχιστον την ανάγκη δημόσιας εποπτείας των συμπράξεων δημόσιου και ιδιωτικού τομέα, ιδίως για την αντιμετώπιση της σπατάλης δημόσιου χρήματος και της διαφθοράς·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https://www.eca.europa.eu/lists/ecadocuments/sr18_09/sr_ppp_el.pdf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β.</w:t>
            </w:r>
            <w:r>
              <w:tab/>
            </w:r>
            <w:r>
              <w:rPr>
                <w:b/>
                <w:i/>
              </w:rPr>
              <w:t>καλεί την Ευρωπαϊκή Επιτροπή να παρακολουθεί την εξέλιξη των κατώτατων μισθών στα κράτη μέλη μετά τη μεταφορά της οδηγίας για τους κατώτατους μισθούς στο εθνικό δίκαιο, προκειμένου να καθορίσει κατά πόσον επιτυγχάνεται ο στόχος της «επάρκειας» των κατώτατων μισθών·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γ.</w:t>
            </w:r>
            <w:r>
              <w:tab/>
            </w:r>
            <w:r>
              <w:rPr>
                <w:b/>
                <w:i/>
              </w:rPr>
              <w:t>εκφράζει ανησυχία που η συμμόρφωση με τις ειδικές ανά χώρα συστάσεις παραμένει σταθερά σε χαμηλό επίπεδο·</w:t>
            </w:r>
            <w:r>
              <w:t xml:space="preserve"> </w:t>
            </w:r>
            <w:r>
              <w:rPr>
                <w:b/>
                <w:i/>
              </w:rPr>
              <w:t>καλεί τα κράτη μέλη, δυνάμει του νέου πλαισίου οικονομικής διακυβέρνησης και του στόχου του για ενίσχυση της ανάληψης ιδίας ευθύνης σε εθνικό επίπεδο, να ανταποκρίνονται καλύτερα στις ειδικές ανά χώρα συστάσεις στον τομέα της απασχόλησης και των κοινωνικών πολιτικών στο πλαίσιο του Ευρωπαϊκού Εξαμήνου·</w:t>
            </w:r>
            <w:r>
              <w:t xml:space="preserve"> </w:t>
            </w:r>
            <w:r>
              <w:rPr>
                <w:b/>
                <w:i/>
              </w:rPr>
              <w:t>καλεί την Επιτροπή να ενισχύσει το διάλογο με τα κράτη μέλη σχετικά με την εφαρμογή των υφιστάμενων συστάσεων και των κατευθυντήριων γραμμών για την απασχόληση, καθώς και σχετικά με την τρέχουσα ή μελλοντική δράση πολιτικής για την αντιμετώπιση των προκλήσεων που έχουν εντοπιστεί·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γ.</w:t>
            </w:r>
            <w:r>
              <w:tab/>
            </w:r>
            <w:r>
              <w:rPr>
                <w:b/>
                <w:i/>
              </w:rPr>
              <w:t>αναγνωρίζει την κρίση του κόστους ζωής, η οποία έχει αυξήσει την επιβάρυνση των νοικοκυριών, και το αυξανόμενο κόστος στέγασης, τα οποία συμβάλλουν σε υψηλά επίπεδα ενεργειακής φτώχειας σε ολόκληρη την ΕΕ·</w:t>
            </w:r>
            <w:r>
              <w:t xml:space="preserve"> </w:t>
            </w:r>
            <w:r>
              <w:rPr>
                <w:b/>
                <w:i/>
              </w:rPr>
              <w:t>τονίζει ότι πρόκειται για ιστορική κρίση, η οποία επιδεινώνεται εν μέρει από τις πολιτικές λιτότητας που εφαρμόζουν η ΕΕ και πολλά κράτη μέλη.</w:t>
            </w:r>
            <w:r>
              <w:t xml:space="preserve"> </w:t>
            </w:r>
            <w:r>
              <w:rPr>
                <w:b/>
                <w:i/>
              </w:rPr>
              <w:t>Συνεπώς, καλεί την Επιτροπή και τα κράτη μέλη να αντιμετωπίσουν συνολικά τα βαθύτερα αίτια αυτής της κρίσης δίνοντας προτεραιότητα σε πολιτικές που προωθούν την οικονομική ανθεκτικότητα, την κοινωνική συνοχή και τη βιώσιμη ανάπτυξη.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δ.</w:t>
            </w:r>
            <w:r>
              <w:tab/>
            </w:r>
            <w:r>
              <w:rPr>
                <w:b/>
                <w:i/>
              </w:rPr>
              <w:t>επικροτεί τη θέσπιση πλαισίου για τον εντοπισμό των κινδύνων για την κοινωνική σύγκλιση στο πλαίσιο του Ευρωπαϊκού Εξαμήνου, το οποίο αποτέλεσε επίμονο αίτημα του Ευρωπαϊκού Κοινοβουλίου·</w:t>
            </w:r>
            <w:r>
              <w:t xml:space="preserve"> </w:t>
            </w:r>
            <w:r>
              <w:rPr>
                <w:b/>
                <w:i/>
              </w:rPr>
              <w:t>υπενθυμίζει ότι, στο πλαίσιο αυτό, η Επιτροπή αξιολογεί τους κινδύνους για την ανοδική κοινωνική σύγκλιση στα κράτη μέλη και παρακολουθεί την πρόοδο όσον αφορά την εφαρμογή του ευρωπαϊκού πυλώνα κοινωνικών δικαιωμάτων με βάση τον πίνακα κοινωνικών αποτελεσμάτων και τις αρχές του πλαισίου κοινωνικής σύγκλισης·</w:t>
            </w:r>
            <w:r>
              <w:t xml:space="preserve"> </w:t>
            </w:r>
            <w:r>
              <w:rPr>
                <w:b/>
                <w:i/>
              </w:rPr>
              <w:t>επιδοκιμάζει το γεγονός ότι η κοινή έκθεση για την απασχόληση (ΚΕΑ) του 2025 παρέχει ανάλυση ανά χώρα με βάση τις αρχές του πλαισίου κοινωνικής σύγκλισης·</w:t>
            </w:r>
            <w:r>
              <w:t xml:space="preserve"> </w:t>
            </w:r>
            <w:r>
              <w:rPr>
                <w:b/>
                <w:i/>
              </w:rPr>
              <w:t>καλεί την Επιτροπή να αναπτύξει περαιτέρω καινοτόμα εργαλεία ποσοτικής και ποιοτικής ανάλυσης στο πλαίσιο αυτού του νέου πλαισίου, προκειμένου να γίνει βέλτιστη χρήση του στους μελλοντικούς κύκλους του Ευρωπαϊκού Εξαμήνου·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9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ε.</w:t>
            </w:r>
            <w:r>
              <w:tab/>
            </w:r>
            <w:r>
              <w:rPr>
                <w:b/>
                <w:i/>
              </w:rPr>
              <w:t>επιδοκιμάζει το γεγονός ότι η πρώτη ανάλυση που βασίζεται στις αρχές του πλαισίου κοινωνικής σύγκλισης δείχνει ανοδική σύγκλιση στην αγορά εργασίας το 2023</w:t>
            </w:r>
            <w:r>
              <w:rPr>
                <w:b/>
                <w:i/>
                <w:vertAlign w:val="superscript"/>
              </w:rPr>
              <w:t>1α</w:t>
            </w:r>
            <w:r>
              <w:rPr>
                <w:b/>
                <w:i/>
              </w:rPr>
              <w:t>·</w:t>
            </w:r>
            <w:r>
              <w:t xml:space="preserve"> </w:t>
            </w:r>
            <w:r>
              <w:rPr>
                <w:b/>
                <w:i/>
              </w:rPr>
              <w:t>σημειώνει με ανησυχία ότι τα αποτελέσματα όσον αφορά την απασχόληση των υποεκπροσωπούμενων ομάδων εξακολουθούν να χρήζουν βελτίωσης, ενώ παραμένουν οι κίνδυνοι για την ανοδική σύγκλιση σε ευρωπαϊκό επίπεδο σε σχέση με την ανάπτυξη δεξιοτήτων, από την προσχολική εκπαίδευση έως τη διά βίου μάθηση, και τα κοινωνικά αποτελέσματα των ποσοστών κινδύνου φτώχειας και κοινωνικού αποκλεισμού·</w:t>
            </w:r>
            <w:r>
              <w:t xml:space="preserve"> </w:t>
            </w:r>
            <w:r>
              <w:rPr>
                <w:b/>
                <w:i/>
              </w:rPr>
              <w:t>καλεί την Επιτροπή να αναλύσει περαιτέρω αυτούς τους κινδύνους για την ανοδική κοινωνική σύγκλιση στο δεύτερο στάδιο της ανάλυσης και να συζητήσει με τα ενδιαφερόμενα κράτη μέλη τα μέτρα που έχουν ληφθεί ή προβλέπεται να ληφθούν για την αντιμετώπιση των εν λόγω κινδύνων·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ΚΕΑ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w:t>
            </w:r>
          </w:p>
        </w:tc>
        <w:tc>
          <w:tcPr>
            <w:tcW w:w="4876" w:type="dxa"/>
            <w:tcBorders>
              <w:top w:val="nil"/>
              <w:left w:val="nil"/>
              <w:bottom w:val="nil"/>
              <w:right w:val="nil"/>
            </w:tcBorders>
          </w:tcPr>
          <w:p>
            <w:pPr>
              <w:pStyle w:val="Normal6a"/>
            </w:pPr>
            <w:r>
              <w:t>10.</w:t>
            </w:r>
            <w:r>
              <w:tab/>
            </w:r>
            <w:r>
              <w:t xml:space="preserve">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w:t>
            </w:r>
            <w:r>
              <w:rPr>
                <w:b/>
                <w:i/>
              </w:rPr>
              <w:t>και της κατάστασης της αγοράς εργασίας</w:t>
            </w:r>
            <w:r>
              <w:t xml:space="preserve"> στα κράτη μέλη· </w:t>
            </w:r>
            <w:r>
              <w:rPr>
                <w:b/>
                <w:i/>
              </w:rPr>
              <w:t>αποδοκιμάζει, ειδικότερα, το γεγονός ότι, όσον αφορά τη δέσμη που καλύπτει τους δείκτες για την απασχόληση και τους κοινωνικούς δείκτες, το ποσοστό ανεργίας των νέων υποχωρεί από πρωταρχικό σε βοηθητικό δείκτη παρά την ανησυχητική κατάσταση σε αρκετά κράτη μέλη·</w:t>
            </w:r>
            <w:r>
              <w:t xml:space="preserve"> </w:t>
            </w:r>
            <w:r>
              <w:rPr>
                <w:b/>
                <w:i/>
              </w:rPr>
              <w:t>υπενθυμίζει στην Επιτροπή την υποχρέωσή της να συνεργάζεται στενά με το Ευρωπαϊκό Κοινοβούλιο και το Συμβούλιο κατά την κατάρτιση του πίνακα αποτελεσμάτων και της δέσμης μακροοικονομικών και μακροπρόθεσμων χρηματοπιστωτικών δεικτών για τα κράτη μέλη</w:t>
            </w:r>
            <w:r>
              <w:rPr>
                <w:b/>
                <w:i/>
                <w:vertAlign w:val="superscript"/>
              </w:rPr>
              <w:t>20a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20a</w:t>
            </w:r>
            <w:r>
              <w:t xml:space="preserve"> </w:t>
            </w:r>
            <w:r>
              <w:rPr>
                <w:b/>
                <w:i/>
              </w:rPr>
              <w:t>Κανονισμός (ΕΕ) αριθ. 1176/2011 σχετικά με την πρόληψη και τη διόρθωση των υπερβολικών μακροοικονομικών ανισορροπιών, αιτιολογική σκέψη 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w:t>
            </w:r>
          </w:p>
        </w:tc>
        <w:tc>
          <w:tcPr>
            <w:tcW w:w="4876" w:type="dxa"/>
            <w:tcBorders>
              <w:top w:val="nil"/>
              <w:left w:val="nil"/>
              <w:bottom w:val="nil"/>
              <w:right w:val="nil"/>
            </w:tcBorders>
          </w:tcPr>
          <w:p>
            <w:pPr>
              <w:pStyle w:val="Normal6a"/>
            </w:pPr>
            <w:r>
              <w:t>10.</w:t>
            </w:r>
            <w:r>
              <w:tab/>
            </w:r>
            <w:r>
              <w:t xml:space="preserve">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 </w:t>
            </w:r>
            <w:r>
              <w:rPr>
                <w:b/>
                <w:i/>
              </w:rPr>
              <w:t>αποδοκιμάζει το γεγονός ότι το ποσοστό μακροχρόνιας ανεργίας και η ανεργία των νέων δεν θεωρούνται πλέον πρωταρχικοί δείκτες, παρά τη σημασία τους για τον εντοπισμό και την αντιμετώπιση συγκεκριμένων προκλήσεων στην αγορά εργασίας και για την υιοθέτηση κατάλληλων δημόσιων πολιτικών·</w:t>
            </w:r>
            <w:r>
              <w:t xml:space="preserve"> </w:t>
            </w:r>
            <w:r>
              <w:rPr>
                <w:b/>
                <w:i/>
              </w:rPr>
              <w:t>αποδοκιμάζει την έλλειψη συμμετρίας του δείκτη πλεονάσματος του τρέχοντος ισοζυγίου στον πίνακα αποτελεσμάτων της ΔΜΑ·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w:t>
            </w:r>
          </w:p>
        </w:tc>
        <w:tc>
          <w:tcPr>
            <w:tcW w:w="4876" w:type="dxa"/>
            <w:tcBorders>
              <w:top w:val="nil"/>
              <w:left w:val="nil"/>
              <w:bottom w:val="nil"/>
              <w:right w:val="nil"/>
            </w:tcBorders>
          </w:tcPr>
          <w:p>
            <w:pPr>
              <w:pStyle w:val="Normal6a"/>
            </w:pPr>
            <w:r>
              <w:t>10.</w:t>
            </w:r>
            <w:r>
              <w:tab/>
            </w:r>
            <w:r>
              <w:t xml:space="preserve">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 </w:t>
            </w:r>
            <w:r>
              <w:rPr>
                <w:b/>
                <w:i/>
              </w:rPr>
              <w:t>και την καθοδήγηση των πολιτικών αποφάσεων·</w:t>
            </w:r>
            <w:r>
              <w:t xml:space="preserve"> </w:t>
            </w:r>
            <w:r>
              <w:rPr>
                <w:b/>
                <w:i/>
              </w:rPr>
              <w:t>τονίζει ότι η κοινωνική ανθεκτικότητα και η εφαρμογή των αρχών του ΕΠΚΔ πρέπει να αποτελούν μέρος του πίνακα αποτελεσμάτων της ΔΜΑ.</w:t>
            </w:r>
            <w:r>
              <w:t xml:space="preserve"> </w:t>
            </w:r>
            <w:r>
              <w:rPr>
                <w:b/>
                <w:i/>
              </w:rPr>
              <w:t>καλεί τα κράτη μέλη να ευθυγραμμίσουν τις δημοσιονομικές πολιτικές με τις προτεραιότητες των κοινωνικών επενδύσεων, σύμφωνα με το νέο πλαίσιο οικονομικής διακυβέρνησης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w:t>
            </w:r>
          </w:p>
        </w:tc>
        <w:tc>
          <w:tcPr>
            <w:tcW w:w="4876" w:type="dxa"/>
            <w:tcBorders>
              <w:top w:val="nil"/>
              <w:left w:val="nil"/>
              <w:bottom w:val="nil"/>
              <w:right w:val="nil"/>
            </w:tcBorders>
          </w:tcPr>
          <w:p>
            <w:pPr>
              <w:pStyle w:val="Normal6a"/>
            </w:pPr>
            <w:r>
              <w:t>10.</w:t>
            </w:r>
            <w:r>
              <w:tab/>
            </w:r>
            <w:r>
              <w:t xml:space="preserve">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 </w:t>
            </w:r>
            <w:r>
              <w:rPr>
                <w:b/>
                <w:i/>
              </w:rPr>
              <w:t>τονίζει ότι το βιοτικό επίπεδο θα πρέπει να εξομοιώνεται με τους παραδοσιακούς οικονομικούς δείκτες στη διαδικασία λήψης αποφάσεων.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w:t>
            </w:r>
          </w:p>
        </w:tc>
        <w:tc>
          <w:tcPr>
            <w:tcW w:w="4876" w:type="dxa"/>
            <w:tcBorders>
              <w:top w:val="nil"/>
              <w:left w:val="nil"/>
              <w:bottom w:val="nil"/>
              <w:right w:val="nil"/>
            </w:tcBorders>
          </w:tcPr>
          <w:p>
            <w:pPr>
              <w:pStyle w:val="Normal6a"/>
            </w:pPr>
            <w:r>
              <w:t>10.</w:t>
            </w:r>
            <w:r>
              <w:tab/>
            </w:r>
            <w:r>
              <w:t xml:space="preserve">εκφράζει την ανησυχία του για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w:t>
            </w:r>
            <w:r>
              <w:rPr>
                <w:b/>
                <w:i/>
              </w:rPr>
              <w:t>και τη βελτίωση</w:t>
            </w:r>
            <w:r>
              <w:t xml:space="preserve"> της κοινωνικής κατάστασης στα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εκφράζει την ανησυχία του για</w:t>
            </w:r>
            <w:r>
              <w:t xml:space="preserve">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w:t>
            </w:r>
          </w:p>
        </w:tc>
        <w:tc>
          <w:tcPr>
            <w:tcW w:w="4876" w:type="dxa"/>
            <w:tcBorders>
              <w:top w:val="nil"/>
              <w:left w:val="nil"/>
              <w:bottom w:val="nil"/>
              <w:right w:val="nil"/>
            </w:tcBorders>
          </w:tcPr>
          <w:p>
            <w:pPr>
              <w:pStyle w:val="Normal6a"/>
            </w:pPr>
            <w:r>
              <w:t>10.</w:t>
            </w:r>
            <w:r>
              <w:tab/>
            </w:r>
            <w:r>
              <w:rPr>
                <w:b/>
                <w:i/>
              </w:rPr>
              <w:t>επισημαίνει</w:t>
            </w:r>
            <w:r>
              <w:t xml:space="preserve"> τις αναθεωρήσεις της Επιτροπής στον πίνακα αποτελεσμάτων της διαδικασίας μακροοικονομικών ανισορροπιών, ιδίως για τη μείωση των δεικτών απασχόλησης και των κοινωνικών δεικτών, που είναι ζωτικής σημασίας για την αξιολόγηση της κοινωνικής κατάστασης στα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θεωρεί ότι, ελλείψει ενός χρηματοδοτούμενου από την ΕΕ σταθεροποιητή των δαπανών για κοινωνικές επενδύσεις και κοινωνικές δαπάνες, η συνεχιζόμενη δημοσιονομική εξυγίανση των εθνικών προϋπολογισμών θα βλάψει τους κοινωνικούς στόχους της οικονομικής διακυβέρνησης —δηλαδή τη δημιουργία ποιοτικών θέσεων εργασίας, την προστασία των εργαζομένων που εμπλέκονται σε εργασιακές μεταβάσεις και την προσαρμογή των συστημάτων πρόνοιας και κοινωνικής προστασίας στις δημογραφικές τάσεις.</w:t>
            </w:r>
            <w:r>
              <w:t xml:space="preserve"> </w:t>
            </w:r>
            <w:r>
              <w:rPr>
                <w:b/>
                <w:i/>
              </w:rPr>
              <w:t>θεωρεί ότι η εδαφική και κοινωνική συνοχή αποτελούν βασικές συνιστώσες του θεματολογίου για την ανταγωνιστικότητα και ότι οι διευκολύνσεις, όπως το ευρωπαϊκό μέσο προσωρινής στήριξης για τον μετριασμό των κινδύνων ανεργίας σε κατάσταση έκτακτης ανάγκης (SURE), εξακολουθούν να αποτελούν θετικό παράδειγμα έμπνευσης για μελλοντικές πρωτοβουλίες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α.</w:t>
            </w:r>
            <w:r>
              <w:tab/>
            </w:r>
            <w:r>
              <w:rPr>
                <w:b/>
                <w:i/>
              </w:rPr>
              <w:t>θεωρεί ότι η Επιτροπή και τα κράτη μέλη της ΕΕ θα πρέπει να διασφαλίσουν ότι οι δημοσιονομικές πολιτικές στο πλαίσιο του Ευρωπαϊκού Εξαμήνου στηρίζουν επενδύσεις ευθυγραμμισμένες με τον ΕΠΚΔ, ιδίως σε τομείς όπως η αξιοπρεπής και οικονομικά προσιτή στέγαση, η ποιοτική υγειονομική περίθαλψη, η εκπαίδευση και τα συστήματα κοινωνικής προστασίας, καθώς οι εν λόγω τομείς είναι ζωτικής σημασίας για την κοινωνική συνοχή και τη μακροπρόθεσμη οικονομική βιωσιμότητα και για την αντιμετώπιση των προκλήσεων που εντοπίζονται μέσω κοινωνικών δεικτών·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β.</w:t>
            </w:r>
            <w:r>
              <w:tab/>
            </w:r>
            <w:r>
              <w:rPr>
                <w:b/>
                <w:i/>
              </w:rPr>
              <w:t>αποδοκιμάζει το γεγονός ότι η Ευρωπαϊκή Επιτροπή δεν ζήτησε τη γνώμη του Ευρωπαϊκού Κοινοβουλίου όσον αφορά τις προγραμματισμένες αλλαγές στον πίνακα αποτελεσμάτων της ΔΜΑ, ενώ οι αλλαγές αυτές συζητήθηκαν με το Συμβούλιο·</w:t>
            </w:r>
            <w:r>
              <w:t xml:space="preserve"> </w:t>
            </w:r>
            <w:r>
              <w:rPr>
                <w:b/>
                <w:i/>
              </w:rPr>
              <w:t>εκφράζει τη βαθιά του λύπη που το Συμβούλιο και το Ευρωπαϊκό Κοινοβούλιο δεν αντιμετωπίστηκαν επί ίσοις όροις·</w:t>
            </w:r>
            <w:r>
              <w:t xml:space="preserve"> </w:t>
            </w:r>
            <w:r>
              <w:rPr>
                <w:b/>
                <w:i/>
              </w:rPr>
              <w:t>παροτρύνει την Επιτροπή να διαβουλευτεί δεόντως με το Ευρωπαϊκό Κοινοβούλιο πριν από την εφαρμογή περαιτέρω αλλαγών·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εξ ονόματος της Ομάδας Greens/EFA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τονίζει την ανάγκη να αντιμετωπιστούν οι βασικές προκλήσεις που προσδιορίζονται στον πίνακας κοινωνικών αποτελεσμάτων ως «κρίσιμες» και «προς παρακολούθηση», συμπεριλαμβανομένων της παιδικής μέριμνας, τις διαφορές στην απασχόληση των ατόμων με αναπηρία, του αντικτύπου των κοινωνικών μεταβιβάσεων στη μείωση της φτώχειας και των βασικών ψηφιακών δεξιοτήτων</w:t>
            </w:r>
            <w:r>
              <w:rPr>
                <w:vertAlign w:val="superscript"/>
              </w:rPr>
              <w:t>3</w:t>
            </w:r>
            <w:r>
              <w:t>·</w:t>
            </w:r>
          </w:p>
        </w:tc>
        <w:tc>
          <w:tcPr>
            <w:tcW w:w="4876" w:type="dxa"/>
            <w:tcBorders>
              <w:top w:val="nil"/>
              <w:left w:val="nil"/>
              <w:bottom w:val="nil"/>
              <w:right w:val="nil"/>
            </w:tcBorders>
          </w:tcPr>
          <w:p>
            <w:pPr>
              <w:pStyle w:val="Normal6a"/>
            </w:pPr>
            <w:r>
              <w:t>11.</w:t>
            </w:r>
            <w:r>
              <w:tab/>
            </w:r>
            <w:r>
              <w:t>τονίζει την ανάγκη να αντιμετωπιστούν οι βασικές προκλήσεις που προσδιορίζονται στον πίνακας κοινωνικών αποτελεσμάτων ως «κρίσιμες» και «προς παρακολούθηση», συμπεριλαμβανομένων της παιδικής μέριμνας, τις διαφορές στην απασχόληση των ατόμων με αναπηρία, του αντικτύπου των κοινωνικών μεταβιβάσεων στη μείωση της φτώχειας και των βασικών ψηφιακών δεξιοτήτων</w:t>
            </w:r>
            <w:r>
              <w:rPr>
                <w:vertAlign w:val="superscript"/>
              </w:rPr>
              <w:t>3</w:t>
            </w:r>
            <w:r>
              <w:t xml:space="preserve">· </w:t>
            </w:r>
            <w:r>
              <w:rPr>
                <w:b/>
                <w:i/>
              </w:rPr>
              <w:t>οι προκλήσεις αυτές πρέπει να αντιμετωπιστούν κατά τρόπο που να εκτιμά τη συμβολή των κοινωνικών εταίρων, των οποίων η συμμετοχή στην εφαρμογή του πλαισίου κοινωνικής σύγκλισης πρέπει να ενισχυθεί σύμφωνα με την κοινή δήλωση της ΕΣΣΟ, της SGIEurope και της SMEUnited για την τεκμηριωμένη και ουσιαστική συμμετοχή των κοινωνικών εταίρων στην οικονομική διακυβέρνηση και στο Ευρωπαϊκό Εξάμηνο·</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Πρόταση για μια κοινή έκθεση για την απασχόληση από την Επιτροπή και το Συμβούλιο (COM(2023)0904).</w:t>
            </w:r>
          </w:p>
        </w:tc>
        <w:tc>
          <w:tcPr>
            <w:tcW w:w="4876" w:type="dxa"/>
            <w:tcBorders>
              <w:top w:val="nil"/>
              <w:left w:val="nil"/>
              <w:bottom w:val="nil"/>
              <w:right w:val="nil"/>
            </w:tcBorders>
          </w:tcPr>
          <w:p>
            <w:pPr>
              <w:pStyle w:val="Normal6a"/>
            </w:pPr>
            <w:r>
              <w:rPr>
                <w:vertAlign w:val="superscript"/>
              </w:rPr>
              <w:t>3</w:t>
            </w:r>
            <w:r>
              <w:t xml:space="preserve"> </w:t>
            </w:r>
            <w:r>
              <w:t>Πρόταση για μια κοινή έκθεση για την απασχόληση από την Επιτροπή και το Συμβούλιο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τονίζει την ανάγκη να αντιμετωπιστούν οι βασικές προκλήσεις που προσδιορίζονται στον </w:t>
            </w:r>
            <w:r>
              <w:rPr>
                <w:b/>
                <w:i/>
              </w:rPr>
              <w:t>πίνακας</w:t>
            </w:r>
            <w:r>
              <w:t xml:space="preserve"> κοινωνικών αποτελεσμάτων ως «κρίσιμες» και «προς παρακολούθηση», συμπεριλαμβανομένων της παιδικής μέριμνας</w:t>
            </w:r>
            <w:r>
              <w:rPr>
                <w:b/>
                <w:i/>
              </w:rPr>
              <w:t>, τις διαφορές</w:t>
            </w:r>
            <w:r>
              <w:t xml:space="preserve"> στην απασχόληση των ατόμων με αναπηρία, του αντικτύπου των κοινωνικών μεταβιβάσεων στη μείωση της φτώχειας και των βασικών ψηφιακών δεξιοτήτων</w:t>
            </w:r>
            <w:r>
              <w:rPr>
                <w:vertAlign w:val="superscript"/>
              </w:rPr>
              <w:t>3</w:t>
            </w:r>
            <w:r>
              <w:t>·</w:t>
            </w:r>
          </w:p>
        </w:tc>
        <w:tc>
          <w:tcPr>
            <w:tcW w:w="4876" w:type="dxa"/>
            <w:tcBorders>
              <w:top w:val="nil"/>
              <w:left w:val="nil"/>
              <w:bottom w:val="nil"/>
              <w:right w:val="nil"/>
            </w:tcBorders>
          </w:tcPr>
          <w:p>
            <w:pPr>
              <w:pStyle w:val="Normal6a"/>
            </w:pPr>
            <w:r>
              <w:t>11.</w:t>
            </w:r>
            <w:r>
              <w:tab/>
            </w:r>
            <w:r>
              <w:t xml:space="preserve">τονίζει την ανάγκη να αντιμετωπιστούν οι βασικές προκλήσεις που προσδιορίζονται στον </w:t>
            </w:r>
            <w:r>
              <w:rPr>
                <w:b/>
                <w:i/>
              </w:rPr>
              <w:t>πίνακα</w:t>
            </w:r>
            <w:r>
              <w:t xml:space="preserve"> κοινωνικών αποτελεσμάτων ως «κρίσιμες» και «προς παρακολούθηση», συμπεριλαμβανομένων της παιδικής μέριμνας </w:t>
            </w:r>
            <w:r>
              <w:rPr>
                <w:b/>
                <w:i/>
              </w:rPr>
              <w:t>και της μακροχρόνιας φροντίδας, των διαφορών</w:t>
            </w:r>
            <w:r>
              <w:t xml:space="preserve"> στην απασχόληση των ατόμων με αναπηρία, του αντικτύπου των κοινωνικών μεταβιβάσεων στη μείωση της φτώχειας και των βασικών ψηφιακών δεξιοτήτων</w:t>
            </w:r>
            <w:r>
              <w:rPr>
                <w:vertAlign w:val="superscript"/>
              </w:rPr>
              <w:t>3</w:t>
            </w:r>
            <w:r>
              <w:rPr>
                <w:b/>
                <w:i/>
              </w:rPr>
              <w:t>, ιδίως για τις ευάλωτες ομάδες, όπως οι νέοι και οι ηλικιωμένοι, τα άτομα με αναπηρία και οι μετανάστες</w:t>
            </w:r>
            <w:r>
              <w:rPr>
                <w:b/>
                <w:i/>
                <w:vertAlign w:val="superscript"/>
              </w:rPr>
              <w:t>5a</w:t>
            </w:r>
            <w:r>
              <w:rPr>
                <w:b/>
                <w:i/>
              </w:rPr>
              <w:t>, της πρόσβασης σε στέγαση, της παιδικής φτώχειας και της πρόσβασης στην υγειονομική περίθαλψη</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Πρόταση για μια κοινή έκθεση για την απασχόληση από την Επιτροπή και το Συμβούλιο (COM(2023)0904).</w:t>
            </w:r>
          </w:p>
        </w:tc>
        <w:tc>
          <w:tcPr>
            <w:tcW w:w="4876" w:type="dxa"/>
            <w:tcBorders>
              <w:top w:val="nil"/>
              <w:left w:val="nil"/>
              <w:bottom w:val="nil"/>
              <w:right w:val="nil"/>
            </w:tcBorders>
          </w:tcPr>
          <w:p>
            <w:pPr>
              <w:pStyle w:val="Normal6a"/>
            </w:pPr>
            <w:r>
              <w:rPr>
                <w:vertAlign w:val="superscript"/>
              </w:rPr>
              <w:t>3</w:t>
            </w:r>
            <w:r>
              <w:t xml:space="preserve"> </w:t>
            </w:r>
            <w:r>
              <w:t>Πρόταση για μια κοινή έκθεση για την απασχόληση από την Επιτροπή και το Συμβούλιο (COM(2023)0904).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Πρόταση για μια κοινή έκθεση για την απασχόληση από την Επιτροπή και το Συμβούλιο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τονίζει την ανάγκη να αντιμετωπιστούν οι βασικές προκλήσεις που προσδιορίζονται στον </w:t>
            </w:r>
            <w:r>
              <w:rPr>
                <w:b/>
                <w:i/>
              </w:rPr>
              <w:t>πίνακας</w:t>
            </w:r>
            <w:r>
              <w:t xml:space="preserve"> κοινωνικών αποτελεσμάτων ως «κρίσιμες» και «</w:t>
            </w:r>
            <w:r>
              <w:rPr>
                <w:b/>
                <w:i/>
              </w:rPr>
              <w:t>προς παρακολούθηση</w:t>
            </w:r>
            <w:r>
              <w:t xml:space="preserve">», συμπεριλαμβανομένων της παιδικής μέριμνας, </w:t>
            </w:r>
            <w:r>
              <w:rPr>
                <w:b/>
                <w:i/>
              </w:rPr>
              <w:t>τις διαφορές</w:t>
            </w:r>
            <w:r>
              <w:t xml:space="preserve"> στην απασχόληση των ατόμων με αναπηρία, του αντικτύπου των κοινωνικών μεταβιβάσεων στη μείωση της φτώχειας και των βασικών ψηφιακών δεξιοτήτων</w:t>
            </w:r>
            <w:r>
              <w:rPr>
                <w:vertAlign w:val="superscript"/>
              </w:rPr>
              <w:t>3</w:t>
            </w:r>
            <w:r>
              <w:t>·</w:t>
            </w:r>
          </w:p>
        </w:tc>
        <w:tc>
          <w:tcPr>
            <w:tcW w:w="4876" w:type="dxa"/>
            <w:tcBorders>
              <w:top w:val="nil"/>
              <w:left w:val="nil"/>
              <w:bottom w:val="nil"/>
              <w:right w:val="nil"/>
            </w:tcBorders>
          </w:tcPr>
          <w:p>
            <w:pPr>
              <w:pStyle w:val="Normal6a"/>
            </w:pPr>
            <w:r>
              <w:t>11.</w:t>
            </w:r>
            <w:r>
              <w:tab/>
            </w:r>
            <w:r>
              <w:t xml:space="preserve">τονίζει την ανάγκη να αντιμετωπιστούν οι βασικές προκλήσεις που προσδιορίζονται στον </w:t>
            </w:r>
            <w:r>
              <w:rPr>
                <w:b/>
                <w:i/>
              </w:rPr>
              <w:t>πίνακα</w:t>
            </w:r>
            <w:r>
              <w:t xml:space="preserve"> κοινωνικών αποτελεσμάτων ως «κρίσιμες» και «</w:t>
            </w:r>
            <w:r>
              <w:rPr>
                <w:b/>
                <w:i/>
              </w:rPr>
              <w:t>να δοθεί προσοχή</w:t>
            </w:r>
            <w:r>
              <w:t xml:space="preserve">», συμπεριλαμβανομένων </w:t>
            </w:r>
            <w:r>
              <w:rPr>
                <w:b/>
                <w:i/>
              </w:rPr>
              <w:t>των προκλήσεων που αφορούν τα παιδιά που διατρέχουν κίνδυνο φτώχειας ή κοινωνικού αποκλεισμού,</w:t>
            </w:r>
            <w:r>
              <w:t xml:space="preserve"> της παιδικής μέριμνας, </w:t>
            </w:r>
            <w:r>
              <w:rPr>
                <w:b/>
                <w:i/>
              </w:rPr>
              <w:t>των διαφορών</w:t>
            </w:r>
            <w:r>
              <w:t xml:space="preserve"> στην απασχόληση των ατόμων με αναπηρία</w:t>
            </w:r>
            <w:r>
              <w:rPr>
                <w:b/>
                <w:i/>
              </w:rPr>
              <w:t>, του χάσματος μεταξύ των φύλων στην απασχόληση, της υπερβολικής επιβάρυνσης με δαπάνες στέγασης</w:t>
            </w:r>
            <w:r>
              <w:t>, του αντικτύπου των κοινωνικών μεταβιβάσεων στη μείωση της φτώχειας και των βασικών ψηφιακών δεξιοτήτων</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Πρόταση για μια κοινή έκθεση για την απασχόληση από την Επιτροπή και το Συμβούλιο (COM(2023)0904).</w:t>
            </w:r>
          </w:p>
        </w:tc>
        <w:tc>
          <w:tcPr>
            <w:tcW w:w="4876" w:type="dxa"/>
            <w:tcBorders>
              <w:top w:val="nil"/>
              <w:left w:val="nil"/>
              <w:bottom w:val="nil"/>
              <w:right w:val="nil"/>
            </w:tcBorders>
          </w:tcPr>
          <w:p>
            <w:pPr>
              <w:pStyle w:val="Normal6a"/>
            </w:pPr>
            <w:r>
              <w:rPr>
                <w:vertAlign w:val="superscript"/>
              </w:rPr>
              <w:t>3</w:t>
            </w:r>
            <w:r>
              <w:t xml:space="preserve"> </w:t>
            </w:r>
            <w:r>
              <w:t>Πρόταση για μια κοινή έκθεση για την απασχόληση από την Επιτροπή και το Συμβούλιο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τονίζει την ανάγκη να αντιμετωπιστούν οι βασικές προκλήσεις που προσδιορίζονται στον πίνακας κοινωνικών αποτελεσμάτων ως «κρίσιμες» και «προς παρακολούθηση», συμπεριλαμβανομένων της παιδικής μέριμνας, τις διαφορές</w:t>
            </w:r>
            <w:r>
              <w:t xml:space="preserve"> στην απασχόληση των ατόμων με αναπηρία</w:t>
            </w:r>
            <w:r>
              <w:rPr>
                <w:b/>
                <w:i/>
              </w:rPr>
              <w:t>, του αντικτύπου των κοινωνικών μεταβιβάσεων στη μείωση</w:t>
            </w:r>
            <w:r>
              <w:t xml:space="preserve"> της φτώχειας και </w:t>
            </w:r>
            <w:r>
              <w:rPr>
                <w:b/>
                <w:i/>
              </w:rPr>
              <w:t>των</w:t>
            </w:r>
            <w:r>
              <w:t xml:space="preserve"> βασικών ψηφιακών δεξιοτήτων</w:t>
            </w:r>
            <w:r>
              <w:rPr>
                <w:vertAlign w:val="superscript"/>
              </w:rPr>
              <w:t>3</w:t>
            </w:r>
            <w:r>
              <w:t>·</w:t>
            </w:r>
          </w:p>
        </w:tc>
        <w:tc>
          <w:tcPr>
            <w:tcW w:w="4876" w:type="dxa"/>
            <w:tcBorders>
              <w:top w:val="nil"/>
              <w:left w:val="nil"/>
              <w:bottom w:val="nil"/>
              <w:right w:val="nil"/>
            </w:tcBorders>
          </w:tcPr>
          <w:p>
            <w:pPr>
              <w:pStyle w:val="Normal6a"/>
            </w:pPr>
            <w:r>
              <w:t>11.</w:t>
            </w:r>
            <w:r>
              <w:tab/>
            </w:r>
            <w:r>
              <w:rPr>
                <w:b/>
                <w:i/>
              </w:rPr>
              <w:t>καλεί τα κράτη μέλη να λάβουν περαιτέρω μέτρα για την παροχή προσχολικής παιδικής φροντίδας, τη μείωση των διαφορών</w:t>
            </w:r>
            <w:r>
              <w:t xml:space="preserve"> στην απασχόληση των ατόμων με αναπηρία </w:t>
            </w:r>
            <w:r>
              <w:rPr>
                <w:b/>
                <w:i/>
              </w:rPr>
              <w:t>και</w:t>
            </w:r>
            <w:r>
              <w:t xml:space="preserve"> της φτώχειας και </w:t>
            </w:r>
            <w:r>
              <w:rPr>
                <w:b/>
                <w:i/>
              </w:rPr>
              <w:t>την προώθηση</w:t>
            </w:r>
            <w:r>
              <w:t xml:space="preserve"> βασικών ψηφιακών δεξιοτήτων</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Πρόταση για μια κοινή έκθεση για την απασχόληση από την Επιτροπή και το Συμβούλιο (COM(2023)0904).</w:t>
            </w:r>
          </w:p>
        </w:tc>
        <w:tc>
          <w:tcPr>
            <w:tcW w:w="4876" w:type="dxa"/>
            <w:tcBorders>
              <w:top w:val="nil"/>
              <w:left w:val="nil"/>
              <w:bottom w:val="nil"/>
              <w:right w:val="nil"/>
            </w:tcBorders>
          </w:tcPr>
          <w:p>
            <w:pPr>
              <w:pStyle w:val="Normal6a"/>
            </w:pPr>
            <w:r>
              <w:rPr>
                <w:vertAlign w:val="superscript"/>
              </w:rPr>
              <w:t>3</w:t>
            </w:r>
            <w:r>
              <w:t xml:space="preserve"> </w:t>
            </w:r>
            <w:r>
              <w:t>Πρόταση για μια κοινή έκθεση για την απασχόληση από την Επιτροπή και το Συμβούλιο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α.</w:t>
            </w:r>
            <w:r>
              <w:tab/>
            </w:r>
            <w:r>
              <w:rPr>
                <w:b/>
                <w:i/>
              </w:rPr>
              <w:t>τονίζει τις αρνητικές επιπτώσεις που είχε η κρίση του κόστους ζωής στα άτομα με αναπηρία·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β.</w:t>
            </w:r>
            <w:r>
              <w:tab/>
            </w:r>
            <w:r>
              <w:rPr>
                <w:b/>
                <w:i/>
              </w:rPr>
              <w:t>καλεί τα κράτη μέλη και την Επιτροπή να δραστηριοποιηθούν περισσότερο στην καταπολέμηση της φτώχειας·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γ.</w:t>
            </w:r>
            <w:r>
              <w:tab/>
            </w:r>
            <w:r>
              <w:rPr>
                <w:b/>
                <w:i/>
              </w:rPr>
              <w:t>καλεί τα κράτη μέλη να εξετάσουν τα ζητήματα που αντιμετωπίζουν οι φτωχοί εργαζόμενοι· αναγνωρίζει ότι σημαντικό μέρος του εργατικού δυναμικού στην ΕΕ ζει σε συνθήκες φτώχειας παρά το γεγονός ότι εργάζεται.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δ.</w:t>
            </w:r>
            <w:r>
              <w:tab/>
            </w:r>
            <w:r>
              <w:rPr>
                <w:b/>
                <w:i/>
              </w:rPr>
              <w:t>παροτρύνει τα κράτη μέλη να εξετάσουν το ενδεχόμενο εφαρμογής ισχυρών πολιτικών που θα διασφαλίσουν δίκαιους μισθούς και θα βελτιώσουν τις συνθήκες εργασίας, ιδίως για τους χαμηλόμισθους και τους επισφαλείς εργαζομένους.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11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ε.</w:t>
            </w:r>
            <w:r>
              <w:tab/>
            </w:r>
            <w:r>
              <w:rPr>
                <w:b/>
                <w:i/>
              </w:rPr>
              <w:t>καλεί τα κράτη μέλη να ενισχύσουν τα κοινωνικά δίχτυα ασφάλειας, ώστε να παρέχεται επαρκής στήριξη στα άτομα των οποίων το εισόδημα από την απασχόληση δεν επαρκεί για την κάλυψη του βασικού κόστους ζωής·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ζητεί να γίνουν βελτιώσεις στον πίνακας κοινωνικών αποτελεσμάτων με την εισαγωγή δεικτών που αντικατοπτρίζουν τις τάσεις και τα αίτια των ανισοτήτων, όπως η ποιοτική απασχόληση, η κατανομή του πλούτου, η πρόσβαση σε δημόσιες υπηρεσίες, οι</w:t>
            </w:r>
            <w:r>
              <w:t xml:space="preserve"> επαρκείς συντάξεις, </w:t>
            </w:r>
            <w:r>
              <w:rPr>
                <w:b/>
                <w:i/>
              </w:rPr>
              <w:t>η</w:t>
            </w:r>
            <w:r>
              <w:t xml:space="preserve"> ψυχική υγεία </w:t>
            </w:r>
            <w:r>
              <w:rPr>
                <w:b/>
                <w:i/>
              </w:rPr>
              <w:t>και η ανεργία</w:t>
            </w:r>
            <w:r>
              <w:t>· υπενθυμίζει ότι ο δείκτης κινδύνου φτώχειας ή κοινωνικού αποκλεισμού (AROPE) δεν αποκαλύπτει τις αιτίες των πολύπλοκων ανισοτήτων·</w:t>
            </w:r>
          </w:p>
        </w:tc>
        <w:tc>
          <w:tcPr>
            <w:tcW w:w="4876" w:type="dxa"/>
            <w:tcBorders>
              <w:top w:val="nil"/>
              <w:left w:val="nil"/>
              <w:bottom w:val="nil"/>
              <w:right w:val="nil"/>
            </w:tcBorders>
          </w:tcPr>
          <w:p>
            <w:pPr>
              <w:pStyle w:val="Normal6a"/>
            </w:pPr>
            <w:r>
              <w:t>12.</w:t>
            </w:r>
            <w:r>
              <w:tab/>
            </w:r>
            <w:r>
              <w:rPr>
                <w:b/>
                <w:i/>
              </w:rPr>
              <w:t>παροτρύνει τα κράτη μέλη να προωθήσουν την ανοδική κοινωνική σύγκλιση, να βελτιώσουν την πρόσβαση σε ποιοτική απασχόληση και ποιοτικές δημόσιες υπηρεσίες, να αυξήσουν περαιτέρω τη συμμετοχή των παιδιών κάτω των τριών ετών στις επίσημες υπηρεσίες παιδικής φροντίδας, ιδίως για τις ευάλωτες ομάδες·</w:t>
            </w:r>
            <w:r>
              <w:t xml:space="preserve"> </w:t>
            </w:r>
            <w:r>
              <w:rPr>
                <w:b/>
                <w:i/>
              </w:rPr>
              <w:t>να λάβουν ενεργά μέτρα για τη μείωση της πρόωρης εγκατάλειψης του σχολείου και της ανεργίας των νέων, να εξασφαλίσουν</w:t>
            </w:r>
            <w:r>
              <w:t xml:space="preserve"> επαρκείς συντάξεις, </w:t>
            </w:r>
            <w:r>
              <w:rPr>
                <w:b/>
                <w:i/>
              </w:rPr>
              <w:t>να ενισχύσουν την αποτελεσματικότητα των κοινωνικών μεταβιβάσεων, να προωθήσουν την</w:t>
            </w:r>
            <w:r>
              <w:t xml:space="preserve"> ψυχική υγεία </w:t>
            </w:r>
            <w:r>
              <w:rPr>
                <w:b/>
                <w:i/>
              </w:rPr>
              <w:t>σε όλες τις ηλικιακές ομάδες</w:t>
            </w:r>
            <w:r>
              <w:t>· υπενθυμίζει ότι ο δείκτης κινδύνου φτώχειας ή κοινωνικού αποκλεισμού (AROPE) δεν αποκαλύπτει τις αιτίες των πολύπλοκων ανισοτήτων</w:t>
            </w:r>
            <w:r>
              <w:rPr>
                <w:b/>
                <w:i/>
              </w:rPr>
              <w:t>, αλλά αναγνωρίζει ότι το ποσοστό των ατόμων που διατρέχουν κίνδυνο φτώχειας ή κοινωνικού αποκλεισμού μειώθηκε ελαφρώς στην ΕΕ το 2023 χάρη στην αποφασιστική δράση πολιτικής για την άμβλυνση των αρνητικών κοινωνικών επιπτώσεων του υψηλού κόστους ζωής, και ζητεί να ληφθούν κατάλληλα μέτρα για την περαιτέρω μείωση της φτώχειας και του κοινωνικού αποκλεισμού, ιδίως μεταξύ των παιδιών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ζητεί να γίνουν βελτιώσεις στον </w:t>
            </w:r>
            <w:r>
              <w:rPr>
                <w:b/>
                <w:i/>
              </w:rPr>
              <w:t>πίνακας</w:t>
            </w:r>
            <w:r>
              <w:t xml:space="preserve"> κοινωνικών αποτελεσμάτων με την εισαγωγή δεικτών που αντικατοπτρίζουν τις τάσεις και τα αίτια των ανισοτήτων, όπως </w:t>
            </w:r>
            <w:r>
              <w:rPr>
                <w:b/>
                <w:i/>
              </w:rPr>
              <w:t>η</w:t>
            </w:r>
            <w:r>
              <w:t xml:space="preserve"> ποιοτική απασχόληση, </w:t>
            </w:r>
            <w:r>
              <w:rPr>
                <w:b/>
                <w:i/>
              </w:rPr>
              <w:t>η</w:t>
            </w:r>
            <w:r>
              <w:t xml:space="preserve"> κατανομή του πλούτου, </w:t>
            </w:r>
            <w:r>
              <w:rPr>
                <w:b/>
                <w:i/>
              </w:rPr>
              <w:t>η</w:t>
            </w:r>
            <w:r>
              <w:t xml:space="preserve"> πρόσβαση σε δημόσιες υπηρεσίες, </w:t>
            </w:r>
            <w:r>
              <w:rPr>
                <w:b/>
                <w:i/>
              </w:rPr>
              <w:t>οι</w:t>
            </w:r>
            <w:r>
              <w:t xml:space="preserve"> επαρκείς συντάξεις, </w:t>
            </w:r>
            <w:r>
              <w:rPr>
                <w:b/>
                <w:i/>
              </w:rPr>
              <w:t>η</w:t>
            </w:r>
            <w:r>
              <w:t xml:space="preserve"> ψυχική υγεία και </w:t>
            </w:r>
            <w:r>
              <w:rPr>
                <w:b/>
                <w:i/>
              </w:rPr>
              <w:t>η</w:t>
            </w:r>
            <w:r>
              <w:t xml:space="preserve"> ανεργία· υπενθυμίζει ότι ο δείκτης κινδύνου φτώχειας ή κοινωνικού αποκλεισμού (AROPE) δεν αποκαλύπτει τις αιτίες των πολύπλοκων ανισοτήτων·</w:t>
            </w:r>
          </w:p>
        </w:tc>
        <w:tc>
          <w:tcPr>
            <w:tcW w:w="4876" w:type="dxa"/>
            <w:tcBorders>
              <w:top w:val="nil"/>
              <w:left w:val="nil"/>
              <w:bottom w:val="nil"/>
              <w:right w:val="nil"/>
            </w:tcBorders>
          </w:tcPr>
          <w:p>
            <w:pPr>
              <w:pStyle w:val="Normal6a"/>
            </w:pPr>
            <w:r>
              <w:t>12.</w:t>
            </w:r>
            <w:r>
              <w:tab/>
            </w:r>
            <w:r>
              <w:t xml:space="preserve">ζητεί να γίνουν βελτιώσεις στον </w:t>
            </w:r>
            <w:r>
              <w:rPr>
                <w:b/>
                <w:i/>
              </w:rPr>
              <w:t>πίνακα</w:t>
            </w:r>
            <w:r>
              <w:t xml:space="preserve"> κοινωνικών αποτελεσμάτων με την εισαγωγή </w:t>
            </w:r>
            <w:r>
              <w:rPr>
                <w:b/>
                <w:i/>
              </w:rPr>
              <w:t>σχετικών</w:t>
            </w:r>
            <w:r>
              <w:t xml:space="preserve"> δεικτών που αντικατοπτρίζουν τις τάσεις και τα αίτια των ανισοτήτων, όπως </w:t>
            </w:r>
            <w:r>
              <w:rPr>
                <w:b/>
                <w:i/>
              </w:rPr>
              <w:t>δείκτες για τις ίσες ευκαιρίες, την</w:t>
            </w:r>
            <w:r>
              <w:t xml:space="preserve"> ποιοτική απασχόληση, </w:t>
            </w:r>
            <w:r>
              <w:rPr>
                <w:b/>
                <w:i/>
              </w:rPr>
              <w:t>την</w:t>
            </w:r>
            <w:r>
              <w:t xml:space="preserve"> κατανομή του πλούτου, </w:t>
            </w:r>
            <w:r>
              <w:rPr>
                <w:b/>
                <w:i/>
              </w:rPr>
              <w:t>την</w:t>
            </w:r>
            <w:r>
              <w:t xml:space="preserve"> πρόσβαση σε δημόσιες υπηρεσίες, </w:t>
            </w:r>
            <w:r>
              <w:rPr>
                <w:b/>
                <w:i/>
              </w:rPr>
              <w:t>την κάλυψη των κοινωνικών υπηρεσιών, συμπεριλαμβανομένων της ενέργειας, της ύδρευσης και της αποχέτευσης, τις υπηρεσίες φροντίδας, τις</w:t>
            </w:r>
            <w:r>
              <w:t xml:space="preserve"> επαρκείς συντάξεις, </w:t>
            </w:r>
            <w:r>
              <w:rPr>
                <w:b/>
                <w:i/>
              </w:rPr>
              <w:t>το ποσοστό αστεγίας, την</w:t>
            </w:r>
            <w:r>
              <w:t xml:space="preserve"> ψυχική υγεία και </w:t>
            </w:r>
            <w:r>
              <w:rPr>
                <w:b/>
                <w:i/>
              </w:rPr>
              <w:t>την</w:t>
            </w:r>
            <w:r>
              <w:t xml:space="preserve"> ανεργία</w:t>
            </w:r>
            <w:r>
              <w:rPr>
                <w:b/>
                <w:i/>
              </w:rPr>
              <w:t>, καθώς και δείκτες για τη μέτρηση των κοινωνικών επιπτώσεων από την υποβάθμιση του περιβάλλοντος και την κλιματική αλλαγή·</w:t>
            </w:r>
            <w:r>
              <w:t xml:space="preserve"> </w:t>
            </w:r>
            <w:r>
              <w:rPr>
                <w:b/>
                <w:i/>
              </w:rPr>
              <w:t>τονίζει την ανάγκη να συμπεριληφθούν δείκτες σχετικά με την κάλυψη των κοινωνικών υπηρεσιών και τις σχετικές δαπάνες</w:t>
            </w:r>
            <w:r>
              <w:t>· υπενθυμίζει ότι ο δείκτης κινδύνου φτώχειας ή κοινωνικού αποκλεισμού (AROPE) δεν αποκαλύπτει τις αιτίες των πολύπλοκων ανισοτήτων·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ζητεί να γίνουν βελτιώσεις στον </w:t>
            </w:r>
            <w:r>
              <w:rPr>
                <w:b/>
                <w:i/>
              </w:rPr>
              <w:t>πίνακας</w:t>
            </w:r>
            <w:r>
              <w:t xml:space="preserve"> κοινωνικών αποτελεσμάτων με την εισαγωγή δεικτών που αντικατοπτρίζουν τις τάσεις και τα αίτια των ανισοτήτων, όπως η ποιοτική απασχόληση, η κατανομή του πλούτου, η πρόσβαση σε δημόσιες υπηρεσίες, οι επαρκείς συντάξεις, η ψυχική υγεία και η ανεργία· υπενθυμίζει ότι ο δείκτης κινδύνου φτώχειας ή κοινωνικού αποκλεισμού (AROPE) δεν αποκαλύπτει τις αιτίες των πολύπλοκων ανισοτήτων·</w:t>
            </w:r>
          </w:p>
        </w:tc>
        <w:tc>
          <w:tcPr>
            <w:tcW w:w="4876" w:type="dxa"/>
            <w:tcBorders>
              <w:top w:val="nil"/>
              <w:left w:val="nil"/>
              <w:bottom w:val="nil"/>
              <w:right w:val="nil"/>
            </w:tcBorders>
          </w:tcPr>
          <w:p>
            <w:pPr>
              <w:pStyle w:val="Normal6a"/>
            </w:pPr>
            <w:r>
              <w:t>12.</w:t>
            </w:r>
            <w:r>
              <w:tab/>
            </w:r>
            <w:r>
              <w:rPr>
                <w:b/>
                <w:i/>
              </w:rPr>
              <w:t>τονίζει την ανάγκη για έγκαιρα και εναρμονισμένα δεδομένα σχετικά με τις κοινωνικές πολιτικές, προκειμένου να βελτιωθεί η τεκμηριωμένη χάραξη πολιτικής και οι στοχευμένες κοινωνικές επενδύσεις·</w:t>
            </w:r>
            <w:r>
              <w:t xml:space="preserve"> ζητεί να γίνουν βελτιώσεις στον </w:t>
            </w:r>
            <w:r>
              <w:rPr>
                <w:b/>
                <w:i/>
              </w:rPr>
              <w:t>πίνακα</w:t>
            </w:r>
            <w:r>
              <w:t> κοινωνικών αποτελεσμάτων</w:t>
            </w:r>
            <w:r>
              <w:rPr>
                <w:b/>
                <w:i/>
              </w:rPr>
              <w:t>, προκειμένου να καλυφθούν οι 20 αρχές του ΕΠΚΔ,</w:t>
            </w:r>
            <w:r>
              <w:t xml:space="preserve"> με την εισαγωγή δεικτών που αντικατοπτρίζουν τις τάσεις και τα αίτια των ανισοτήτων, όπως η ποιοτική απασχόληση, η κατανομή του πλούτου, η πρόσβαση σε δημόσιες υπηρεσίες, </w:t>
            </w:r>
            <w:r>
              <w:rPr>
                <w:b/>
                <w:i/>
              </w:rPr>
              <w:t>η κάλυψη των κοινωνικών υπηρεσιών,</w:t>
            </w:r>
            <w:r>
              <w:t xml:space="preserve"> οι επαρκείς συντάξεις, η ψυχική υγεία</w:t>
            </w:r>
            <w:r>
              <w:rPr>
                <w:b/>
                <w:i/>
              </w:rPr>
              <w:t>, οι διακρίσεις</w:t>
            </w:r>
            <w:r>
              <w:t xml:space="preserve"> και η ανεργία· υπενθυμίζει ότι ο δείκτης κινδύνου φτώχειας ή κοινωνικού αποκλεισμού (AROPE) δεν αποκαλύπτει τις αιτίες των πολύπλοκων ανισοτήτων·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α.</w:t>
            </w:r>
            <w:r>
              <w:tab/>
            </w:r>
            <w:r>
              <w:rPr>
                <w:b/>
                <w:i/>
              </w:rPr>
              <w:t>καλεί την Ευρωπαϊκή Επιτροπή και τα κράτη μέλη της ΕΕ να αναπτύξουν ένα ισχυρό ευρωπαϊκό πλαίσιο για τη συλλογή δεδομένων σχετικά με τις κοινωνικές υπηρεσίες για την παρακολούθηση των επενδύσεων στις κοινωνικές υπηρεσίες και της κάλυψης των εν λόγω υπηρεσιών·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β.</w:t>
            </w:r>
            <w:r>
              <w:tab/>
            </w:r>
            <w:r>
              <w:rPr>
                <w:b/>
                <w:i/>
              </w:rPr>
              <w:t>συνιστά να ενσωματωθούν στο Ευρωπαϊκό Εξάμηνο δεδομένα σχετικά με τη ρύθμιση, τις δαπάνες και την κάλυψη των κοινωνικών υπηρεσιών, ώστε να ενισχυθεί η υποβολή στοιχείων σχετικά με την ικανότητα των κρατών μελών της ΕΕ να διασφαλίζουν την παροχή κοινωνικών υπηρεσιών, συμπεριλαμβανομένης της πρόσβασης και της διαθεσιμότητας των εν λόγω υπηρεσιών για τον πληθυσμό·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767.871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164</w:t>
    </w:r>
    <w:r>
      <w:fldChar w:fldCharType="end"/>
    </w:r>
    <w:r>
      <w:t>/</w:t>
    </w:r>
    <w:r>
      <w:fldChar w:fldCharType="begin"/>
    </w:r>
    <w:r>
      <w:instrText xml:space="preserve"> NUMPAGES </w:instrText>
    </w:r>
    <w:r>
      <w:fldChar w:fldCharType="separate"/>
    </w:r>
    <w:r>
      <w:t>165</w:t>
    </w:r>
    <w:r>
      <w:fldChar w:fldCharType="end"/>
    </w:r>
    <w:r>
      <w:tab/>
    </w:r>
    <w:r>
      <w:rPr>
        <w:rStyle w:val="HideTWBExt"/>
      </w:rPr>
      <w:t>&lt;PathFdR&gt;</w:t>
    </w:r>
    <w:r>
      <w:t>AM\1312899EL.docx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AM\1312899EL.docx</w:t>
    </w:r>
    <w:r>
      <w:rPr>
        <w:rStyle w:val="HideTWBExt"/>
      </w:rPr>
      <w:t>&lt;/PathFdR&gt;</w:t>
    </w:r>
    <w:r>
      <w:tab/>
    </w:r>
    <w:r>
      <w:fldChar w:fldCharType="begin"/>
    </w:r>
    <w:r>
      <w:instrText xml:space="preserve"> PAGE </w:instrText>
    </w:r>
    <w:r>
      <w:fldChar w:fldCharType="separate"/>
    </w:r>
    <w:r>
      <w:t>165</w:t>
    </w:r>
    <w:r>
      <w:fldChar w:fldCharType="end"/>
    </w:r>
    <w:r>
      <w:t>/</w:t>
    </w:r>
    <w:r>
      <w:fldChar w:fldCharType="begin"/>
    </w:r>
    <w:r>
      <w:instrText xml:space="preserve"> NUMPAGES </w:instrText>
    </w:r>
    <w:r>
      <w:fldChar w:fldCharType="separate"/>
    </w:r>
    <w:r>
      <w:t>165</w:t>
    </w:r>
    <w:r>
      <w:fldChar w:fldCharType="end"/>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AM\1312899EL.docx</w:t>
    </w:r>
    <w:r>
      <w:rPr>
        <w:rStyle w:val="HideTWBExt"/>
      </w:rPr>
      <w:t>&lt;/PathFdR&gt;</w:t>
    </w:r>
    <w:r>
      <w:tab/>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165</Pages>
  <Words>33607</Words>
  <Characters>204835</Characters>
  <Application>Microsoft Office Word</Application>
  <DocSecurity>0</DocSecurity>
  <Lines>1</Lines>
  <Paragraphs>2409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115165</vt:lpwstr>
  </property>
  <property fmtid="{D5CDD505-2E9C-101B-9397-08002B2CF9AE}" pid="7" name="dmxml.render.traceId">
    <vt:lpwstr>6791eda72ff002a047938c87de2facbe</vt:lpwstr>
  </property>
  <property fmtid="{D5CDD505-2E9C-101B-9397-08002B2CF9AE}" pid="8" name="FooterPath">
    <vt:lpwstr>AM\1312899EL.docx</vt:lpwstr>
  </property>
  <property fmtid="{D5CDD505-2E9C-101B-9397-08002B2CF9AE}" pid="9" name="PE Number">
    <vt:lpwstr>767.871</vt:lpwstr>
  </property>
  <property fmtid="{D5CDD505-2E9C-101B-9397-08002B2CF9AE}" pid="10" name="UID">
    <vt:lpwstr>eu.europa.europarl-DIN1-2025-0000002210_02.00-el-01.00_text-xml</vt:lpwstr>
  </property>
</Properties>
</file>