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Užimtumo ir socialinių reikalų komitetas</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Europos ekonominės politikos koordinavimo semestras: 2025 m. užimtumo ir socialiniai prioritetai</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2017 m. lapkričio 17 d. Parlamento, Tarybos ir Komisijos paskelbtą ir pasirašytą Europos socialinių teisių ramstį (ESTR),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Sutarties dėl Europos Sąjungos veikimo (SESV) 121 ir 148 straipsnius,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socialinių teisių ramsčio principus, visų pirmą į 11 principą dėl vaikų priežiūros ir paramos vaikams,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ES socialinių rodiklių suvestinę ir jos pagrindinius bei antrinius rodiklius,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 m. kovo 4 d. Komisijos komunikatą „Europos socialinių teisių ramsčio veiksmų planas“ (COM(2021)0102) ir jame siūlomus 2030 m. pagrindinius tikslus užimtumo, įgūdžių ir skurdo mažinimo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 m. Europos socialinių teisių ramsčio veiksmų planą, kuriuo siekiama skatinti aukštynkryptę socialinę konvergenciją iki 2030 m., visų pirma į jo 3 pagrindinį tikslą,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16 d. Parlamento, Komisijos, Europos ekonomikos ir socialinių reikalų komiteto ir Tarybos pasirašytą La Hulpės deklaraciją dėl Europos socialinių teisių ramsčio ateities,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gegužės 10 d. Europos Parlamento ir Tarybos reglamentą (ES) 2023/955, kuriuo įsteigiamas Socialinis klimato fondas ir iš dalies keičiamas Reglamentas (ES) 2021/1060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OL L 130, 2023 5 16, p.</w:t>
            </w:r>
            <w:r>
              <w:t xml:space="preserve"> </w:t>
            </w:r>
            <w:r>
              <w:rPr>
                <w:b/>
                <w:i/>
              </w:rPr>
              <w:t>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f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 į 2024 m. balandžio 29 d. Europos Parlamento ir Tarybos reglamentą (ES) 2024/1263 dėl veiksmingo ekonominės politikos koordinavimo ir daugiašalės biudžeto priežiūros, kuriuo panaikinamas Tarybos reglamentas (EB) Nr. 1466/97, ypač į jo 3, 4, 13 ir 27straipsnius</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OL L, 2024/1263, 2024 4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g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 m. spalio 7 d. Komisijos komunikatą „Lygybės Sąjunga. ES romų lygybės, įtraukties ir dalyvavimo strateginis planas 2020 - 2030 m. laikotarpiui“ (COM(2020)0620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h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 m. kovo 3 d. Komisijos komunikatą „Lygybės sąjunga. 2021–2030 m. neįgaliųjų teisių strategija“ (COM(2021)0101),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i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sausio 17 d. Komisijos komunikatą „Specialistų potencialo išnaudojimas Europos regionuose“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j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kovo 20 d. Komisijos komunikatą „Darbo jėgos ir įgūdžių trūkumas ES. Veiksmų planas“ (COM(2024)131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k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rugsėjo 19 d. Komisijos ataskaitą „Užimtumas ir socialinė raida Europoje. Aukštynkryptė socialinė konvergencija ES ir socialinių investicijų vaidmuo“,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lapkričio 26 d. Komisijos komunikatą „2025 m. Europos semestras. Naujos ekonomikos valdymo sistemos įgyvendinimas“ (COM(2024) 705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17 d. Komisijos komunikatą „2025 m. Europos semestras. Rudens dokumentų rinkinys“ (COM(2024)700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2024 m. </w:t>
            </w:r>
            <w:r>
              <w:rPr>
                <w:b/>
                <w:i/>
              </w:rPr>
              <w:t>XXX</w:t>
            </w:r>
            <w:r>
              <w:t xml:space="preserve"> Komisijos pasiūlymą dėl Komisijos ir Tarybos bendros užimtumo ataskaitos (</w:t>
            </w:r>
            <w:r>
              <w:rPr>
                <w:b/>
                <w:i/>
              </w:rPr>
              <w:t>COM(2024)XXX</w:t>
            </w:r>
            <w:r>
              <w:t>),</w:t>
            </w:r>
          </w:p>
        </w:tc>
        <w:tc>
          <w:tcPr>
            <w:tcW w:w="4876" w:type="dxa"/>
            <w:tcBorders>
              <w:top w:val="nil"/>
              <w:left w:val="nil"/>
              <w:bottom w:val="nil"/>
              <w:right w:val="nil"/>
            </w:tcBorders>
          </w:tcPr>
          <w:p>
            <w:pPr>
              <w:pStyle w:val="Normal6a"/>
            </w:pPr>
            <w:r>
              <w:rPr>
                <w:b/>
                <w:i/>
              </w:rPr>
              <w:t>–</w:t>
            </w:r>
            <w:r>
              <w:tab/>
            </w:r>
            <w:r>
              <w:t xml:space="preserve">atsižvelgdamas į 2024 m. </w:t>
            </w:r>
            <w:r>
              <w:rPr>
                <w:b/>
                <w:i/>
              </w:rPr>
              <w:t>gruodžio 17 d.</w:t>
            </w:r>
            <w:r>
              <w:t xml:space="preserve"> Komisijos pasiūlymą dėl Komisijos ir Tarybos bendros užimtumo ataskaitos (</w:t>
            </w:r>
            <w:r>
              <w:rPr>
                <w:b/>
                <w:i/>
              </w:rPr>
              <w:t>COM(2020)0701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2024 m. </w:t>
            </w:r>
            <w:r>
              <w:rPr>
                <w:b/>
                <w:i/>
              </w:rPr>
              <w:t>XXX</w:t>
            </w:r>
            <w:r>
              <w:t xml:space="preserve"> Komisijos rekomendaciją dėl Tarybos rekomendacijos dėl euro zonos ekonominės politikos (</w:t>
            </w:r>
            <w:r>
              <w:rPr>
                <w:b/>
                <w:i/>
              </w:rPr>
              <w:t>COM(2024)XXX</w:t>
            </w:r>
            <w:r>
              <w:t>),</w:t>
            </w:r>
          </w:p>
        </w:tc>
        <w:tc>
          <w:tcPr>
            <w:tcW w:w="4876" w:type="dxa"/>
            <w:tcBorders>
              <w:top w:val="nil"/>
              <w:left w:val="nil"/>
              <w:bottom w:val="nil"/>
              <w:right w:val="nil"/>
            </w:tcBorders>
          </w:tcPr>
          <w:p>
            <w:pPr>
              <w:pStyle w:val="Normal6a"/>
            </w:pPr>
            <w:r>
              <w:rPr>
                <w:b/>
                <w:i/>
              </w:rPr>
              <w:t>–</w:t>
            </w:r>
            <w:r>
              <w:tab/>
            </w:r>
            <w:r>
              <w:t xml:space="preserve">atsižvelgdamas į 2024 m. </w:t>
            </w:r>
            <w:r>
              <w:rPr>
                <w:b/>
                <w:i/>
              </w:rPr>
              <w:t>gruodžio 17 d.</w:t>
            </w:r>
            <w:r>
              <w:t xml:space="preserve"> Komisijos rekomendaciją dėl Tarybos rekomendacijos dėl euro zonos ekonominės politikos (</w:t>
            </w:r>
            <w:r>
              <w:rPr>
                <w:b/>
                <w:i/>
              </w:rPr>
              <w:t>COM(2024)0704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2024 m. </w:t>
            </w:r>
            <w:r>
              <w:rPr>
                <w:b/>
                <w:i/>
              </w:rPr>
              <w:t>XXX</w:t>
            </w:r>
            <w:r>
              <w:t xml:space="preserve"> Komisijos ataskaitą „2025 m. įspėjimo mechanizmo ataskaita“,</w:t>
            </w:r>
          </w:p>
        </w:tc>
        <w:tc>
          <w:tcPr>
            <w:tcW w:w="4876" w:type="dxa"/>
            <w:tcBorders>
              <w:top w:val="nil"/>
              <w:left w:val="nil"/>
              <w:bottom w:val="nil"/>
              <w:right w:val="nil"/>
            </w:tcBorders>
          </w:tcPr>
          <w:p>
            <w:pPr>
              <w:pStyle w:val="Normal6a"/>
            </w:pPr>
            <w:r>
              <w:rPr>
                <w:b/>
                <w:i/>
              </w:rPr>
              <w:t>–</w:t>
            </w:r>
            <w:r>
              <w:tab/>
            </w:r>
            <w:r>
              <w:t xml:space="preserve">atsižvelgdamas į 2024 m. </w:t>
            </w:r>
            <w:r>
              <w:rPr>
                <w:b/>
                <w:i/>
              </w:rPr>
              <w:t>gruodžio 17d.</w:t>
            </w:r>
            <w:r>
              <w:t xml:space="preserve"> Komisijos ataskaitą „2025 m. įspėjimo mechanizmo ataskaita“ </w:t>
            </w:r>
            <w:r>
              <w:rPr>
                <w:b/>
                <w:i/>
              </w:rPr>
              <w:t>(COM(2024)0702)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Komisijos tarnybų darbinio dokumento dėl planuojamų makroekonominio disbalanso procedūros rezultatų suvestinės </w:t>
            </w:r>
            <w:r>
              <w:rPr>
                <w:b/>
                <w:i/>
              </w:rPr>
              <w:t>patikslinimų</w:t>
            </w:r>
            <w:r>
              <w:t xml:space="preserve"> vykdant reguliarios peržiūros procesą projektą (</w:t>
            </w:r>
            <w:r>
              <w:rPr>
                <w:b/>
                <w:i/>
              </w:rPr>
              <w:t>SWD(2024)XXX</w:t>
            </w:r>
            <w:r>
              <w:t>),</w:t>
            </w:r>
          </w:p>
        </w:tc>
        <w:tc>
          <w:tcPr>
            <w:tcW w:w="4876" w:type="dxa"/>
            <w:tcBorders>
              <w:top w:val="nil"/>
              <w:left w:val="nil"/>
              <w:bottom w:val="nil"/>
              <w:right w:val="nil"/>
            </w:tcBorders>
          </w:tcPr>
          <w:p>
            <w:pPr>
              <w:pStyle w:val="Normal6a"/>
            </w:pPr>
            <w:r>
              <w:rPr>
                <w:b/>
                <w:i/>
              </w:rPr>
              <w:t>–</w:t>
            </w:r>
            <w:r>
              <w:tab/>
            </w:r>
            <w:r>
              <w:t xml:space="preserve">atsižvelgdamas į Komisijos tarnybų darbinio dokumento dėl planuojamų makroekonominio disbalanso procedūros rezultatų suvestinės </w:t>
            </w:r>
            <w:r>
              <w:rPr>
                <w:b/>
                <w:i/>
              </w:rPr>
              <w:t>pakeitimų</w:t>
            </w:r>
            <w:r>
              <w:t xml:space="preserve"> vykdant reguliarios peržiūros procesą projektą (</w:t>
            </w:r>
            <w:r>
              <w:rPr>
                <w:b/>
                <w:i/>
              </w:rPr>
              <w:t>SWD(2024)702 galutinis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tarpinstitucinę La Hulpės deklaraciją dėl Europos socialinių teisių ramsčio ateities, kurią pasirašė ES institucijos, socialiniai partneriai ir pilietinė visuomenė (2024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29 d. Europos Parlamento ir Tarybos reglamentą (ES) 2024/1263 dėl veiksmingo ekonominės politikos koordinavimo ir daugiašalės biudžeto priežiūros, kuriuo panaikinamas Tarybos reglamentas (EB) Nr.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lapkričio 8 d. Budapešto deklaraciją dėl Europos konkurencingumo susitarimo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2 d. Užimtumo, socialinės politikos, sveikatos ir vartotojų reikalų tarybos priimtą Tarybos sprendimą dėl užimtumo gairių, kuriame nustatyti užimtumo ir socialiniai prioritetai, suderinti su Europos socialinių teisių ramsčio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rugsėjo mėn. paskelbtą Komisijos ataskaitą „Užimtumas ir socialinė raida Europoje“,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La Hulpės deklaraciją dėl Europos socialinių teisių ramsčio ateities</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trišalę deklaraciją dėl klestinčio Europos socialinio dialogo ir į būsimą socialinio dialogo paktą,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 m. Europos įgūdžių darbotvarkę,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f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2022 m. rugsėjo 7 d. Komisijos komunikatą dėl Europos priežiūros strategijos (COM(2022)0440final),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g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2017 m. lapkričio mėn. Tarybos, Parlamento ir Komisijos paskelbtą Europos socialinių teisių ramstį ir 2021 m. patvirtintą Veiksmų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h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17 d. Komisijos komunikatą „2025 m. Europos semestras. Rudens dokumentų rinkinys“ (COM(2024)700,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i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gruodžio 17 d. Komisijos pasiūlymą dėl 2025 m. bendros užimtumo ataskaitos (COM(2024)701),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j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2022 m. spalio 19 d. Europos Parlamento ir Tarybos direktyvą (ES) 2022/2041 dėl deramo minimaliojo darbo užmokesčio Europos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k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socialinę chartiją (ESC), nurodytą ESTR preambulėje,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l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Tarybos rekomendaciją dėl galimybės gauti įperkamą kokybišką ilgalaikę priežiūrą,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m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darnaus vystymosi tikslus (DVT),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n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2020–2025 m. Lyčių lygybės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o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 į 2020–2025 m. ES kovos su rasizmu veiksmų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p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2020–2030 m. ES romų lygybės, įtraukties ir dalyvavimo strateginį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q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2020–2025 m. Europos Sąjungos LGBTIQ asmenų lygybės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r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2021–2030 m. neįgaliųjų teisių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s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29 d. Europos Parlamento ir Tarybos reglamentą (ES) 2024/1263 dėl veiksmingo ekonominės politikos koordinavimo ir daugiašalės biudžeto priežiūros, kuriuo panaikinamas Tarybos reglamentas (EB) Nr.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padaryta pažanga siekiant</w:t>
            </w:r>
            <w:r>
              <w:t xml:space="preserve"> ES užimtumo </w:t>
            </w:r>
            <w:r>
              <w:rPr>
                <w:b/>
                <w:i/>
              </w:rPr>
              <w:t>tikslų</w:t>
            </w:r>
            <w:r>
              <w:t>, nepaisant netikrumo, kurį sukėlė Rusijos agresijos karas prieš Ukrainą, ir didelės infliacijos poveikio</w:t>
            </w:r>
            <w:r>
              <w:rPr>
                <w:b/>
                <w:i/>
              </w:rPr>
              <w:t>, ir kadangi 2023 m. užimtumo augimas ES išliko spartus, nors kai kuriose valstybėse narėse tebėra aukštas nedarbo lygis, visų pirma jaunimo</w:t>
            </w:r>
            <w:r>
              <w:t xml:space="preserve"> nedarbo </w:t>
            </w:r>
            <w:r>
              <w:rPr>
                <w:b/>
                <w:i/>
              </w:rPr>
              <w:t>lygis</w:t>
            </w:r>
            <w:r>
              <w:t xml:space="preserve">, taip pat </w:t>
            </w:r>
            <w:r>
              <w:rPr>
                <w:b/>
                <w:i/>
              </w:rPr>
              <w:t>esama didelės nelygybės tarp sektorių ir regionų, o tai</w:t>
            </w:r>
            <w:r>
              <w:t xml:space="preserve"> ilgainiui </w:t>
            </w:r>
            <w:r>
              <w:rPr>
                <w:b/>
                <w:i/>
              </w:rPr>
              <w:t>gali</w:t>
            </w:r>
            <w:r>
              <w:t xml:space="preserve"> neigiamai paveikti socialinę sanglaudą ir Europos </w:t>
            </w:r>
            <w:r>
              <w:rPr>
                <w:b/>
                <w:i/>
              </w:rPr>
              <w:t>Sąjungos</w:t>
            </w:r>
            <w:r>
              <w:t xml:space="preserve"> piliečių gerovę;</w:t>
            </w:r>
          </w:p>
        </w:tc>
        <w:tc>
          <w:tcPr>
            <w:tcW w:w="4876" w:type="dxa"/>
            <w:tcBorders>
              <w:top w:val="nil"/>
              <w:left w:val="nil"/>
              <w:bottom w:val="nil"/>
              <w:right w:val="nil"/>
            </w:tcBorders>
          </w:tcPr>
          <w:p>
            <w:pPr>
              <w:pStyle w:val="Normal6a"/>
            </w:pPr>
            <w:r>
              <w:t>A.</w:t>
            </w:r>
            <w:r>
              <w:tab/>
            </w:r>
            <w:r>
              <w:t>kadangi</w:t>
            </w:r>
            <w:r>
              <w:rPr>
                <w:b/>
                <w:i/>
              </w:rPr>
              <w:t>, remiantis Komisijos 2025 m. rudens ekonomine prognoze,</w:t>
            </w:r>
            <w:r>
              <w:t xml:space="preserve"> ES užimtumo </w:t>
            </w:r>
            <w:r>
              <w:rPr>
                <w:b/>
                <w:i/>
              </w:rPr>
              <w:t>lygis pasiekė 75,3 proc.; </w:t>
            </w:r>
            <w:r>
              <w:t xml:space="preserve"> </w:t>
            </w:r>
            <w:r>
              <w:rPr>
                <w:b/>
                <w:i/>
              </w:rPr>
              <w:t>kadangi investicijų į socialinę gerovę, kuriomis ne tik gerinamas gyvenimo lygis, bet ir skatinamas ekonomikos augimas ir aukštesnis užimtumo lygis, ekonominei grąžai turi būti teikiama vertė; </w:t>
            </w:r>
            <w:r>
              <w:t xml:space="preserve"> </w:t>
            </w:r>
            <w:r>
              <w:rPr>
                <w:b/>
                <w:i/>
              </w:rPr>
              <w:t>kadangi kai kuriose valstybėse narėse užimtumo lygis pasiekė precedento neturintį lygį ir užimtumo lygis auga</w:t>
            </w:r>
            <w:r>
              <w:t>, nepaisant netikrumo, kurį sukėlė Rusijos agresijos karas prieš Ukrainą, ir didelės infliacijos poveikio</w:t>
            </w:r>
            <w:r>
              <w:rPr>
                <w:b/>
                <w:i/>
              </w:rPr>
              <w:t>; </w:t>
            </w:r>
            <w:r>
              <w:t xml:space="preserve"> </w:t>
            </w:r>
            <w:r>
              <w:rPr>
                <w:b/>
                <w:i/>
              </w:rPr>
              <w:t>tačiau ES tebėra didelių iššūkių, įskaitant aukštą jaunimo, moterų, vyresnio amžiaus žmonių, žemos ir vidutinės kvalifikacijos asmenų, migrantų ir neįgaliųjų</w:t>
            </w:r>
            <w:r>
              <w:t xml:space="preserve"> nedarbo </w:t>
            </w:r>
            <w:r>
              <w:rPr>
                <w:b/>
                <w:i/>
              </w:rPr>
              <w:t>lygį</w:t>
            </w:r>
            <w:r>
              <w:t xml:space="preserve">, taip pat </w:t>
            </w:r>
            <w:r>
              <w:rPr>
                <w:b/>
                <w:i/>
              </w:rPr>
              <w:t>mažų garantijų darbo sąlygas, struktūrinę nelygybę ir socialinės apsaugos spragas įvairiuose sektoriuose, regionuose ir socialinėse grupėse, kurios</w:t>
            </w:r>
            <w:r>
              <w:t xml:space="preserve"> ilgainiui </w:t>
            </w:r>
            <w:r>
              <w:rPr>
                <w:b/>
                <w:i/>
              </w:rPr>
              <w:t>galėtų</w:t>
            </w:r>
            <w:r>
              <w:t xml:space="preserve"> neigiamai paveikti socialinę sanglaudą ir Europos piliečių gerovę;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padaryta pažanga siekiant ES užimtumo tikslų, nepaisant netikrumo, kurį sukėlė Rusijos agresijos karas prieš Ukrainą, ir didelės infliacijos </w:t>
            </w:r>
            <w:r>
              <w:rPr>
                <w:b/>
                <w:i/>
              </w:rPr>
              <w:t>poveikio</w:t>
            </w:r>
            <w:r>
              <w:t>, ir kadangi 2023 m. užimtumo augimas ES išliko spartus</w:t>
            </w:r>
            <w:r>
              <w:rPr>
                <w:b/>
                <w:i/>
              </w:rPr>
              <w:t>, nors</w:t>
            </w:r>
            <w:r>
              <w:t xml:space="preserve"> kai kuriose valstybėse narėse </w:t>
            </w:r>
            <w:r>
              <w:rPr>
                <w:b/>
                <w:i/>
              </w:rPr>
              <w:t>tebėra</w:t>
            </w:r>
            <w:r>
              <w:t xml:space="preserve"> aukštas nedarbo lygis, visų pirma jaunimo nedarbo lygis, taip pat </w:t>
            </w:r>
            <w:r>
              <w:rPr>
                <w:b/>
                <w:i/>
              </w:rPr>
              <w:t>esama didelės nelygybės tarp</w:t>
            </w:r>
            <w:r>
              <w:t xml:space="preserve"> sektorių ir regionų</w:t>
            </w:r>
            <w:r>
              <w:rPr>
                <w:b/>
                <w:i/>
              </w:rPr>
              <w:t>, o tai ilgainiui</w:t>
            </w:r>
            <w:r>
              <w:t xml:space="preserve"> gali neigiamai paveikti socialinę sanglaudą ir Europos </w:t>
            </w:r>
            <w:r>
              <w:rPr>
                <w:b/>
                <w:i/>
              </w:rPr>
              <w:t>Sąjungos</w:t>
            </w:r>
            <w:r>
              <w:t xml:space="preserve"> piliečių gerovę;</w:t>
            </w:r>
          </w:p>
        </w:tc>
        <w:tc>
          <w:tcPr>
            <w:tcW w:w="4876" w:type="dxa"/>
            <w:tcBorders>
              <w:top w:val="nil"/>
              <w:left w:val="nil"/>
              <w:bottom w:val="nil"/>
              <w:right w:val="nil"/>
            </w:tcBorders>
          </w:tcPr>
          <w:p>
            <w:pPr>
              <w:pStyle w:val="Normal6a"/>
            </w:pPr>
            <w:r>
              <w:t>A.</w:t>
            </w:r>
            <w:r>
              <w:tab/>
            </w:r>
            <w:r>
              <w:t xml:space="preserve">kadangi padaryta pažanga siekiant ES užimtumo tikslų, </w:t>
            </w:r>
            <w:r>
              <w:rPr>
                <w:b/>
                <w:i/>
              </w:rPr>
              <w:t>t. y. kad iki 2030 m. bent 78 proc. 20–64 metų amžiaus žmonių turėtų darbą,</w:t>
            </w:r>
            <w:r>
              <w:t xml:space="preserve"> nepaisant netikrumo, kurį sukėlė Rusijos agresijos karas prieš Ukrainą, </w:t>
            </w:r>
            <w:r>
              <w:rPr>
                <w:b/>
                <w:i/>
              </w:rPr>
              <w:t>ekonomikos sąstingis</w:t>
            </w:r>
            <w:r>
              <w:t xml:space="preserve"> ir didelės infliacijos </w:t>
            </w:r>
            <w:r>
              <w:rPr>
                <w:b/>
                <w:i/>
              </w:rPr>
              <w:t>poveikis</w:t>
            </w:r>
            <w:r>
              <w:t xml:space="preserve">, ir kadangi 2023 m. užimtumo augimas ES išliko spartus </w:t>
            </w:r>
            <w:r>
              <w:rPr>
                <w:b/>
                <w:i/>
              </w:rPr>
              <w:t>ir pasiekė rekordinį 75,3 proc. lygį; </w:t>
            </w:r>
            <w:r>
              <w:t xml:space="preserve"> </w:t>
            </w:r>
            <w:r>
              <w:rPr>
                <w:b/>
                <w:i/>
              </w:rPr>
              <w:t>kadangi valstybės narės įsipareigojo siekti nacionalinių tikslų, kad pasiektų šį pagrindinį tikslą, ir kadangi dviejuose trečdaliuose valstybių narių užimtumo augimas 2023 m. buvo toks, kad būtų pasiektas nacionalinis 2030 m. tikslas; </w:t>
            </w:r>
            <w:r>
              <w:t xml:space="preserve"> </w:t>
            </w:r>
            <w:r>
              <w:rPr>
                <w:b/>
                <w:i/>
              </w:rPr>
              <w:t>kadangi vis dėlto</w:t>
            </w:r>
            <w:r>
              <w:t xml:space="preserve"> kai kuriose valstybėse narėse </w:t>
            </w:r>
            <w:r>
              <w:rPr>
                <w:b/>
                <w:i/>
              </w:rPr>
              <w:t>išlieka</w:t>
            </w:r>
            <w:r>
              <w:t xml:space="preserve"> aukštas nedarbo lygis, visų pirma jaunimo</w:t>
            </w:r>
            <w:r>
              <w:rPr>
                <w:b/>
                <w:i/>
              </w:rPr>
              <w:t>, neįgaliųjų, vyresnio amžiaus darbuotojų ir moterų</w:t>
            </w:r>
            <w:r>
              <w:t xml:space="preserve"> nedarbo lygis, taip pat </w:t>
            </w:r>
            <w:r>
              <w:rPr>
                <w:b/>
                <w:i/>
              </w:rPr>
              <w:t>dideli</w:t>
            </w:r>
            <w:r>
              <w:t xml:space="preserve"> sektorių ir regionų </w:t>
            </w:r>
            <w:r>
              <w:rPr>
                <w:b/>
                <w:i/>
              </w:rPr>
              <w:t>skirtumai, kurie ilguoju laikotarpiu</w:t>
            </w:r>
            <w:r>
              <w:t xml:space="preserve"> gali neigiamai paveikti socialinę sanglaudą ir Europos piliečių gerovę;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padaryta pažanga siekiant ES užimtumo tikslų</w:t>
            </w:r>
            <w:r>
              <w:t xml:space="preserve">, nepaisant netikrumo, kurį sukėlė Rusijos agresijos karas prieš Ukrainą, ir didelės infliacijos poveikio, ir kadangi </w:t>
            </w:r>
            <w:r>
              <w:rPr>
                <w:b/>
                <w:i/>
              </w:rPr>
              <w:t>2023 m.</w:t>
            </w:r>
            <w:r>
              <w:t xml:space="preserve"> užimtumo augimas ES išliko spartus</w:t>
            </w:r>
            <w:r>
              <w:rPr>
                <w:b/>
                <w:i/>
              </w:rPr>
              <w:t>, nors kai kuriose valstybėse narėse tebėra aukštas</w:t>
            </w:r>
            <w:r>
              <w:t xml:space="preserve"> nedarbo lygis</w:t>
            </w:r>
            <w:r>
              <w:rPr>
                <w:b/>
                <w:i/>
              </w:rPr>
              <w:t>, visų pirma</w:t>
            </w:r>
            <w:r>
              <w:t xml:space="preserve"> jaunimo nedarbo lygis</w:t>
            </w:r>
            <w:r>
              <w:rPr>
                <w:b/>
                <w:i/>
              </w:rPr>
              <w:t>, taip pat esama didelės nelygybės tarp sektorių ir regionų, o tai</w:t>
            </w:r>
            <w:r>
              <w:t xml:space="preserve"> ilgainiui </w:t>
            </w:r>
            <w:r>
              <w:rPr>
                <w:b/>
                <w:i/>
              </w:rPr>
              <w:t>gali</w:t>
            </w:r>
            <w:r>
              <w:t xml:space="preserve"> neigiamai paveikti socialinę sanglaudą ir </w:t>
            </w:r>
            <w:r>
              <w:rPr>
                <w:b/>
                <w:i/>
              </w:rPr>
              <w:t>Europos Sąjungos</w:t>
            </w:r>
            <w:r>
              <w:t xml:space="preserve"> piliečių gerovę;</w:t>
            </w:r>
          </w:p>
        </w:tc>
        <w:tc>
          <w:tcPr>
            <w:tcW w:w="4876" w:type="dxa"/>
            <w:tcBorders>
              <w:top w:val="nil"/>
              <w:left w:val="nil"/>
              <w:bottom w:val="nil"/>
              <w:right w:val="nil"/>
            </w:tcBorders>
          </w:tcPr>
          <w:p>
            <w:pPr>
              <w:pStyle w:val="Normal6a"/>
            </w:pPr>
            <w:r>
              <w:t>A.</w:t>
            </w:r>
            <w:r>
              <w:tab/>
            </w:r>
            <w:r>
              <w:t>kadangi, nepaisant netikrumo, kurį sukėlė Rusijos agresijos karas prieš Ukrainą, ir didelės infliacijos poveikio</w:t>
            </w:r>
            <w:r>
              <w:rPr>
                <w:b/>
                <w:i/>
              </w:rPr>
              <w:t>, padaryta pažanga siekiant ES užimtumo tikslų</w:t>
            </w:r>
            <w:r>
              <w:t xml:space="preserve">, ir kadangi užimtumo augimas ES </w:t>
            </w:r>
            <w:r>
              <w:rPr>
                <w:b/>
                <w:i/>
              </w:rPr>
              <w:t>2023 m.</w:t>
            </w:r>
            <w:r>
              <w:t xml:space="preserve"> išliko spartus </w:t>
            </w:r>
            <w:r>
              <w:rPr>
                <w:b/>
                <w:i/>
              </w:rPr>
              <w:t>ir dabar, Eurostato duomenimis, viršija 75 proc.;</w:t>
            </w:r>
            <w:r>
              <w:t xml:space="preserve"> </w:t>
            </w:r>
            <w:r>
              <w:rPr>
                <w:b/>
                <w:i/>
              </w:rPr>
              <w:t>kadangi ES ilgalaikio</w:t>
            </w:r>
            <w:r>
              <w:t xml:space="preserve"> nedarbo lygis </w:t>
            </w:r>
            <w:r>
              <w:rPr>
                <w:b/>
                <w:i/>
              </w:rPr>
              <w:t>buvo istoriškai žemas nuo 2009 m. ir 2023 m. siekė 2,1 proc., o</w:t>
            </w:r>
            <w:r>
              <w:t xml:space="preserve"> jaunimo nedarbo lygis </w:t>
            </w:r>
            <w:r>
              <w:rPr>
                <w:b/>
                <w:i/>
              </w:rPr>
              <w:t>ES buvo 6,3 proc., t. y. mažiausias nuo tada, kai buvo matuojamas;</w:t>
            </w:r>
            <w:r>
              <w:t xml:space="preserve"> </w:t>
            </w:r>
            <w:r>
              <w:rPr>
                <w:b/>
                <w:i/>
              </w:rPr>
              <w:t>kadangi darbo rinkos ir toliau buvo nepaprastai atsparios, o socialiniai rezultatai parodė tam tikrus pagerėjimo ženklus, 2024 m. ekonomikos augimas ES atsiliko nuo kitų išsivysčiusios ekonomikos šalių ir išliko didelė sektorių ir regionų nelygybė, kuri</w:t>
            </w:r>
            <w:r>
              <w:t xml:space="preserve"> ilgainiui </w:t>
            </w:r>
            <w:r>
              <w:rPr>
                <w:b/>
                <w:i/>
              </w:rPr>
              <w:t>galėtų</w:t>
            </w:r>
            <w:r>
              <w:t xml:space="preserve"> neigiamai paveikti socialinę sanglaudą ir </w:t>
            </w:r>
            <w:r>
              <w:rPr>
                <w:b/>
                <w:i/>
              </w:rPr>
              <w:t>ES</w:t>
            </w:r>
            <w:r>
              <w:t xml:space="preserve"> piliečių gerovę;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padaryta pažanga siekiant ES užimtumo tikslų, nepaisant netikrumo, kurį sukėlė Rusijos agresijos karas prieš Ukrainą, ir didelės infliacijos poveikio, ir kadangi 2023 m. užimtumo augimas ES išliko spartus, nors kai kuriose valstybėse narėse tebėra aukštas nedarbo lygis, visų pirma jaunimo nedarbo lygis, taip pat esama didelės nelygybės tarp sektorių ir regionų, o tai ilgainiui gali neigiamai paveikti socialinę sanglaudą ir Europos Sąjungos piliečių gerovę;</w:t>
            </w:r>
          </w:p>
        </w:tc>
        <w:tc>
          <w:tcPr>
            <w:tcW w:w="4876" w:type="dxa"/>
            <w:tcBorders>
              <w:top w:val="nil"/>
              <w:left w:val="nil"/>
              <w:bottom w:val="nil"/>
              <w:right w:val="nil"/>
            </w:tcBorders>
          </w:tcPr>
          <w:p>
            <w:pPr>
              <w:pStyle w:val="Normal6a"/>
            </w:pPr>
            <w:r>
              <w:t>A.</w:t>
            </w:r>
            <w:r>
              <w:tab/>
            </w:r>
            <w:r>
              <w:t xml:space="preserve">kadangi padaryta pažanga siekiant ES užimtumo tikslų, nepaisant netikrumo, kurį sukėlė Rusijos agresijos karas prieš Ukrainą, ir didelės infliacijos poveikio, ir kadangi 2023 m. užimtumo augimas ES išliko spartus, nors kai kuriose valstybėse narėse tebėra aukštas nedarbo lygis, visų pirma jaunimo nedarbo lygis, </w:t>
            </w:r>
            <w:r>
              <w:rPr>
                <w:b/>
                <w:i/>
              </w:rPr>
              <w:t>bei neįgalių asmenių nedarbo lygis, o</w:t>
            </w:r>
            <w:r>
              <w:t xml:space="preserve"> taip pat esama didelės nelygybės tarp sektorių ir regionų, o tai ilgainiui gali neigiamai paveikti socialinę sanglaudą ir Europos Sąjungos piliečių gerovę;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padaryta pažanga siekiant ES užimtumo tikslų, nepaisant netikrumo, kurį sukėlė Rusijos agresijos karas prieš Ukrainą, ir didelės infliacijos poveikio, ir kadangi 2023 m. užimtumo augimas ES išliko spartus, nors kai kuriose valstybėse narėse tebėra aukštas nedarbo lygis, visų pirma jaunimo nedarbo lygis, taip pat esama didelės nelygybės tarp sektorių ir regionų, o tai ilgainiui gali neigiamai paveikti socialinę sanglaudą ir Europos Sąjungos piliečių gerovę;</w:t>
            </w:r>
          </w:p>
        </w:tc>
        <w:tc>
          <w:tcPr>
            <w:tcW w:w="4876" w:type="dxa"/>
            <w:tcBorders>
              <w:top w:val="nil"/>
              <w:left w:val="nil"/>
              <w:bottom w:val="nil"/>
              <w:right w:val="nil"/>
            </w:tcBorders>
          </w:tcPr>
          <w:p>
            <w:pPr>
              <w:pStyle w:val="Normal6a"/>
            </w:pPr>
            <w:r>
              <w:t>A.</w:t>
            </w:r>
            <w:r>
              <w:tab/>
            </w:r>
            <w:r>
              <w:t xml:space="preserve">kadangi padaryta </w:t>
            </w:r>
            <w:r>
              <w:rPr>
                <w:b/>
                <w:i/>
              </w:rPr>
              <w:t>tam tikra</w:t>
            </w:r>
            <w:r>
              <w:t xml:space="preserve"> pažanga siekiant ES užimtumo tikslų, nepaisant netikrumo, kurį sukėlė Rusijos agresijos karas prieš Ukrainą, ir didelės infliacijos poveikio, ir kadangi 2023 m. užimtumo augimas ES išliko spartus, nors kai kuriose valstybėse narėse tebėra aukštas nedarbo lygis, visų pirma jaunimo nedarbo lygis, taip pat esama didelės nelygybės tarp sektorių ir regionų, o tai ilgainiui gali neigiamai paveikti socialinę sanglaudą ir Europos Sąjungos piliečių gerovę;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padaryta pažanga siekiant ES užimtumo tikslų, nepaisant </w:t>
            </w:r>
            <w:r>
              <w:rPr>
                <w:b/>
                <w:i/>
              </w:rPr>
              <w:t>netikrumo, kurį</w:t>
            </w:r>
            <w:r>
              <w:t xml:space="preserve"> sukėlė Rusijos agresijos karas prieš Ukrainą, </w:t>
            </w:r>
            <w:r>
              <w:rPr>
                <w:b/>
                <w:i/>
              </w:rPr>
              <w:t>ir</w:t>
            </w:r>
            <w:r>
              <w:t xml:space="preserve"> didelės infliacijos </w:t>
            </w:r>
            <w:r>
              <w:rPr>
                <w:b/>
                <w:i/>
              </w:rPr>
              <w:t>poveikio</w:t>
            </w:r>
            <w:r>
              <w:t>, ir kadangi 2023 m. užimtumo augimas ES išliko spartus, nors kai kuriose valstybėse narėse tebėra aukštas nedarbo lygis, visų pirma jaunimo nedarbo lygis, taip pat esama didelės nelygybės tarp sektorių ir regionų, o tai ilgainiui gali neigiamai paveikti socialinę sanglaudą ir Europos Sąjungos piliečių gerovę;</w:t>
            </w:r>
          </w:p>
        </w:tc>
        <w:tc>
          <w:tcPr>
            <w:tcW w:w="4876" w:type="dxa"/>
            <w:tcBorders>
              <w:top w:val="nil"/>
              <w:left w:val="nil"/>
              <w:bottom w:val="nil"/>
              <w:right w:val="nil"/>
            </w:tcBorders>
          </w:tcPr>
          <w:p>
            <w:pPr>
              <w:pStyle w:val="Normal6a"/>
            </w:pPr>
            <w:r>
              <w:t>A.</w:t>
            </w:r>
            <w:r>
              <w:tab/>
            </w:r>
            <w:r>
              <w:t>kadangi padaryta pažanga siekiant ES užimtumo tikslų, nepaisant</w:t>
            </w:r>
            <w:r>
              <w:rPr>
                <w:b/>
                <w:i/>
              </w:rPr>
              <w:t>, be kitų veiksnių, kuriuos</w:t>
            </w:r>
            <w:r>
              <w:t xml:space="preserve"> sukėlė Rusijos agresijos karas prieš Ukrainą, didelės infliacijos </w:t>
            </w:r>
            <w:r>
              <w:rPr>
                <w:b/>
                <w:i/>
              </w:rPr>
              <w:t>krizės</w:t>
            </w:r>
            <w:r>
              <w:t>, ir kadangi 2023 m. užimtumo augimas ES išliko spartus, nors kai kuriose valstybėse narėse tebėra aukštas nedarbo lygis, visų pirma jaunimo nedarbo lygis, taip pat esama didelės nelygybės tarp sektorių ir regionų, o tai ilgainiui gali neigiamai paveikti socialinę sanglaudą ir Europos Sąjungos piliečių gerovę;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Europos semestras apima įvairias priemones integruotoje daugiašalio ekonominės, užimtumo, socialinės ir aplinkos politikos koordinavimo ir priežiūros ES sistemoje ir jis turi tapti pagrindine priemone aukštynkryptei socialinei konvergencijai skatinti, užtikrinant, kad ekonominė ir fiskalinė politika ne tik skatintų augimą, bet ir prisidėtų prie socialinės ir tvarios ES;</w:t>
            </w:r>
            <w:r>
              <w:t xml:space="preserve"> </w:t>
            </w:r>
            <w:r>
              <w:rPr>
                <w:b/>
                <w:i/>
              </w:rPr>
              <w:t>kadangi, vykdant integruotą užimtumo ir socialinių pokyčių analizę Europos semestro kontekste, reikėtų įvertinti riziką aukštynkryptei socialinei konvergencijai valstybėse narėse ir stebėti Europos socialinių teisių ramsčio principų įgyvendinimo pažangą, remiantis socialinių rodiklių suvestine ir socialinės konvergencijos sistemos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Europos Sąjunga nustatė tikslą, kad iki 2030 m. bent 60 proc. suaugusiųjų kasmet dalyvautų mokymuose; </w:t>
            </w:r>
            <w:r>
              <w:t xml:space="preserve"> </w:t>
            </w:r>
            <w:r>
              <w:rPr>
                <w:b/>
                <w:i/>
              </w:rPr>
              <w:t>kadangi valstybės narės įsipareigojo siekti nacionalinių tikslų, kad pasiektų šį pagrindinį tikslą, ir kadangi dauguma valstybių narių prarado pagrindą siekti šių nacionalinių tikslų; </w:t>
            </w:r>
            <w:r>
              <w:t xml:space="preserve"> </w:t>
            </w:r>
            <w:r>
              <w:rPr>
                <w:b/>
                <w:i/>
              </w:rPr>
              <w:t>kadangi 2022 m. suaugusiųjų dalyvavimo mokymosi veikloje lygis buvo 39,5 proc., t. y. gerokai mažesnis už ES 2030 m. tikslą; </w:t>
            </w:r>
            <w:r>
              <w:t xml:space="preserve"> </w:t>
            </w:r>
            <w:r>
              <w:rPr>
                <w:b/>
                <w:i/>
              </w:rPr>
              <w:t>kadangi reikia dėti daugiau didelių pastangų siekiant užtikrinti kokybiškos mokymo politikos, kuria skatinamas mokymasis visą gyvenimą ir stiprinamas ES darbo jėgos konkurencingumas, atsparumas ir įtraukumas, teikimą ir prieinamumą;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Europos Sąjunga patvirtino 2030 m. tikslą sumažinti žmonių, kuriems gresia skurdas ir socialinė atskirtis, skaičių bent 15 mln., palyginti su 2019 m., įskaitant bent 5 mln. vaikų; </w:t>
            </w:r>
            <w:r>
              <w:t xml:space="preserve"> </w:t>
            </w:r>
            <w:r>
              <w:rPr>
                <w:b/>
                <w:i/>
              </w:rPr>
              <w:t>valstybės narės įsipareigojo siekti nacionalinių tikslų, kad pasiektų šį pagrindinį tikslą, ir kadangi beveik pusė valstybių narių laikosi priešingos tendencijos; </w:t>
            </w:r>
            <w:r>
              <w:t xml:space="preserve"> </w:t>
            </w:r>
            <w:r>
              <w:rPr>
                <w:b/>
                <w:i/>
              </w:rPr>
              <w:t>kadangi 2023 m. 94,6 mln. žmonių ES (21,4 proc. gyventojų)</w:t>
            </w:r>
            <w:r>
              <w:rPr>
                <w:b/>
                <w:i/>
                <w:vertAlign w:val="superscript"/>
              </w:rPr>
              <w:t>3a</w:t>
            </w:r>
            <w:r>
              <w:t xml:space="preserve"> </w:t>
            </w:r>
            <w:r>
              <w:rPr>
                <w:b/>
                <w:i/>
              </w:rPr>
              <w:t>grėsė skurdas arba socialinė atskirtis, o tai yra tik šiek tiek mažiau nei 2019 m.; </w:t>
            </w:r>
            <w:r>
              <w:t xml:space="preserve"> </w:t>
            </w:r>
            <w:r>
              <w:rPr>
                <w:b/>
                <w:i/>
              </w:rPr>
              <w:t>kadangi nepakeitus požiūrio į kovą su skurdu Europos lygmeniu nebus įmanoma pakeisti šios tendencijos ir užtikrinti, kad kiekvienas pilietis turėtų lygias galimybes dalyvauti visuomenės gyvenime;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Asmenys, kuriems 2023 m. gresia skurdas ar socialinė atskirtis,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Europos socialinių teisių ramstis (EPRS) turi būti pagrindinės ES socialinės ir ekonominės politikos kelrodis, užtikrinantis, kad Sąjunga imtųsi vadovaujamo vaidmens skatinant socialinę pažangą; </w:t>
            </w:r>
            <w:r>
              <w:t xml:space="preserve"> </w:t>
            </w:r>
            <w:r>
              <w:rPr>
                <w:b/>
                <w:i/>
              </w:rPr>
              <w:t>kadangi Europos Komisija turi įvertinti riziką aukštynkryptei socialinei konvergencijai valstybėse narėse ir stebėti EPRS įgyvendinimo pažangą naudodama socialinių rodiklių suvestinę ir socialinės konvergencijos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kadangi vienam iš keturių vaikų Europos Sąjungoje vis dar gresia skurdas ir socialinė atskirtis ir kadangi dabartinė tendencija nepasieks tikslo iki 2030 m. bent 5 mln. sumažinti skurstančių vaikų skaičių; </w:t>
            </w:r>
            <w:r>
              <w:t xml:space="preserve"> </w:t>
            </w:r>
            <w:r>
              <w:rPr>
                <w:b/>
                <w:i/>
              </w:rPr>
              <w:t>kadangi pastebimi dideli skirtumai tarp vaikų iš etninės ar migrantų kilmės ir neįgalių vaikų; kadangi 83 proc. romų vaikų gyveno namų ūkiuose, kuriems gresia skurdas;</w:t>
            </w:r>
            <w:r>
              <w:t xml:space="preserve"> </w:t>
            </w:r>
            <w:r>
              <w:rPr>
                <w:b/>
                <w:i/>
              </w:rPr>
              <w:t>kadangi 83 proc. romų vaikų gyveno namų ūkiuose, kuriems gresia skurdas; </w:t>
            </w:r>
            <w:r>
              <w:t xml:space="preserve"> </w:t>
            </w:r>
            <w:r>
              <w:rPr>
                <w:b/>
                <w:i/>
              </w:rPr>
              <w:t>kadangi šiuo metu naudojamų ES ir nacionalinių išteklių jokiu būdu nepakanka vaikų skurdo problemai ES spręsti, todėl Europos vaiko garantijų sistemai skirta finansavimo priemonė ir sąveika su kitais Europos ir nacionaliniais fondais yra itin svarbios tiek pagal dabartinę, tiek pagal kitą daugiametę finansinę programą;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kadangi socialinės konvergencijos sistema yra pagrindinė priemonė socialiniams iššūkiams ir aukštynkryptei konvergencijai įvertinti įgyvendinant Europos semestrą ir socialiniams skirtumams valstybėse narėse stebėti;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kadangi viešosios išlaidos vaikams ir jaunimui turėtų būti laikomos ne tik socialinėmis išlaidomis, bet ir investicijomis į ateitį; </w:t>
            </w:r>
            <w:r>
              <w:t xml:space="preserve"> </w:t>
            </w:r>
            <w:r>
              <w:rPr>
                <w:b/>
                <w:i/>
              </w:rPr>
              <w:t>kadangi vaikams socialinės investicijos padeda užtikrinti geresnes švietimo ir darbo perspektyvas, o tai savo ruožtu gerina ekonominius rodiklius; </w:t>
            </w:r>
            <w:r>
              <w:t xml:space="preserve"> </w:t>
            </w:r>
            <w:r>
              <w:rPr>
                <w:b/>
                <w:i/>
              </w:rPr>
              <w:t>kadangi vaikai, kurie gali gauti daugiausia naudos iš ikimokyklinio ugdymo ir priežiūros, pvz., iš nepalankios aplinkos, paprastai dalyvauja mažiausiai ir toliau susiduria su kliūtimis, trukdančiomis naudotis ikimokyklinio ugdymo ir priežiūros paslaugomis; </w:t>
            </w:r>
            <w:r>
              <w:t xml:space="preserve"> </w:t>
            </w:r>
            <w:r>
              <w:rPr>
                <w:b/>
                <w:i/>
              </w:rPr>
              <w:t>kadangi, norėdama pasiekti 2030 m. Barselonos tikslus ikimokyklinio ugdymo ir priežiūros srityje, ES turėtų investuoti papildomus 11 mlrd. EUR per metus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Užimtumas ir socialinė raida Europoje 2024 m., Europos Komisija. 2024 m. rugsėjo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kadangi bendroje užimtumo ataskaitoje nustatytų uždavinių sprendimas padės siekti aukštynkryptės socialinės konvergencijos, remti sąžiningą žaliąją ir skaitmeninę pertvarką, kovoti su demografiniais pokyčiais ir siekti darnaus vystymosi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kadangi ES institucijose vis dar gyvena 1,4 mln. žmonių;</w:t>
            </w:r>
            <w:r>
              <w:t xml:space="preserve"> </w:t>
            </w:r>
            <w:r>
              <w:rPr>
                <w:b/>
                <w:i/>
              </w:rPr>
              <w:t>kadangi institucijų gyventojai yra izoliuoti nuo platesnės bendruomenės ir negali pakankamai kontroliuoti savo gyvenimo ir jiems poveikį darančių sprendimų;</w:t>
            </w:r>
            <w:r>
              <w:t xml:space="preserve"> </w:t>
            </w:r>
            <w:r>
              <w:rPr>
                <w:b/>
                <w:i/>
              </w:rPr>
              <w:t>kadangi, nepaisant to, kad Europos Sąjunga jau seniai įsipareigojusi vykdyti deinstitucionalizavimo procesą, vis dar reikia dėti pastangas tiek Europos, tiek nacionaliniu lygmenimis, kad pažeidžiamos grupės galėtų savarankiškai gyventi bendruomenės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kadangi savarankiškai dirbančių asmenų, įskaitant jaunimą, skaičius mažėja, o prastos kokybės savarankiškai dirbančių asmenų darbo vietos neproporcingai plačiai paplitusios;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demografiniai iššūkiai</w:t>
            </w:r>
            <w:r>
              <w:t xml:space="preserve">, įskaitant senėjančią visuomenę, mažą gimstamumą ir gyventojų skaičiaus mažėjimą kaimo vietovėse, daro didelį poveikį gerovės sistemų tvarumui </w:t>
            </w:r>
            <w:r>
              <w:rPr>
                <w:b/>
                <w:i/>
              </w:rPr>
              <w:t>ir todėl</w:t>
            </w:r>
            <w:r>
              <w:t xml:space="preserve"> yra struktūrinis iššūkis ES ekonomikai </w:t>
            </w:r>
            <w:r>
              <w:rPr>
                <w:b/>
                <w:i/>
              </w:rPr>
              <w:t>ir</w:t>
            </w:r>
            <w:r>
              <w:t xml:space="preserve"> kadangi, kaip </w:t>
            </w:r>
            <w:r>
              <w:rPr>
                <w:b/>
                <w:i/>
              </w:rPr>
              <w:t>pabrėžta</w:t>
            </w:r>
            <w:r>
              <w:t xml:space="preserve"> M. Draghi pranešime, tvarus augimas Europoje labai priklauso nuo aktyvių gyventojų įtraukimo į darbo rinką ir tvirtos gerovės sistemos;</w:t>
            </w:r>
          </w:p>
        </w:tc>
        <w:tc>
          <w:tcPr>
            <w:tcW w:w="4876" w:type="dxa"/>
            <w:tcBorders>
              <w:top w:val="nil"/>
              <w:left w:val="nil"/>
              <w:bottom w:val="nil"/>
              <w:right w:val="nil"/>
            </w:tcBorders>
          </w:tcPr>
          <w:p>
            <w:pPr>
              <w:pStyle w:val="Normal6a"/>
            </w:pPr>
            <w:r>
              <w:t>B.</w:t>
            </w:r>
            <w:r>
              <w:tab/>
            </w:r>
            <w:r>
              <w:t xml:space="preserve">kadangi </w:t>
            </w:r>
            <w:r>
              <w:rPr>
                <w:b/>
                <w:i/>
              </w:rPr>
              <w:t>demografinės problemos</w:t>
            </w:r>
            <w:r>
              <w:t xml:space="preserve">, įskaitant senėjančią visuomenę, mažą gimstamumą ir gyventojų skaičiaus mažėjimą kaimo vietovėse, daro didelį poveikį </w:t>
            </w:r>
            <w:r>
              <w:rPr>
                <w:b/>
                <w:i/>
              </w:rPr>
              <w:t>darbo jėgos dydžiui, ES našumui, darbo rinkoms, kuriose darbo jėgos ir įgūdžių trūkumas tebėra istoriškai didelis, ir dėl to kylančiam</w:t>
            </w:r>
            <w:r>
              <w:t xml:space="preserve"> gerovės sistemų tvarumui</w:t>
            </w:r>
            <w:r>
              <w:rPr>
                <w:b/>
                <w:i/>
              </w:rPr>
              <w:t>, kuris</w:t>
            </w:r>
            <w:r>
              <w:t xml:space="preserve"> yra struktūrinis iššūkis ES ekonomikai</w:t>
            </w:r>
            <w:r>
              <w:rPr>
                <w:b/>
                <w:i/>
              </w:rPr>
              <w:t>;</w:t>
            </w:r>
            <w:r>
              <w:t xml:space="preserve"> kadangi, kaip </w:t>
            </w:r>
            <w:r>
              <w:rPr>
                <w:b/>
                <w:i/>
              </w:rPr>
              <w:t>pabrėžiama</w:t>
            </w:r>
            <w:r>
              <w:t xml:space="preserve"> M. Draghi pranešime, tvarus augimas </w:t>
            </w:r>
            <w:r>
              <w:rPr>
                <w:b/>
                <w:i/>
              </w:rPr>
              <w:t>ir konkurencingumas</w:t>
            </w:r>
            <w:r>
              <w:t xml:space="preserve"> Europoje labai priklauso nuo </w:t>
            </w:r>
            <w:r>
              <w:rPr>
                <w:b/>
                <w:i/>
              </w:rPr>
              <w:t>švietimo ir mokymo sistemų pritaikymo prie kintančių įgūdžių poreikių, pirmenybės teikimo suaugusiųjų mokymuisi ir profesiniam rengimui bei mokymui,</w:t>
            </w:r>
            <w:r>
              <w:t xml:space="preserve"> aktyvių gyventojų įtraukimo į darbo rinką ir tvirtos gerovės sistemos</w:t>
            </w:r>
            <w:r>
              <w:rPr>
                <w:b/>
                <w:i/>
              </w:rPr>
              <w:t>, teikiančios tvirtas viešąsias paslaugas;</w:t>
            </w:r>
            <w:r>
              <w:t xml:space="preserve"> </w:t>
            </w:r>
            <w:r>
              <w:rPr>
                <w:b/>
                <w:i/>
              </w:rPr>
              <w:t>kadangi numatoma, kad ESF+ investicijos į aktyvią darbo rinkos politiką padidins užimtumą pasibaigus investavimo laikotarpiui, ypač mažesnes pajamas gaunančių grupių atveju</w:t>
            </w:r>
            <w:r>
              <w:rPr>
                <w:b/>
                <w:i/>
                <w:vertAlign w:val="superscript"/>
              </w:rPr>
              <w:t>5a</w:t>
            </w:r>
            <w:r>
              <w:t xml:space="preserve"> </w:t>
            </w:r>
            <w:r>
              <w:rPr>
                <w:b/>
                <w:i/>
              </w:rPr>
              <w:t>kadangi numatoma, kad iki 2030 m. ES dirbančių gyventojų skaičius sumažės 7 mln. darbuotojų</w:t>
            </w:r>
            <w:r>
              <w:rPr>
                <w:b/>
                <w:i/>
                <w:vertAlign w:val="superscript"/>
              </w:rPr>
              <w:t>6a</w:t>
            </w:r>
            <w:r>
              <w:rPr>
                <w:b/>
                <w:i/>
              </w:rPr>
              <w:t>, ir kadangi tikimasi, kad iki 2050 m. šis skaičius pasieks dar 35 mln. asmenų</w:t>
            </w:r>
            <w:r>
              <w:rPr>
                <w:b/>
                <w:i/>
                <w:vertAlign w:val="superscript"/>
              </w:rPr>
              <w:t>7a</w:t>
            </w:r>
            <w:r>
              <w:rPr>
                <w:b/>
                <w:i/>
              </w:rPr>
              <w:t>, o tai rodo, kad siekiant papildyti Europos darbo jėgą reikės teisėtos darbo jėgos migracijos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Užimtumas ir socialinė raida Europoje 2024 m., Europos Komisija. 2024 m. rugsėjo mėn.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Užimtumas ir socialinė raida Europoje 2023 m., Europos Komisija. 2023 m. liepos mėn.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Komisijos Komunikatas „Specialistų potencialo išnaudojimas Europos regionuose“,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demografiniai iššūkiai</w:t>
            </w:r>
            <w:r>
              <w:t xml:space="preserve">, įskaitant senėjančią visuomenę, mažą gimstamumą ir gyventojų skaičiaus mažėjimą </w:t>
            </w:r>
            <w:r>
              <w:rPr>
                <w:b/>
                <w:i/>
              </w:rPr>
              <w:t>kaimo vietovėse</w:t>
            </w:r>
            <w:r>
              <w:t xml:space="preserve">, daro didelį poveikį </w:t>
            </w:r>
            <w:r>
              <w:rPr>
                <w:b/>
                <w:i/>
              </w:rPr>
              <w:t>gerovės sistemų tvarumui ir</w:t>
            </w:r>
            <w:r>
              <w:t xml:space="preserve"> todėl yra struktūrinis iššūkis ES ekonomikai ir kadangi, kaip pabrėžta M. Draghi pranešime, tvarus augimas Europoje </w:t>
            </w:r>
            <w:r>
              <w:rPr>
                <w:b/>
                <w:i/>
              </w:rPr>
              <w:t>labai</w:t>
            </w:r>
            <w:r>
              <w:t xml:space="preserve"> priklauso nuo aktyvių gyventojų įtraukimo į darbo rinką ir tvirtos gerovės sistemos;</w:t>
            </w:r>
          </w:p>
        </w:tc>
        <w:tc>
          <w:tcPr>
            <w:tcW w:w="4876" w:type="dxa"/>
            <w:tcBorders>
              <w:top w:val="nil"/>
              <w:left w:val="nil"/>
              <w:bottom w:val="nil"/>
              <w:right w:val="nil"/>
            </w:tcBorders>
          </w:tcPr>
          <w:p>
            <w:pPr>
              <w:pStyle w:val="Normal6a"/>
            </w:pPr>
            <w:r>
              <w:t>B.</w:t>
            </w:r>
            <w:r>
              <w:tab/>
            </w:r>
            <w:r>
              <w:t xml:space="preserve">kadangi </w:t>
            </w:r>
            <w:r>
              <w:rPr>
                <w:b/>
                <w:i/>
              </w:rPr>
              <w:t>demografinės problemos</w:t>
            </w:r>
            <w:r>
              <w:t xml:space="preserve">, įskaitant senėjančią visuomenę, mažą gimstamumą ir </w:t>
            </w:r>
            <w:r>
              <w:rPr>
                <w:b/>
                <w:i/>
              </w:rPr>
              <w:t>kaimo</w:t>
            </w:r>
            <w:r>
              <w:t xml:space="preserve"> gyventojų</w:t>
            </w:r>
            <w:r>
              <w:rPr>
                <w:b/>
                <w:i/>
              </w:rPr>
              <w:t>, ypač jaunimo,</w:t>
            </w:r>
            <w:r>
              <w:t xml:space="preserve"> skaičiaus mažėjimą </w:t>
            </w:r>
            <w:r>
              <w:rPr>
                <w:b/>
                <w:i/>
              </w:rPr>
              <w:t>miestuose</w:t>
            </w:r>
            <w:r>
              <w:t xml:space="preserve">, daro didelį poveikį </w:t>
            </w:r>
            <w:r>
              <w:rPr>
                <w:b/>
                <w:i/>
              </w:rPr>
              <w:t>ES teritorijų ekonominiam gyvybingumui ir patrauklumui,</w:t>
            </w:r>
            <w:r>
              <w:t xml:space="preserve"> todėl yra struktūrinis iššūkis ES ekonomikai</w:t>
            </w:r>
            <w:r>
              <w:rPr>
                <w:b/>
                <w:i/>
              </w:rPr>
              <w:t>,</w:t>
            </w:r>
            <w:r>
              <w:t xml:space="preserve"> ir kadangi, kaip pabrėžta M. Draghi pranešime, tvarus augimas Europoje priklauso nuo </w:t>
            </w:r>
            <w:r>
              <w:rPr>
                <w:b/>
                <w:i/>
              </w:rPr>
              <w:t>tvirtos socialinės apsaugos sistemos išsaugojimo, viešųjų paslaugų prieinamumo,</w:t>
            </w:r>
            <w:r>
              <w:t xml:space="preserve"> aktyvių gyventojų įtraukimo į darbo rinką ir tvirtos gerovės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demografiniai iššūkiai, įskaitant senėjančią visuomenę, mažą gimstamumą ir gyventojų skaičiaus mažėjimą kaimo vietovėse, daro didelį poveikį gerovės sistemų tvarumui ir todėl yra struktūrinis iššūkis ES ekonomikai ir kadangi, kaip pabrėžta M. Draghi pranešime, tvarus augimas Europoje labai priklauso nuo aktyvių gyventojų įtraukimo į darbo rinką ir tvirtos gerovės sistemos;</w:t>
            </w:r>
          </w:p>
        </w:tc>
        <w:tc>
          <w:tcPr>
            <w:tcW w:w="4876" w:type="dxa"/>
            <w:tcBorders>
              <w:top w:val="nil"/>
              <w:left w:val="nil"/>
              <w:bottom w:val="nil"/>
              <w:right w:val="nil"/>
            </w:tcBorders>
          </w:tcPr>
          <w:p>
            <w:pPr>
              <w:pStyle w:val="Normal6a"/>
            </w:pPr>
            <w:r>
              <w:t>B.</w:t>
            </w:r>
            <w:r>
              <w:tab/>
            </w:r>
            <w:r>
              <w:t xml:space="preserve">kadangi demografiniai iššūkiai, įskaitant senėjančią visuomenę, mažą gimstamumą ir gyventojų skaičiaus mažėjimą kaimo vietovėse, daro didelį poveikį gerovės sistemų tvarumui ir todėl yra struktūrinis iššūkis ES ekonomikai ir kadangi, kaip pabrėžta M. Draghi pranešime, tvarus augimas Europoje labai priklauso nuo aktyvių gyventojų įtraukimo į darbo rinką ir tvirtos gerovės sistemos; </w:t>
            </w:r>
            <w:r>
              <w:rPr>
                <w:b/>
                <w:i/>
              </w:rPr>
              <w:t>kadangi tam tikriems sektoriams reikia spartesnio automatizavimo ir robotizavimo, kad būtų išvengta drastiško našumo sumažėjimo dėl darbuotojų trūkumo;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demografiniai iššūkiai, įskaitant senėjančią visuomenę, mažą gimstamumą ir gyventojų skaičiaus mažėjimą kaimo vietovėse, daro didelį poveikį gerovės sistemų tvarumui ir todėl yra struktūrinis iššūkis ES ekonomikai </w:t>
            </w:r>
            <w:r>
              <w:rPr>
                <w:b/>
                <w:i/>
              </w:rPr>
              <w:t>ir</w:t>
            </w:r>
            <w:r>
              <w:t xml:space="preserve"> kadangi, kaip pabrėžta M. Draghi pranešime, tvarus augimas Europoje labai priklauso nuo aktyvių gyventojų įtraukimo į darbo rinką ir tvirtos gerovės sistemos;</w:t>
            </w:r>
          </w:p>
        </w:tc>
        <w:tc>
          <w:tcPr>
            <w:tcW w:w="4876" w:type="dxa"/>
            <w:tcBorders>
              <w:top w:val="nil"/>
              <w:left w:val="nil"/>
              <w:bottom w:val="nil"/>
              <w:right w:val="nil"/>
            </w:tcBorders>
          </w:tcPr>
          <w:p>
            <w:pPr>
              <w:pStyle w:val="Normal6a"/>
            </w:pPr>
            <w:r>
              <w:t>B.</w:t>
            </w:r>
            <w:r>
              <w:tab/>
            </w:r>
            <w:r>
              <w:t>kadangi demografiniai iššūkiai, įskaitant senėjančią visuomenę, mažą gimstamumą ir gyventojų skaičiaus mažėjimą kaimo vietovėse, daro didelį poveikį gerovės sistemų tvarumui ir todėl yra struktūrinis iššūkis ES ekonomikai</w:t>
            </w:r>
            <w:r>
              <w:rPr>
                <w:b/>
                <w:i/>
              </w:rPr>
              <w:t>;</w:t>
            </w:r>
            <w:r>
              <w:t xml:space="preserve"> kadangi, kaip pabrėžta M. Draghi pranešime, tvarus augimas Europoje labai priklauso nuo aktyvių </w:t>
            </w:r>
            <w:r>
              <w:rPr>
                <w:b/>
                <w:i/>
              </w:rPr>
              <w:t>visų pirma tos valstybės</w:t>
            </w:r>
            <w:r>
              <w:t xml:space="preserve"> gyventojų įtraukimo į darbo rinką ir </w:t>
            </w:r>
            <w:r>
              <w:rPr>
                <w:b/>
                <w:i/>
              </w:rPr>
              <w:t>tik paskui kitų Europos valstybių gyventojų įtraukimo į darbo rinką bei</w:t>
            </w:r>
            <w:r>
              <w:t xml:space="preserve"> tvirtos gerovės sistemos</w:t>
            </w:r>
            <w:r>
              <w:rPr>
                <w:b/>
                <w:i/>
              </w:rPr>
              <w:t>, kuri jokiais aspektais nepakeistų nacionalinių ypatumų</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demografiniai iššūkiai, įskaitant senėjančią visuomenę, mažą gimstamumą ir gyventojų skaičiaus mažėjimą kaimo vietovėse, daro didelį poveikį gerovės sistemų tvarumui ir todėl yra struktūrinis iššūkis ES ekonomikai ir kadangi, kaip pabrėžta M. Draghi pranešime, tvarus augimas Europoje labai priklauso nuo aktyvių gyventojų įtraukimo į darbo rinką ir tvirtos gerovės sistemos;</w:t>
            </w:r>
          </w:p>
        </w:tc>
        <w:tc>
          <w:tcPr>
            <w:tcW w:w="4876" w:type="dxa"/>
            <w:tcBorders>
              <w:top w:val="nil"/>
              <w:left w:val="nil"/>
              <w:bottom w:val="nil"/>
              <w:right w:val="nil"/>
            </w:tcBorders>
          </w:tcPr>
          <w:p>
            <w:pPr>
              <w:pStyle w:val="Normal6a"/>
            </w:pPr>
            <w:r>
              <w:t>B.</w:t>
            </w:r>
            <w:r>
              <w:tab/>
            </w:r>
            <w:r>
              <w:t>kadangi demografiniai iššūkiai, įskaitant senėjančią visuomenę, mažą gimstamumą ir gyventojų skaičiaus mažėjimą kaimo vietovėse, daro didelį poveikį gerovės sistemų tvarumui</w:t>
            </w:r>
            <w:r>
              <w:rPr>
                <w:b/>
                <w:i/>
              </w:rPr>
              <w:t>, dar labiau padidina regioninius skirtumus ES</w:t>
            </w:r>
            <w:r>
              <w:t xml:space="preserve"> ir todėl yra struktūrinis iššūkis ES ekonomikai ir kadangi, kaip pabrėžta M. Draghi pranešime, tvarus augimas Europoje labai priklauso nuo aktyvių gyventojų įtraukimo į darbo rinką ir tvirtos gerovės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demografiniai </w:t>
            </w:r>
            <w:r>
              <w:rPr>
                <w:b/>
                <w:i/>
              </w:rPr>
              <w:t>iššūkiai, įskaitant senėjančią visuomenę, mažą gimstamumą</w:t>
            </w:r>
            <w:r>
              <w:t xml:space="preserve"> ir gyventojų skaičiaus </w:t>
            </w:r>
            <w:r>
              <w:rPr>
                <w:b/>
                <w:i/>
              </w:rPr>
              <w:t>mažėjimą</w:t>
            </w:r>
            <w:r>
              <w:t xml:space="preserve"> kaimo vietovėse</w:t>
            </w:r>
            <w:r>
              <w:rPr>
                <w:b/>
                <w:i/>
              </w:rPr>
              <w:t>, daro didelį</w:t>
            </w:r>
            <w:r>
              <w:t xml:space="preserve"> poveikį </w:t>
            </w:r>
            <w:r>
              <w:rPr>
                <w:b/>
                <w:i/>
              </w:rPr>
              <w:t>gerovės</w:t>
            </w:r>
            <w:r>
              <w:t xml:space="preserve"> sistemų tvarumui </w:t>
            </w:r>
            <w:r>
              <w:rPr>
                <w:b/>
                <w:i/>
              </w:rPr>
              <w:t>ir todėl</w:t>
            </w:r>
            <w:r>
              <w:t xml:space="preserve"> yra struktūrinis iššūkis ES ekonomikai ir kadangi, kaip pabrėžta M. Draghi pranešime, tvarus augimas Europoje labai priklauso nuo </w:t>
            </w:r>
            <w:r>
              <w:rPr>
                <w:b/>
                <w:i/>
              </w:rPr>
              <w:t>aktyvių gyventojų įtraukimo</w:t>
            </w:r>
            <w:r>
              <w:t xml:space="preserve"> į darbo rinką ir tvirtos gerovės sistemos;</w:t>
            </w:r>
          </w:p>
        </w:tc>
        <w:tc>
          <w:tcPr>
            <w:tcW w:w="4876" w:type="dxa"/>
            <w:tcBorders>
              <w:top w:val="nil"/>
              <w:left w:val="nil"/>
              <w:bottom w:val="nil"/>
              <w:right w:val="nil"/>
            </w:tcBorders>
          </w:tcPr>
          <w:p>
            <w:pPr>
              <w:pStyle w:val="Normal6a"/>
            </w:pPr>
            <w:r>
              <w:t>B.</w:t>
            </w:r>
            <w:r>
              <w:tab/>
            </w:r>
            <w:r>
              <w:t xml:space="preserve">kadangi demografiniai </w:t>
            </w:r>
            <w:r>
              <w:rPr>
                <w:b/>
                <w:i/>
              </w:rPr>
              <w:t>pokyčiai, padidėjęs ilgaamžiškumas</w:t>
            </w:r>
            <w:r>
              <w:t xml:space="preserve"> ir gyventojų skaičiaus </w:t>
            </w:r>
            <w:r>
              <w:rPr>
                <w:b/>
                <w:i/>
              </w:rPr>
              <w:t>mažėjimas</w:t>
            </w:r>
            <w:r>
              <w:t xml:space="preserve"> kaimo vietovėse </w:t>
            </w:r>
            <w:r>
              <w:rPr>
                <w:b/>
                <w:i/>
              </w:rPr>
              <w:t>daro</w:t>
            </w:r>
            <w:r>
              <w:t xml:space="preserve"> poveikį </w:t>
            </w:r>
            <w:r>
              <w:rPr>
                <w:b/>
                <w:i/>
              </w:rPr>
              <w:t>socialinės apsaugos ir socialinių paslaugų</w:t>
            </w:r>
            <w:r>
              <w:t xml:space="preserve"> sistemų tvarumui</w:t>
            </w:r>
            <w:r>
              <w:rPr>
                <w:b/>
                <w:i/>
              </w:rPr>
              <w:t>, taigi</w:t>
            </w:r>
            <w:r>
              <w:t xml:space="preserve"> yra struktūrinis iššūkis ES ekonomikai</w:t>
            </w:r>
            <w:r>
              <w:rPr>
                <w:b/>
                <w:i/>
              </w:rPr>
              <w:t>,</w:t>
            </w:r>
            <w:r>
              <w:t xml:space="preserve"> ir kadangi, kaip pabrėžta M. Draghi pranešime, tvarus augimas Europoje labai priklauso nuo </w:t>
            </w:r>
            <w:r>
              <w:rPr>
                <w:b/>
                <w:i/>
              </w:rPr>
              <w:t>veiksmingos ir sąžiningos įtraukties</w:t>
            </w:r>
            <w:r>
              <w:t xml:space="preserve"> į darbo rinką ir tvirtos gerovės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kaip pabrėžta M. Draghi pranešime, darbuotojai migrantai yra svarbus veiksnys mažinant darbo jėgos trūkumą ir yra labiau linkę dirbti tose profesijose, kuriose nuolat trūksta darbuotojų, nei ES gimę darbuotojai;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70 proc. Europos darbuotojų dirba geros kokybės darbą, o 30 proc. dirba darbo vietose, kuriose paklausa yra didesnė nei turimi ištekliai jai subalansuoti, todėl bendra darbo vietų kokybė yra prasta;</w:t>
            </w:r>
            <w:r>
              <w:t xml:space="preserve"> </w:t>
            </w:r>
            <w:r>
              <w:rPr>
                <w:b/>
                <w:i/>
              </w:rPr>
              <w:t>Daugelyje profesijų, kuriose nuolat trūksta darbo jėgos, prastos kokybės darbo vietų dalis viršija 30 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E</w:t>
            </w:r>
            <w:r>
              <w:t xml:space="preserve">. Lettos pranešime apgailestaujama dėl </w:t>
            </w:r>
            <w:r>
              <w:rPr>
                <w:b/>
                <w:i/>
              </w:rPr>
              <w:t>mažėjančio</w:t>
            </w:r>
            <w:r>
              <w:t xml:space="preserve"> gimstamumo </w:t>
            </w:r>
            <w:r>
              <w:rPr>
                <w:b/>
                <w:i/>
              </w:rPr>
              <w:t>ir</w:t>
            </w:r>
            <w:r>
              <w:t xml:space="preserve"> pažymima, kad svarbu sukurti sistemą, kaip integracinio augimo strategijos dalį, </w:t>
            </w:r>
            <w:r>
              <w:rPr>
                <w:b/>
                <w:i/>
              </w:rPr>
              <w:t>pagal kurią būtų remiamos visos šeimos, ir pabrėžiama, kad reikia propaguoti šeimos ir profesinio bei asmeninio gyvenimo pusiausvyros politiką</w:t>
            </w:r>
            <w:r>
              <w:t>;</w:t>
            </w:r>
          </w:p>
        </w:tc>
        <w:tc>
          <w:tcPr>
            <w:tcW w:w="4876" w:type="dxa"/>
            <w:tcBorders>
              <w:top w:val="nil"/>
              <w:left w:val="nil"/>
              <w:bottom w:val="nil"/>
              <w:right w:val="nil"/>
            </w:tcBorders>
          </w:tcPr>
          <w:p>
            <w:pPr>
              <w:pStyle w:val="Normal6a"/>
            </w:pPr>
            <w:r>
              <w:t>C.</w:t>
            </w:r>
            <w:r>
              <w:tab/>
            </w:r>
            <w:r>
              <w:t xml:space="preserve">kadangi </w:t>
            </w:r>
            <w:r>
              <w:rPr>
                <w:b/>
                <w:i/>
              </w:rPr>
              <w:t>L</w:t>
            </w:r>
            <w:r>
              <w:t xml:space="preserve">. Lettos pranešime apgailestaujama dėl </w:t>
            </w:r>
            <w:r>
              <w:rPr>
                <w:b/>
                <w:i/>
              </w:rPr>
              <w:t>sumažėjusio</w:t>
            </w:r>
            <w:r>
              <w:t xml:space="preserve"> gimstamumo</w:t>
            </w:r>
            <w:r>
              <w:rPr>
                <w:b/>
                <w:i/>
              </w:rPr>
              <w:t>,</w:t>
            </w:r>
            <w:r>
              <w:t xml:space="preserve"> pažymima, kad svarbu sukurti sistemą, </w:t>
            </w:r>
            <w:r>
              <w:rPr>
                <w:b/>
                <w:i/>
              </w:rPr>
              <w:t>kuria būtų didinama lyčių lygybė ir remiamos visų rūšių šeimos ir asmenys, įskaitant vienišus tėvus,</w:t>
            </w:r>
            <w:r>
              <w:t xml:space="preserve"> kaip integracinio augimo strategijos dalį, </w:t>
            </w:r>
            <w:r>
              <w:rPr>
                <w:b/>
                <w:i/>
              </w:rPr>
              <w:t>ir pabrėžiama, kad reikia skatinti profesinio ir asmeninio gyvenimo pusiausvyros politiką, kuria būtų užtikrintos prieinamos ir profesionalios priežiūros sistemos, taip pat kokybiškas viešasis švietimas, atostogos dėl šeiminių priežasčių ir lanksčios darbo sąlygos pagal Europos priežiūros strategiją;</w:t>
            </w:r>
            <w:r>
              <w:t xml:space="preserve"> </w:t>
            </w:r>
            <w:r>
              <w:rPr>
                <w:b/>
                <w:i/>
              </w:rPr>
              <w:t>kadangi Eurostatas pabrėžia, kad dėl migracijos didėja ES gyventojų skaičius ir kad būtina dėti daugiau pastangų jų integracijai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E</w:t>
            </w:r>
            <w:r>
              <w:t xml:space="preserve">. Lettos pranešime </w:t>
            </w:r>
            <w:r>
              <w:rPr>
                <w:b/>
                <w:i/>
              </w:rPr>
              <w:t>apgailestaujama dėl mažėjančio gimstamumo ir pažymima, kad svarbu sukurti sistemą, kaip integracinio augimo strategijos dalį, pagal kurią būtų remiamos visos šeimos, ir pabrėžiama, kad reikia propaguoti šeimos ir profesinio bei asmeninio gyvenimo pusiausvyros politiką</w:t>
            </w:r>
            <w:r>
              <w:t>;</w:t>
            </w:r>
          </w:p>
        </w:tc>
        <w:tc>
          <w:tcPr>
            <w:tcW w:w="4876" w:type="dxa"/>
            <w:tcBorders>
              <w:top w:val="nil"/>
              <w:left w:val="nil"/>
              <w:bottom w:val="nil"/>
              <w:right w:val="nil"/>
            </w:tcBorders>
          </w:tcPr>
          <w:p>
            <w:pPr>
              <w:pStyle w:val="Normal6a"/>
            </w:pPr>
            <w:r>
              <w:t>C.</w:t>
            </w:r>
            <w:r>
              <w:tab/>
            </w:r>
            <w:r>
              <w:t xml:space="preserve">kadangi </w:t>
            </w:r>
            <w:r>
              <w:rPr>
                <w:b/>
                <w:i/>
              </w:rPr>
              <w:t>L</w:t>
            </w:r>
            <w:r>
              <w:t xml:space="preserve">. Lettos pranešime </w:t>
            </w:r>
            <w:r>
              <w:rPr>
                <w:b/>
                <w:i/>
              </w:rPr>
              <w:t>pabrėžiamas stiprus ES bendrosios rinkos socialinis aspektas, siekiant užkirsti kelią dideliam ekonominiam ir socialiniam disbalansui, skatinti gerovę, užtikrinti sąžiningas galimybes, darbuotojų teises ir socialinę apsaugą visiems, kartu prisidedant prie integracinio augimo ir konkurencingumo pagal socialinių teisių ramstį;</w:t>
            </w:r>
            <w:r>
              <w:t xml:space="preserve"> </w:t>
            </w:r>
            <w:r>
              <w:rPr>
                <w:b/>
                <w:i/>
              </w:rPr>
              <w:t>kadangi ataskaitoje pažymima, kad laisvas asmenų judėjimas išlieka mažiausiai išvystyta iš keturių laisvių, ir teigiama, kad reikia mažinti kliūtis profesiniam judumui ES viduje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E</w:t>
            </w:r>
            <w:r>
              <w:t xml:space="preserve">. Lettos pranešime </w:t>
            </w:r>
            <w:r>
              <w:rPr>
                <w:b/>
                <w:i/>
              </w:rPr>
              <w:t>apgailestaujama dėl mažėjančio</w:t>
            </w:r>
            <w:r>
              <w:t xml:space="preserve"> gimstamumo </w:t>
            </w:r>
            <w:r>
              <w:rPr>
                <w:b/>
                <w:i/>
              </w:rPr>
              <w:t>ir pažymima</w:t>
            </w:r>
            <w:r>
              <w:t xml:space="preserve">, kad svarbu sukurti sistemą, </w:t>
            </w:r>
            <w:r>
              <w:rPr>
                <w:b/>
                <w:i/>
              </w:rPr>
              <w:t>kaip integracinio augimo strategijos dalį, pagal kurią būtų remiamos visos šeimos, ir pabrėžiama</w:t>
            </w:r>
            <w:r>
              <w:t xml:space="preserve">, kad reikia </w:t>
            </w:r>
            <w:r>
              <w:rPr>
                <w:b/>
                <w:i/>
              </w:rPr>
              <w:t>propaguoti šeimos ir profesinio bei</w:t>
            </w:r>
            <w:r>
              <w:t xml:space="preserve"> asmeninio gyvenimo pusiausvyros politiką;</w:t>
            </w:r>
          </w:p>
        </w:tc>
        <w:tc>
          <w:tcPr>
            <w:tcW w:w="4876" w:type="dxa"/>
            <w:tcBorders>
              <w:top w:val="nil"/>
              <w:left w:val="nil"/>
              <w:bottom w:val="nil"/>
              <w:right w:val="nil"/>
            </w:tcBorders>
          </w:tcPr>
          <w:p>
            <w:pPr>
              <w:pStyle w:val="Normal6a"/>
            </w:pPr>
            <w:r>
              <w:t>C.</w:t>
            </w:r>
            <w:r>
              <w:tab/>
            </w:r>
            <w:r>
              <w:t xml:space="preserve">kadangi </w:t>
            </w:r>
            <w:r>
              <w:rPr>
                <w:b/>
                <w:i/>
              </w:rPr>
              <w:t>L</w:t>
            </w:r>
            <w:r>
              <w:t xml:space="preserve">. Lettos pranešime </w:t>
            </w:r>
            <w:r>
              <w:rPr>
                <w:b/>
                <w:i/>
              </w:rPr>
              <w:t>atkreipiamas dėmesys į</w:t>
            </w:r>
            <w:r>
              <w:t xml:space="preserve"> gimstamumo </w:t>
            </w:r>
            <w:r>
              <w:rPr>
                <w:b/>
                <w:i/>
              </w:rPr>
              <w:t>mažėjimą, pabrėžiant</w:t>
            </w:r>
            <w:r>
              <w:t xml:space="preserve">, kad svarbu sukurti sistemą, </w:t>
            </w:r>
            <w:r>
              <w:rPr>
                <w:b/>
                <w:i/>
              </w:rPr>
              <w:t>kuri padėtų visiems mūsų visuomenės nariams per šią precedento neturinčią pragyvenimo išlaidų krizę, kaip integracinio augimo strategijos dalį, ir pabrėžiant</w:t>
            </w:r>
            <w:r>
              <w:t xml:space="preserve">, kad reikia </w:t>
            </w:r>
            <w:r>
              <w:rPr>
                <w:b/>
                <w:i/>
              </w:rPr>
              <w:t>skatinti profesinio ir</w:t>
            </w:r>
            <w:r>
              <w:t xml:space="preserve"> asmeninio gyvenimo pusiausvyros politiką </w:t>
            </w:r>
            <w:r>
              <w:rPr>
                <w:b/>
                <w:i/>
              </w:rPr>
              <w:t>visiems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 Lettos pranešime apgailestaujama dėl mažėjančio gimstamumo ir pažymima, kad svarbu sukurti sistemą, kaip integracinio augimo strategijos dalį, pagal kurią būtų remiamos visos šeimos, ir pabrėžiama, kad reikia propaguoti šeimos ir profesinio bei asmeninio gyvenimo pusiausvyros politiką;</w:t>
            </w:r>
          </w:p>
        </w:tc>
        <w:tc>
          <w:tcPr>
            <w:tcW w:w="4876" w:type="dxa"/>
            <w:tcBorders>
              <w:top w:val="nil"/>
              <w:left w:val="nil"/>
              <w:bottom w:val="nil"/>
              <w:right w:val="nil"/>
            </w:tcBorders>
          </w:tcPr>
          <w:p>
            <w:pPr>
              <w:pStyle w:val="Normal6a"/>
            </w:pPr>
            <w:r>
              <w:t>C.</w:t>
            </w:r>
            <w:r>
              <w:tab/>
            </w:r>
            <w:r>
              <w:t xml:space="preserve">kadangi E. Lettos pranešime apgailestaujama dėl mažėjančio gimstamumo ir pažymima, kad svarbu sukurti </w:t>
            </w:r>
            <w:r>
              <w:rPr>
                <w:b/>
                <w:i/>
              </w:rPr>
              <w:t>visapusišką</w:t>
            </w:r>
            <w:r>
              <w:t xml:space="preserve"> sistemą, kaip integracinio augimo strategijos dalį, pagal kurią būtų remiamos visos šeimos, ir pabrėžiama, kad reikia propaguoti šeimos ir profesinio bei asmeninio gyvenimo pusiausvyros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E. Lettos pranešime apgailestaujama dėl mažėjančio gimstamumo ir pažymima, kad svarbu sukurti sistemą, kaip integracinio augimo strategijos dalį, pagal kurią būtų remiamos visos šeimos, ir pabrėžiama, kad reikia propaguoti šeimos ir profesinio bei asmeninio gyvenimo pusiausvyros politiką;</w:t>
            </w:r>
          </w:p>
        </w:tc>
        <w:tc>
          <w:tcPr>
            <w:tcW w:w="4876" w:type="dxa"/>
            <w:tcBorders>
              <w:top w:val="nil"/>
              <w:left w:val="nil"/>
              <w:bottom w:val="nil"/>
              <w:right w:val="nil"/>
            </w:tcBorders>
          </w:tcPr>
          <w:p>
            <w:pPr>
              <w:pStyle w:val="Normal6a"/>
            </w:pPr>
            <w:r>
              <w:t>C.</w:t>
            </w:r>
            <w:r>
              <w:tab/>
            </w:r>
            <w:r>
              <w:t xml:space="preserve">kadangi E. Lettos pranešime apgailestaujama dėl mažėjančio gimstamumo ir pažymima, kad svarbu sukurti sistemą, kaip integracinio augimo strategijos dalį, pagal kurią būtų remiamos visos </w:t>
            </w:r>
            <w:r>
              <w:rPr>
                <w:b/>
                <w:i/>
              </w:rPr>
              <w:t>Europos piliečių</w:t>
            </w:r>
            <w:r>
              <w:t xml:space="preserve"> šeimos, ir pabrėžiama, kad reikia propaguoti šeimos ir profesinio bei asmeninio gyvenimo pusiausvyros politiką;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stipraus, tvaraus ir įtraukaus ekonomikos augimo skatinimas kuriant darbo vietas, kurio reikalaujama Europos semestro rekomendacijose, gali būti sėkmingas tik tuo atveju, jei vaikai galės savarankiškai lavintis ir išnaudoti visą savo (švietimo) potencialą, kad būtų kvalifikuoti dalyvauti ateities specialistų darbo rinkoje, kartu skatinant lygias galimybes ir socialinę sanglaudą, taip pat mažinant sveikatos ir socialinę nelygybę bei stiprinant vaikų socialinę įtrauktį ir gerovę;</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šiuo tikslu vaikams turi būti sudarytos galimybės veiksmingai naudotis pagrindinėmis priežiūros paslaugomis, pvz., ikimokyklinio ugdymo ir priežiūros, švietimo ir mokyklinės veiklos paslaugomis ir, visų pirma, pagrindinėmis sveikatos priežiūros paslaugomis, užtikrinant veiksmingą galimybę sveikai maitintis, įskaitant bent vieną sveiką valgį per dieną mokykloje, kad būtų ugdomas jų atsparumas;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reikia tikslingai stiprinti šeimas, siekiant geresnio ateities kartų vystymosi;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kadangi reikia padaryti didelę pažangą kovojant su vaikų ir jų šeimų skurdu ir prisidedant prie tikslo iki 2030 m. bent 15 mln. sumažinti skurdą patiriančių žmonių skaičių, įskaitant bent 5 mln. vaikų visose valstybėse narėse;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dėl infliacijos padidėjo </w:t>
            </w:r>
            <w:r>
              <w:rPr>
                <w:b/>
                <w:i/>
              </w:rPr>
              <w:t>našta</w:t>
            </w:r>
            <w:r>
              <w:t xml:space="preserve"> namų ūkiams </w:t>
            </w:r>
            <w:r>
              <w:rPr>
                <w:b/>
                <w:i/>
              </w:rPr>
              <w:t>ir</w:t>
            </w:r>
            <w:r>
              <w:t xml:space="preserve"> būsto išlaidos </w:t>
            </w:r>
            <w:r>
              <w:rPr>
                <w:b/>
                <w:i/>
              </w:rPr>
              <w:t>ir</w:t>
            </w:r>
            <w:r>
              <w:t xml:space="preserve"> energijos nepriteklius tebėra </w:t>
            </w:r>
            <w:r>
              <w:rPr>
                <w:b/>
                <w:i/>
              </w:rPr>
              <w:t>pagrindinės problemos</w:t>
            </w:r>
            <w:r>
              <w:t>;</w:t>
            </w:r>
          </w:p>
        </w:tc>
        <w:tc>
          <w:tcPr>
            <w:tcW w:w="4876" w:type="dxa"/>
            <w:tcBorders>
              <w:top w:val="nil"/>
              <w:left w:val="nil"/>
              <w:bottom w:val="nil"/>
              <w:right w:val="nil"/>
            </w:tcBorders>
          </w:tcPr>
          <w:p>
            <w:pPr>
              <w:pStyle w:val="Normal6a"/>
            </w:pPr>
            <w:r>
              <w:t>D.</w:t>
            </w:r>
            <w:r>
              <w:tab/>
            </w:r>
            <w:r>
              <w:t xml:space="preserve">kadangi dėl </w:t>
            </w:r>
            <w:r>
              <w:rPr>
                <w:b/>
                <w:i/>
              </w:rPr>
              <w:t>aukšto</w:t>
            </w:r>
            <w:r>
              <w:t xml:space="preserve"> infliacijos </w:t>
            </w:r>
            <w:r>
              <w:rPr>
                <w:b/>
                <w:i/>
              </w:rPr>
              <w:t>lygio</w:t>
            </w:r>
            <w:r>
              <w:t xml:space="preserve"> padidėjo </w:t>
            </w:r>
            <w:r>
              <w:rPr>
                <w:b/>
                <w:i/>
              </w:rPr>
              <w:t>pragyvenimo išlaidos, o</w:t>
            </w:r>
            <w:r>
              <w:t xml:space="preserve"> namų ūkiams </w:t>
            </w:r>
            <w:r>
              <w:rPr>
                <w:b/>
                <w:i/>
              </w:rPr>
              <w:t>tenkanti našta,</w:t>
            </w:r>
            <w:r>
              <w:t xml:space="preserve"> būsto išlaidos</w:t>
            </w:r>
            <w:r>
              <w:rPr>
                <w:b/>
                <w:i/>
              </w:rPr>
              <w:t>,</w:t>
            </w:r>
            <w:r>
              <w:t xml:space="preserve"> energijos nepriteklius </w:t>
            </w:r>
            <w:r>
              <w:rPr>
                <w:b/>
                <w:i/>
              </w:rPr>
              <w:t>ir socialinė atskirtis</w:t>
            </w:r>
            <w:r>
              <w:t xml:space="preserve"> tebėra </w:t>
            </w:r>
            <w:r>
              <w:rPr>
                <w:b/>
                <w:i/>
              </w:rPr>
              <w:t>itin svarbūs iššūkiai ES, su kuriais visų pirma susiduria moterys, jaunimas, vaikai, neįgalieji, LGTBI, migrantų kilmės asmenys ir romai, ir esama didelių skirtumų tiek tarp valstybių narių ir gyventojų grupių, tiek jų viduje;</w:t>
            </w:r>
            <w:r>
              <w:t xml:space="preserve"> </w:t>
            </w:r>
            <w:r>
              <w:rPr>
                <w:b/>
                <w:i/>
              </w:rPr>
              <w:t>kadangi būstas tampa neįperkamas daugeliui europiečių, gyvenančių namų ūkiuose, kuriuose išlaidos būstui sudaro 40 proc. visų jų disponuojamųjų pajamų;</w:t>
            </w:r>
            <w:r>
              <w:t xml:space="preserve"> </w:t>
            </w:r>
            <w:r>
              <w:rPr>
                <w:b/>
                <w:i/>
              </w:rPr>
              <w:t>kadangi deramas, kokybiškas ir įperkamas būstas, įskaitant socialinį būstą, yra pagrindinė sąlyga siekiant užtikrinti lygias galimybes ir kovoti su skurdu ir (arba) socialine atskirtimi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dėl infliacijos padidėjo našta namų ūkiams ir būsto</w:t>
            </w:r>
            <w:r>
              <w:t xml:space="preserve"> išlaidos </w:t>
            </w:r>
            <w:r>
              <w:rPr>
                <w:b/>
                <w:i/>
              </w:rPr>
              <w:t>ir</w:t>
            </w:r>
            <w:r>
              <w:t xml:space="preserve"> energijos nepriteklius tebėra pagrindinės problemos;</w:t>
            </w:r>
          </w:p>
        </w:tc>
        <w:tc>
          <w:tcPr>
            <w:tcW w:w="4876" w:type="dxa"/>
            <w:tcBorders>
              <w:top w:val="nil"/>
              <w:left w:val="nil"/>
              <w:bottom w:val="nil"/>
              <w:right w:val="nil"/>
            </w:tcBorders>
          </w:tcPr>
          <w:p>
            <w:pPr>
              <w:pStyle w:val="Normal6a"/>
            </w:pPr>
            <w:r>
              <w:t>D.</w:t>
            </w:r>
            <w:r>
              <w:tab/>
            </w:r>
            <w:r>
              <w:t xml:space="preserve">kadangi </w:t>
            </w:r>
            <w:r>
              <w:rPr>
                <w:b/>
                <w:i/>
              </w:rPr>
              <w:t>infliacija padidino namų ūkiams ir MVĮ tenkančią naštą ir padidino skurdo ir socialinės atskirties riziką;</w:t>
            </w:r>
            <w:r>
              <w:t xml:space="preserve"> </w:t>
            </w:r>
            <w:r>
              <w:rPr>
                <w:b/>
                <w:i/>
              </w:rPr>
              <w:t>kadangi pragyvenimo</w:t>
            </w:r>
            <w:r>
              <w:t xml:space="preserve"> išlaidos</w:t>
            </w:r>
            <w:r>
              <w:rPr>
                <w:b/>
                <w:i/>
              </w:rPr>
              <w:t>, būsto prieinamumas ir įperkamumas, taip pat</w:t>
            </w:r>
            <w:r>
              <w:t xml:space="preserve"> energijos </w:t>
            </w:r>
            <w:r>
              <w:rPr>
                <w:b/>
                <w:i/>
              </w:rPr>
              <w:t>ir transporto</w:t>
            </w:r>
            <w:r>
              <w:t xml:space="preserve"> nepriteklius tebėra pagrindinės problemos; </w:t>
            </w:r>
            <w:r>
              <w:rPr>
                <w:b/>
                <w:i/>
              </w:rPr>
              <w:t>kadangi investicijos į socialines paslaugas ir būsto, įskaitant socialinį būstą, pasiūlos didinimas, taip pat būsto pašalpos atlieka svarbų vaidmenį mažinant pažeidžiamų namų ūkių skurdą ir gerinant įperkamumą;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dėl infliacijos padidėjo našta namų ūkiams ir būsto išlaidos ir energijos nepriteklius tebėra pagrindinės problemos;</w:t>
            </w:r>
          </w:p>
        </w:tc>
        <w:tc>
          <w:tcPr>
            <w:tcW w:w="4876" w:type="dxa"/>
            <w:tcBorders>
              <w:top w:val="nil"/>
              <w:left w:val="nil"/>
              <w:bottom w:val="nil"/>
              <w:right w:val="nil"/>
            </w:tcBorders>
          </w:tcPr>
          <w:p>
            <w:pPr>
              <w:pStyle w:val="Normal6a"/>
            </w:pPr>
            <w:r>
              <w:t>D.</w:t>
            </w:r>
            <w:r>
              <w:tab/>
            </w:r>
            <w:r>
              <w:t xml:space="preserve">kadangi dėl infliacijos padidėjo našta namų ūkiams ir būsto išlaidos ir energijos nepriteklius tebėra pagrindinės problemos; </w:t>
            </w:r>
            <w:r>
              <w:rPr>
                <w:b/>
                <w:i/>
              </w:rPr>
              <w:t>2023 m. antrus metus iš eilės padidėjo ES, o tai rodo didelių energijos sąnaudų, dėl kurių valstybės narės turi imtis aktyvių priemonių,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dėl infliacijos padidėjo našta namų ūkiams </w:t>
            </w:r>
            <w:r>
              <w:rPr>
                <w:b/>
                <w:i/>
              </w:rPr>
              <w:t>ir</w:t>
            </w:r>
            <w:r>
              <w:t xml:space="preserve"> būsto išlaidos ir energijos nepriteklius tebėra pagrindinės problemos;</w:t>
            </w:r>
          </w:p>
        </w:tc>
        <w:tc>
          <w:tcPr>
            <w:tcW w:w="4876" w:type="dxa"/>
            <w:tcBorders>
              <w:top w:val="nil"/>
              <w:left w:val="nil"/>
              <w:bottom w:val="nil"/>
              <w:right w:val="nil"/>
            </w:tcBorders>
          </w:tcPr>
          <w:p>
            <w:pPr>
              <w:pStyle w:val="Normal6a"/>
            </w:pPr>
            <w:r>
              <w:t>D.</w:t>
            </w:r>
            <w:r>
              <w:tab/>
            </w:r>
            <w:r>
              <w:t>kadangi dėl infliacijos padidėjo našta namų ūkiams</w:t>
            </w:r>
            <w:r>
              <w:rPr>
                <w:b/>
                <w:i/>
              </w:rPr>
              <w:t>, ypač neigiamai veikia vienišus tėvus, daugiavaikes šeimas, vyresnio amžiaus asmenis ar neįgaliuosius, o</w:t>
            </w:r>
            <w:r>
              <w:t xml:space="preserve"> būsto išlaidos ir energijos nepriteklius tebėra pagrindinės problemos;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dėl infliacijos padidėjo našta namų ūkiams </w:t>
            </w:r>
            <w:r>
              <w:rPr>
                <w:b/>
                <w:i/>
              </w:rPr>
              <w:t>ir</w:t>
            </w:r>
            <w:r>
              <w:t xml:space="preserve"> būsto išlaidos ir energijos nepriteklius tebėra pagrindinės problemos;</w:t>
            </w:r>
          </w:p>
        </w:tc>
        <w:tc>
          <w:tcPr>
            <w:tcW w:w="4876" w:type="dxa"/>
            <w:tcBorders>
              <w:top w:val="nil"/>
              <w:left w:val="nil"/>
              <w:bottom w:val="nil"/>
              <w:right w:val="nil"/>
            </w:tcBorders>
          </w:tcPr>
          <w:p>
            <w:pPr>
              <w:pStyle w:val="Normal6a"/>
            </w:pPr>
            <w:r>
              <w:t>D.</w:t>
            </w:r>
            <w:r>
              <w:tab/>
            </w:r>
            <w:r>
              <w:t xml:space="preserve">kadangi dėl infliacijos </w:t>
            </w:r>
            <w:r>
              <w:rPr>
                <w:b/>
                <w:i/>
              </w:rPr>
              <w:t>ir perskirstymo politikos trūkumo</w:t>
            </w:r>
            <w:r>
              <w:t xml:space="preserve"> padidėjo </w:t>
            </w:r>
            <w:r>
              <w:rPr>
                <w:b/>
                <w:i/>
              </w:rPr>
              <w:t>ekonominė</w:t>
            </w:r>
            <w:r>
              <w:t xml:space="preserve"> našta namų ūkiams</w:t>
            </w:r>
            <w:r>
              <w:rPr>
                <w:b/>
                <w:i/>
              </w:rPr>
              <w:t>, ypač pažeidžiamiausiems;</w:t>
            </w:r>
            <w:r>
              <w:t xml:space="preserve"> </w:t>
            </w:r>
            <w:r>
              <w:rPr>
                <w:b/>
                <w:i/>
              </w:rPr>
              <w:t>o</w:t>
            </w:r>
            <w:r>
              <w:t xml:space="preserve"> būsto išlaidos ir energijos nepriteklius </w:t>
            </w:r>
            <w:r>
              <w:rPr>
                <w:b/>
                <w:i/>
              </w:rPr>
              <w:t>visoje ES</w:t>
            </w:r>
            <w:r>
              <w:t xml:space="preserve"> tebėra pagrindinės problemos;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dėl infliacijos padidėjo našta namų ūkiams ir būsto išlaidos ir energijos nepriteklius tebėra pagrindinės problemos;</w:t>
            </w:r>
          </w:p>
        </w:tc>
        <w:tc>
          <w:tcPr>
            <w:tcW w:w="4876" w:type="dxa"/>
            <w:tcBorders>
              <w:top w:val="nil"/>
              <w:left w:val="nil"/>
              <w:bottom w:val="nil"/>
              <w:right w:val="nil"/>
            </w:tcBorders>
          </w:tcPr>
          <w:p>
            <w:pPr>
              <w:pStyle w:val="Normal6a"/>
            </w:pPr>
            <w:r>
              <w:t>D.</w:t>
            </w:r>
            <w:r>
              <w:tab/>
            </w:r>
            <w:r>
              <w:t>kadangi dėl infliacijos padidėjo našta namų ūkiams ir būsto išlaidos ir energijos nepriteklius tebėra pagrindinės problemos</w:t>
            </w:r>
            <w:r>
              <w:rPr>
                <w:b/>
                <w:i/>
              </w:rPr>
              <w:t>, kurios yra susijusios su pernelyg aukštais būsto ir energijos standartais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vidutinės trukmės fiskaliniuose struktūriniuose planuose pateikiamos fiskalinės trajektorijos, kurios patvirtina, kad atsiranda kompromisas tarp investicijų padidėjimo ir tinkamo socialinių išlaidų lygio;</w:t>
            </w:r>
            <w:r>
              <w:t xml:space="preserve"> </w:t>
            </w:r>
            <w:r>
              <w:rPr>
                <w:b/>
                <w:i/>
              </w:rPr>
              <w:t>ir dėl jų reformos bei investicijos ir viešosios investicijos bei viešųjų finansų tikslai yra prastai suderinti;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nepaisant to, kad 2023 m. žmonių, kuriems gresia skurdas ar socialinė atskirtis, skaičius ES sumažėjo minimaliai, maždaug 1 iš 5 vis dar susiduria su šia problema, o skirtumai tarp vaikų, jaunimo ir vyresnio amžiaus žmonių, neįgaliųjų, LGTBI, ne ES gimusių asmenų ir romų bendruomenių yra dideli;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Europos labai mažos, mažosios ir vidutinės įmonės susiduria su ypatingais iššūkiais, pvz., išlikdamos konkurencingos su trečiųjų šalių subjektais, išlaikydamos gamybos lygį vis didesnėmis energijos sąnaudomis ir surasdamos žaliajai ir skaitmeninei pertvarkai reikalingų įgūdžių;</w:t>
            </w:r>
            <w:r>
              <w:t xml:space="preserve"> </w:t>
            </w:r>
            <w:r>
              <w:rPr>
                <w:b/>
                <w:i/>
              </w:rPr>
              <w:t>kadangi joms reikia finansinės ir techninės paramos, kad jos galėtų laikytis reguliavimo reikalavimų, susijusių su dvejopo perėjimo teikiamomis galimybėmis;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darbo </w:t>
            </w:r>
            <w:r>
              <w:rPr>
                <w:b/>
                <w:i/>
              </w:rPr>
              <w:t>jėgos ir įgūdžių trūkumas</w:t>
            </w:r>
            <w:r>
              <w:t xml:space="preserve"> tebėra problema visais lygmenimis, kurią dar labiau apsunkina </w:t>
            </w:r>
            <w:r>
              <w:rPr>
                <w:b/>
                <w:i/>
              </w:rPr>
              <w:t>tai, kad trūksta</w:t>
            </w:r>
            <w:r>
              <w:t xml:space="preserve"> kandidatų </w:t>
            </w:r>
            <w:r>
              <w:rPr>
                <w:b/>
                <w:i/>
              </w:rPr>
              <w:t>užimti ypač</w:t>
            </w:r>
            <w:r>
              <w:t xml:space="preserve"> svarbias pareigas </w:t>
            </w:r>
            <w:r>
              <w:rPr>
                <w:b/>
                <w:i/>
              </w:rPr>
              <w:t>tokiuose pagrindiniuose sektoriuose kaip švietimas, sveikatos 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w:t>
            </w:r>
            <w:r>
              <w:rPr>
                <w:b/>
                <w:i/>
              </w:rPr>
              <w:t>patrauklumo ir investicijų į kokybiškas viešąsias paslaugas trūkumas, prastos</w:t>
            </w:r>
            <w:r>
              <w:t xml:space="preserve"> darbo </w:t>
            </w:r>
            <w:r>
              <w:rPr>
                <w:b/>
                <w:i/>
              </w:rPr>
              <w:t>sąlygos ir maži atlyginimai</w:t>
            </w:r>
            <w:r>
              <w:t xml:space="preserve"> tebėra problema visais lygmenimis, kurią dar labiau apsunkina kandidatų </w:t>
            </w:r>
            <w:r>
              <w:rPr>
                <w:b/>
                <w:i/>
              </w:rPr>
              <w:t>į</w:t>
            </w:r>
            <w:r>
              <w:t xml:space="preserve"> svarbias pareigas </w:t>
            </w:r>
            <w:r>
              <w:rPr>
                <w:b/>
                <w:i/>
              </w:rPr>
              <w:t>trūkumas kai kuriuose sektoriuose, pvz., mokslo ir technologijų</w:t>
            </w:r>
            <w:r>
              <w:t xml:space="preserve">, ypač vietovėse, kuriose mažėja gyventojų </w:t>
            </w:r>
            <w:r>
              <w:rPr>
                <w:b/>
                <w:i/>
              </w:rPr>
              <w:t>skaičius;</w:t>
            </w:r>
            <w:r>
              <w:t xml:space="preserve"> </w:t>
            </w:r>
            <w:r>
              <w:rPr>
                <w:b/>
                <w:i/>
              </w:rPr>
              <w:t>kadangi ES gebėjimas įveikti būsimus sukrėtimus, krizes ir polikrizes, kartu įgyvendinant demografinę, skaitmeninę ir žaliąją pertvarką labai priklausys nuo sąlygų, kuriomis ypatingos svarbos darbuotojai galės dirbti savo darbą;</w:t>
            </w:r>
            <w:r>
              <w:t xml:space="preserve"> </w:t>
            </w:r>
            <w:r>
              <w:rPr>
                <w:b/>
                <w:i/>
              </w:rPr>
              <w:t>kadangi norint spręsti trūkumo problemą ir išlaikyti visų rūšių talentus reikia užtikrinti deramas darbo sąlygas, galimybę naudotis socialinės apsaugos sistemomis ir galimybes ugdyti prie poreikių pritaikytus įgūdžius;</w:t>
            </w:r>
            <w:r>
              <w:t xml:space="preserve"> </w:t>
            </w:r>
            <w:r>
              <w:rPr>
                <w:b/>
                <w:i/>
              </w:rPr>
              <w:t>ir kadangi labai svarbu spręsti įgūdžių trūkumo problemą, kad būtų įgyvendinta skaitmeninė ir žalioji pertvarka, užtikrintas integracinis ir tvarus augimas ir padidintas ES konkurencingumas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darbo jėgos ir įgūdžių trūkumas tebėra problema visais lygmenimis, kurią dar labiau apsunkina tai, kad trūksta</w:t>
            </w:r>
            <w:r>
              <w:t xml:space="preserve"> kandidatų užimti </w:t>
            </w:r>
            <w:r>
              <w:rPr>
                <w:b/>
                <w:i/>
              </w:rPr>
              <w:t>ypač</w:t>
            </w:r>
            <w:r>
              <w:t xml:space="preserve"> svarbias pareigas </w:t>
            </w:r>
            <w:r>
              <w:rPr>
                <w:b/>
                <w:i/>
              </w:rPr>
              <w:t>tokiuose</w:t>
            </w:r>
            <w:r>
              <w:t xml:space="preserve"> pagrindiniuose sektoriuose </w:t>
            </w:r>
            <w:r>
              <w:rPr>
                <w:b/>
                <w:i/>
              </w:rPr>
              <w:t>kaip švietimas</w:t>
            </w:r>
            <w:r>
              <w:t xml:space="preserve">, sveikatos </w:t>
            </w:r>
            <w:r>
              <w:rPr>
                <w:b/>
                <w:i/>
              </w:rPr>
              <w:t>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w:t>
            </w:r>
            <w:r>
              <w:rPr>
                <w:b/>
                <w:i/>
              </w:rPr>
              <w:t>visų dydžių ir sektorių įmonės praneša apie darbo jėgos ir įgūdžių trūkumą, kurį dar labiau didina</w:t>
            </w:r>
            <w:r>
              <w:t xml:space="preserve"> kandidatų užimti svarbias pareigas pagrindiniuose sektoriuose</w:t>
            </w:r>
            <w:r>
              <w:rPr>
                <w:b/>
                <w:i/>
              </w:rPr>
              <w:t>, pvz., švietimo</w:t>
            </w:r>
            <w:r>
              <w:t>, sveikatos</w:t>
            </w:r>
            <w:r>
              <w:rPr>
                <w:b/>
                <w:i/>
              </w:rPr>
              <w:t>, statybos, apgyvendinimo ir maitinimo paslaugų, priežiūros, transporto, mokslo technologijų ir inžinerijos, trūkumas</w:t>
            </w:r>
            <w:r>
              <w:t xml:space="preserve">, ypač vietovėse, kuriose mažėja gyventojų </w:t>
            </w:r>
            <w:r>
              <w:rPr>
                <w:b/>
                <w:i/>
              </w:rPr>
              <w:t>skaičius;</w:t>
            </w:r>
            <w:r>
              <w:t xml:space="preserve"> </w:t>
            </w:r>
            <w:r>
              <w:rPr>
                <w:b/>
                <w:i/>
              </w:rPr>
              <w:t>kadangi ES pradėjo kelias iniciatyvas, kuriomis siekiama spręsti įgūdžių trūkumo problemą, pvz., Europos įgūdžių darbotvarkę, Įgūdžių paktą, ALMA ir poveikio klimatui neutralizavimo akademijas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darbo jėgos ir įgūdžių trūkumas </w:t>
            </w:r>
            <w:r>
              <w:rPr>
                <w:b/>
                <w:i/>
              </w:rPr>
              <w:t>tebėra problema visais lygmenimis, kurią dar labiau apsunkina tai, kad</w:t>
            </w:r>
            <w:r>
              <w:t xml:space="preserve"> trūksta kandidatų užimti </w:t>
            </w:r>
            <w:r>
              <w:rPr>
                <w:b/>
                <w:i/>
              </w:rPr>
              <w:t>ypač</w:t>
            </w:r>
            <w:r>
              <w:t xml:space="preserve"> svarbias pareigas </w:t>
            </w:r>
            <w:r>
              <w:rPr>
                <w:b/>
                <w:i/>
              </w:rPr>
              <w:t>tokiuose</w:t>
            </w:r>
            <w:r>
              <w:t xml:space="preserve"> pagrindiniuose sektoriuose </w:t>
            </w:r>
            <w:r>
              <w:rPr>
                <w:b/>
                <w:i/>
              </w:rPr>
              <w:t>kaip švietimas</w:t>
            </w:r>
            <w:r>
              <w:t xml:space="preserve">, sveikatos </w:t>
            </w:r>
            <w:r>
              <w:rPr>
                <w:b/>
                <w:i/>
              </w:rPr>
              <w:t>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darbo jėgos ir įgūdžių trūkumas </w:t>
            </w:r>
            <w:r>
              <w:rPr>
                <w:b/>
                <w:i/>
              </w:rPr>
              <w:t>dėl sudėtingų darbo sąlygų, nepatrauklių atlyginimų, mokymų trūkumo, kliūčių įgyti vidutinį ir aukštąjį išsilavinimą ir įgūdžių bei išsilavinimo pripažinimo trūkumo tebėra problema visais lygmenimis, todėl</w:t>
            </w:r>
            <w:r>
              <w:t xml:space="preserve"> trūksta kandidatų užimti svarbias pareigas pagrindiniuose sektoriuose</w:t>
            </w:r>
            <w:r>
              <w:rPr>
                <w:b/>
                <w:i/>
              </w:rPr>
              <w:t>, pvz., švietimo</w:t>
            </w:r>
            <w:r>
              <w:t xml:space="preserve">, sveikatos </w:t>
            </w:r>
            <w:r>
              <w:rPr>
                <w:b/>
                <w:i/>
              </w:rPr>
              <w:t>ir statybos</w:t>
            </w:r>
            <w:r>
              <w:t xml:space="preserve">, ypač vietovėse, kuriose mažėja gyventojų </w:t>
            </w:r>
            <w:r>
              <w:rPr>
                <w:b/>
                <w:i/>
              </w:rPr>
              <w:t>skaičius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darbo jėgos ir įgūdžių trūkumas tebėra problema visais lygmenimis, </w:t>
            </w:r>
            <w:r>
              <w:rPr>
                <w:b/>
                <w:i/>
              </w:rPr>
              <w:t>kurią dar labiau apsunkina tai, kad</w:t>
            </w:r>
            <w:r>
              <w:t xml:space="preserve"> trūksta kandidatų užimti </w:t>
            </w:r>
            <w:r>
              <w:rPr>
                <w:b/>
                <w:i/>
              </w:rPr>
              <w:t>ypač svarbias pareigas tokiuose pagrindiniuose sektoriuose kaip švietimas</w:t>
            </w:r>
            <w:r>
              <w:t xml:space="preserve">, sveikatos </w:t>
            </w:r>
            <w:r>
              <w:rPr>
                <w:b/>
                <w:i/>
              </w:rPr>
              <w:t>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darbo jėgos ir įgūdžių trūkumas tebėra problema visais lygmenimis, </w:t>
            </w:r>
            <w:r>
              <w:rPr>
                <w:b/>
                <w:i/>
              </w:rPr>
              <w:t>tačiau suaugusiųjų dalyvavimas švietimo ir mokymo programose tebėra gerokai mažesnis už ES tikslą, todėl</w:t>
            </w:r>
            <w:r>
              <w:t xml:space="preserve"> trūksta kandidatų užimti </w:t>
            </w:r>
            <w:r>
              <w:rPr>
                <w:b/>
                <w:i/>
              </w:rPr>
              <w:t>svarbias pareigas sektoriuose, ypač tuose, kuriuose sunku pakeisti gyvą darbą, pvz., švietimo</w:t>
            </w:r>
            <w:r>
              <w:t xml:space="preserve">, sveikatos </w:t>
            </w:r>
            <w:r>
              <w:rPr>
                <w:b/>
                <w:i/>
              </w:rPr>
              <w:t>ir statybos sektoriuose</w:t>
            </w:r>
            <w:r>
              <w:t xml:space="preserve">, ypač vietovėse, kuriose mažėja gyventojų </w:t>
            </w:r>
            <w:r>
              <w:rPr>
                <w:b/>
                <w:i/>
              </w:rPr>
              <w:t>skaičius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darbo jėgos ir įgūdžių trūkumas tebėra problema visais lygmenimis, kurią dar labiau apsunkina </w:t>
            </w:r>
            <w:r>
              <w:rPr>
                <w:b/>
                <w:i/>
              </w:rPr>
              <w:t>tai, kad trūksta kandidatų</w:t>
            </w:r>
            <w:r>
              <w:t xml:space="preserve"> užimti </w:t>
            </w:r>
            <w:r>
              <w:rPr>
                <w:b/>
                <w:i/>
              </w:rPr>
              <w:t>ypač</w:t>
            </w:r>
            <w:r>
              <w:t xml:space="preserve"> svarbias pareigas </w:t>
            </w:r>
            <w:r>
              <w:rPr>
                <w:b/>
                <w:i/>
              </w:rPr>
              <w:t>tokiuose</w:t>
            </w:r>
            <w:r>
              <w:t xml:space="preserve"> pagrindiniuose sektoriuose </w:t>
            </w:r>
            <w:r>
              <w:rPr>
                <w:b/>
                <w:i/>
              </w:rPr>
              <w:t>kaip švietimas</w:t>
            </w:r>
            <w:r>
              <w:t xml:space="preserve">, sveikatos </w:t>
            </w:r>
            <w:r>
              <w:rPr>
                <w:b/>
                <w:i/>
              </w:rPr>
              <w:t>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darbo jėgos ir įgūdžių trūkumas tebėra problema visais lygmenimis, kurią dar labiau apsunkina </w:t>
            </w:r>
            <w:r>
              <w:rPr>
                <w:b/>
                <w:i/>
              </w:rPr>
              <w:t>kandidatų, galinčių</w:t>
            </w:r>
            <w:r>
              <w:t xml:space="preserve"> užimti svarbias pareigas pagrindiniuose sektoriuose</w:t>
            </w:r>
            <w:r>
              <w:rPr>
                <w:b/>
                <w:i/>
              </w:rPr>
              <w:t>, pvz., švietimo</w:t>
            </w:r>
            <w:r>
              <w:t xml:space="preserve">, sveikatos </w:t>
            </w:r>
            <w:r>
              <w:rPr>
                <w:b/>
                <w:i/>
              </w:rPr>
              <w:t>ir priežiūros sektoriuje, taip pat statybos sektoriuje, trūkumas</w:t>
            </w:r>
            <w:r>
              <w:t xml:space="preserve">, ypač vietovėse, kuriose mažėja gyventojų </w:t>
            </w:r>
            <w:r>
              <w:rPr>
                <w:b/>
                <w:i/>
              </w:rPr>
              <w:t>skaičius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darbo </w:t>
            </w:r>
            <w:r>
              <w:rPr>
                <w:b/>
                <w:i/>
              </w:rPr>
              <w:t>jėgos ir įgūdžių trūkumas tebėra problema visais lygmenimis, kurią dar labiau apsunkina tai, kad trūksta kandidatų užimti ypač svarbias pareigas tokiuose pagrindiniuose</w:t>
            </w:r>
            <w:r>
              <w:t xml:space="preserve"> sektoriuose </w:t>
            </w:r>
            <w:r>
              <w:rPr>
                <w:b/>
                <w:i/>
              </w:rPr>
              <w:t>kaip švietimas</w:t>
            </w:r>
            <w:r>
              <w:t xml:space="preserve">, sveikatos </w:t>
            </w:r>
            <w:r>
              <w:rPr>
                <w:b/>
                <w:i/>
              </w:rPr>
              <w:t>priežiūra ir statyba</w:t>
            </w:r>
            <w:r>
              <w:t>, ypač vietovėse, kuriose mažėja gyventojų;</w:t>
            </w:r>
          </w:p>
        </w:tc>
        <w:tc>
          <w:tcPr>
            <w:tcW w:w="4876" w:type="dxa"/>
            <w:tcBorders>
              <w:top w:val="nil"/>
              <w:left w:val="nil"/>
              <w:bottom w:val="nil"/>
              <w:right w:val="nil"/>
            </w:tcBorders>
          </w:tcPr>
          <w:p>
            <w:pPr>
              <w:pStyle w:val="Normal6a"/>
            </w:pPr>
            <w:r>
              <w:t>E.</w:t>
            </w:r>
            <w:r>
              <w:tab/>
            </w:r>
            <w:r>
              <w:t xml:space="preserve">kadangi </w:t>
            </w:r>
            <w:r>
              <w:rPr>
                <w:b/>
                <w:i/>
              </w:rPr>
              <w:t>tinkamo</w:t>
            </w:r>
            <w:r>
              <w:t xml:space="preserve"> darbo </w:t>
            </w:r>
            <w:r>
              <w:rPr>
                <w:b/>
                <w:i/>
              </w:rPr>
              <w:t>užmokesčio ir deramų darbo sąlygų trūkumas labai prisideda prie darbo jėgos ir įgūdžių trūkumo svarbiausiuose</w:t>
            </w:r>
            <w:r>
              <w:t xml:space="preserve"> sektoriuose</w:t>
            </w:r>
            <w:r>
              <w:rPr>
                <w:b/>
                <w:i/>
              </w:rPr>
              <w:t>, pvz., švietimo</w:t>
            </w:r>
            <w:r>
              <w:t xml:space="preserve">, sveikatos </w:t>
            </w:r>
            <w:r>
              <w:rPr>
                <w:b/>
                <w:i/>
              </w:rPr>
              <w:t>ir statybos</w:t>
            </w:r>
            <w:r>
              <w:t xml:space="preserve">, ypač vietovėse, kuriose mažėja gyventojų </w:t>
            </w:r>
            <w:r>
              <w:rPr>
                <w:b/>
                <w:i/>
              </w:rPr>
              <w:t>skaičius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skatinant judumą ES ir apsvarstant galimybę pritraukti kvalifikuotų trečiųjų šalių darbuotojų, taip pat užtikrinti pagarbą darbo ir socialinėms teisėms bei jų vykdymą ir nukreipti trečiųjų šalių piliečius, atvykstančius į ES teisėtais migracijos būdais, į profesijas, kurioms trūksta darbuotojų, remiantis veiksminga integracijos politika, visapusiškai papildant talentų iš Sąjungos panaudojimą;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kvalifikuoti darbuotojai ir galimybė gauti kokybišką išsilavinimą, profesinį rengimą ir mokymą, taip pat mokymąsi visą gyvenimą yra labai svarbūs siekiant užtikrinti tvarią ir teisingą dvejopą Europos ekonomikos pertvarką; </w:t>
            </w:r>
            <w:r>
              <w:t xml:space="preserve"> </w:t>
            </w:r>
            <w:r>
              <w:rPr>
                <w:b/>
                <w:i/>
              </w:rPr>
              <w:t>kadangi kvalifikacijos kėlimo, perkvalifikavimo ir mokymo programos turi būti prieinamos visiems darbuotojams, įskaitant neįgaliuosius, ir taip pat turėtų būti pritaikytos prie darbuotojų poreikių ir pajėgumų;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2022 m. vidutinis Tarptautinio moksleivių vertinimo programos (PISA) penkiolikmečių pagrindinių įgūdžių (skaitymo, matematikos ir gamtos mokslų) vertinimo balas sumažėjo 10 punktų, palyginti su paskutine 2018 m. banga;</w:t>
            </w:r>
            <w:r>
              <w:t xml:space="preserve"> </w:t>
            </w:r>
            <w:r>
              <w:rPr>
                <w:b/>
                <w:i/>
              </w:rPr>
              <w:t>kadangi prastų mokymosi rezultatų dažniausiai pasiekia palankių sąlygų neturintys besimokantys asmenys, o tai rodo didėjančią nelygybę švietimo srityje;</w:t>
            </w:r>
            <w:r>
              <w:t xml:space="preserve"> </w:t>
            </w:r>
            <w:r>
              <w:rPr>
                <w:b/>
                <w:i/>
              </w:rPr>
              <w:t> kadangi dėl šios nerimą keliančios tendencijos reikia reformų ir investicijų į švietimą ir mokymą;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daugelyje ES valstybių narių vyrų ir moterų darbo užmokesčio skirtumai tebėra dideli ir kadangi priežiūros pareigos yra svarbus veiksnys, dėl kurio moterys ir toliau verčiamos dirbti ne visą darbo dieną arba jos išstumiamos iš darbo rinkos, o tai lemia didesnį vyrų ir moterų užimtumo skirtumą;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žalioji ir skaitmeninė pertvarka turi būti socialiai teisinga ir įtrauki visiems, pasinaudojant galimybe kurti kokybiškas darbo vietas, kovoti su diskriminacija darbe, apsaugoti darbuotojų teises ir kelti darbo standartus;</w:t>
            </w:r>
            <w:r>
              <w:t xml:space="preserve"> </w:t>
            </w:r>
            <w:r>
              <w:rPr>
                <w:b/>
                <w:i/>
              </w:rPr>
              <w:t>kadangi labai svarbu skatinti kokybiškų darbo vietų kūrimą, tvirtą socialinę apsaugą ir tikslines investicijas į įgūdžius, kurie atitiktų naujas darbo galimybes žaliajame ir skaitmeniniame sektoriuose, kartu su suaugusiųjų švietimo išmokomis, kad visiems būtų užtikrinta galimybė kelti kvalifikaciją ir persikvalifikuoti;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kadangi bendroje užimtumo ataskaitoje (BUA) pabrėžiama teisė atsijungti, visų pirma nuotolinio darbo srityje, pripažįstant itin svarbų šios teisės vaidmenį užtikrinant profesinio ir asmeninio gyvenimo pusiausvyrą didėjančio skaitmeninimo ir nuotolinio darbo sąlygomis;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kadangi 2024 m. tapo akivaizdūs iššūkiai keliems sektoriams, pvz., automobilių gamybai ir energijai imlioms pramonės šakoms, o įmonės paskelbė apie didelio masto restruktūrizavimą;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kadangi šiuo metu ES mastu reguliariai nerenkami duomenys apie investicijas į socialines paslaugas ir jų aprėptį. </w:t>
            </w:r>
            <w:r>
              <w:t xml:space="preserve"> </w:t>
            </w:r>
            <w:r>
              <w:rPr>
                <w:b/>
                <w:i/>
              </w:rPr>
              <w:t>Tokių duomenų rinkimas yra labai svarbus atliekant įrodymais pagrįstą nacionalinės socialinės politikos analizę ES semestro analizėje. </w:t>
            </w:r>
            <w:r>
              <w:t xml:space="preserve"> </w:t>
            </w:r>
            <w:r>
              <w:rPr>
                <w:b/>
                <w:i/>
              </w:rPr>
              <w:t>Šis klausimas turėtų būti sprendžiamas taikant bendrai sutartus kriterijus ir duomenų rinkimo standartus, taikomus investicijoms į socialines paslaugas ir jų aprėpčiai ES valstybėse narėse. </w:t>
            </w:r>
            <w:r>
              <w:t xml:space="preserve"> </w:t>
            </w:r>
            <w:r>
              <w:rPr>
                <w:b/>
                <w:i/>
              </w:rPr>
              <w:t>Europos socialinio tinklo socialinių paslaugų indeksas yra pavyzdys, kaip toks duomenų rinkimas gali prisidėti prie ES semestro analizės,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kadangi esama socialinių paslaugų aprėpties skirtumų, įskaitant ilgalaikę priežiūrą, vaikų apsaugą, paramą smurtui šeimoje ir pagalbą benamystei, kuriuos reikia šalinti įgyvendinant ES semestrą,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dėl </w:t>
            </w:r>
            <w:r>
              <w:rPr>
                <w:b/>
                <w:i/>
              </w:rPr>
              <w:t>kartų kaitos krizės ir menkų</w:t>
            </w:r>
            <w:r>
              <w:t xml:space="preserve"> galimybių naudotis viešosiomis paslaugomis padidėjo skurdo ir socialinės atskirties rizika, ypač </w:t>
            </w:r>
            <w:r>
              <w:rPr>
                <w:b/>
                <w:i/>
              </w:rPr>
              <w:t>susijusi su vaikais ir pagyvenusiais žmonėmis;</w:t>
            </w:r>
          </w:p>
        </w:tc>
        <w:tc>
          <w:tcPr>
            <w:tcW w:w="4876" w:type="dxa"/>
            <w:tcBorders>
              <w:top w:val="nil"/>
              <w:left w:val="nil"/>
              <w:bottom w:val="nil"/>
              <w:right w:val="nil"/>
            </w:tcBorders>
          </w:tcPr>
          <w:p>
            <w:pPr>
              <w:pStyle w:val="Normal6a"/>
            </w:pPr>
            <w:r>
              <w:t>F.</w:t>
            </w:r>
            <w:r>
              <w:tab/>
            </w:r>
            <w:r>
              <w:t xml:space="preserve">kadangi dėl </w:t>
            </w:r>
            <w:r>
              <w:rPr>
                <w:b/>
                <w:i/>
              </w:rPr>
              <w:t>ekonominės ir socialinės nelygybės, taip pat ribotų</w:t>
            </w:r>
            <w:r>
              <w:t xml:space="preserve"> galimybių </w:t>
            </w:r>
            <w:r>
              <w:rPr>
                <w:b/>
                <w:i/>
              </w:rPr>
              <w:t>gauti finansavimą ir</w:t>
            </w:r>
            <w:r>
              <w:t xml:space="preserve"> naudotis viešosiomis paslaugomis padidėjo skurdo ir socialinės atskirties rizika, ypač </w:t>
            </w:r>
            <w:r>
              <w:rPr>
                <w:b/>
                <w:i/>
              </w:rPr>
              <w:t>vaikams, vienišų tėvų namų ūkiams, jaunimui ir vyresnio amžiaus žmonėms bei kitoms pažeidžiamoms grupėms, pvz., migrantams, romams, ištuštėjusiose vietovėse gyvenantiems žmonėms ir neįgaliesiems,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dėl </w:t>
            </w:r>
            <w:r>
              <w:rPr>
                <w:b/>
                <w:i/>
              </w:rPr>
              <w:t>kartų kaitos krizės ir menkų galimybių naudotis viešosiomis paslaugomis padidėjo skurdo ir socialinės atskirties rizika, ypač susijusi su vaikais ir pagyvenusiais žmonėmis</w:t>
            </w:r>
            <w:r>
              <w:t>;</w:t>
            </w:r>
          </w:p>
        </w:tc>
        <w:tc>
          <w:tcPr>
            <w:tcW w:w="4876" w:type="dxa"/>
            <w:tcBorders>
              <w:top w:val="nil"/>
              <w:left w:val="nil"/>
              <w:bottom w:val="nil"/>
              <w:right w:val="nil"/>
            </w:tcBorders>
          </w:tcPr>
          <w:p>
            <w:pPr>
              <w:pStyle w:val="Normal6a"/>
            </w:pPr>
            <w:r>
              <w:t>F.</w:t>
            </w:r>
            <w:r>
              <w:tab/>
            </w:r>
            <w:r>
              <w:t xml:space="preserve">kadangi dėl </w:t>
            </w:r>
            <w:r>
              <w:rPr>
                <w:b/>
                <w:i/>
              </w:rPr>
              <w:t>nepakankamų socialinių investicijų padidėjo skurdo ir socialinės atskirties rizika, ypač vaikams, nepilnoms šeimoms ir vyresnio amžiaus žmonėms;</w:t>
            </w:r>
            <w:r>
              <w:t xml:space="preserve"> </w:t>
            </w:r>
            <w:r>
              <w:rPr>
                <w:b/>
                <w:i/>
              </w:rPr>
              <w:t>kadangi šis reiškinys taip pat daro poveikį darbo jėgos segmentui – 2023 m. 1 iš 12 darbuotojų gyveno namų ūkiuose, kuriems gresia skurdas;</w:t>
            </w:r>
            <w:r>
              <w:t xml:space="preserve"> </w:t>
            </w:r>
            <w:r>
              <w:rPr>
                <w:b/>
                <w:i/>
              </w:rPr>
              <w:t>kadangi plataus užmojo ES kovos su skurdu strategija bus labai svarbi siekiant pakeisti šią tendenciją ir reaguoti į daugialypį skurdo reiškinį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dėl kartų kaitos krizės ir </w:t>
            </w:r>
            <w:r>
              <w:rPr>
                <w:b/>
                <w:i/>
              </w:rPr>
              <w:t>menkų</w:t>
            </w:r>
            <w:r>
              <w:t xml:space="preserve"> galimybių naudotis viešosiomis paslaugomis padidėjo skurdo ir socialinės atskirties rizika, ypač </w:t>
            </w:r>
            <w:r>
              <w:rPr>
                <w:b/>
                <w:i/>
              </w:rPr>
              <w:t>susijusi su vaikais ir pagyvenusiais žmonėmis</w:t>
            </w:r>
            <w:r>
              <w:t>;</w:t>
            </w:r>
          </w:p>
        </w:tc>
        <w:tc>
          <w:tcPr>
            <w:tcW w:w="4876" w:type="dxa"/>
            <w:tcBorders>
              <w:top w:val="nil"/>
              <w:left w:val="nil"/>
              <w:bottom w:val="nil"/>
              <w:right w:val="nil"/>
            </w:tcBorders>
          </w:tcPr>
          <w:p>
            <w:pPr>
              <w:pStyle w:val="Normal6a"/>
            </w:pPr>
            <w:r>
              <w:t>F.</w:t>
            </w:r>
            <w:r>
              <w:tab/>
            </w:r>
            <w:r>
              <w:t xml:space="preserve">kadangi dėl kartų kaitos krizės ir </w:t>
            </w:r>
            <w:r>
              <w:rPr>
                <w:b/>
                <w:i/>
              </w:rPr>
              <w:t>prastų</w:t>
            </w:r>
            <w:r>
              <w:t xml:space="preserve"> galimybių naudotis viešosiomis paslaugomis</w:t>
            </w:r>
            <w:r>
              <w:rPr>
                <w:b/>
                <w:i/>
              </w:rPr>
              <w:t>, nes trūksta ilgalaikio ir tvaraus planavimo būsto, infrastruktūros ir bendruomenės plėtros srityse,</w:t>
            </w:r>
            <w:r>
              <w:t xml:space="preserve"> padidėjo skurdo ir socialinės atskirties rizika, ypač </w:t>
            </w:r>
            <w:r>
              <w:rPr>
                <w:b/>
                <w:i/>
              </w:rPr>
              <w:t>vaikams, vyresnio amžiaus žmonėms ir marginalizuotos kilmės asmenims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dėl kartų kaitos krizės ir menkų galimybių naudotis viešosiomis paslaugomis padidėjo skurdo ir socialinės atskirties rizika, ypač susijusi su vaikais ir pagyvenusiais žmonėmis;</w:t>
            </w:r>
          </w:p>
        </w:tc>
        <w:tc>
          <w:tcPr>
            <w:tcW w:w="4876" w:type="dxa"/>
            <w:tcBorders>
              <w:top w:val="nil"/>
              <w:left w:val="nil"/>
              <w:bottom w:val="nil"/>
              <w:right w:val="nil"/>
            </w:tcBorders>
          </w:tcPr>
          <w:p>
            <w:pPr>
              <w:pStyle w:val="Normal6a"/>
            </w:pPr>
            <w:r>
              <w:t>F.</w:t>
            </w:r>
            <w:r>
              <w:tab/>
            </w:r>
            <w:r>
              <w:t>kadangi dėl kartų kaitos krizės ir menkų galimybių naudotis viešosiomis paslaugomis padidėjo skurdo ir socialinės atskirties rizika, ypač susijusi su vaikais ir pagyvenusiais žmonėmis</w:t>
            </w:r>
            <w:r>
              <w:rPr>
                <w:b/>
                <w:i/>
              </w:rPr>
              <w:t>, vienišų tėvų namų ūkiams ir didelėms šeimoms, taip pat neįgaliesiems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dėl </w:t>
            </w:r>
            <w:r>
              <w:rPr>
                <w:b/>
                <w:i/>
              </w:rPr>
              <w:t>kartų kaitos krizės ir menkų</w:t>
            </w:r>
            <w:r>
              <w:t xml:space="preserve"> galimybių naudotis viešosiomis paslaugomis padidėjo skurdo ir socialinės atskirties rizika, ypač </w:t>
            </w:r>
            <w:r>
              <w:rPr>
                <w:b/>
                <w:i/>
              </w:rPr>
              <w:t>susijusi su vaikais ir pagyvenusiais žmonėmis</w:t>
            </w:r>
            <w:r>
              <w:t>;</w:t>
            </w:r>
          </w:p>
        </w:tc>
        <w:tc>
          <w:tcPr>
            <w:tcW w:w="4876" w:type="dxa"/>
            <w:tcBorders>
              <w:top w:val="nil"/>
              <w:left w:val="nil"/>
              <w:bottom w:val="nil"/>
              <w:right w:val="nil"/>
            </w:tcBorders>
          </w:tcPr>
          <w:p>
            <w:pPr>
              <w:pStyle w:val="Normal6a"/>
            </w:pPr>
            <w:r>
              <w:t>F.</w:t>
            </w:r>
            <w:r>
              <w:tab/>
            </w:r>
            <w:r>
              <w:t xml:space="preserve">kadangi dėl </w:t>
            </w:r>
            <w:r>
              <w:rPr>
                <w:b/>
                <w:i/>
              </w:rPr>
              <w:t>demografinių pokyčių, prastų</w:t>
            </w:r>
            <w:r>
              <w:t xml:space="preserve"> galimybių naudotis viešosiomis paslaugomis </w:t>
            </w:r>
            <w:r>
              <w:rPr>
                <w:b/>
                <w:i/>
              </w:rPr>
              <w:t>ir nepakankamų investicijų į jas</w:t>
            </w:r>
            <w:r>
              <w:t xml:space="preserve"> padidėjo skurdo ir socialinės atskirties rizika, ypač </w:t>
            </w:r>
            <w:r>
              <w:rPr>
                <w:b/>
                <w:i/>
              </w:rPr>
              <w:t>vaikams, vyresnio amžiaus žmonėms ir pažeidžiamoms grupėms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2024 m. balandžio mėn. „Eurobarometro“ apklausoje pabrėžiama, kad 88 proc. Europos piliečių mano, jog socialinė Europa jiems asmeniškai yra svarbi;</w:t>
            </w:r>
            <w:r>
              <w:rPr>
                <w:b/>
                <w:i/>
                <w:vertAlign w:val="superscript"/>
              </w:rPr>
              <w:t>8a</w:t>
            </w:r>
            <w:r>
              <w:t xml:space="preserve"> </w:t>
            </w:r>
            <w:r>
              <w:rPr>
                <w:b/>
                <w:i/>
              </w:rPr>
              <w:t>kadangi šį rezultatą patvirtino 2024 m. ES porinkiminė apklausa, kurioje ES piliečiai nurodė, kad kylančios kainos ir pragyvenimo išlaidos (42 proc.) bei ekonominė padėtis (41 proc.) yra pagrindinės temos, paskatinusios juos balsuoti paskutiniuose Europos Parlamento rinkimuose</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socialinė pažanga ES </w:t>
            </w:r>
            <w:r>
              <w:rPr>
                <w:b/>
                <w:i/>
              </w:rPr>
              <w:t>turi būti daroma laikantis Mastrichto kriterijų stabilumo</w:t>
            </w:r>
            <w:r>
              <w:t xml:space="preserve"> tikslų</w:t>
            </w:r>
            <w:r>
              <w:rPr>
                <w:b/>
                <w:i/>
              </w:rPr>
              <w:t>, užtikrinant, kad ekonominė integracija nepadidintų</w:t>
            </w:r>
            <w:r>
              <w:t xml:space="preserve"> kartų </w:t>
            </w:r>
            <w:r>
              <w:rPr>
                <w:b/>
                <w:i/>
              </w:rPr>
              <w:t>ir regionų nelygybės</w:t>
            </w:r>
            <w:r>
              <w:t>;</w:t>
            </w:r>
          </w:p>
        </w:tc>
        <w:tc>
          <w:tcPr>
            <w:tcW w:w="4876" w:type="dxa"/>
            <w:tcBorders>
              <w:top w:val="nil"/>
              <w:left w:val="nil"/>
              <w:bottom w:val="nil"/>
              <w:right w:val="nil"/>
            </w:tcBorders>
          </w:tcPr>
          <w:p>
            <w:pPr>
              <w:pStyle w:val="Normal6a"/>
            </w:pPr>
            <w:r>
              <w:t>G.</w:t>
            </w:r>
            <w:r>
              <w:tab/>
            </w:r>
            <w:r>
              <w:t xml:space="preserve">kadangi </w:t>
            </w:r>
            <w:r>
              <w:rPr>
                <w:b/>
                <w:i/>
              </w:rPr>
              <w:t>pagal ES sutarties 3 straipsnį</w:t>
            </w:r>
            <w:r>
              <w:t xml:space="preserve"> socialinė pažanga ES </w:t>
            </w:r>
            <w:r>
              <w:rPr>
                <w:b/>
                <w:i/>
              </w:rPr>
              <w:t>kartu su visišku užimtumu, aukšto lygio aplinkos apsauga ir aplinkos kokybės gerinimu yra vienas iš labai konkurencingos socialinės rinkos ekonomikos</w:t>
            </w:r>
            <w:r>
              <w:t xml:space="preserve"> tikslų</w:t>
            </w:r>
            <w:r>
              <w:rPr>
                <w:b/>
                <w:i/>
              </w:rPr>
              <w:t>;</w:t>
            </w:r>
            <w:r>
              <w:t xml:space="preserve"> </w:t>
            </w:r>
            <w:r>
              <w:rPr>
                <w:b/>
                <w:i/>
              </w:rPr>
              <w:t>kadangi 3 straipsnyje teigiama, kad ES kovoja su socialine atskirtimi ir diskriminacija, bei skatina socialinį teisingumą ir apsaugą, moterų ir vyrų lygybę,</w:t>
            </w:r>
            <w:r>
              <w:t xml:space="preserve"> kartų </w:t>
            </w:r>
            <w:r>
              <w:rPr>
                <w:b/>
                <w:i/>
              </w:rPr>
              <w:t>solidarumą ir vaiko teisių apsaugą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socialinė pažanga ES turi </w:t>
            </w:r>
            <w:r>
              <w:rPr>
                <w:b/>
                <w:i/>
              </w:rPr>
              <w:t>būti daroma laikantis Mastrichto kriterijų stabilumo tikslų, užtikrinant</w:t>
            </w:r>
            <w:r>
              <w:t>, kad ekonominė integracija nepadidintų kartų ir regionų nelygybės;</w:t>
            </w:r>
          </w:p>
        </w:tc>
        <w:tc>
          <w:tcPr>
            <w:tcW w:w="4876" w:type="dxa"/>
            <w:tcBorders>
              <w:top w:val="nil"/>
              <w:left w:val="nil"/>
              <w:bottom w:val="nil"/>
              <w:right w:val="nil"/>
            </w:tcBorders>
          </w:tcPr>
          <w:p>
            <w:pPr>
              <w:pStyle w:val="Normal6a"/>
            </w:pPr>
            <w:r>
              <w:t>G.</w:t>
            </w:r>
            <w:r>
              <w:tab/>
            </w:r>
            <w:r>
              <w:t xml:space="preserve">kadangi socialinė pažanga ES turi </w:t>
            </w:r>
            <w:r>
              <w:rPr>
                <w:b/>
                <w:i/>
              </w:rPr>
              <w:t>užtikrinti</w:t>
            </w:r>
            <w:r>
              <w:t>, kad ekonominė integracija nepadidintų kartų ir regionų nelygybės;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socialinė pažanga ES </w:t>
            </w:r>
            <w:r>
              <w:rPr>
                <w:b/>
                <w:i/>
              </w:rPr>
              <w:t>turi būti daroma laikantis Mastrichto kriterijų stabilumo tikslų, užtikrinant, kad</w:t>
            </w:r>
            <w:r>
              <w:t xml:space="preserve"> ekonominė integracija nepadidintų kartų ir regionų nelygybės;</w:t>
            </w:r>
          </w:p>
        </w:tc>
        <w:tc>
          <w:tcPr>
            <w:tcW w:w="4876" w:type="dxa"/>
            <w:tcBorders>
              <w:top w:val="nil"/>
              <w:left w:val="nil"/>
              <w:bottom w:val="nil"/>
              <w:right w:val="nil"/>
            </w:tcBorders>
          </w:tcPr>
          <w:p>
            <w:pPr>
              <w:pStyle w:val="Normal6a"/>
            </w:pPr>
            <w:r>
              <w:t>G.</w:t>
            </w:r>
            <w:r>
              <w:tab/>
            </w:r>
            <w:r>
              <w:t xml:space="preserve">kadangi socialinė pažanga ES </w:t>
            </w:r>
            <w:r>
              <w:rPr>
                <w:b/>
                <w:i/>
              </w:rPr>
              <w:t>yra konkrečiausia ir veiksmingiausia investicija į mūsų visuomenės ilgalaikį atsparumą ir tvarumą;</w:t>
            </w:r>
            <w:r>
              <w:t xml:space="preserve"> </w:t>
            </w:r>
            <w:r>
              <w:rPr>
                <w:b/>
                <w:i/>
              </w:rPr>
              <w:t>kadangi socialinė pažanga ES turi užtikrinti, kad tolimesnė</w:t>
            </w:r>
            <w:r>
              <w:t xml:space="preserve"> ekonominė integracija nepadidintų kartų ir regionų </w:t>
            </w:r>
            <w:r>
              <w:rPr>
                <w:b/>
                <w:i/>
              </w:rPr>
              <w:t>socialinės</w:t>
            </w:r>
            <w:r>
              <w:t xml:space="preserve"> nelygybės;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w:t>
            </w:r>
            <w:r>
              <w:rPr>
                <w:b/>
                <w:i/>
              </w:rPr>
              <w:t>socialinė pažanga ES turi būti daroma laikantis Mastrichto kriterijų stabilumo tikslų</w:t>
            </w:r>
            <w:r>
              <w:t>, užtikrinant, kad ekonominė integracija nepadidintų kartų ir regionų nelygybės;</w:t>
            </w:r>
          </w:p>
        </w:tc>
        <w:tc>
          <w:tcPr>
            <w:tcW w:w="4876" w:type="dxa"/>
            <w:tcBorders>
              <w:top w:val="nil"/>
              <w:left w:val="nil"/>
              <w:bottom w:val="nil"/>
              <w:right w:val="nil"/>
            </w:tcBorders>
          </w:tcPr>
          <w:p>
            <w:pPr>
              <w:pStyle w:val="Normal6a"/>
            </w:pPr>
            <w:r>
              <w:t>G.</w:t>
            </w:r>
            <w:r>
              <w:tab/>
            </w:r>
            <w:r>
              <w:t xml:space="preserve">kadangi </w:t>
            </w:r>
            <w:r>
              <w:rPr>
                <w:b/>
                <w:i/>
              </w:rPr>
              <w:t>Mastrichto kriterijų stabilumo tikslai neturi trukdyti socialinei pažangai ES</w:t>
            </w:r>
            <w:r>
              <w:t>, užtikrinant, kad ekonominė integracija nepadidintų kartų ir regionų nelygybės;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2024 m. balandžio mėn. įsigaliojo nauja ES ekonomikos valdymo sistema, kuria siekiama skatinti tvarų ir integracinį augimą, taip pat suteikti daugiau erdvės socialinėms investicijoms ir įgyvendinti Europos socialinių teisių ramsčio tikslus;</w:t>
            </w:r>
            <w:r>
              <w:t xml:space="preserve"> </w:t>
            </w:r>
            <w:r>
              <w:rPr>
                <w:b/>
                <w:i/>
              </w:rPr>
              <w:t> kadangi į peržiūrą pirmą kartą įtraukta socialinės konvergencijos sistema, kuri yra integruota Europos semestro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Europos socialiniai partneriai makroekonominio dialogo metu pasmerkė paskutinį socialinių partnerių dalyvavimą rengiant vidutinės trukmės fiskalinius struktūrinius planus, o ETUC, SMEUnited ir SGIEurope pasirašė bendrą pareiškimą dėl esminio ir faktinio socialinių partnerių dalyvavimo ekonomikos valdyme ir ES semestre;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skurdo ar socialinės atskirties rizika yra didesnė moterims, jauniems suaugusiesiems, žemo išsilavinimo asmenims ir bedarbiams;</w:t>
            </w:r>
            <w:r>
              <w:t xml:space="preserve"> </w:t>
            </w:r>
            <w:r>
              <w:rPr>
                <w:b/>
                <w:i/>
              </w:rPr>
              <w:t>kadangi vis dar yra daug galimybių gauti bedarbio pašalpą spragų – 66 proc. bedarbių teigia, kad negauna pašalpų ar paramos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Socialinė apsauga 2.0. </w:t>
            </w:r>
            <w:r>
              <w:t xml:space="preserve"> </w:t>
            </w:r>
            <w:r>
              <w:rPr>
                <w:b/>
                <w:i/>
              </w:rPr>
              <w:t>Nedarbo ir minimalių pajamų išmokos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vykdant struktūrines reformas pirmenybė turi būti teikiama socialinei pažangai, užtikrinant galimybę gauti tinkamą socialinę apsaugą, įperkamą ir deramą būstą ir pagrindines paslaugas visų rūšių šeimoms, įskaitant pažeidžiamas grupes, pvz., vienišų tėvų namų ūkius ir neįgaliuosius;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padarysime Sąjungą konkurencingesnę, našesnę, novatoriškesnę ir tvaresnę, remdamiesi ekonomine, socialine ir teritorine sanglauda ir užtikrindami konvergenciją ir vienodas sąlygas tiek Sąjungoje, tiek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EBPO duomenimis, vidutiniškai visose EBPO šalyse profesijos, kurioms kyla didžiausia automatizavimo rizika, sudaro apie 28 proc. užimtumo</w:t>
            </w:r>
            <w:r>
              <w:rPr>
                <w:b/>
                <w:i/>
                <w:vertAlign w:val="superscript"/>
              </w:rPr>
              <w:t>2a</w:t>
            </w:r>
            <w:r>
              <w:rPr>
                <w:b/>
                <w:i/>
              </w:rPr>
              <w:t>;</w:t>
            </w:r>
            <w:r>
              <w:t xml:space="preserve"> </w:t>
            </w:r>
            <w:r>
              <w:rPr>
                <w:b/>
                <w:i/>
              </w:rPr>
              <w:t>kadangi tokiomis aplinkybėmis socialinis dialogas ir kolektyvinės derybos labai svarbios siekiant užtikrinti, kad būtų laikomasi dalyvaujamojo požiūrio valdant pokyčius, atsiradusius dėl technologinės plėtros, sprendžiant galimas problemas ir kartu skatinant darbuotojų prisitaikymą (be kita ko, ugdant įgūdžius);</w:t>
            </w:r>
            <w:r>
              <w:t xml:space="preserve"> </w:t>
            </w:r>
            <w:r>
              <w:rPr>
                <w:b/>
                <w:i/>
              </w:rPr>
              <w:t>kadangi skaitmeninimas, robotizavimas, automatizavimas ir dirbtinis intelektas turi būti naudingi darbuotojams bei visuomenei gerinant darbo sąlygas ir gyvenimo kokybę, užtikrinant gerą profesinio ir asmeninio gyvenimo pusiausvyrą, kuriant geresnes užimtumo galimybes ir prisidedant prie socialinės ir ekonominės konvergencijos;</w:t>
            </w:r>
            <w:r>
              <w:t xml:space="preserve"> </w:t>
            </w:r>
            <w:r>
              <w:rPr>
                <w:b/>
                <w:i/>
              </w:rPr>
              <w:t>kadangi darbuotojai ir jų profesinės sąjungos atliks labai svarbų vaidmenį numatant ir sprendžiant dėl šių iššūkių kylančią riziką;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EBPO darbo dokumentai socialiniais, užimtumo ir migracijos klausimais Nr.282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pagal naująją ES ekonomikos valdymo sistemą visos valstybės narės turi įtraukti reformas ir investicijas į savo vidutinio laikotarpio planus, kuriais siekiama įgyvendinti bendrus ES prioritetus ir uždavinius, nustatytus konkrečioms šalims skirtose rekomendacijose įgyvendinant Europos semestrą;</w:t>
            </w:r>
            <w:r>
              <w:t xml:space="preserve"> </w:t>
            </w:r>
            <w:r>
              <w:rPr>
                <w:b/>
                <w:i/>
              </w:rPr>
              <w:t>kadangi bendri ES prioritetai apima socialinį ir ekonominį atsparumą, įskaitant Europos socialinių teisių ramstį;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ES politika, pvz., „NextGenerationEU“ ir SURE, užtikrino augimą ir ekonominį atsparumą, mažindama nelygybę;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privalome dirbti vieningai ir solidariai, siekdami naudos visiems ES piliečiams, įmonėms ir valstybėms narėms;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kadangi 2021 m. 27 šalių Europos Sąjungoje vis dar įvyko daugiau nei 3 300 mirtinų nelaimingų atsitikimų ir 3 mln. nemirtinų nelaimingų atsitikimų;</w:t>
            </w:r>
            <w:r>
              <w:t xml:space="preserve"> </w:t>
            </w:r>
            <w:r>
              <w:rPr>
                <w:b/>
                <w:i/>
              </w:rPr>
              <w:t>kadangi kiekvienais metais nuo su darbu susijusių ligų miršta daugiau nei 200 000 darbuotojų;</w:t>
            </w:r>
            <w:r>
              <w:t xml:space="preserve"> </w:t>
            </w:r>
            <w:r>
              <w:rPr>
                <w:b/>
                <w:i/>
              </w:rPr>
              <w:t>kadangi šie duomenys neapima visų nelaimingų atsitikimų, įvykusių dirbant nedeklaruojamą darbą, todėl galima teigti, kad tikrieji skaičiai gerokai viršija oficialius statistinius duomenis;</w:t>
            </w:r>
            <w:r>
              <w:t xml:space="preserve"> </w:t>
            </w:r>
            <w:r>
              <w:rPr>
                <w:b/>
                <w:i/>
              </w:rPr>
              <w:t>kadangi, EUROFOUND duomenimis, 2017 m. 20 proc. darbo vietų Europoje buvo prastos kokybės ir jose darbuotojų sveikatai kilo didesnė fizinės arba psichikos sveikatos rizika;</w:t>
            </w:r>
            <w:r>
              <w:t xml:space="preserve"> </w:t>
            </w:r>
            <w:r>
              <w:rPr>
                <w:b/>
                <w:i/>
              </w:rPr>
              <w:t>kadangi 14 proc. darbuotojų patiria didelę psichosocialinę riziką;</w:t>
            </w:r>
            <w:r>
              <w:t xml:space="preserve"> </w:t>
            </w:r>
            <w:r>
              <w:rPr>
                <w:b/>
                <w:i/>
              </w:rPr>
              <w:t>kadangi 23 proc. Europos darbuotojų mano, kad darbas kelia pavojų jų saugai ar sveikatai;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kadangi numatoma, kad 2025 m. viešosios investicijos padidės beveik visose valstybėse narėse, o keliose valstybėse narėse bus svariai prisidedama iš priemonės „NextGenerationEU“ Ekonomikos gaivinimo ir atsparumo didinimo priemonės (EGADP) ir ES fondų; </w:t>
            </w:r>
            <w:r>
              <w:t xml:space="preserve"> </w:t>
            </w:r>
            <w:r>
              <w:rPr>
                <w:b/>
                <w:i/>
              </w:rPr>
              <w:t>kadangi apie 162,5 mlrd. EUR, skirtų valstybėms narėms pagal EGADP, prisideda prie socialinių išlaidų, sudarančių apie 25 proc. visų numatomų išlaidų</w:t>
            </w:r>
            <w:r>
              <w:rPr>
                <w:b/>
                <w:i/>
                <w:vertAlign w:val="superscript"/>
              </w:rPr>
              <w:t>10a</w:t>
            </w:r>
            <w:r>
              <w:rPr>
                <w:b/>
                <w:i/>
              </w:rPr>
              <w:t>;</w:t>
            </w:r>
            <w:r>
              <w:t xml:space="preserve"> </w:t>
            </w:r>
            <w:r>
              <w:rPr>
                <w:b/>
                <w:i/>
              </w:rPr>
              <w:t>kadangi socialinės investicijos ir reformos pagrindinėse srityse gali paskatinti užimtumą, socialinę įtrauktį, konkurencingumą ir ekonomikos augimą</w:t>
            </w:r>
            <w:r>
              <w:rPr>
                <w:b/>
                <w:i/>
                <w:vertAlign w:val="superscript"/>
              </w:rPr>
              <w:t>11a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2025 m. Europos semestras. </w:t>
            </w:r>
            <w:r>
              <w:t xml:space="preserve"> </w:t>
            </w:r>
            <w:r>
              <w:rPr>
                <w:b/>
                <w:i/>
              </w:rPr>
              <w:t>Pasiūlymas dėl bendros užimtumo ataskaitos.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Užimtumas ir socialinė raida Europoje 2024 m., Europos Komisija. 2024 m. rugsėjo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kadangi socialinis dialogas ir kolektyvinės derybos yra labai svarbūs ES konkurencingumui, darbo našumui ir socialinei sanglaudai;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kadangi sieksime dvejopo tikslo – strateginio energetinio suverenumo ir poveikio klimatui neutralumo iki 2050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kadangi socialiniai partneriai yra labai svarbūs rengiant ir įgyvendinant politiką, kuria skatinamas tvarus ir integracinis augimas, deramas ir kokybiškas darbas ir sąžininga pertvarka, ir turi būti įtraukti į visus valdymo lygmenis pagal SESV;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kadangi valstybės narės turėtų nedelsdamos įgyvendinti Direktyvą dėl deramo minimaliojo darbo užmokesčio ir, kai taikytina, parengti veiksmų planus padidinti kolektyvinių derybų aprėptį pagal šią direktyvą.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kadangi EUROFOUND tyrimai rodo, kad nuo 2021 m., po dešimtmečius trukusio mažėjimo, savižudybių skaičius šliaužia, reikia dėti daugiau pastangų, kad būtų pašalintos psichikos sveikatos problemų, susijusių su darbo ir gyvenimo sąlygomis, priežastys (svarbi socialinė įtrauktis), o blogos psichikos sveikatos asmenų galimybės gauti paramą tebėra problema;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mano, kad Komisija ir Taryba turėtų</w:t>
            </w:r>
            <w:r>
              <w:t xml:space="preserve"> toliau įgyvendinti Europos socialinių teisių ramstį</w:t>
            </w:r>
            <w:r>
              <w:rPr>
                <w:b/>
                <w:i/>
              </w:rPr>
              <w:t>, laikydamosi</w:t>
            </w:r>
            <w:r>
              <w:t xml:space="preserve"> 2021 m. kovo mėn. veiksmų plano;</w:t>
            </w:r>
          </w:p>
        </w:tc>
        <w:tc>
          <w:tcPr>
            <w:tcW w:w="4876" w:type="dxa"/>
            <w:tcBorders>
              <w:top w:val="nil"/>
              <w:left w:val="nil"/>
              <w:bottom w:val="nil"/>
              <w:right w:val="nil"/>
            </w:tcBorders>
          </w:tcPr>
          <w:p>
            <w:pPr>
              <w:pStyle w:val="Normal6a"/>
            </w:pPr>
            <w:r>
              <w:t>1.</w:t>
            </w:r>
            <w:r>
              <w:tab/>
            </w:r>
            <w:r>
              <w:rPr>
                <w:b/>
                <w:i/>
              </w:rPr>
              <w:t>ragina Komisiją ir valstybes nares</w:t>
            </w:r>
            <w:r>
              <w:t xml:space="preserve"> toliau įgyvendinti Europos socialinių teisių ramstį </w:t>
            </w:r>
            <w:r>
              <w:rPr>
                <w:b/>
                <w:i/>
              </w:rPr>
              <w:t>(ESTR), laikantis</w:t>
            </w:r>
            <w:r>
              <w:t xml:space="preserve"> 2021 m. kovo mėn. veiksmų plano </w:t>
            </w:r>
            <w:r>
              <w:rPr>
                <w:b/>
                <w:i/>
              </w:rPr>
              <w:t>ir La Hulpės deklaracijos, kad būtų pasiekti pagrindiniai 2030 m. tikslai;</w:t>
            </w:r>
            <w:r>
              <w:t xml:space="preserve"> </w:t>
            </w:r>
            <w:r>
              <w:rPr>
                <w:b/>
                <w:i/>
              </w:rPr>
              <w:t>šiuo atžvilgiu palankiai vertina tai, kad paskelbtas naujas 2025 m. Europos socialinių teisių ramsčio įgyvendinimo veiksmų planas</w:t>
            </w:r>
            <w:r>
              <w:rPr>
                <w:b/>
                <w:i/>
                <w:vertAlign w:val="superscript"/>
              </w:rPr>
              <w:t>12a</w:t>
            </w:r>
            <w:r>
              <w:t xml:space="preserve"> </w:t>
            </w:r>
            <w:r>
              <w:rPr>
                <w:b/>
                <w:i/>
              </w:rPr>
              <w:t>siekiant suteikti naują postūmį socialinei pažangai; </w:t>
            </w:r>
            <w:r>
              <w:t xml:space="preserve"> </w:t>
            </w:r>
            <w:r>
              <w:rPr>
                <w:b/>
                <w:i/>
              </w:rPr>
              <w:t>pabrėžia, kad atnaujintame veiksmų plane turi būti pateikti plataus užmojo pasiūlymai, kaip spręsti skurdo ir socialinės atskirties problemas, ir paramos priemonės darbuotojams, kad jie galėtų valdyti dvejopą pertvarką, visų pirma susijusią su įgūdžiais, profesiniu rengimu ir mokymu bei mokymusi visą gyvenimą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Europos pasirinkimas, 2024–2029 m. kadencijos Europos Komisijos politinės gairės, Ursula von der Leyen (2024 m. liepos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mano, kad Komisija ir Taryba turėtų </w:t>
            </w:r>
            <w:r>
              <w:rPr>
                <w:b/>
                <w:i/>
              </w:rPr>
              <w:t>toliau įgyvendinti</w:t>
            </w:r>
            <w:r>
              <w:t xml:space="preserve"> Europos socialinių teisių </w:t>
            </w:r>
            <w:r>
              <w:rPr>
                <w:b/>
                <w:i/>
              </w:rPr>
              <w:t>ramstį</w:t>
            </w:r>
            <w:r>
              <w:t>, laikydamosi 2021 m. kovo mėn. veiksmų plano;</w:t>
            </w:r>
          </w:p>
        </w:tc>
        <w:tc>
          <w:tcPr>
            <w:tcW w:w="4876" w:type="dxa"/>
            <w:tcBorders>
              <w:top w:val="nil"/>
              <w:left w:val="nil"/>
              <w:bottom w:val="nil"/>
              <w:right w:val="nil"/>
            </w:tcBorders>
          </w:tcPr>
          <w:p>
            <w:pPr>
              <w:pStyle w:val="Normal6a"/>
            </w:pPr>
            <w:r>
              <w:t>1.</w:t>
            </w:r>
            <w:r>
              <w:tab/>
            </w:r>
            <w:r>
              <w:t xml:space="preserve">mano, kad Komisija ir Taryba turėtų </w:t>
            </w:r>
            <w:r>
              <w:rPr>
                <w:b/>
                <w:i/>
              </w:rPr>
              <w:t>paspartinti visapusišką</w:t>
            </w:r>
            <w:r>
              <w:t xml:space="preserve"> Europos socialinių teisių </w:t>
            </w:r>
            <w:r>
              <w:rPr>
                <w:b/>
                <w:i/>
              </w:rPr>
              <w:t>ramsčio įgyvendinimą</w:t>
            </w:r>
            <w:r>
              <w:t xml:space="preserve">, laikydamosi 2021 m. kovo mėn. veiksmų plano; </w:t>
            </w:r>
            <w:r>
              <w:rPr>
                <w:b/>
                <w:i/>
              </w:rPr>
              <w:t>ragina Komisiją pateikti atnaujintą 2025–2029 m. Europos socialinių teisių ramsčio planą, užtikrinant naujų prioritetų integravimą;</w:t>
            </w:r>
            <w:r>
              <w:t xml:space="preserve"> </w:t>
            </w:r>
            <w:r>
              <w:rPr>
                <w:b/>
                <w:i/>
              </w:rPr>
              <w:t>pabrėžia, kad svarbu naudoti socialinių rodiklių suvestinę ir socialinės konvergencijos sistemą siekiant nustatyti riziką ir stebėti pažangą mažinant nelygybę, stiprinant socialinės apsaugos sistemas ir skatinant geras darbo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mano, kad Komisija ir Taryba turėtų toliau įgyvendinti Europos socialinių teisių ramstį, laikydamosi 2021 m. kovo mėn. veiksmų plano;</w:t>
            </w:r>
          </w:p>
        </w:tc>
        <w:tc>
          <w:tcPr>
            <w:tcW w:w="4876" w:type="dxa"/>
            <w:tcBorders>
              <w:top w:val="nil"/>
              <w:left w:val="nil"/>
              <w:bottom w:val="nil"/>
              <w:right w:val="nil"/>
            </w:tcBorders>
          </w:tcPr>
          <w:p>
            <w:pPr>
              <w:pStyle w:val="Normal6a"/>
            </w:pPr>
            <w:r>
              <w:t>1.</w:t>
            </w:r>
            <w:r>
              <w:tab/>
            </w:r>
            <w:r>
              <w:t xml:space="preserve">mano, kad Komisija ir Taryba turėtų toliau įgyvendinti Europos socialinių teisių ramstį, laikydamosi 2021 m. kovo mėn. veiksmų plano; </w:t>
            </w:r>
            <w:r>
              <w:rPr>
                <w:b/>
                <w:i/>
              </w:rPr>
              <w:t>ragina stiprinti socialinį dialogą, kartu išlaikant lygias galimybes ir mažinant nelygybę pagal Europos socialinių teisių ramstį, kartu gerbiant valstybių narių kompetenciją;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mano, kad Komisija ir Taryba turėtų toliau įgyvendinti Europos socialinių teisių ramstį, laikydamosi </w:t>
            </w:r>
            <w:r>
              <w:rPr>
                <w:b/>
                <w:i/>
              </w:rPr>
              <w:t>2021 m. kovo mėn. veiksmų plano</w:t>
            </w:r>
            <w:r>
              <w:t>;</w:t>
            </w:r>
          </w:p>
        </w:tc>
        <w:tc>
          <w:tcPr>
            <w:tcW w:w="4876" w:type="dxa"/>
            <w:tcBorders>
              <w:top w:val="nil"/>
              <w:left w:val="nil"/>
              <w:bottom w:val="nil"/>
              <w:right w:val="nil"/>
            </w:tcBorders>
          </w:tcPr>
          <w:p>
            <w:pPr>
              <w:pStyle w:val="Normal6a"/>
            </w:pPr>
            <w:r>
              <w:t>1.</w:t>
            </w:r>
            <w:r>
              <w:tab/>
            </w:r>
            <w:r>
              <w:t xml:space="preserve">mano, kad Komisija ir Taryba turėtų toliau įgyvendinti Europos socialinių teisių ramstį, </w:t>
            </w:r>
            <w:r>
              <w:rPr>
                <w:b/>
                <w:i/>
              </w:rPr>
              <w:t>kuo griežčiausiai</w:t>
            </w:r>
            <w:r>
              <w:t xml:space="preserve"> laikydamosi </w:t>
            </w:r>
            <w:r>
              <w:rPr>
                <w:b/>
                <w:i/>
              </w:rPr>
              <w:t>nacionalinių teisės aktų, ir kad jis būtų taikomas papildomai, o ne privalomai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mano, kad Komisija ir Taryba turėtų </w:t>
            </w:r>
            <w:r>
              <w:rPr>
                <w:b/>
                <w:i/>
              </w:rPr>
              <w:t>toliau įgyvendinti</w:t>
            </w:r>
            <w:r>
              <w:t xml:space="preserve"> Europos socialinių teisių ramstį, </w:t>
            </w:r>
            <w:r>
              <w:rPr>
                <w:b/>
                <w:i/>
              </w:rPr>
              <w:t>laikydamosi 2021 m. kovo mėn. veiksmų plano</w:t>
            </w:r>
            <w:r>
              <w:t>;</w:t>
            </w:r>
          </w:p>
        </w:tc>
        <w:tc>
          <w:tcPr>
            <w:tcW w:w="4876" w:type="dxa"/>
            <w:tcBorders>
              <w:top w:val="nil"/>
              <w:left w:val="nil"/>
              <w:bottom w:val="nil"/>
              <w:right w:val="nil"/>
            </w:tcBorders>
          </w:tcPr>
          <w:p>
            <w:pPr>
              <w:pStyle w:val="Normal6a"/>
            </w:pPr>
            <w:r>
              <w:t>1.</w:t>
            </w:r>
            <w:r>
              <w:tab/>
            </w:r>
            <w:r>
              <w:t xml:space="preserve">mano, kad Komisija ir Taryba turėtų </w:t>
            </w:r>
            <w:r>
              <w:rPr>
                <w:b/>
                <w:i/>
              </w:rPr>
              <w:t>dėti daugiau pastangų įgyvendindamos</w:t>
            </w:r>
            <w:r>
              <w:t xml:space="preserve"> Europos socialinių teisių ramstį, </w:t>
            </w:r>
            <w:r>
              <w:rPr>
                <w:b/>
                <w:i/>
              </w:rPr>
              <w:t>atsižvelgdamos į būsimą veiksmų plano peržiūrą 2025 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primena, kad Europos piliečiai socialinės Europos tikslus ne kartą įvardijo kaip prioritetus; </w:t>
            </w:r>
            <w:r>
              <w:t xml:space="preserve"> </w:t>
            </w:r>
            <w:r>
              <w:rPr>
                <w:b/>
                <w:i/>
              </w:rPr>
              <w:t>pabrėžia, kad, siekiant socialinę Europą paversti realybe ir užtikrinti aukšto lygio socialinę apsaugą pereinamuoju laikotarpiu, būtina užtikrinti tvarią, teisingą ir įtraukią Europą, kurioje socialinės teisės būtų visapusiškai apsaugotos ir apsaugotos tuo pačiu lygmeniu kaip ir ekonominės laisvės, ir apsvarstyti Europos socialinės sutarties apsaugos metodus; šiuo atžvilgiu pakartoja savo raginimą prie Sutarčių pridėti socialinės pažangos protokolą;</w:t>
            </w:r>
            <w:r>
              <w:t xml:space="preserve"> </w:t>
            </w:r>
            <w:r>
              <w:rPr>
                <w:b/>
                <w:i/>
              </w:rPr>
              <w:t>šiuo atžvilgiu pakartoja savo raginimą prie Sutarčių pridėti socialinės pažangos protokolą</w:t>
            </w:r>
            <w:r>
              <w:rPr>
                <w:b/>
                <w:i/>
                <w:vertAlign w:val="superscript"/>
              </w:rPr>
              <w:t>13a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2023 m. lapkričio 22 d. Europos Parlamento rezoliucija dėl Europos Parlamento pasiūlymų dėl Sutarčių keitimo (2022/2051(INL)).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ragina įgyvendinti aukštynkryptę konvergenciją imantis neatidėliotinų priemonių, kurios padėtų užtikrinti kokybišką viešąją priežiūrą, švietimą ir įgūdžius ateinančiai kartai, visų pirma toliau investuojant į veiksmingą galimybę sveikai maitintis, užtikrinant bent vieną nemokamą karštą patiekalą per dieną kiekvienam vaikui ES visose vaikų priežiūros įstaigose ir mokyklose;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ragina Komisiją užtikrinti, kad 2026 m. bendroje užimtumo ataskaitoje būtų analizuojamas visų Europos socialinių teisių ramsčio principų įgyvendinimas pagal Reglamentą 2024/1263, ir į bendrą užimtumo ataskaitą įtraukti nacionalinių vidutinio laikotarpio fiskalinių struktūrinių planų, susijusių su socialiniu atsparumu, įskaitant Europos socialinių teisių ramstį, socialinio aspekto analizę;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yra susirūpinęs dėl to, kad 2023 m. 94,6 mln. žmonių ES vis dar grėsė skurdas ar socialinė atskirtis; </w:t>
            </w:r>
            <w:r>
              <w:t xml:space="preserve"> </w:t>
            </w:r>
            <w:r>
              <w:rPr>
                <w:b/>
                <w:i/>
              </w:rPr>
              <w:t>pabrėžia, kad nepakeitus požiūrio į kovą su skurdu paradigmos, Europos Sąjunga ir jos valstybės narės nepasieks savo skurdo mažinimo tikslų; </w:t>
            </w:r>
            <w:r>
              <w:t xml:space="preserve"> </w:t>
            </w:r>
            <w:r>
              <w:rPr>
                <w:b/>
                <w:i/>
              </w:rPr>
              <w:t>mano, kad pirmosios ES kovos su skurdu strategijos paskelbimas yra žingsnis teisinga linkme siekiant pakeisti šią tendenciją, tačiau joje turi būti numatytas visapusiškas požiūris į daugialypių skurdo ir socialinės atskirties aspektų sprendimą imantis konkrečių veiksmų, griežto įgyvendinimo ir stebėsenos; </w:t>
            </w:r>
            <w:r>
              <w:t xml:space="preserve"> </w:t>
            </w:r>
            <w:r>
              <w:rPr>
                <w:b/>
                <w:i/>
              </w:rPr>
              <w:t>ragina į šią strategiją įtraukti visus skurdą ir socialinę atskirtį patiriančius asmenis, visų pirma nepalankiausioje padėtyje esančius asmenis, taip pat konkrečias priemones, skirtas įvairioms grupėms, pvz., skurstantiems dirbantiems asmenims, benamiams, neįgaliesiems, nepilnoms šeimoms ir, visų pirma, vaikams, siekiant tvariai nutraukti skurdo ratą;</w:t>
            </w:r>
            <w:r>
              <w:t xml:space="preserve"> </w:t>
            </w:r>
            <w:r>
              <w:rPr>
                <w:b/>
                <w:i/>
              </w:rPr>
              <w:t>pabrėžia, kad Direktyvos dėl deramo minimaliojo darbo užmokesčio perkėlimas į nacionalinę teisę bus labai svarbus siekiant užkirsti kelią darbuotojų skurdo rizikai ir su ja kovoti, kartu stiprinant paskatas dirbti, ir palankiai vertina tai, kad kelios valstybės narės iš dalies pakeitė arba planuoja iš dalies pakeisti savo minimaliojo darbo užmokesčio sistemas; </w:t>
            </w:r>
            <w:r>
              <w:t xml:space="preserve"> </w:t>
            </w:r>
            <w:r>
              <w:rPr>
                <w:b/>
                <w:i/>
              </w:rPr>
              <w:t>pabrėžia, kad ES pagrindų direktyva dėl pakankamų minimaliųjų pajamų ir aktyvios įtraukties, laikantis subsidiarumo principo, padėtų siekti skurdo mažinimo ir darbo rinkoje nedalyvaujančių asmenų integracijos skatinimo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apgailestauja dėl to, kad trūksta duomenų ir analizės apie turtinę nelygybę ir turto koncentraciją ES, nes tai yra vienas iš pagrindinių skurdą lemiančių veiksnių; </w:t>
            </w:r>
            <w:r>
              <w:t xml:space="preserve"> </w:t>
            </w:r>
            <w:r>
              <w:rPr>
                <w:b/>
                <w:i/>
              </w:rPr>
              <w:t>atkreipia dėmesį į tai, kad, remiantis Europos centrinių bankų sistemos (ECBS) parengtu duomenų rinkiniu „Paskirstymo turto sąskaitos“, 2023 m. ketvirtąjį ketvirtį 10 proc. </w:t>
            </w:r>
            <w:r>
              <w:t xml:space="preserve"> </w:t>
            </w:r>
            <w:r>
              <w:rPr>
                <w:b/>
                <w:i/>
              </w:rPr>
              <w:t>turtingiausių asmenų priklausanti turto dalis sudarė 56 proc., o apatinė pusė sudarė tik 5 proc.; ragina Komisiją ir valstybes nares įvertinti socialinį ir ekonominį turto nelygybės poveikį ir skubiai pasiūlyti priemones, kuriomis būtų užtikrintas teisingesnis turto ir išteklių paskirstymas, kad būtų galima daryti pažangą siekiant 2030 m. 15 mln. sumažinti skurdą ir išplėsti vidurinę klasę;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pakartoja savo raginimą Komisijai atidžiai stebėti vaiko garantijų sistemos įgyvendinimą visose valstybėse narėse įgyvendinant Europos semestrą ir konkrečioms šalims skirtas rekomendacijas;</w:t>
            </w:r>
            <w:r>
              <w:t xml:space="preserve"> </w:t>
            </w:r>
            <w:r>
              <w:rPr>
                <w:b/>
                <w:i/>
              </w:rPr>
              <w:t>pakartoja savo raginimą padidinti Europos vaiko garantijų sistemos finansavimą skiriant bent 20 mlrd. EUR specialų biudžetą ir ragina visas valstybes nares bent 5 proc. joms skirtų ESF+ lėšų skirti kovai su vaikų skurdu ir vaikų gerovės skatinimui; </w:t>
            </w:r>
            <w:r>
              <w:t xml:space="preserve"> </w:t>
            </w:r>
            <w:r>
              <w:rPr>
                <w:b/>
                <w:i/>
              </w:rPr>
              <w:t>mano, kad konkrečioms šalims skirtose rekomendacijose turėtų atsispindėti valstybių narių biudžeto atitiktis minimaliam reikalavimui skirti lėšų kovai su vaikų skurdu, nustatytam ESF+ reglamente</w:t>
            </w:r>
            <w:r>
              <w:rPr>
                <w:b/>
                <w:i/>
                <w:vertAlign w:val="superscript"/>
              </w:rPr>
              <w:t>14a</w:t>
            </w:r>
            <w:r>
              <w:rPr>
                <w:b/>
                <w:i/>
              </w:rPr>
              <w:t>; </w:t>
            </w:r>
            <w:r>
              <w:t xml:space="preserve"> </w:t>
            </w:r>
            <w:r>
              <w:rPr>
                <w:b/>
                <w:i/>
              </w:rPr>
              <w:t>ragina Komisiją kitoje daugiametėje finansinėje programoje numatyti plataus užmojo vaiko garantijų sistemos biudžetą, kad būtų galima reaguoti į didėjančią vaikų skurdo ir socialinės atskirties problemą;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Reglamento (ES) 2021/1057, kuriuo nustatomas „Europos socialinis fondas +“ 7 straipsnio 3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palankiai vertina tai, kad į 2025 m. bendrą užimtumo ataskaitą įtraukta teigiamo DVT ir Europos lygybės strategijų indėlio analizė, ir ragina Komisiją užtikrinti, kad į 2026 m. bendrą užimtumo ataskaitą būtų įtrauktas skirsnis, kuriame būtų analizuojama pažanga siekiant DVT, susijusių su užimtumu ir socialine politika, ir skirsnis apie pažangą siekiant panaikinti socialinę ir darbo diskriminaciją pagal 2020–2025 m. lyčių lygybės strategiją, 2020–2025 m. ES kovos su rasizmu veiksmų planą, 2020–2030 m. ES romų lygybės, įtraukties ir dalyvavimo strateginį planą, 2020–2025 m. LGBTIQ asmenų lygybės strategiją ir 2021–2030 m. neįgaliųjų teisių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yra susirūpinęs dėl pasikartojančio įvairių Europos Sąjungos sektorių gamyklų uždarymo ir poveikio darbuotojams, kurie netenka darbo; </w:t>
            </w:r>
            <w:r>
              <w:t xml:space="preserve"> </w:t>
            </w:r>
            <w:r>
              <w:rPr>
                <w:b/>
                <w:i/>
              </w:rPr>
              <w:t>ragina Komisiją užtikrinti, kad darbuotojų įgūdžių ugdymo ir mokymo politika bei kokybiškų darbo vietų kūrimas būtų įtraukti į būsimą švarios pramonės kursą, kaip numatyta M. Draghi pranešime; </w:t>
            </w:r>
            <w:r>
              <w:t xml:space="preserve"> </w:t>
            </w:r>
            <w:r>
              <w:rPr>
                <w:b/>
                <w:i/>
              </w:rPr>
              <w:t>primena, kad Europos prisitaikymo prie globalizacijos padarinių fondas (EGF) gali atlikti svarbų vaidmenį remiant ir perkvalifikuojant darbuotojus, atleistus dėl didelio masto restruktūrizavimo, susijusio, pvz., su globalizacija, perėjimu prie mažo anglies dioksido kiekio technologijų ekonomikos arba su skaitmeninimu ar automatizavimu; </w:t>
            </w:r>
            <w:r>
              <w:t xml:space="preserve"> </w:t>
            </w:r>
            <w:r>
              <w:rPr>
                <w:b/>
                <w:i/>
              </w:rPr>
              <w:t>ragina valstybes nares pasinaudoti fondu ir plačiai skleisti informaciją apie galimybes remti darbuotojus;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ragina valstybes nares įgyvendinti atnaujintas užimtumo gaires, daugiausia dėmesio skiriant visų asmenų švietimui ir mokymui, naujoms technologijoms, pvz., dirbtiniam intelektui, taip pat naujausioms politikos iniciatyvoms dėl darbo skaitmeninėse platformose, įperkamo ir deramo būsto ir darbo jėgos bei įgūdžių trūkumo problemos sprendimo, </w:t>
            </w:r>
            <w:r>
              <w:t xml:space="preserve"> </w:t>
            </w:r>
            <w:r>
              <w:rPr>
                <w:b/>
                <w:i/>
              </w:rPr>
              <w:t>siekiant stiprinti demokratinį sprendimų priėmimą;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pabrėžia, kad reikia daug investuoti į darbuotojų įgūdžius ir nustatyti individualią teisę į mokymą ir mokymąsi visą gyvenimą; </w:t>
            </w:r>
            <w:r>
              <w:t xml:space="preserve"> </w:t>
            </w:r>
            <w:r>
              <w:rPr>
                <w:b/>
                <w:i/>
              </w:rPr>
              <w:t>ragina valstybes nares, bendradarbiaujant su vietos suinteresuotaisiais subjektais, įskaitant švietimo ir mokymo įstaigas ir socialinius partnerius, parengti kvalifikacijos kėlimo ir perkvalifikavimo priemones, kad būtų sustiprintas švietimo ir mokymo sistemų ir darbo rinkos ryšys ir numatyti darbo rinkos poreikiai;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palankiai vertina tai, kad paskelbtos kokybiškos darbo vietų kūrimo veiksmų gairės, kuriomis siekiama užtikrinti teisingą pertvarką visiems, remiant teisingą darbo užmokestį, geras darbo sąlygas, mokymą ir sąžiningą darbuotojų ir savarankiškai dirbančių asmenų darbo vietos keitimą, visų pirma didinant kolektyvinių derybų aprėptį; </w:t>
            </w:r>
            <w:r>
              <w:t xml:space="preserve"> </w:t>
            </w:r>
            <w:r>
              <w:rPr>
                <w:b/>
                <w:i/>
              </w:rPr>
              <w:t>ragina Komisiją parengti šias veiksmų gaires bendradarbiaujant su socialiniais partneriais; </w:t>
            </w:r>
            <w:r>
              <w:t xml:space="preserve"> </w:t>
            </w:r>
            <w:r>
              <w:rPr>
                <w:b/>
                <w:i/>
              </w:rPr>
              <w:t>be to, ragina Komisiją į šias veiksmų gaires įtraukti svarstymus dėl priemonių, įskaitant pasiūlymus dėl teisėkūros procedūra priimamų aktų, susijusių su dirbtinio intelekto ir algoritminio valdymo naudojimu darbo pasaulyje, kad naujos technologijos būtų naudojamos siekiant pagerinti darbo sąlygas ir našumą, kartu gerbiant darbuotojų teises ir profesinio ir asmeninio gyvenimo pusiausvyrą;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palankiai vertina tai, kad tikimasi, jog 2025 m. beveik visos valstybės narės padidins viešąsias investicijas</w:t>
            </w:r>
            <w:r>
              <w:rPr>
                <w:b/>
                <w:i/>
                <w:vertAlign w:val="superscript"/>
              </w:rPr>
              <w:t>15a</w:t>
            </w:r>
            <w:r>
              <w:rPr>
                <w:b/>
                <w:i/>
              </w:rPr>
              <w:t>, o tai būtina siekiant užtikrinti galimybę naudotis kokybiškomis viešosiomis paslaugomis ir pasiekti Europos socialinių teisių ramsčio tikslus; </w:t>
            </w:r>
            <w:r>
              <w:t xml:space="preserve"> </w:t>
            </w:r>
            <w:r>
              <w:rPr>
                <w:b/>
                <w:i/>
              </w:rPr>
              <w:t>primena, kad valstybės narės gali sutelkti Ekonomikos gaivinimo ir atsparumo didinimo priemonę (EGADP) iki 2026 m. gruodžio 31 d., ir ragina jas visapusiškai ir tikslingai panaudoti šias lėšas siekiant spręsti problemas, nustatytas konkrečioms šalims skirtose rekomendacijose pagal Europos semestrą, ir parengti pažangaus, tvaraus ir integracinio augimo ir naujos kartos, vaikų ir jaunimo politiką, kaip numatyta EGADP reglamente</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Komisijos komunikatas „2025 m. Europos semestras. Naujos ekonomikos valdymo sistemos įgyvendinimas“ (COM(2024) 705 final), 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Reglamento (ES) 2021/241, kuriuo nustatoma ekonomikos gaivinimo ir atsparumo didinimo priemonė, 3 straipsnio c ir f punktai.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palankiai vertina tai, kad Komisija 2025 m. sausio mėn. paskelbė konkurencingumo kelrodį; </w:t>
            </w:r>
            <w:r>
              <w:t xml:space="preserve"> </w:t>
            </w:r>
            <w:r>
              <w:rPr>
                <w:b/>
                <w:i/>
              </w:rPr>
              <w:t>mano, kad Europos Sąjungos konkurencingumo tikslo neįmanoma pasiekti be Europos darbuotojų, turinčių tinkamų įgūdžių; </w:t>
            </w:r>
            <w:r>
              <w:t xml:space="preserve"> </w:t>
            </w:r>
            <w:r>
              <w:rPr>
                <w:b/>
                <w:i/>
              </w:rPr>
              <w:t>ragina Komisiją į šį konkurencingumo kelrodį įtraukti priemones, susijusias su Europos darbo jėgos įgūdžių ugdymu;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pakartoja, kad svarbu remti darbo </w:t>
            </w:r>
            <w:r>
              <w:rPr>
                <w:b/>
                <w:i/>
              </w:rPr>
              <w:t>jėgos įgūdžių ugdymą, kad būtų padidintas konkurencingumas ir užtikrintas kokybiškas užimtumas</w:t>
            </w:r>
            <w:r>
              <w:t xml:space="preserve">; primygtinai ragina valstybes nares stiprinti </w:t>
            </w:r>
            <w:r>
              <w:rPr>
                <w:b/>
                <w:i/>
              </w:rPr>
              <w:t>profesinį ir skaitmeninį</w:t>
            </w:r>
            <w:r>
              <w:t xml:space="preserve"> mokymą, kartu skatinant </w:t>
            </w:r>
            <w:r>
              <w:rPr>
                <w:b/>
                <w:i/>
              </w:rPr>
              <w:t>asmenų su negalia</w:t>
            </w:r>
            <w:r>
              <w:t xml:space="preserve"> įtrauktį į darbo jėgą, </w:t>
            </w:r>
            <w:r>
              <w:rPr>
                <w:b/>
                <w:i/>
              </w:rPr>
              <w:t>siekiant spręsti</w:t>
            </w:r>
            <w:r>
              <w:t xml:space="preserve"> darbo jėgos trūkumo </w:t>
            </w:r>
            <w:r>
              <w:rPr>
                <w:b/>
                <w:i/>
              </w:rPr>
              <w:t>problemą ir remti lygias galimybes</w:t>
            </w:r>
            <w:r>
              <w:t xml:space="preserve"> darbo rinkoje, atsižvelgiant į tai, kad, nors padėtis gerėja, </w:t>
            </w:r>
            <w:r>
              <w:rPr>
                <w:b/>
                <w:i/>
              </w:rPr>
              <w:t>asmenys su negalia</w:t>
            </w:r>
            <w:r>
              <w:t xml:space="preserve"> vis dar susiduria su didelėmis kliūtimis darbo rinkoje;</w:t>
            </w:r>
          </w:p>
        </w:tc>
        <w:tc>
          <w:tcPr>
            <w:tcW w:w="4876" w:type="dxa"/>
            <w:tcBorders>
              <w:top w:val="nil"/>
              <w:left w:val="nil"/>
              <w:bottom w:val="nil"/>
              <w:right w:val="nil"/>
            </w:tcBorders>
          </w:tcPr>
          <w:p>
            <w:pPr>
              <w:pStyle w:val="Normal6a"/>
            </w:pPr>
            <w:r>
              <w:t>2.</w:t>
            </w:r>
            <w:r>
              <w:tab/>
            </w:r>
            <w:r>
              <w:t xml:space="preserve">pakartoja, kad svarbu remti </w:t>
            </w:r>
            <w:r>
              <w:rPr>
                <w:b/>
                <w:i/>
              </w:rPr>
              <w:t>įgūdžių ugdymą ir aukštos kokybės bei su profesija susijusį mokymą, teikiamą</w:t>
            </w:r>
            <w:r>
              <w:t xml:space="preserve"> darbo </w:t>
            </w:r>
            <w:r>
              <w:rPr>
                <w:b/>
                <w:i/>
              </w:rPr>
              <w:t>valandomis ir finansuojamą darbdavio, siekiant padidinti konkurencingumą ir užtikrinti įtraukų ir sąžiningą kokybišką užimtumą</w:t>
            </w:r>
            <w:r>
              <w:t xml:space="preserve">; primygtinai ragina </w:t>
            </w:r>
            <w:r>
              <w:rPr>
                <w:b/>
                <w:i/>
              </w:rPr>
              <w:t>Komisiją ir</w:t>
            </w:r>
            <w:r>
              <w:t xml:space="preserve"> valstybes nares stiprinti </w:t>
            </w:r>
            <w:r>
              <w:rPr>
                <w:b/>
                <w:i/>
              </w:rPr>
              <w:t>kokybišką ir įtraukią visų asmenų profesinę ir skaitmeninę teisę į</w:t>
            </w:r>
            <w:r>
              <w:t xml:space="preserve"> mokymą, kartu skatinant </w:t>
            </w:r>
            <w:r>
              <w:rPr>
                <w:b/>
                <w:i/>
              </w:rPr>
              <w:t>neįgaliųjų ir jaunų bei vyresnio amžiaus darbuotojų</w:t>
            </w:r>
            <w:r>
              <w:t xml:space="preserve"> įtrauktį į darbo jėgą, </w:t>
            </w:r>
            <w:r>
              <w:rPr>
                <w:b/>
                <w:i/>
              </w:rPr>
              <w:t>kad būtų sprendžiama</w:t>
            </w:r>
            <w:r>
              <w:t xml:space="preserve"> darbo jėgos trūkumo </w:t>
            </w:r>
            <w:r>
              <w:rPr>
                <w:b/>
                <w:i/>
              </w:rPr>
              <w:t>problema ir remiamos lygios galimybės darbo rinkoje;</w:t>
            </w:r>
            <w:r>
              <w:t xml:space="preserve"> </w:t>
            </w:r>
            <w:r>
              <w:rPr>
                <w:b/>
                <w:i/>
              </w:rPr>
              <w:t>tai turi apimti galimybių jaunimui dalyvauti mokamose, kokybiškose ir įtraukiose stažuotėse ir pameistrystės programose užtikrinimą, suteikiant jiems galimybę įgyti prasmingos pirmojo darbo patirties ir palengvinant jų perėjimą iš švietimo sistemos į darbo rinką bei sukuriant darbo sąlygas, kurios sudarytų sąlygas senėjančiai darbo jėgai išlikti sveikai ir savanoriškai</w:t>
            </w:r>
            <w:r>
              <w:t xml:space="preserve"> darbo rinkoje</w:t>
            </w:r>
            <w:r>
              <w:rPr>
                <w:b/>
                <w:i/>
              </w:rPr>
              <w:t>;</w:t>
            </w:r>
            <w:r>
              <w:t xml:space="preserve"> </w:t>
            </w:r>
            <w:r>
              <w:rPr>
                <w:b/>
                <w:i/>
              </w:rPr>
              <w:t>pabrėžia, kad reikia didinti visą gyvenimą trunkančio įgūdžių ugdymo galimybes</w:t>
            </w:r>
            <w:r>
              <w:t xml:space="preserve">, atsižvelgiant į tai, kad, nors padėtis gerėja, </w:t>
            </w:r>
            <w:r>
              <w:rPr>
                <w:b/>
                <w:i/>
              </w:rPr>
              <w:t>neįgalieji, ypač neįgalios moterys,</w:t>
            </w:r>
            <w:r>
              <w:t xml:space="preserve"> vis dar susiduria su didelėmis kliūtimis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pakartoja, kad svarbu remti darbo jėgos įgūdžių ugdymą, kad būtų padidintas konkurencingumas ir užtikrintas kokybiškas užimtumas; primygtinai ragina valstybes nares stiprinti profesinį ir skaitmeninį mokymą, kartu skatinant </w:t>
            </w:r>
            <w:r>
              <w:rPr>
                <w:b/>
                <w:i/>
              </w:rPr>
              <w:t>asmenų su negalia</w:t>
            </w:r>
            <w:r>
              <w:t xml:space="preserve"> įtrauktį į darbo jėgą, </w:t>
            </w:r>
            <w:r>
              <w:rPr>
                <w:b/>
                <w:i/>
              </w:rPr>
              <w:t>siekiant spręsti</w:t>
            </w:r>
            <w:r>
              <w:t xml:space="preserve"> darbo jėgos trūkumo </w:t>
            </w:r>
            <w:r>
              <w:rPr>
                <w:b/>
                <w:i/>
              </w:rPr>
              <w:t>problemą ir remti lygias galimybes</w:t>
            </w:r>
            <w:r>
              <w:t xml:space="preserve"> darbo rinkoje</w:t>
            </w:r>
            <w:r>
              <w:rPr>
                <w:b/>
                <w:i/>
              </w:rPr>
              <w:t>, atsižvelgiant į tai, kad, nors padėtis gerėja, asmenys su negalia vis dar susiduria su didelėmis kliūtimis</w:t>
            </w:r>
            <w:r>
              <w:t xml:space="preserve"> darbo </w:t>
            </w:r>
            <w:r>
              <w:rPr>
                <w:b/>
                <w:i/>
              </w:rPr>
              <w:t>rinkoje</w:t>
            </w:r>
            <w:r>
              <w:t>;</w:t>
            </w:r>
          </w:p>
        </w:tc>
        <w:tc>
          <w:tcPr>
            <w:tcW w:w="4876" w:type="dxa"/>
            <w:tcBorders>
              <w:top w:val="nil"/>
              <w:left w:val="nil"/>
              <w:bottom w:val="nil"/>
              <w:right w:val="nil"/>
            </w:tcBorders>
          </w:tcPr>
          <w:p>
            <w:pPr>
              <w:pStyle w:val="Normal6a"/>
            </w:pPr>
            <w:r>
              <w:t>2.</w:t>
            </w:r>
            <w:r>
              <w:tab/>
            </w:r>
            <w:r>
              <w:t xml:space="preserve">pakartoja, kad svarbu remti darbo jėgos įgūdžių ugdymą, kad būtų padidintas konkurencingumas ir užtikrintas kokybiškas užimtumas; primygtinai ragina valstybes nares stiprinti profesinį ir skaitmeninį mokymą, kartu skatinant </w:t>
            </w:r>
            <w:r>
              <w:rPr>
                <w:b/>
                <w:i/>
              </w:rPr>
              <w:t>nepalankioje padėtyje esančių grupių, pvz., neįgaliųjų,</w:t>
            </w:r>
            <w:r>
              <w:t xml:space="preserve"> įtrauktį į darbo jėgą, </w:t>
            </w:r>
            <w:r>
              <w:rPr>
                <w:b/>
                <w:i/>
              </w:rPr>
              <w:t>kad būtų sprendžiama</w:t>
            </w:r>
            <w:r>
              <w:t xml:space="preserve"> darbo jėgos trūkumo </w:t>
            </w:r>
            <w:r>
              <w:rPr>
                <w:b/>
                <w:i/>
              </w:rPr>
              <w:t>problema ir remiamos lygios galimybės</w:t>
            </w:r>
            <w:r>
              <w:t xml:space="preserve"> darbo rinkoje</w:t>
            </w:r>
            <w:r>
              <w:rPr>
                <w:b/>
                <w:i/>
              </w:rPr>
              <w:t>;</w:t>
            </w:r>
            <w:r>
              <w:t xml:space="preserve"> </w:t>
            </w:r>
            <w:r>
              <w:rPr>
                <w:b/>
                <w:i/>
              </w:rPr>
              <w:t>ragina valstybes nares stiprinti mokymo, kvalifikacijos kėlimo ir perkvalifikavimo priemones, taip pat aktyvią darbo rinkos politiką, skirtą neaktyviai darbo jėgai ir menkai darbo rinkoje dalyvaujančioms grupėms, įskaitant moteris, neįgaliuosius, žemesnio išsilavinimo asmenis, jaunimą ir nesimokantį, nedirbantį ir mokymuose nedalyvaujantį jaunimą (NEET), vyresnio amžiaus darbuotojus ir migrantų ar etninių mažumų atstovus, pvz., romus;</w:t>
            </w:r>
            <w:r>
              <w:t xml:space="preserve"> </w:t>
            </w:r>
            <w:r>
              <w:rPr>
                <w:b/>
                <w:i/>
              </w:rPr>
              <w:t>pabrėžia, kad kova su visų formų diskriminacija ir stereotipais yra labai svarbi siekiant užtikrinti šių grupių įtrauktį į</w:t>
            </w:r>
            <w:r>
              <w:t xml:space="preserve"> darbo </w:t>
            </w:r>
            <w:r>
              <w:rPr>
                <w:b/>
                <w:i/>
              </w:rPr>
              <w:t>rinką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pakartoja, kad svarbu remti darbo jėgos </w:t>
            </w:r>
            <w:r>
              <w:rPr>
                <w:b/>
                <w:i/>
              </w:rPr>
              <w:t>įgūdžių ugdymą</w:t>
            </w:r>
            <w:r>
              <w:t xml:space="preserve">, kad būtų padidintas konkurencingumas ir užtikrintas kokybiškas užimtumas; primygtinai ragina valstybes nares stiprinti profesinį ir skaitmeninį mokymą, kartu skatinant </w:t>
            </w:r>
            <w:r>
              <w:rPr>
                <w:b/>
                <w:i/>
              </w:rPr>
              <w:t>asmenų su negalia</w:t>
            </w:r>
            <w:r>
              <w:t xml:space="preserve"> įtrauktį į darbo </w:t>
            </w:r>
            <w:r>
              <w:rPr>
                <w:b/>
                <w:i/>
              </w:rPr>
              <w:t>jėgą</w:t>
            </w:r>
            <w:r>
              <w:t xml:space="preserve">, siekiant spręsti darbo jėgos trūkumo problemą ir remti lygias galimybes darbo rinkoje, atsižvelgiant į </w:t>
            </w:r>
            <w:r>
              <w:rPr>
                <w:b/>
                <w:i/>
              </w:rPr>
              <w:t>tai, kad, nors padėtis gerėja, asmenys su negalia</w:t>
            </w:r>
            <w:r>
              <w:t xml:space="preserve"> vis dar susiduria </w:t>
            </w:r>
            <w:r>
              <w:rPr>
                <w:b/>
                <w:i/>
              </w:rPr>
              <w:t>su didelėmis kliūtimis</w:t>
            </w:r>
            <w:r>
              <w:t xml:space="preserve"> darbo rinkoje;</w:t>
            </w:r>
          </w:p>
        </w:tc>
        <w:tc>
          <w:tcPr>
            <w:tcW w:w="4876" w:type="dxa"/>
            <w:tcBorders>
              <w:top w:val="nil"/>
              <w:left w:val="nil"/>
              <w:bottom w:val="nil"/>
              <w:right w:val="nil"/>
            </w:tcBorders>
          </w:tcPr>
          <w:p>
            <w:pPr>
              <w:pStyle w:val="Normal6a"/>
            </w:pPr>
            <w:r>
              <w:t>2.</w:t>
            </w:r>
            <w:r>
              <w:tab/>
            </w:r>
            <w:r>
              <w:t xml:space="preserve">pakartoja, kad svarbu remti </w:t>
            </w:r>
            <w:r>
              <w:rPr>
                <w:b/>
                <w:i/>
              </w:rPr>
              <w:t>įgūdžių ugdymą,</w:t>
            </w:r>
            <w:r>
              <w:t xml:space="preserve"> darbo jėgos </w:t>
            </w:r>
            <w:r>
              <w:rPr>
                <w:b/>
                <w:i/>
              </w:rPr>
              <w:t>perkvalifikavimą ir kvalifikacijos kėlimą</w:t>
            </w:r>
            <w:r>
              <w:t xml:space="preserve">, kad būtų padidintas </w:t>
            </w:r>
            <w:r>
              <w:rPr>
                <w:b/>
                <w:i/>
              </w:rPr>
              <w:t>Europos pramonės ir mažųjų bei vidutinių įmonių</w:t>
            </w:r>
            <w:r>
              <w:t xml:space="preserve"> konkurencingumas ir </w:t>
            </w:r>
            <w:r>
              <w:rPr>
                <w:b/>
                <w:i/>
              </w:rPr>
              <w:t>ilgalaikis tvarumas ir</w:t>
            </w:r>
            <w:r>
              <w:t xml:space="preserve"> užtikrintas kokybiškas užimtumas </w:t>
            </w:r>
            <w:r>
              <w:rPr>
                <w:b/>
                <w:i/>
              </w:rPr>
              <w:t>darbuotojams, ypač pertvarką vykdančiuose sektoriuose</w:t>
            </w:r>
            <w:r>
              <w:t xml:space="preserve">; primygtinai ragina valstybes nares stiprinti profesinį ir skaitmeninį mokymą, kartu skatinant </w:t>
            </w:r>
            <w:r>
              <w:rPr>
                <w:b/>
                <w:i/>
              </w:rPr>
              <w:t>visų grupių, kurioms šiuo metu sunku patekti į darbo rinką, įskaitant neįgaliuosius,</w:t>
            </w:r>
            <w:r>
              <w:t xml:space="preserve"> įtrauktį į darbo </w:t>
            </w:r>
            <w:r>
              <w:rPr>
                <w:b/>
                <w:i/>
              </w:rPr>
              <w:t>rinką</w:t>
            </w:r>
            <w:r>
              <w:t xml:space="preserve">, siekiant spręsti darbo jėgos trūkumo problemą ir remti lygias galimybes darbo rinkoje, atsižvelgiant į </w:t>
            </w:r>
            <w:r>
              <w:rPr>
                <w:b/>
                <w:i/>
              </w:rPr>
              <w:t>dideles kliūtis, su kuriomis</w:t>
            </w:r>
            <w:r>
              <w:t xml:space="preserve"> vis dar susiduria </w:t>
            </w:r>
            <w:r>
              <w:rPr>
                <w:b/>
                <w:i/>
              </w:rPr>
              <w:t>neįgalieji</w:t>
            </w:r>
            <w:r>
              <w:t xml:space="preserve">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pakartoja, kad svarbu remti darbo jėgos įgūdžių ugdymą</w:t>
            </w:r>
            <w:r>
              <w:rPr>
                <w:b/>
                <w:i/>
              </w:rPr>
              <w:t>, kad būtų padidintas konkurencingumas ir užtikrintas kokybiškas užimtumas</w:t>
            </w:r>
            <w:r>
              <w:t xml:space="preserve">; primygtinai ragina valstybes nares stiprinti profesinį ir skaitmeninį mokymą, kartu skatinant </w:t>
            </w:r>
            <w:r>
              <w:rPr>
                <w:b/>
                <w:i/>
              </w:rPr>
              <w:t>asmenų su negalia</w:t>
            </w:r>
            <w:r>
              <w:t xml:space="preserve"> įtrauktį į darbo </w:t>
            </w:r>
            <w:r>
              <w:rPr>
                <w:b/>
                <w:i/>
              </w:rPr>
              <w:t>jėgą</w:t>
            </w:r>
            <w:r>
              <w:t xml:space="preserve">, siekiant spręsti darbo jėgos trūkumo problemą ir remti lygias galimybes darbo rinkoje, atsižvelgiant į tai, kad, nors padėtis gerėja, </w:t>
            </w:r>
            <w:r>
              <w:rPr>
                <w:b/>
                <w:i/>
              </w:rPr>
              <w:t>asmenys su negalia</w:t>
            </w:r>
            <w:r>
              <w:t xml:space="preserve"> vis dar susiduria su didelėmis kliūtimis darbo rinkoje;</w:t>
            </w:r>
          </w:p>
        </w:tc>
        <w:tc>
          <w:tcPr>
            <w:tcW w:w="4876" w:type="dxa"/>
            <w:tcBorders>
              <w:top w:val="nil"/>
              <w:left w:val="nil"/>
              <w:bottom w:val="nil"/>
              <w:right w:val="nil"/>
            </w:tcBorders>
          </w:tcPr>
          <w:p>
            <w:pPr>
              <w:pStyle w:val="Normal6a"/>
            </w:pPr>
            <w:r>
              <w:t>2.</w:t>
            </w:r>
            <w:r>
              <w:tab/>
            </w:r>
            <w:r>
              <w:t xml:space="preserve">pakartoja, kad svarbu remti darbo jėgos įgūdžių ugdymą </w:t>
            </w:r>
            <w:r>
              <w:rPr>
                <w:b/>
                <w:i/>
              </w:rPr>
              <w:t>siekiant didinti konkurencingumą ir užtikrinti kokybišką užimtumą, kartu atsižvelgiant į individualius darbuotojų siekius</w:t>
            </w:r>
            <w:r>
              <w:t xml:space="preserve">; primygtinai ragina valstybes nares stiprinti profesinį ir skaitmeninį mokymą, kartu skatinant </w:t>
            </w:r>
            <w:r>
              <w:rPr>
                <w:b/>
                <w:i/>
              </w:rPr>
              <w:t>neįgaliųjų, taip pat lėtinėmis ligomis sergančių asmenų</w:t>
            </w:r>
            <w:r>
              <w:t xml:space="preserve"> įtrauktį į darbo </w:t>
            </w:r>
            <w:r>
              <w:rPr>
                <w:b/>
                <w:i/>
              </w:rPr>
              <w:t>rinką ir darbuotojų reintegraciją po ilgesnio nebuvimo darbe</w:t>
            </w:r>
            <w:r>
              <w:t xml:space="preserve">, siekiant spręsti darbo jėgos trūkumo problemą ir remti lygias galimybes darbo rinkoje, atsižvelgiant į tai, kad, nors padėtis gerėja, </w:t>
            </w:r>
            <w:r>
              <w:rPr>
                <w:b/>
                <w:i/>
              </w:rPr>
              <w:t>neįgalieji</w:t>
            </w:r>
            <w:r>
              <w:t xml:space="preserve"> vis dar susiduria su didelėmis kliūtimis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pakartoja, kad svarbu remti darbo jėgos įgūdžių ugdymą, kad būtų padidintas konkurencingumas ir užtikrintas kokybiškas užimtumas; primygtinai ragina valstybes nares stiprinti profesinį ir skaitmeninį mokymą, kartu skatinant </w:t>
            </w:r>
            <w:r>
              <w:rPr>
                <w:b/>
                <w:i/>
              </w:rPr>
              <w:t>asmenų su negalia</w:t>
            </w:r>
            <w:r>
              <w:t xml:space="preserve"> įtrauktį į darbo jėgą, </w:t>
            </w:r>
            <w:r>
              <w:rPr>
                <w:b/>
                <w:i/>
              </w:rPr>
              <w:t>siekiant spręsti</w:t>
            </w:r>
            <w:r>
              <w:t xml:space="preserve"> darbo jėgos trūkumo </w:t>
            </w:r>
            <w:r>
              <w:rPr>
                <w:b/>
                <w:i/>
              </w:rPr>
              <w:t>problemą ir remti lygias galimybes</w:t>
            </w:r>
            <w:r>
              <w:t xml:space="preserve"> darbo rinkoje, atsižvelgiant į tai, kad, nors padėtis gerėja, </w:t>
            </w:r>
            <w:r>
              <w:rPr>
                <w:b/>
                <w:i/>
              </w:rPr>
              <w:t>asmenys su negalia</w:t>
            </w:r>
            <w:r>
              <w:t xml:space="preserve"> vis dar susiduria su didelėmis kliūtimis darbo rinkoje;</w:t>
            </w:r>
          </w:p>
        </w:tc>
        <w:tc>
          <w:tcPr>
            <w:tcW w:w="4876" w:type="dxa"/>
            <w:tcBorders>
              <w:top w:val="nil"/>
              <w:left w:val="nil"/>
              <w:bottom w:val="nil"/>
              <w:right w:val="nil"/>
            </w:tcBorders>
          </w:tcPr>
          <w:p>
            <w:pPr>
              <w:pStyle w:val="Normal6a"/>
            </w:pPr>
            <w:r>
              <w:t>2.</w:t>
            </w:r>
            <w:r>
              <w:tab/>
            </w:r>
            <w:r>
              <w:t xml:space="preserve">pakartoja, kad svarbu remti darbo jėgos įgūdžių ugdymą, kad būtų padidintas konkurencingumas ir užtikrintas kokybiškas užimtumas; primygtinai ragina valstybes nares stiprinti profesinį ir skaitmeninį mokymą, kartu skatinant </w:t>
            </w:r>
            <w:r>
              <w:rPr>
                <w:b/>
                <w:i/>
              </w:rPr>
              <w:t>neįgaliųjų ir nepalankioje padėtyje esančių ar marginalizuotų asmenų</w:t>
            </w:r>
            <w:r>
              <w:t xml:space="preserve"> įtrauktį į darbo jėgą, </w:t>
            </w:r>
            <w:r>
              <w:rPr>
                <w:b/>
                <w:i/>
              </w:rPr>
              <w:t>kad būtų sprendžiama</w:t>
            </w:r>
            <w:r>
              <w:t xml:space="preserve"> darbo jėgos trūkumo </w:t>
            </w:r>
            <w:r>
              <w:rPr>
                <w:b/>
                <w:i/>
              </w:rPr>
              <w:t>problema ir remiamos lygios galimybės</w:t>
            </w:r>
            <w:r>
              <w:t xml:space="preserve"> darbo rinkoje, atsižvelgiant į tai, kad, nors padėtis gerėja, </w:t>
            </w:r>
            <w:r>
              <w:rPr>
                <w:b/>
                <w:i/>
              </w:rPr>
              <w:t>neįgalieji</w:t>
            </w:r>
            <w:r>
              <w:t xml:space="preserve"> vis dar susiduria su didelėmis kliūtimis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pakartoja, </w:t>
            </w:r>
            <w:r>
              <w:rPr>
                <w:b/>
                <w:i/>
              </w:rPr>
              <w:t>kad svarbu remti</w:t>
            </w:r>
            <w:r>
              <w:t xml:space="preserve"> darbo jėgos </w:t>
            </w:r>
            <w:r>
              <w:rPr>
                <w:b/>
                <w:i/>
              </w:rPr>
              <w:t>įgūdžių ugdymą</w:t>
            </w:r>
            <w:r>
              <w:t>,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c>
          <w:tcPr>
            <w:tcW w:w="4876" w:type="dxa"/>
            <w:tcBorders>
              <w:top w:val="nil"/>
              <w:left w:val="nil"/>
              <w:bottom w:val="nil"/>
              <w:right w:val="nil"/>
            </w:tcBorders>
          </w:tcPr>
          <w:p>
            <w:pPr>
              <w:pStyle w:val="Normal6a"/>
            </w:pPr>
            <w:r>
              <w:t>2.</w:t>
            </w:r>
            <w:r>
              <w:tab/>
            </w:r>
            <w:r>
              <w:t xml:space="preserve">pakartoja, </w:t>
            </w:r>
            <w:r>
              <w:rPr>
                <w:b/>
                <w:i/>
              </w:rPr>
              <w:t>koks svarbus valstybinių ir privačių subjektų išlaidų pasidalijimo principas ugdant</w:t>
            </w:r>
            <w:r>
              <w:t xml:space="preserve"> darbo jėgos </w:t>
            </w:r>
            <w:r>
              <w:rPr>
                <w:b/>
                <w:i/>
              </w:rPr>
              <w:t>įgūdžius</w:t>
            </w:r>
            <w:r>
              <w:t>,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pakartoja, kad svarbu remti</w:t>
            </w:r>
            <w:r>
              <w:t xml:space="preserve"> darbo </w:t>
            </w:r>
            <w:r>
              <w:rPr>
                <w:b/>
                <w:i/>
              </w:rPr>
              <w:t>jėgos įgūdžių ugdymą</w:t>
            </w:r>
            <w:r>
              <w:t>,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c>
          <w:tcPr>
            <w:tcW w:w="4876" w:type="dxa"/>
            <w:tcBorders>
              <w:top w:val="nil"/>
              <w:left w:val="nil"/>
              <w:bottom w:val="nil"/>
              <w:right w:val="nil"/>
            </w:tcBorders>
          </w:tcPr>
          <w:p>
            <w:pPr>
              <w:pStyle w:val="Normal6a"/>
            </w:pPr>
            <w:r>
              <w:t>2.</w:t>
            </w:r>
            <w:r>
              <w:tab/>
            </w:r>
            <w:r>
              <w:rPr>
                <w:b/>
                <w:i/>
              </w:rPr>
              <w:t>ragina išnaudoti Europos talentus ir investuoti į įgūdžius siekiant skatinti aukštos kokybės</w:t>
            </w:r>
            <w:r>
              <w:t xml:space="preserve"> darbo </w:t>
            </w:r>
            <w:r>
              <w:rPr>
                <w:b/>
                <w:i/>
              </w:rPr>
              <w:t>vietas visoje Sąjungoje</w:t>
            </w:r>
            <w:r>
              <w:t>,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pakartoja, kad svarbu remti darbo jėgos įgūdžių ugdymą,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c>
          <w:tcPr>
            <w:tcW w:w="4876" w:type="dxa"/>
            <w:tcBorders>
              <w:top w:val="nil"/>
              <w:left w:val="nil"/>
              <w:bottom w:val="nil"/>
              <w:right w:val="nil"/>
            </w:tcBorders>
          </w:tcPr>
          <w:p>
            <w:pPr>
              <w:pStyle w:val="Normal6a"/>
            </w:pPr>
            <w:r>
              <w:t>2.</w:t>
            </w:r>
            <w:r>
              <w:tab/>
            </w:r>
            <w:r>
              <w:t xml:space="preserve">pakartoja, kad svarbu remti </w:t>
            </w:r>
            <w:r>
              <w:rPr>
                <w:b/>
                <w:i/>
              </w:rPr>
              <w:t>Europos</w:t>
            </w:r>
            <w:r>
              <w:t xml:space="preserve"> darbo jėgos įgūdžių ugdymą, kad būtų padidintas konkurencingumas ir užtikrintas kokybiškas užimtumas; primygtinai ragina valstybes nares stiprinti profesinį ir skaitmeninį mokymą, kartu skatinant asmenų su negalia įtrauktį į darbo jėgą, siekiant spręsti darbo jėgos trūkumo problemą ir remti lygias galimybes darbo rinkoje, atsižvelgiant į tai, kad, nors padėtis gerėja, asmenys su negalia vis dar susiduria su didelėmis kliūtimis darbo rinkoje;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primena nuolatinį neįgaliųjų užimtumo skirtumą – tik 51,3 proc. aktyvių darbingo amžiaus neįgaliųjų ES dirba apmokamą darbą; </w:t>
            </w:r>
            <w:r>
              <w:t xml:space="preserve"> </w:t>
            </w:r>
            <w:r>
              <w:rPr>
                <w:b/>
                <w:i/>
              </w:rPr>
              <w:t>ragina Komisiją nuo 2025 m. atnaujinti ES strategiją dėl negalios naujomis pavyzdinėmis iniciatyvomis ir veiksmais; </w:t>
            </w:r>
            <w:r>
              <w:t xml:space="preserve"> </w:t>
            </w:r>
            <w:r>
              <w:rPr>
                <w:b/>
                <w:i/>
              </w:rPr>
              <w:t>pabrėžia, kad Komisija turėtų pateikti pasiūlymų, kaip užtikrinti, kad ES ir valstybės narės laikytųsi Jungtinių Tautų neįgaliųjų teisių konvencijos (JT NTK), ir visų pirma spręsti neįgaliųjų socialinės įtraukties ir savarankiško gyvenimo klausimus, šalinti likusias kliūtis jų laisvam judėjimui ir užtikrinti jų galimybes gauti kokybišką išsilavinimą, mokymą ir darbą, teikiant gaires dėl neįgalumo pašalpų išlaikymo ir sukuriant Europos neįgaliųjų užimtumo ir įgūdžių garantiją;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yra susirūpinęs dėl to, kad daugėja nestandartinių sutarčių, pagal kurias darbuotojai patiria skurdą darbe ir neturi tinkamos teisinės apsaugos; </w:t>
            </w:r>
            <w:r>
              <w:t xml:space="preserve"> </w:t>
            </w:r>
            <w:r>
              <w:rPr>
                <w:b/>
                <w:i/>
              </w:rPr>
              <w:t>primena, kad toks užimtumo standartų nuosmukis ne tik daro poveikį asmenų finansiniam stabilumui, bet ir kenkia platesnei socialinei struktūrai, nes vis daugiau darbuotojų susiduria su sunkumais norėdami gauti esmines išmokas, pvz., sveikatos priežiūros paslaugas, pensijų planus ir su darbu susijusį mokymą;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kad reikia atkreipti dėmesį į socialinius ir aplinkosauginius konkurencingumo aspektus, pabrėžiant, kad reikia investuoti į švietimą ir mokymą visiems, kad būtų užtikrinta visuotinė prieiga prie aukštos kokybės viešojo švietimo ir profesinio mokymo programų, taip pat tvari praktika integraciniam augimui skatinti, pabrėžia, kad socialiniai partneriai turėtų atlikti pagrindinį vaidmenį nustatant ir tenkinant įgūdžių poreikius visoje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socialinių investicijų vaidmenį ir reformų bei investicijų svarbą tokiose pagrindinėse srityse kaip kvalifikacijos kėlimas ir perkvalifikavimas, mokymasis visą gyvenimą, aktyvi darbo rinkos politika, ikimokyklinio ugdymo ir priežiūros politika, kurias galima papildyti didesnėmis investicijomis į įperkamą būstą ir socialinę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reiškia susirūpinimą dėl to, kad romai ir toliau susiduria su didelėmis užimtumo kliūtimis, o nuolatinis šališkumas riboja jų perspektyvas; </w:t>
            </w:r>
            <w:r>
              <w:t xml:space="preserve"> </w:t>
            </w:r>
            <w:r>
              <w:rPr>
                <w:b/>
                <w:i/>
              </w:rPr>
              <w:t>pažymi, kad ES romų lygybės, įtraukties ir dalyvavimo strateginiame plane atkreipiamas dėmesys į nepakankamą pažangą įsidarbinimo galimybių srityje ir didėjančią nedirbančio, nesimokančio ir mokymuose nedalyvaujančio romų jaunimo dalį; </w:t>
            </w:r>
            <w:r>
              <w:t xml:space="preserve"> </w:t>
            </w:r>
            <w:r>
              <w:rPr>
                <w:b/>
                <w:i/>
              </w:rPr>
              <w:t>pabrėžia plano tikslą perpus sumažinti romų ir plačiosios visuomenės užimtumo skirtumą ir užtikrinti, kad iki 2030 m. bent 60 proc. romų dirbtų apmokamą darbą;</w:t>
            </w:r>
            <w:r>
              <w:t xml:space="preserve"> </w:t>
            </w:r>
            <w:r>
              <w:rPr>
                <w:b/>
                <w:i/>
              </w:rPr>
              <w:t> ragina valstybes nares laikytis integruoto, į lygybę orientuoto požiūrio ir užtikrinti, kad viešoji politika ir paslaugos veiksmingai pasiektų visus romus, įskaitant gyvenančius atokiose kaimo vietovėse;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pabrėžia, kad atsakas į darbo jėgos trūkumą Europos Sąjungoje taip pat apima darbo jėgos judumo Sąjungoje gerinimą ir palengvinimą; </w:t>
            </w:r>
            <w:r>
              <w:t xml:space="preserve"> </w:t>
            </w:r>
            <w:r>
              <w:rPr>
                <w:b/>
                <w:i/>
              </w:rPr>
              <w:t>ragina valstybes nares stiprinti ir palengvinti įgūdžių ir kvalifikacijų pripažinimą Sąjungoje, be kita ko, trečiųjų šalių piliečiams;</w:t>
            </w:r>
            <w:r>
              <w:t xml:space="preserve"> </w:t>
            </w:r>
            <w:r>
              <w:rPr>
                <w:b/>
                <w:i/>
              </w:rPr>
              <w:t> ragina Komisiją išanalizuoti EURES platformos veiksmingumą, kad būtų galima persvarstyti jos veikimą;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yra susirūpinęs dėl prastėjančių jaunimo mokymosi rezultatų, ypač pagrindinių įgūdžių srityje</w:t>
            </w:r>
            <w:r>
              <w:rPr>
                <w:b/>
                <w:i/>
                <w:vertAlign w:val="superscript"/>
              </w:rPr>
              <w:t>17a</w:t>
            </w:r>
            <w:r>
              <w:t xml:space="preserve"> </w:t>
            </w:r>
            <w:r>
              <w:rPr>
                <w:b/>
                <w:i/>
              </w:rPr>
              <w:t>šiuo atžvilgiu palankiai vertina paskelbtą Pagrindinių įgūdžių veiksmų planą ir STEM švietimo strateginį planą</w:t>
            </w:r>
            <w:r>
              <w:rPr>
                <w:b/>
                <w:i/>
                <w:vertAlign w:val="superscript"/>
              </w:rPr>
              <w:t>18a</w:t>
            </w:r>
            <w:r>
              <w:t xml:space="preserve"> </w:t>
            </w:r>
            <w:r>
              <w:rPr>
                <w:b/>
                <w:i/>
              </w:rPr>
              <w:t> ragina valstybes nares investuoti į programas, kuriomis besimokantiems asmenims būtų suteikti pagrindiniai, skaitmeniniai ir universalieji įgūdžiai, reikalingi darbo pasauliui ir jo skaitmeninimui, taip pat prasmingai prisidėti prie visuomenės; </w:t>
            </w:r>
            <w:r>
              <w:t xml:space="preserve"> </w:t>
            </w:r>
            <w:r>
              <w:rPr>
                <w:b/>
                <w:i/>
              </w:rPr>
              <w:t>mano, kad skaitmeniniai ir universalieji įgūdžiai turi apimti kritinio mąstymo ir gebėjimo naudotis žiniasklaidos priemonėmis komponentą, kad būtų galima kovoti su klaidingos informacijos grėsme;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Švietimo, jaunimo, sporto ir kultūros generalinis direktoratas, 2024 m. švietimo ir mokymo stebėsenos biuletenis. Lyginamoji ataskaita, Europos Sąjungos leidinių biuras, 2024 m.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Įgaliojamasis raštas vykdomajai pirmininko pavaduotojai, atsakingai už socialines teises ir įgūdžius, kokybiškas darbo vietas ir pasirengimą, 2024 m. gruodžio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pažymi, kad, nepaisant mažėjimo tendencijos Europos Sąjungoje, švietimo ir mokymo įstaigų nebaigusių asmenų skaičius keliose valstybėse narėse tebėra didelis; </w:t>
            </w:r>
            <w:r>
              <w:t xml:space="preserve"> </w:t>
            </w:r>
            <w:r>
              <w:rPr>
                <w:b/>
                <w:i/>
              </w:rPr>
              <w:t>ažymi, kad šis reiškinys ypač veikia jaunus vyrus – 11,3 proc. jaunų vyrų ir 7,7 proc. jaunų moterų Sąjungoje 2023 m. anksti palieka švietimo ir mokymo įstaigas; </w:t>
            </w:r>
            <w:r>
              <w:t xml:space="preserve"> </w:t>
            </w:r>
            <w:r>
              <w:rPr>
                <w:b/>
                <w:i/>
              </w:rPr>
              <w:t>yra susirūpinęs dėl šių mokyklos nebaigusių asmenų poveikio šių jaunuolių ateičiai, atsižvelgiant į tai, kad tik vienas iš dviejų buvusių mokyklos nebaigusių asmenų dirba, kad beveik vienas iš trijų buvusių mokyklos nebaigusių asmenų negali rasti darbo, nepaisydamas savo norų, ir kad vienas iš penkių nusprendžia likti neaktyvus; </w:t>
            </w:r>
            <w:r>
              <w:t xml:space="preserve"> </w:t>
            </w:r>
            <w:r>
              <w:rPr>
                <w:b/>
                <w:i/>
              </w:rPr>
              <w:t>ragina valstybes nares spręsti šią problemą ir parengti individualizuotus sprendimus, kad vaikai ir jaunimas liktų mokykloje;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2f.</w:t>
            </w:r>
            <w:r>
              <w:tab/>
            </w:r>
            <w:r>
              <w:rPr>
                <w:b/>
                <w:i/>
              </w:rPr>
              <w:t>yra susirūpinęs dėl jaunimo nedarbo lygio, kuris keliose valstybėse narėse tebėra labai aukštas ir daugiau nei du kartus didesnis už bendrą nedarbo lygį ES lygmeniu;</w:t>
            </w:r>
            <w:r>
              <w:t xml:space="preserve"> </w:t>
            </w:r>
            <w:r>
              <w:rPr>
                <w:b/>
                <w:i/>
              </w:rPr>
              <w:t>primena valstybių narių įsipareigojimą jaunimui sukurti Jaunimo garantijų iniciatyvą, kad visi jaunesni nei 30 metų jaunuoliai per keturis mėnesius nuo darbo netekimo ar mokymosi užbaigimo gautų kokybišką darbo, tęstinio mokymosi, pameistrystės ar stažuotės pasiūlymą; </w:t>
            </w:r>
            <w:r>
              <w:t xml:space="preserve"> </w:t>
            </w:r>
            <w:r>
              <w:rPr>
                <w:b/>
                <w:i/>
              </w:rPr>
              <w:t>mano, kad reikia didesnės Vaiko garantijų sistemos ir Jaunimo garantijų iniciatyvos priemonių sąveikos, siekiant užtikrinti tinkamą paramą jaunuoliams, kuriems reikia pagalbos, viso jų asmeninio ir profesinio tobulėjimo metu; </w:t>
            </w:r>
            <w:r>
              <w:t xml:space="preserve"> </w:t>
            </w:r>
            <w:r>
              <w:rPr>
                <w:b/>
                <w:i/>
              </w:rPr>
              <w:t>palankiai vertina tai, kad profesinio rengimo ir mokymo absolventų užimtumo rezultatai visoje ES toliau gerėja; </w:t>
            </w:r>
            <w:r>
              <w:t xml:space="preserve"> </w:t>
            </w:r>
            <w:r>
              <w:rPr>
                <w:b/>
                <w:i/>
              </w:rPr>
              <w:t>pakartoja, kad profesinis rengimas ir mokymas atlieka pagrindinį vaidmenį teikiant žinias, įgūdžius ir kompetencijas, kurių reikia į darbo rinką patenkančiam jaunimui;</w:t>
            </w:r>
            <w:r>
              <w:t xml:space="preserve"> </w:t>
            </w:r>
            <w:r>
              <w:rPr>
                <w:b/>
                <w:i/>
              </w:rPr>
              <w:t>pabrėžia, kad reikia investuoti į profesinio rengimo ir mokymo kokybę ir patrauklumą pasitelkiant ESF+ ir sustiprintą Jaunimo garantijų iniciatyvą;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w:t>
            </w:r>
            <w:r>
              <w:rPr>
                <w:b/>
                <w:i/>
              </w:rPr>
              <w:t>mano, kad persvarsčius</w:t>
            </w:r>
            <w:r>
              <w:t xml:space="preserve"> ES būsto sektoriaus reglamentavimo </w:t>
            </w:r>
            <w:r>
              <w:rPr>
                <w:b/>
                <w:i/>
              </w:rPr>
              <w:t>sistemą</w:t>
            </w:r>
            <w:r>
              <w:t xml:space="preserve"> turėtų </w:t>
            </w:r>
            <w:r>
              <w:rPr>
                <w:b/>
                <w:i/>
              </w:rPr>
              <w:t>būti sudarytos palankesnės sąlygos statyti prieinamus</w:t>
            </w:r>
            <w:r>
              <w:t xml:space="preserve"> ir efektyviai energiją </w:t>
            </w:r>
            <w:r>
              <w:rPr>
                <w:b/>
                <w:i/>
              </w:rPr>
              <w:t>vartojančius būstus, kurie</w:t>
            </w:r>
            <w:r>
              <w:t xml:space="preserve"> atitiktų jaunimo, riboto judumo asmenų ir rizikos </w:t>
            </w:r>
            <w:r>
              <w:rPr>
                <w:b/>
                <w:i/>
              </w:rPr>
              <w:t>grupėms priklausančių šeimų poreikius, taip pat apsaugoti namų savininkus nuo tolesnio pasiūlos mažėjimo</w:t>
            </w:r>
            <w:r>
              <w:t>;</w:t>
            </w:r>
          </w:p>
        </w:tc>
        <w:tc>
          <w:tcPr>
            <w:tcW w:w="4876" w:type="dxa"/>
            <w:tcBorders>
              <w:top w:val="nil"/>
              <w:left w:val="nil"/>
              <w:bottom w:val="nil"/>
              <w:right w:val="nil"/>
            </w:tcBorders>
          </w:tcPr>
          <w:p>
            <w:pPr>
              <w:pStyle w:val="Normal6a"/>
            </w:pPr>
            <w:r>
              <w:t>3.</w:t>
            </w:r>
            <w:r>
              <w:tab/>
            </w:r>
            <w:r>
              <w:t xml:space="preserve">ragina Komisiją </w:t>
            </w:r>
            <w:r>
              <w:rPr>
                <w:b/>
                <w:i/>
              </w:rPr>
              <w:t>ir valstybes nares užtikrinti, kad būstas taptų Europos politikos kertiniu akmeniu; </w:t>
            </w:r>
            <w:r>
              <w:t xml:space="preserve"> </w:t>
            </w:r>
            <w:r>
              <w:rPr>
                <w:b/>
                <w:i/>
              </w:rPr>
              <w:t>pabrėžia, kad ES ir jos valstybės narės privalo piliečiams užtikrinti visuotinę galimybę gauti deramą būstą už prieinamą kainą, laikydamosi pagrindinių teisių, pvz., Europos socialinės chartijos 16, 30 ir 31 straipsnių ir Europos socialinių teisių ramsčio; </w:t>
            </w:r>
            <w:r>
              <w:t xml:space="preserve"> </w:t>
            </w:r>
            <w:r>
              <w:rPr>
                <w:b/>
                <w:i/>
              </w:rPr>
              <w:t>pabrėžia, kad investicijos į socialinį ir įperkamą būstą yra labai svarbios siekiant užtikrinti ir pagerinti visų ES piliečių gyvenimo kokybę; </w:t>
            </w:r>
            <w:r>
              <w:t xml:space="preserve"> </w:t>
            </w:r>
            <w:r>
              <w:rPr>
                <w:b/>
                <w:i/>
              </w:rPr>
              <w:t>ragina Komisiją parengti socialinio būsto politiką ES ir</w:t>
            </w:r>
            <w:r>
              <w:t xml:space="preserve"> į Europos semestrą įtraukti konkrečias rekomendacijas dėl būsto įperkamumo </w:t>
            </w:r>
            <w:r>
              <w:rPr>
                <w:b/>
                <w:i/>
              </w:rPr>
              <w:t>visiems</w:t>
            </w:r>
            <w:r>
              <w:t xml:space="preserve"> ir skatinti investicijas į </w:t>
            </w:r>
            <w:r>
              <w:rPr>
                <w:b/>
                <w:i/>
              </w:rPr>
              <w:t>viešąjį</w:t>
            </w:r>
            <w:r>
              <w:t xml:space="preserve"> būstą, be kita ko, pasitelkiant </w:t>
            </w:r>
            <w:r>
              <w:rPr>
                <w:b/>
                <w:i/>
              </w:rPr>
              <w:t>ES finansavimą ir</w:t>
            </w:r>
            <w:r>
              <w:t xml:space="preserve"> Europos investicijų banko finansines priemones;</w:t>
            </w:r>
            <w:r>
              <w:rPr>
                <w:b/>
                <w:i/>
              </w:rPr>
              <w:t> </w:t>
            </w:r>
            <w:r>
              <w:t xml:space="preserve"> </w:t>
            </w:r>
            <w:r>
              <w:rPr>
                <w:b/>
                <w:i/>
              </w:rPr>
              <w:t>mano, kad</w:t>
            </w:r>
            <w:r>
              <w:t xml:space="preserve"> ES būsto sektoriaus reglamentavimo </w:t>
            </w:r>
            <w:r>
              <w:rPr>
                <w:b/>
                <w:i/>
              </w:rPr>
              <w:t>sistemos peržiūra</w:t>
            </w:r>
            <w:r>
              <w:t xml:space="preserve"> turėtų </w:t>
            </w:r>
            <w:r>
              <w:rPr>
                <w:b/>
                <w:i/>
              </w:rPr>
              <w:t>sudaryti palankesnes sąlygas statyti viešąjį, geros kokybės, deramą</w:t>
            </w:r>
            <w:r>
              <w:t xml:space="preserve"> ir efektyviai energiją </w:t>
            </w:r>
            <w:r>
              <w:rPr>
                <w:b/>
                <w:i/>
              </w:rPr>
              <w:t>vartojantį būstą, kuris</w:t>
            </w:r>
            <w:r>
              <w:t xml:space="preserve"> atitiktų jaunimo, riboto judumo asmenų ir </w:t>
            </w:r>
            <w:r>
              <w:rPr>
                <w:b/>
                <w:i/>
              </w:rPr>
              <w:t>neįgaliųjų, vyresnio amžiaus asmenų ir</w:t>
            </w:r>
            <w:r>
              <w:t xml:space="preserve"> rizikos </w:t>
            </w:r>
            <w:r>
              <w:rPr>
                <w:b/>
                <w:i/>
              </w:rPr>
              <w:t>grupių poreikius; </w:t>
            </w:r>
            <w:r>
              <w:t xml:space="preserve"> </w:t>
            </w:r>
            <w:r>
              <w:rPr>
                <w:b/>
                <w:i/>
              </w:rPr>
              <w:t>ragina Komisiją ir valstybes nares imtis ryžtingų veiksmų siekiant visiems suteikti įperkamą būstą remiant tvirtą Europos būsto strategiją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w:t>
            </w:r>
            <w:r>
              <w:rPr>
                <w:b/>
                <w:i/>
              </w:rPr>
              <w:t>mano, kad persvarsčius</w:t>
            </w:r>
            <w:r>
              <w:t xml:space="preserve"> ES būsto sektoriaus </w:t>
            </w:r>
            <w:r>
              <w:rPr>
                <w:b/>
                <w:i/>
              </w:rPr>
              <w:t>reglamentavimo</w:t>
            </w:r>
            <w:r>
              <w:t xml:space="preserve"> sistemą turėtų būti </w:t>
            </w:r>
            <w:r>
              <w:rPr>
                <w:b/>
                <w:i/>
              </w:rPr>
              <w:t>sudarytos palankesnės sąlygos</w:t>
            </w:r>
            <w:r>
              <w:t xml:space="preserve"> statyti </w:t>
            </w:r>
            <w:r>
              <w:rPr>
                <w:b/>
                <w:i/>
              </w:rPr>
              <w:t>prieinamus</w:t>
            </w:r>
            <w:r>
              <w:t xml:space="preserve"> ir efektyviai energiją </w:t>
            </w:r>
            <w:r>
              <w:rPr>
                <w:b/>
                <w:i/>
              </w:rPr>
              <w:t>vartojančius būstus, kurie</w:t>
            </w:r>
            <w:r>
              <w:t xml:space="preserve"> atitiktų jaunimo, riboto judumo asmenų ir </w:t>
            </w:r>
            <w:r>
              <w:rPr>
                <w:b/>
                <w:i/>
              </w:rPr>
              <w:t>rizikos grupėms priklausančių šeimų</w:t>
            </w:r>
            <w:r>
              <w:t xml:space="preserve"> poreikius, taip pat apsaugoti namų savininkus nuo tolesnio pasiūlos mažėjimo;</w:t>
            </w:r>
          </w:p>
        </w:tc>
        <w:tc>
          <w:tcPr>
            <w:tcW w:w="4876" w:type="dxa"/>
            <w:tcBorders>
              <w:top w:val="nil"/>
              <w:left w:val="nil"/>
              <w:bottom w:val="nil"/>
              <w:right w:val="nil"/>
            </w:tcBorders>
          </w:tcPr>
          <w:p>
            <w:pPr>
              <w:pStyle w:val="Normal6a"/>
            </w:pPr>
            <w:r>
              <w:t>3.</w:t>
            </w:r>
            <w:r>
              <w:tab/>
            </w:r>
            <w:r>
              <w:t xml:space="preserve">ragina Komisiją </w:t>
            </w:r>
            <w:r>
              <w:rPr>
                <w:b/>
                <w:i/>
              </w:rPr>
              <w:t>pripažinti valstybių narių gerąją patirtį kovojant su energijos nepritekliumi, pvz., kainų subsidijas gyvenamųjų namų vartotojams; </w:t>
            </w:r>
            <w:r>
              <w:t xml:space="preserve"> į Europos semestrą įtraukti konkrečias rekomendacijas dėl būsto įperkamumo ir skatinti investicijas į būstą, be kita ko, pasitelkiant Europos investicijų banko finansines priemones;</w:t>
            </w:r>
            <w:r>
              <w:rPr>
                <w:b/>
                <w:i/>
              </w:rPr>
              <w:t> </w:t>
            </w:r>
            <w:r>
              <w:t xml:space="preserve"> </w:t>
            </w:r>
            <w:r>
              <w:rPr>
                <w:b/>
                <w:i/>
              </w:rPr>
              <w:t>mano, kad persvarstant</w:t>
            </w:r>
            <w:r>
              <w:t xml:space="preserve"> ES būsto sektoriaus </w:t>
            </w:r>
            <w:r>
              <w:rPr>
                <w:b/>
                <w:i/>
              </w:rPr>
              <w:t>reguliavimo</w:t>
            </w:r>
            <w:r>
              <w:t xml:space="preserve"> sistemą turėtų būti </w:t>
            </w:r>
            <w:r>
              <w:rPr>
                <w:b/>
                <w:i/>
              </w:rPr>
              <w:t>atsižvelgiama į valstybių narių kompetenciją, kartu sudarant palankesnes sąlygas</w:t>
            </w:r>
            <w:r>
              <w:t xml:space="preserve"> statyti </w:t>
            </w:r>
            <w:r>
              <w:rPr>
                <w:b/>
                <w:i/>
              </w:rPr>
              <w:t>prieinamą</w:t>
            </w:r>
            <w:r>
              <w:t xml:space="preserve"> ir efektyviai energiją </w:t>
            </w:r>
            <w:r>
              <w:rPr>
                <w:b/>
                <w:i/>
              </w:rPr>
              <w:t>vartojantį būstą, kuris</w:t>
            </w:r>
            <w:r>
              <w:t xml:space="preserve"> atitiktų jaunimo, riboto judumo asmenų ir </w:t>
            </w:r>
            <w:r>
              <w:rPr>
                <w:b/>
                <w:i/>
              </w:rPr>
              <w:t>šeimų, kurioms gresia pavojus,</w:t>
            </w:r>
            <w:r>
              <w:t xml:space="preserve"> poreikius, taip pat apsaugoti namų savininkus nuo tolesnio pasiūlos mažėjimo;</w:t>
            </w:r>
            <w:r>
              <w:rPr>
                <w:b/>
                <w:i/>
              </w:rPr>
              <w:t> </w:t>
            </w:r>
            <w:r>
              <w:t xml:space="preserve"> </w:t>
            </w:r>
            <w:r>
              <w:rPr>
                <w:b/>
                <w:i/>
              </w:rPr>
              <w:t>ragina Komisiją vengti namų pertvarkymo siekiant energijos vartojimo efektyvumo naštą perkelti šeimoms;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w:t>
            </w:r>
            <w:r>
              <w:rPr>
                <w:b/>
                <w:i/>
              </w:rPr>
              <w:t>persvarsčius</w:t>
            </w:r>
            <w:r>
              <w:t xml:space="preserve"> ES būsto sektoriaus </w:t>
            </w:r>
            <w:r>
              <w:rPr>
                <w:b/>
                <w:i/>
              </w:rPr>
              <w:t>reglamentavimo sistemą turėtų būti sudarytos palankesnės sąlygos statyti prieinamus</w:t>
            </w:r>
            <w:r>
              <w:t xml:space="preserve"> ir efektyviai energiją </w:t>
            </w:r>
            <w:r>
              <w:rPr>
                <w:b/>
                <w:i/>
              </w:rPr>
              <w:t>vartojančius būstus, kurie</w:t>
            </w:r>
            <w:r>
              <w:t xml:space="preserve"> atitiktų jaunimo, riboto judumo asmenų </w:t>
            </w:r>
            <w:r>
              <w:rPr>
                <w:b/>
                <w:i/>
              </w:rPr>
              <w:t>ir</w:t>
            </w:r>
            <w:r>
              <w:t xml:space="preserve"> rizikos grupėms priklausančių šeimų poreikius, taip pat apsaugoti namų savininkus nuo tolesnio pasiūlos mažėjimo;</w:t>
            </w:r>
          </w:p>
        </w:tc>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w:t>
            </w:r>
            <w:r>
              <w:rPr>
                <w:b/>
                <w:i/>
              </w:rPr>
              <w:t>prieinamumo ir</w:t>
            </w:r>
            <w:r>
              <w:t xml:space="preserve"> įperkamumo ir skatinti investicijas į būstą, be kita ko, pasitelkiant Europos investicijų banko finansines priemones; mano, kad </w:t>
            </w:r>
            <w:r>
              <w:rPr>
                <w:b/>
                <w:i/>
              </w:rPr>
              <w:t>Sąjungos politikos ir fondų vertinimas, įskaitant</w:t>
            </w:r>
            <w:r>
              <w:t xml:space="preserve"> ES būsto sektoriaus </w:t>
            </w:r>
            <w:r>
              <w:rPr>
                <w:b/>
                <w:i/>
              </w:rPr>
              <w:t>reguliavimo sistemos, visų pirma valstybės pagalbos taisyklių, kliūtis, turėtų palengvinti prieinamo</w:t>
            </w:r>
            <w:r>
              <w:t xml:space="preserve"> ir efektyviai energiją </w:t>
            </w:r>
            <w:r>
              <w:rPr>
                <w:b/>
                <w:i/>
              </w:rPr>
              <w:t>vartojančio būsto, įskaitant socialinį būstą, kuris</w:t>
            </w:r>
            <w:r>
              <w:t xml:space="preserve"> atitiktų </w:t>
            </w:r>
            <w:r>
              <w:rPr>
                <w:b/>
                <w:i/>
              </w:rPr>
              <w:t>mažas ir vidutines pajamas gaunančių grupių, taip pat</w:t>
            </w:r>
            <w:r>
              <w:t xml:space="preserve"> jaunimo, </w:t>
            </w:r>
            <w:r>
              <w:rPr>
                <w:b/>
                <w:i/>
              </w:rPr>
              <w:t>neįgaliųjų ir</w:t>
            </w:r>
            <w:r>
              <w:t xml:space="preserve"> riboto judumo asmenų </w:t>
            </w:r>
            <w:r>
              <w:rPr>
                <w:b/>
                <w:i/>
              </w:rPr>
              <w:t>bei</w:t>
            </w:r>
            <w:r>
              <w:t xml:space="preserve"> rizikos grupėms priklausančių šeimų poreikius, </w:t>
            </w:r>
            <w:r>
              <w:rPr>
                <w:b/>
                <w:i/>
              </w:rPr>
              <w:t>statybą, pertvarkymą ir renovaciją,</w:t>
            </w:r>
            <w:r>
              <w:t xml:space="preserve"> taip pat apsaugoti </w:t>
            </w:r>
            <w:r>
              <w:rPr>
                <w:b/>
                <w:i/>
              </w:rPr>
              <w:t>potencialius</w:t>
            </w:r>
            <w:r>
              <w:t xml:space="preserve"> namų savininkus nuo tolesnio pasiūlos mažėjimo;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ragina Komisiją į Europos semestrą įtraukti konkrečias rekomendacijas dėl būsto įperkamumo ir skatinti investicijas į būstą, be kita ko, pasitelkiant Europos investicijų banko finansines priemones; mano, kad persvarsčius ES būsto sektoriaus reglamentavimo sistemą turėtų būti sudarytos palankesnės sąlygos statyti prieinamus ir efektyviai energiją vartojančius būstus, kurie atitiktų jaunimo, riboto judumo asmenų ir rizikos grupėms priklausančių šeimų poreikius, taip pat apsaugoti namų savininkus nuo tolesnio pasiūlos mažėjimo;</w:t>
            </w:r>
          </w:p>
        </w:tc>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persvarsčius ES būsto sektoriaus reglamentavimo sistemą turėtų būti sudarytos palankesnės sąlygos statyti prieinamus ir efektyviai energiją vartojančius būstus, kurie atitiktų jaunimo, riboto judumo asmenų ir rizikos grupėms priklausančių šeimų poreikius, taip pat apsaugoti namų savininkus nuo tolesnio pasiūlos mažėjimo; </w:t>
            </w:r>
            <w:r>
              <w:rPr>
                <w:b/>
                <w:i/>
              </w:rPr>
              <w:t>pasiūlos mažėjimas lemtų vėlavimą įgyvendinant prastai izoliuotų pastatų planą, kuris yra reikšmingas netikrumo ir nuomos rinkos stabdymo veiksnys;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persvarsčius ES būsto sektoriaus </w:t>
            </w:r>
            <w:r>
              <w:rPr>
                <w:b/>
                <w:i/>
              </w:rPr>
              <w:t>reglamentavimo</w:t>
            </w:r>
            <w:r>
              <w:t xml:space="preserve"> sistemą turėtų būti sudarytos palankesnės sąlygos statyti </w:t>
            </w:r>
            <w:r>
              <w:rPr>
                <w:b/>
                <w:i/>
              </w:rPr>
              <w:t>prieinamus</w:t>
            </w:r>
            <w:r>
              <w:t xml:space="preserve"> ir efektyviai energiją </w:t>
            </w:r>
            <w:r>
              <w:rPr>
                <w:b/>
                <w:i/>
              </w:rPr>
              <w:t>vartojančius būstus, kurie</w:t>
            </w:r>
            <w:r>
              <w:t xml:space="preserve"> atitiktų jaunimo, riboto judumo asmenų ir rizikos grupėms priklausančių šeimų poreikius, taip pat apsaugoti </w:t>
            </w:r>
            <w:r>
              <w:rPr>
                <w:b/>
                <w:i/>
              </w:rPr>
              <w:t>namų savininkus</w:t>
            </w:r>
            <w:r>
              <w:t xml:space="preserve"> nuo tolesnio pasiūlos mažėjimo;</w:t>
            </w:r>
          </w:p>
        </w:tc>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persvarsčius ES būsto sektoriaus </w:t>
            </w:r>
            <w:r>
              <w:rPr>
                <w:b/>
                <w:i/>
              </w:rPr>
              <w:t>reguliavimo</w:t>
            </w:r>
            <w:r>
              <w:t xml:space="preserve"> sistemą turėtų būti sudarytos palankesnės sąlygos statyti </w:t>
            </w:r>
            <w:r>
              <w:rPr>
                <w:b/>
                <w:i/>
              </w:rPr>
              <w:t>prieinamą, įperkamą</w:t>
            </w:r>
            <w:r>
              <w:t xml:space="preserve"> ir efektyviai energiją </w:t>
            </w:r>
            <w:r>
              <w:rPr>
                <w:b/>
                <w:i/>
              </w:rPr>
              <w:t>vartojantį būstą, kuris</w:t>
            </w:r>
            <w:r>
              <w:t xml:space="preserve"> atitiktų jaunimo, riboto judumo asmenų ir rizikos grupėms priklausančių šeimų poreikius, taip pat apsaugoti </w:t>
            </w:r>
            <w:r>
              <w:rPr>
                <w:b/>
                <w:i/>
              </w:rPr>
              <w:t>asmenis, ieškančius galimybės įsigyti būstą,</w:t>
            </w:r>
            <w:r>
              <w:t xml:space="preserve"> nuo tolesnio pasiūlos mažėjimo;</w:t>
            </w:r>
            <w:r>
              <w:rPr>
                <w:b/>
                <w:i/>
              </w:rPr>
              <w:t> </w:t>
            </w:r>
            <w:r>
              <w:t xml:space="preserve"> </w:t>
            </w:r>
            <w:r>
              <w:rPr>
                <w:b/>
                <w:i/>
              </w:rPr>
              <w:t>ragina valstybes nares ir Komisiją pripažinti tinkamą būstą kaip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w:t>
            </w:r>
            <w:r>
              <w:rPr>
                <w:b/>
                <w:i/>
              </w:rPr>
              <w:t>ir skatinti investicijas į būstą, be kita ko, pasitelkiant Europos investicijų banko finansines priemones;</w:t>
            </w:r>
            <w:r>
              <w:t xml:space="preserve"> </w:t>
            </w:r>
            <w:r>
              <w:rPr>
                <w:b/>
                <w:i/>
              </w:rPr>
              <w:t>mano, kad persvarsčius ES būsto sektoriaus reglamentavimo sistemą turėtų būti sudarytos palankesnės sąlygos statyti prieinamus ir efektyviai energiją vartojančius būstus, kurie atitiktų jaunimo, riboto judumo asmenų ir rizikos grupėms priklausančių šeimų poreikius, taip pat apsaugoti namų savininkus nuo tolesnio pasiūlos mažėjimo</w:t>
            </w:r>
            <w:r>
              <w:t>;</w:t>
            </w:r>
          </w:p>
        </w:tc>
        <w:tc>
          <w:tcPr>
            <w:tcW w:w="4876" w:type="dxa"/>
            <w:tcBorders>
              <w:top w:val="nil"/>
              <w:left w:val="nil"/>
              <w:bottom w:val="nil"/>
              <w:right w:val="nil"/>
            </w:tcBorders>
          </w:tcPr>
          <w:p>
            <w:pPr>
              <w:pStyle w:val="Normal6a"/>
            </w:pPr>
            <w:r>
              <w:t>3.</w:t>
            </w:r>
            <w:r>
              <w:tab/>
            </w:r>
            <w:r>
              <w:t>ragina Komisiją į Europos semestrą įtraukti konkrečias rekomendacijas dėl būsto įperkamumo</w:t>
            </w:r>
            <w:r>
              <w:rPr>
                <w:b/>
                <w:i/>
              </w:rPr>
              <w:t>; </w:t>
            </w:r>
            <w:r>
              <w:t xml:space="preserve"> </w:t>
            </w:r>
            <w:r>
              <w:rPr>
                <w:b/>
                <w:i/>
              </w:rPr>
              <w:t>primena, kad reikia panaikinti metinį 57 mlrd. EUR investicijų į socialinį ir įperkamą būstą trūkumą ir kad paskelbta visos Europos investicijų platforma yra svarbi siekiant skatinti investicijas į būstą, be kita ko, pasitelkiant ES fondus ir Europos investicijų banko finansines priemones; </w:t>
            </w:r>
            <w:r>
              <w:t xml:space="preserve"> </w:t>
            </w:r>
            <w:r>
              <w:rPr>
                <w:b/>
                <w:i/>
              </w:rPr>
              <w:t>pabrėžia galimybę, kurią suteikia padvigubinta sanglaudos fondų suma, skirta socialiniam ir įperkamam būstui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persvarsčius ES būsto sektoriaus reglamentavimo sistemą turėtų būti sudarytos palankesnės sąlygos statyti prieinamus ir efektyviai energiją vartojančius būstus, kurie atitiktų jaunimo, riboto judumo asmenų </w:t>
            </w:r>
            <w:r>
              <w:rPr>
                <w:b/>
                <w:i/>
              </w:rPr>
              <w:t>ir</w:t>
            </w:r>
            <w:r>
              <w:t xml:space="preserve"> rizikos grupėms priklausančių šeimų poreikius, taip pat apsaugoti namų savininkus nuo tolesnio pasiūlos mažėjimo;</w:t>
            </w:r>
          </w:p>
        </w:tc>
        <w:tc>
          <w:tcPr>
            <w:tcW w:w="4876" w:type="dxa"/>
            <w:tcBorders>
              <w:top w:val="nil"/>
              <w:left w:val="nil"/>
              <w:bottom w:val="nil"/>
              <w:right w:val="nil"/>
            </w:tcBorders>
          </w:tcPr>
          <w:p>
            <w:pPr>
              <w:pStyle w:val="Normal6a"/>
            </w:pPr>
            <w:r>
              <w:t>3.</w:t>
            </w:r>
            <w:r>
              <w:tab/>
            </w:r>
            <w:r>
              <w:t xml:space="preserve">ragina Komisiją į Europos semestrą įtraukti konkrečias rekomendacijas dėl būsto įperkamumo ir skatinti investicijas į būstą, be kita ko, pasitelkiant Europos investicijų banko finansines priemones; mano, kad persvarsčius ES būsto sektoriaus reglamentavimo sistemą turėtų būti sudarytos palankesnės sąlygos statyti prieinamus ir efektyviai energiją vartojančius būstus, kurie atitiktų jaunimo, riboto judumo </w:t>
            </w:r>
            <w:r>
              <w:rPr>
                <w:b/>
                <w:i/>
              </w:rPr>
              <w:t>ir neįgalių</w:t>
            </w:r>
            <w:r>
              <w:t xml:space="preserve"> asmenų </w:t>
            </w:r>
            <w:r>
              <w:rPr>
                <w:b/>
                <w:i/>
              </w:rPr>
              <w:t>bei</w:t>
            </w:r>
            <w:r>
              <w:t xml:space="preserve"> rizikos grupėms priklausančių šeimų poreikius, taip pat apsaugoti namų savininkus nuo tolesnio pasiūlos mažėjimo;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apgailestauja, kad tam tikros ES taisyklės ir direktyvos, pvz., Neveiksnių paskolų direktyva, ES fiskalinės ir valstybės pagalbos taisyklės, atliko tam tikrą vaidmenį didinant būsto kainas ir benamystę visoje Sąjungoje, nes jos dažnai gali trukdyti valstybėms narėms visapusiškai investuoti į didėjančių būsto kainų ir didėjančios benamystės problemų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primygtinai ragina valstybes nares užtikrinti, kad investicijomis į būstą būtų remiami ilgalaikiai kokybiški būsto sprendimai, kurie iš tikrųjų yra įperkami mažas ir vidutines pajamas gaunantiems namų ūkiams, taikant socialines sąlygas ir antispekuliacines apsaugos priemones; </w:t>
            </w:r>
            <w:r>
              <w:t xml:space="preserve"> </w:t>
            </w:r>
            <w:r>
              <w:rPr>
                <w:b/>
                <w:i/>
              </w:rPr>
              <w:t>mano, kad kova su spekuliacinėmis investicijomis ir sufinansinimu turi būti pagrindinis Europos įperkamo būsto plano elementas; </w:t>
            </w:r>
            <w:r>
              <w:t xml:space="preserve"> </w:t>
            </w:r>
            <w:r>
              <w:rPr>
                <w:b/>
                <w:i/>
              </w:rPr>
              <w:t>šiuo atžvilgiu palankiai vertina išsamią spekuliacijos būstu poveikio ir jos ekonominių pasekmių analizę, kad prireikus būtų galima greitai reaguoti ir imtis tolesnių veiksmų; </w:t>
            </w:r>
            <w:r>
              <w:t xml:space="preserve"> </w:t>
            </w:r>
            <w:r>
              <w:rPr>
                <w:b/>
                <w:i/>
              </w:rPr>
              <w:t>mano, kad ES būsto sektoriaus reguliavimo sistemos peržiūra turėtų palengvinti prieinamo, įperkamo ir efektyviai energiją vartojančio būsto, kuris atitiktų jaunimo, riboto judumo asmenų ir pažeidžiamesnės padėties asmenų poreikius, renovaciją ir statybą, vengiant bet kokio didesnio žemės naudojimo;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mano, kad benamystė yra dramatiška socialinė problema ES ir viena iš ekstremaliausių socialinės atskirties formų, dėl kurios asmenys negali oriai gyventi ir dalyvauti darbo rinkoje, ragina Komisiją parengti veiksmų planą, kuriuo būtų siekiama panaikinti benamystę ES skatinant galimybes gauti įperkamą ir deramą būstą; </w:t>
            </w:r>
            <w:r>
              <w:t xml:space="preserve"> </w:t>
            </w:r>
            <w:r>
              <w:rPr>
                <w:b/>
                <w:i/>
              </w:rPr>
              <w:t>ragina ES nustatyti bendrą benamystės apibrėžtį, kuri leistų sistemingai palyginti ir įvertinti benamystės mastą įvairiose ES šalyse;</w:t>
            </w:r>
            <w:r>
              <w:t xml:space="preserve"> </w:t>
            </w:r>
            <w:r>
              <w:rPr>
                <w:b/>
                <w:i/>
              </w:rPr>
              <w:t>ir leistų sistemingai stebėti benamystės rodiklius ES lygmeniu pasitelkiant tokias institucijas kaip Eurostatas;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palankiai vertina paskelbtą Europos įperkamo būsto planą, kuriuo siekiama padėti valstybėms narėms įveikti būsto krizę ir sparčiai didėjančias nuomos ir būsto kainas; </w:t>
            </w:r>
            <w:r>
              <w:t xml:space="preserve"> </w:t>
            </w:r>
            <w:r>
              <w:rPr>
                <w:b/>
                <w:i/>
              </w:rPr>
              <w:t>ragina Komisiją peržiūrėti valstybės pagalbos taisykles, kad būtų sudarytos sąlygos taikyti paramos būstui ir socialiniam būstui priemones; </w:t>
            </w:r>
            <w:r>
              <w:t xml:space="preserve"> </w:t>
            </w:r>
            <w:r>
              <w:rPr>
                <w:b/>
                <w:i/>
              </w:rPr>
              <w:t>primena, kad Socialinis klimato fondas nuo 2026 m. teiks finansinę paramą valstybėms narėms, kad jos galėtų remti pažeidžiamus namų ūkius, teikdamas laikiną tiesioginę pajamų paramą ir priemones bei investicijas, kuriomis siekiama didinti pastatų energijos vartojimo efektyvumą, mažinti pastatų šildymo ir vėsinimo sistemų priklausomybę nuo iškastinio kuro ir integruoti atsinaujinančiųjų išteklių energijos gamybą ir kaupimą į pastatus;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ragina Komisiją pateikti pasiūlymų dėl ES technologinių pajėgumų stiprinimo, skaitmeninės transformacijos visose pramonės šakose spartinimo, naudojimosi duomenų ekonomikos teikiamomis galimybėmis, kartu užtikrinant privatumą ir saugumą, taip pat skatinant novatoriškų technologijų plėtrą;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primena Sąjungos tikslą pereiti nuo institucinės prie bendruomeninės ar šeimos priežiūros; </w:t>
            </w:r>
            <w:r>
              <w:t xml:space="preserve"> </w:t>
            </w:r>
            <w:r>
              <w:rPr>
                <w:b/>
                <w:i/>
              </w:rPr>
              <w:t>ragina Komisiją pateikti deinstitucionalizavimo veiksmų planą; </w:t>
            </w:r>
            <w:r>
              <w:t xml:space="preserve"> </w:t>
            </w:r>
            <w:r>
              <w:rPr>
                <w:b/>
                <w:i/>
              </w:rPr>
              <w:t>pabrėžia, kad šis veiksmų planas turėtų apimti visas įstaigose vis dar gyvenančias grupes, įskaitant vaikus, neįgaliuosius, psichikos sveikatos problemų ar benamystę patiriančius asmenis ir vyresnio amžiaus asmenis; </w:t>
            </w:r>
            <w:r>
              <w:t xml:space="preserve"> </w:t>
            </w:r>
            <w:r>
              <w:rPr>
                <w:b/>
                <w:i/>
              </w:rPr>
              <w:t>ragina valstybes nares visapusiškai pasinaudoti ESF+ fondais, taip pat kitais atitinkamais Europos ir nacionaliniais fondais, kad būtų užbaigtas deinstitucionalizavimo procesas, siekiant užtikrinti, kad kiekvienas ES pilietis galėtų gyventi šeimos ar bendruomenės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mano, kad ES reikia skubiai imtis veiksmų siekiant spręsti nuolat aukšto skurdo ir socialinės atskirties lygio ES problemą, ypač tarp vaikų, jaunimo ir vyresnio amžiaus žmonių, neįgaliųjų, ne ES gimusių asmenų, LGBTI asmenų ir romų bendruomenių; </w:t>
            </w:r>
            <w:r>
              <w:t xml:space="preserve"> </w:t>
            </w:r>
            <w:r>
              <w:rPr>
                <w:b/>
                <w:i/>
              </w:rPr>
              <w:t>pirmenybė turėtų būti teikiama galimybei naudotis kokybiškomis socialinėmis paslaugomis, nustatant privalomus tikslus sumažinti benamystę ir užtikrinti pažeidžiamų namų ūkių energetinį saugumą; </w:t>
            </w:r>
            <w:r>
              <w:t xml:space="preserve"> </w:t>
            </w:r>
            <w:r>
              <w:rPr>
                <w:b/>
                <w:i/>
              </w:rPr>
              <w:t>ragina Komisiją priimti pirmąją ES kovos su skurdu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primena tikslą siekti, kad iki 2030 m. būtų panaikinta benamystė; </w:t>
            </w:r>
            <w:r>
              <w:t xml:space="preserve"> </w:t>
            </w:r>
            <w:r>
              <w:rPr>
                <w:b/>
                <w:i/>
              </w:rPr>
              <w:t>ragina valstybes nares parengti nacionalines benamystės strategijas, orientuotas į būstu grindžiamus sprendimus, kad jos atitiktų šį tikslą;</w:t>
            </w:r>
            <w:r>
              <w:t xml:space="preserve"> </w:t>
            </w:r>
            <w:r>
              <w:rPr>
                <w:b/>
                <w:i/>
              </w:rPr>
              <w:t> palankiai vertina ketinimą pateikti Tarybos rekomendaciją dėl benamystės; </w:t>
            </w:r>
            <w:r>
              <w:t xml:space="preserve"> </w:t>
            </w:r>
            <w:r>
              <w:rPr>
                <w:b/>
                <w:i/>
              </w:rPr>
              <w:t>ragina Komisiją toliau didinti Europos kovos su benamyste platformos užmojus, visų pirma skiriant jai specialų biudžetą;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ragina įgyvendinant Europos semestrą spręsti vienišumo socialinio ir ekonominio poveikio našumui ir gerovei klausimą propaguojant ES strategiją</w:t>
            </w:r>
            <w:r>
              <w:rPr>
                <w:b/>
                <w:i/>
              </w:rPr>
              <w:t>, skirtą nepageidaujamo vienišumo problemai spręsti, kuri savo ruožtu galėtų skatinti kartų solidarumą ir stiprinti</w:t>
            </w:r>
            <w:r>
              <w:t xml:space="preserve"> emocinės paramos </w:t>
            </w:r>
            <w:r>
              <w:rPr>
                <w:b/>
                <w:i/>
              </w:rPr>
              <w:t>programas jaunimui ir vyresnio amžiaus suaugusiesiems</w:t>
            </w:r>
            <w:r>
              <w:t>;</w:t>
            </w:r>
          </w:p>
        </w:tc>
        <w:tc>
          <w:tcPr>
            <w:tcW w:w="4876" w:type="dxa"/>
            <w:tcBorders>
              <w:top w:val="nil"/>
              <w:left w:val="nil"/>
              <w:bottom w:val="nil"/>
              <w:right w:val="nil"/>
            </w:tcBorders>
          </w:tcPr>
          <w:p>
            <w:pPr>
              <w:pStyle w:val="Normal6a"/>
            </w:pPr>
            <w:r>
              <w:t>4.</w:t>
            </w:r>
            <w:r>
              <w:tab/>
            </w:r>
            <w:r>
              <w:t xml:space="preserve">ragina įgyvendinti Europos </w:t>
            </w:r>
            <w:r>
              <w:rPr>
                <w:b/>
                <w:i/>
              </w:rPr>
              <w:t>visapusišką</w:t>
            </w:r>
            <w:r>
              <w:t xml:space="preserve"> psichikos sveikatos veiksmų planą, atsižvelgiant į naujausias Komisijos rekomendacijas;</w:t>
            </w:r>
            <w:r>
              <w:rPr>
                <w:vertAlign w:val="superscript"/>
              </w:rPr>
              <w:t>2</w:t>
            </w:r>
            <w:r>
              <w:t xml:space="preserve"> ragina įgyvendinant Europos semestrą spręsti vienišumo socialinio ir ekonominio poveikio našumui ir gerovei klausimą propaguojant ES strategiją</w:t>
            </w:r>
            <w:r>
              <w:rPr>
                <w:b/>
                <w:i/>
              </w:rPr>
              <w:t>;</w:t>
            </w:r>
            <w:r>
              <w:t xml:space="preserve"> </w:t>
            </w:r>
            <w:r>
              <w:rPr>
                <w:b/>
                <w:i/>
              </w:rPr>
              <w:t>agina valstybes nares gerinti vaikų, jaunimo ir suaugusiųjų galimybes naudotis psichikos sveikatos paslaugomis ir</w:t>
            </w:r>
            <w:r>
              <w:t xml:space="preserve"> emocinės paramos </w:t>
            </w:r>
            <w:r>
              <w:rPr>
                <w:b/>
                <w:i/>
              </w:rPr>
              <w:t>programomis, ypač atokiuose ir mažiau išsivysčiusiuose regionuose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w:t>
            </w:r>
            <w:r>
              <w:rPr>
                <w:b/>
                <w:i/>
              </w:rPr>
              <w:t>įgyvendinant</w:t>
            </w:r>
            <w:r>
              <w:t xml:space="preserve"> Europos </w:t>
            </w:r>
            <w:r>
              <w:rPr>
                <w:b/>
                <w:i/>
              </w:rPr>
              <w:t>semestrą spręsti vienišumo socialinio ir ekonominio poveikio našumui ir gerovei klausimą propaguojant ES strategiją, skirtą nepageidaujamo vienišumo problemai spręsti, kuri savo ruožtu galėtų skatinti kartų solidarumą ir stiprinti emocinės paramos programas jaunimui ir vyresnio amžiaus suaugusiesiems</w:t>
            </w:r>
            <w:r>
              <w:t>;</w:t>
            </w:r>
          </w:p>
        </w:tc>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Europos </w:t>
            </w:r>
            <w:r>
              <w:rPr>
                <w:b/>
                <w:i/>
              </w:rPr>
              <w:t>semestre naudoti socialinių rodiklių suvestinės rodiklius siekiant spręsti vienišumo ir mažų garantijų gyvenimo sąlygų bei netikrumo socialinio ir ekonominio poveikio gerovei, psichikos sveikatai ir žmonių dalyvavimui visuomenėje ir darbo rinkoje klausimus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įgyvendinant Europos semestrą spręsti vienišumo socialinio ir ekonominio poveikio našumui ir gerovei klausimą propaguojant ES strategiją, skirtą nepageidaujamo vienišumo problemai spręsti, kuri savo ruožtu galėtų skatinti kartų solidarumą </w:t>
            </w:r>
            <w:r>
              <w:rPr>
                <w:b/>
                <w:i/>
              </w:rPr>
              <w:t>ir</w:t>
            </w:r>
            <w:r>
              <w:t xml:space="preserve"> stiprinti emocinės paramos programas jaunimui ir vyresnio amžiaus suaugusiesiems;</w:t>
            </w:r>
          </w:p>
        </w:tc>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įgyvendinant Europos semestrą spręsti vienišumo socialinio ir ekonominio poveikio našumui ir gerovei klausimą propaguojant ES strategiją, skirtą nepageidaujamo vienišumo problemai spręsti, kuri savo ruožtu galėtų skatinti kartų solidarumą </w:t>
            </w:r>
            <w:r>
              <w:rPr>
                <w:b/>
                <w:i/>
              </w:rPr>
              <w:t>senjorų ekonomiką bei</w:t>
            </w:r>
            <w:r>
              <w:t xml:space="preserve"> stiprinti emocinės paramos programas jaunimui ir vyresnio amžiaus suaugusiesiems;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rPr>
                <w:b/>
                <w:i/>
              </w:rPr>
              <w:t>;</w:t>
            </w:r>
            <w:r>
              <w:t xml:space="preserve"> </w:t>
            </w:r>
            <w:r>
              <w:rPr>
                <w:b/>
                <w:i/>
              </w:rPr>
              <w:t>ragina įgyvendinant Europos semestrą</w:t>
            </w:r>
            <w:r>
              <w:t xml:space="preserve"> spręsti vienišumo socialinio ir ekonominio poveikio našumui ir gerovei klausimą </w:t>
            </w:r>
            <w:r>
              <w:rPr>
                <w:b/>
                <w:i/>
              </w:rPr>
              <w:t>propaguojant ES strategiją</w:t>
            </w:r>
            <w:r>
              <w:t xml:space="preserve">, </w:t>
            </w:r>
            <w:r>
              <w:rPr>
                <w:b/>
                <w:i/>
              </w:rPr>
              <w:t>skirtą nepageidaujamo vienišumo problemai spręsti, kuri savo ruožtu galėtų</w:t>
            </w:r>
            <w:r>
              <w:t xml:space="preserve"> skatinti kartų solidarumą ir stiprinti emocinės paramos programas jaunimui ir vyresnio amžiaus suaugusiesiems;</w:t>
            </w:r>
          </w:p>
        </w:tc>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rPr>
                <w:b/>
                <w:i/>
              </w:rPr>
              <w:t>, ir skatinti socialinį receptą kaip pirmąjį žingsnį psichikos sveikatos srityje;</w:t>
            </w:r>
            <w:r>
              <w:t xml:space="preserve"> </w:t>
            </w:r>
            <w:r>
              <w:rPr>
                <w:b/>
                <w:i/>
              </w:rPr>
              <w:t> ragina valstybes nares</w:t>
            </w:r>
            <w:r>
              <w:t xml:space="preserve"> spręsti vienišumo socialinio ir ekonominio poveikio našumui ir gerovei klausimą, skatinti kartų solidarumą ir stiprinti emocinės paramos programas jaunimui ir vyresnio amžiaus suaugusiesiems;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w:t>
            </w:r>
            <w:r>
              <w:rPr>
                <w:b/>
                <w:i/>
              </w:rPr>
              <w:t>įgyvendinant Europos semestrą spręsti vienišumo socialinio ir ekonominio poveikio našumui ir gerovei klausimą propaguojant ES strategiją, skirtą nepageidaujamo vienišumo problemai spręsti, kuri savo ruožtu galėtų skatinti kartų solidarumą ir stiprinti emocinės paramos programas jaunimui ir vyresnio amžiaus suaugusiesiems</w:t>
            </w:r>
            <w:r>
              <w:t>;</w:t>
            </w:r>
          </w:p>
        </w:tc>
        <w:tc>
          <w:tcPr>
            <w:tcW w:w="4876" w:type="dxa"/>
            <w:tcBorders>
              <w:top w:val="nil"/>
              <w:left w:val="nil"/>
              <w:bottom w:val="nil"/>
              <w:right w:val="nil"/>
            </w:tcBorders>
          </w:tcPr>
          <w:p>
            <w:pPr>
              <w:pStyle w:val="Normal6a"/>
            </w:pPr>
            <w:r>
              <w:t>4.</w:t>
            </w:r>
            <w:r>
              <w:tab/>
            </w:r>
            <w:r>
              <w:t>ragina įgyvendinti Europos psichikos sveikatos veiksmų planą, atsižvelgiant į naujausias Komisijos rekomendacijas;</w:t>
            </w:r>
            <w:r>
              <w:rPr>
                <w:vertAlign w:val="superscript"/>
              </w:rPr>
              <w:t>2</w:t>
            </w:r>
            <w:r>
              <w:t xml:space="preserve"> ragina </w:t>
            </w:r>
            <w:r>
              <w:rPr>
                <w:b/>
                <w:i/>
              </w:rPr>
              <w:t>ES lygmeniu priimti direktyvą dėl psichosocialinės rizikos, kad būtų sprendžiama padidėjusio tam tikros psichosocialinės rizikos paplitimo ES darbo vietose problema, siekiant užtikrinti, kad Pagrindų direktyvoje įtvirtinti darbuotojų sveikatos ir saugos principai būtų veiksmingai įgyvendinami ir psichosocialinės rizikos atžvilgiu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c>
          <w:tcPr>
            <w:tcW w:w="4876" w:type="dxa"/>
            <w:tcBorders>
              <w:top w:val="nil"/>
              <w:left w:val="nil"/>
              <w:bottom w:val="nil"/>
              <w:right w:val="nil"/>
            </w:tcBorders>
          </w:tcPr>
          <w:p>
            <w:pPr>
              <w:pStyle w:val="Normal6a"/>
            </w:pPr>
            <w:r>
              <w:rPr>
                <w:vertAlign w:val="superscript"/>
              </w:rPr>
              <w:t>2</w:t>
            </w:r>
            <w:r>
              <w:t xml:space="preserve"> </w:t>
            </w:r>
            <w:r>
              <w:t>2023 m. birželio 7 d. Komisijos komunikatas dėl visapusiško požiūrio į psichikos sveikatą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ragina įgyvendinant Europos semestrą spręsti demografinių pokyčių ir senėjimo dėl vienatvės socialines ir ekonomines problemas ir galimybes, susijusias su našumu, gerove ir socialine sanglauda, skatinant holistinę ES senėjimo strategiją, kuria būtų sprendžiamas nepageidaujamos vienatvės, deramo, prieinamo ir pritaikyto būsto poreikio, galimybės naudotis profesionalios ir įtraukios priežiūros ir ilgalaikės priežiūros paslaugomis klausimas ir skatinama vyresnių darbuotojų aktyvi įtrauktis ir lygios galimybės darbo rinkoje, o tai savo ruožtu gali skatinti kartų solidarumą ir stiprinti emocinės paramos programas jaunimui ir vyresnio amžiaus asmenims; </w:t>
            </w:r>
            <w:r>
              <w:t xml:space="preserve"> </w:t>
            </w:r>
            <w:r>
              <w:rPr>
                <w:b/>
                <w:i/>
              </w:rPr>
              <w:t>ragina įgyvendinti Europos priežiūros strategiją, visų pirma kiek tai susiję su galimybe naudotis kokybiškomis ir įperkamomis priežiūros paslaugomis ankstyvoje vaikystėje ir ilgalaikėje priežiūroje, ir užtikrinti sąžiningas priežiūros darbuotojų darbo sąlygas ir mokymą, įskaitant neformaliąją priežiūrą;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darbdaviai turi skatinti kartų ryšius įmonėje ir jaunų bei senų žmonių mokymąsi iš kartos į kartą ir atvirkščiai; </w:t>
            </w:r>
            <w:r>
              <w:t xml:space="preserve"> </w:t>
            </w:r>
            <w:r>
              <w:rPr>
                <w:b/>
                <w:i/>
              </w:rPr>
              <w:t>pabrėžia, kad senėjanti darbo jėga gali padėti įmonei kurti naujus produktus ir paslaugas, kad ji kūrybiškiau ir našiau prisitaikytų prie senėjančios visuomenės poreikių; </w:t>
            </w:r>
            <w:r>
              <w:t xml:space="preserve"> </w:t>
            </w:r>
            <w:r>
              <w:rPr>
                <w:b/>
                <w:i/>
              </w:rPr>
              <w:t>taip pat ragina kurti paskatas savanoriškai veiklai ir mentorystei skatinti, kad žinios būtų perduodamos iš kartos į kartą;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ragina imtis iniciatyvų, kuriomis būtų kovojama su darbuotojų atskirtimi dėl ilgesnių laikinojo nedarbingumo atostogų, kurias lemia sunkios neužkrečiamosios ligos, pvz., vėžys, širdies ir kraujagyslių ligos, diabetas, lėtinės kvėpavimo takų ligos, psichikos sveikata ir neurologiniai sutrikimai, taip pat reumatinės ir raumenų bei kaulų ligos, visų pirma iniciatyvų, kuriomis daugiausia dėmesio būtų skiriama darbo vietos pritaikymui, lanksčioms darbo sąlygoms ir strategijoms, kuriomis būtų remiamas darbuotojų grįžimas po ilgesnio nebuvimo darbe;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ragina įgyvendinant Europos semestrą spręsti vaikų, paauglių ir jaunų suaugusiųjų psichikos sveikatos problemų socialinio ir ekonominio poveikio jų ilgalaikei gerovei ir gyvenimo lygiui klausimą;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įspėja, kad, remiantis ECB pranešimais, realusis darbo užmokestis vis dar yra mažesnis už prieš pandemiją buvusį lygį, o našumas buvo maždaug toks pat; </w:t>
            </w:r>
            <w:r>
              <w:t xml:space="preserve"> </w:t>
            </w:r>
            <w:r>
              <w:rPr>
                <w:b/>
                <w:i/>
              </w:rPr>
              <w:t>sutinka, kad dėl to atsiranda tam tikrų galimybių neinfliaciniam realiojo darbo užmokesčio atsigavimui, ir įspėja, kad jei realusis darbo užmokestis neatsigaus, padidės užsitęsusio ekonominio silpnumo rizika, o tai gali sukelti neigiamą poveikį ir dar labiau sumažinti našumą euro zonoje, palyginti su kitomis pasaulio dalimis; </w:t>
            </w:r>
            <w:r>
              <w:t xml:space="preserve"> </w:t>
            </w:r>
            <w:r>
              <w:rPr>
                <w:b/>
                <w:i/>
              </w:rPr>
              <w:t>mano, kad minimaliojo darbo užmokesčio įkandimo didinimas ir kolektyvinių derybų aprėpties stiprinimas gali turėti teigiamą poveikį darbo užmokesčio nelygybės lygiui, ypač padedant labiau pažeidžiamiems darbuotojams, esantiems žemiausiame darbo užmokesčio pasiskirstymo lygyje, kurie vis labiau paliekami nuošalyje;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ragina valstybes nares ir Komisiją apsvarstyti veiksmų planą dėl kovos su kaimo atskirtimi ir vienišumu;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ragina valstybes nares užtikrinti deramas darbo sąlygas, kurios, be kita ko, apimtų deramą darbo užmokestį, galimybę naudotis socialine apsauga, mokymosi visą gyvenimą galimybes, darbuotojų sveikatą ir saugą, gerą profesinio ir asmeninio gyvenimo pusiausvyrą ir teisę atsijungti, pagrįstą darbo laiką, atstovavimą darbuotojams, demokratiją darbe ir kolektyvines sutartis. </w:t>
            </w:r>
            <w:r>
              <w:t xml:space="preserve"> </w:t>
            </w:r>
            <w:r>
              <w:rPr>
                <w:b/>
                <w:i/>
              </w:rPr>
              <w:t>Valstybės narės turi skatinti demokratiją darbe, socialinį dialogą ir kolektyvines derybas ir apsaugoti darbuotojų teises, visų pirma žaliosios ir skaitmeninės pertvarkos kontekste. </w:t>
            </w:r>
            <w:r>
              <w:t xml:space="preserve"> </w:t>
            </w:r>
            <w:r>
              <w:rPr>
                <w:b/>
                <w:i/>
              </w:rPr>
              <w:t>Jos taip pat turėtų užtikrinti vienodą vyrų ir moterų darbo užmokestį už vienodą darbą, didinti darbo užmokesčio skaidrumą ir spręsti lyčių nelygybės problemą, kad būtų panaikintas vyrų ir moterų darbo užmokesčio skirtumas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ragina valstybes nares ir Komisiją pripažinti darbe patiriamą stresą ir psichikos sveikatos ligas;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pabrėžia, kad socialinis dialogas ir socialiniai partneriai turėtų būti sistemingai įtraukiami rengiant ir įgyvendinant užimtumo ir socialinę politiką, užtikrinant socialinių partnerių dalyvavimą visais lygmenimis;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pabrėžia, kad svarbu nustatyti konkrečias priemones, skirtas regioninei nelygybei švietimo ir mokymo srityje mažinti, užtikrinant vienodas galimybes visiems gauti kokybišką ir įperkamą išsilavinimą;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valstybių narių socialinės apsaugos programos turėtų užtikrinti adekvačias minimalių pajamų išmokas visiems, neturintiems pakankamai išteklių, ir skatinti socialinę įtrauktį, remdamos ir skatindamos darbingo amžiaus žmones aktyviai dalyvauti darbo rinkoje ir visuomenės gyvenime, be kita ko, tikslingai teikdamos socialines paslaugas;</w:t>
            </w:r>
            <w:r>
              <w:t xml:space="preserve"> </w:t>
            </w:r>
            <w:r>
              <w:rPr>
                <w:b/>
                <w:i/>
              </w:rPr>
              <w:t>pabrėžia, kad šiuo atžvilgiu valstybės narės turi skubiai ir veiksmingai įgyvendinti ES direktyvą dėl deramo minimaliojo darbo užmokesčio, kad būtų galima pasiekti tinkamą gyvenimo lygį, sumažinti dirbančiųjų skurdą ir skatinti socialinę sanglaudą;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ragina įgyvendinti politiką, kuria skatinama profesinio ir asmeninio gyvenimo pusiausvyra, siekiant pagerinti visų šeimų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w:t>
            </w:r>
            <w:r>
              <w:rPr>
                <w:b/>
                <w:i/>
              </w:rPr>
              <w:t>ir teisė atsijungti, ypatingą dėmesį skiriant darbo laiko politikai ir darbo laiko mažinimui bei didesniam lankstumui, taip pat priemonėms, kuriomis skatinamas vienodesnis mokamo ir nemokamo darbo laiko pasidalijimas tarp vyrų ir moterų</w:t>
            </w:r>
            <w:r>
              <w:t xml:space="preserve">, siekiant pagerinti visų </w:t>
            </w:r>
            <w:r>
              <w:rPr>
                <w:b/>
                <w:i/>
              </w:rPr>
              <w:t>rūšių</w:t>
            </w:r>
            <w:r>
              <w:t xml:space="preserve"> šeimų </w:t>
            </w:r>
            <w:r>
              <w:rPr>
                <w:b/>
                <w:i/>
              </w:rPr>
              <w:t>ir asmenų</w:t>
            </w:r>
            <w:r>
              <w:t xml:space="preserve"> gyvenimo kokybę; ragina Komisiją pateikti pasiūlymą dėl teisėkūros procedūra priimamo akto dėl Europos kortelės </w:t>
            </w:r>
            <w:r>
              <w:rPr>
                <w:b/>
                <w:i/>
              </w:rPr>
              <w:t>visų tipų ar</w:t>
            </w:r>
            <w:r>
              <w:t xml:space="preserve"> didelėms šeimoms sukūrimo ir Europos veiksmų plano vienišiems tėvams, pagal kuriuos būtų teikiamos mokesčių, švietimo</w:t>
            </w:r>
            <w:r>
              <w:rPr>
                <w:b/>
                <w:i/>
              </w:rPr>
              <w:t>, vaikų priežiūros</w:t>
            </w:r>
            <w:r>
              <w:t xml:space="preserve"> ir socialinės lengvatos; </w:t>
            </w:r>
            <w:r>
              <w:rPr>
                <w:b/>
                <w:i/>
              </w:rPr>
              <w:t>pabrėžia, kad 2023 m. 24,8 proc. jaunesnių nei 18 metų vaikų ES grėsė skurdas arba socialinė atskirtis, o tai, remiantis bendra užimtumo ataskaita, reiškia, kad šis skaičius padidėjo;</w:t>
            </w:r>
            <w:r>
              <w:t xml:space="preserve"> </w:t>
            </w:r>
            <w:r>
              <w:rPr>
                <w:b/>
                <w:i/>
              </w:rPr>
              <w:t>pabrėžia, kad svarbu įgyvendinti Europos vaiko garantijų sistemą, kuri yra kertinis akmuo kovojant su aukštu vaikų skurdo lygiu visose valstybėse narėse, įskaitant priemones, kuriomis stiprinama vaiko garantijų sistema, didinant jai skirtą biudžetą bent iki 20 mlrd.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w:t>
            </w:r>
            <w:r>
              <w:rPr>
                <w:b/>
                <w:i/>
              </w:rPr>
              <w:t>šeimų</w:t>
            </w:r>
            <w:r>
              <w:t xml:space="preserve"> gyvenimo kokybę; ragina Komisiją </w:t>
            </w:r>
            <w:r>
              <w:rPr>
                <w:b/>
                <w:i/>
              </w:rPr>
              <w:t>pateikti pasiūlymą dėl teisėkūros procedūra priimamo akto dėl</w:t>
            </w:r>
            <w:r>
              <w:t xml:space="preserve"> Europos </w:t>
            </w:r>
            <w:r>
              <w:rPr>
                <w:b/>
                <w:i/>
              </w:rPr>
              <w:t>kortelės didelėms šeimoms sukūrimo ir Europos veiksmų plano vienišiems tėvams, pagal kuriuos būtų teikiamos mokesčių, švietimo ir socialinės lengvatos</w:t>
            </w:r>
            <w:r>
              <w:t>;</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w:t>
            </w:r>
            <w:r>
              <w:rPr>
                <w:b/>
                <w:i/>
              </w:rPr>
              <w:t>darbuotojų</w:t>
            </w:r>
            <w:r>
              <w:t xml:space="preserve"> gyvenimo kokybę; ragina Komisiją </w:t>
            </w:r>
            <w:r>
              <w:rPr>
                <w:b/>
                <w:i/>
              </w:rPr>
              <w:t>užtikrinti Profesinio ir asmeninio gyvenimo pusiausvyros direktyvos ir</w:t>
            </w:r>
            <w:r>
              <w:t xml:space="preserve"> Europos </w:t>
            </w:r>
            <w:r>
              <w:rPr>
                <w:b/>
                <w:i/>
              </w:rPr>
              <w:t>priežiūros strategijos įgyvendinimą, taip pat pasiūlyti sistemą, pagal kurią būtų sprendžiamos ilgalaikės priežiūros darbuotojų problemos, be kita ko, palengvinant įgūdžių ir kvalifikacijų pripažinimą, remiant įgūdžių ugdymą ir karjeros raidą bei gerinant darbo sąlygas;</w:t>
            </w:r>
            <w:r>
              <w:t xml:space="preserve"> </w:t>
            </w:r>
            <w:r>
              <w:rPr>
                <w:b/>
                <w:i/>
              </w:rPr>
              <w:t>ragina Komisiją pasiūlyti direktyvą, kuria būtų reglamentuojamos nuotolinio darbo sąlygos ir teisė atsijungti visoje ES, nes tai yra esminė priemonė siekiant užtikrinti ES darbuotojų psichikos gerovę ir papildyti Profesinio ir asmeninio gyvenimo pusiausvyros direktyvą;</w:t>
            </w:r>
            <w:r>
              <w:t xml:space="preserve"> </w:t>
            </w:r>
            <w:r>
              <w:rPr>
                <w:b/>
                <w:i/>
              </w:rPr>
              <w:t>taip pat ragina priimti direktyvą dėl psichosocialinės rizikos ir gerovės darbe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ragina įgyvendinti politiką, kuria skatinama profesinio ir asmeninio gyvenimo pusiausvyra, siekiant pagerinti visų šeimų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šeimų gyvenimo kokybę; ragina </w:t>
            </w:r>
            <w:r>
              <w:rPr>
                <w:b/>
                <w:i/>
              </w:rPr>
              <w:t>imtis tolesnių iniciatyvų, kuriomis būtų remiami formalieji ir neformalieji prižiūrintieji asmenys, jų darbo sąlygos ir profesinio bei asmeninio gyvenimo pusiausvyra, tinkamas atlyginimas ir nuo jų priežiūros priklausomų asmenų orumas;</w:t>
            </w:r>
            <w:r>
              <w:t xml:space="preserve"> </w:t>
            </w:r>
            <w:r>
              <w:rPr>
                <w:b/>
                <w:i/>
              </w:rPr>
              <w:t>ragina</w:t>
            </w:r>
            <w:r>
              <w:t xml:space="preserve"> Komisiją pateikti pasiūlymą dėl teisėkūros procedūra priimamo akto dėl Europos kortelės didelėms šeimoms sukūrimo ir Europos veiksmų plano vienišiems tėvams, pagal kuriuos būtų teikiamos mokesčių, švietimo ir socialinės lengvatos;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w:t>
            </w:r>
            <w:r>
              <w:rPr>
                <w:b/>
                <w:i/>
              </w:rPr>
              <w:t>visų šeimų</w:t>
            </w:r>
            <w:r>
              <w:t xml:space="preserve"> gyvenimo kokybę</w:t>
            </w:r>
            <w:r>
              <w:rPr>
                <w:b/>
                <w:i/>
              </w:rPr>
              <w:t>;</w:t>
            </w:r>
            <w:r>
              <w:t xml:space="preserve"> </w:t>
            </w:r>
            <w:r>
              <w:rPr>
                <w:b/>
                <w:i/>
              </w:rPr>
              <w:t>ragina Komisiją pateikti pasiūlymą dėl teisėkūros procedūra priimamo akto dėl Europos kortelės didelėms šeimoms sukūrimo ir Europos veiksmų plano vienišiems tėvams, pagal kuriuos būtų teikiamos mokesčių, švietimo ir socialinės lengvatos</w:t>
            </w:r>
            <w:r>
              <w:t>;</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w:t>
            </w:r>
            <w:r>
              <w:rPr>
                <w:b/>
                <w:i/>
              </w:rPr>
              <w:t>darbuotojų</w:t>
            </w:r>
            <w:r>
              <w:t xml:space="preserve"> gyvenimo kokybę</w:t>
            </w:r>
            <w:r>
              <w:rPr>
                <w:b/>
                <w:i/>
              </w:rPr>
              <w:t>, įskaitant visas šeimas ir vienišus tėvus, teikiant mokesčių, švietimo ir socialines išmokas pažeidžiamoje padėtyje esančioms šeimoms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šeimų gyvenimo kokybę; </w:t>
            </w:r>
            <w:r>
              <w:rPr>
                <w:b/>
                <w:i/>
              </w:rPr>
              <w:t>ragina Komisiją pateikti pasiūlymą dėl teisėkūros procedūra priimamo akto dėl Europos kortelės didelėms šeimoms sukūrimo ir Europos veiksmų plano vienišiems tėvams, pagal kuriuos būtų</w:t>
            </w:r>
            <w:r>
              <w:t xml:space="preserve"> teikiamos mokesčių, švietimo ir socialinės lengvatos;</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šeimų gyvenimo kokybę; </w:t>
            </w:r>
            <w:r>
              <w:rPr>
                <w:b/>
                <w:i/>
              </w:rPr>
              <w:t>pabrėžia, kad šeimos politika priklauso valstybių narių kompetencijai;</w:t>
            </w:r>
            <w:r>
              <w:t xml:space="preserve"> </w:t>
            </w:r>
            <w:r>
              <w:rPr>
                <w:b/>
                <w:i/>
              </w:rPr>
              <w:t>pabrėžia, kad svarbu, jog valstybės narės keistųsi gerąja praktika, susijusia su esamomis paramos priemonėmis, kuriomis didelėms šeimoms ir nepilnoms šeimoms</w:t>
            </w:r>
            <w:r>
              <w:t xml:space="preserve"> teikiamos mokesčių, švietimo ir socialinės lengvatos;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ragina įgyvendinti politiką, kuria skatinama profesinio ir asmeninio gyvenimo pusiausvyra, siekiant pagerinti visų šeimų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w:t>
            </w:r>
            <w:r>
              <w:rPr>
                <w:b/>
                <w:i/>
              </w:rPr>
              <w:t>Europos</w:t>
            </w:r>
            <w:r>
              <w:t xml:space="preserve"> šeimų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šeimų gyvenimo kokybę; ragina Komisiją </w:t>
            </w:r>
            <w:r>
              <w:rPr>
                <w:b/>
                <w:i/>
              </w:rPr>
              <w:t>pateikti pasiūlymą dėl teisėkūros procedūra priimamo akto dėl</w:t>
            </w:r>
            <w:r>
              <w:t xml:space="preserve"> Europos </w:t>
            </w:r>
            <w:r>
              <w:rPr>
                <w:b/>
                <w:i/>
              </w:rPr>
              <w:t>kortelės</w:t>
            </w:r>
            <w:r>
              <w:t xml:space="preserve"> didelėms šeimoms </w:t>
            </w:r>
            <w:r>
              <w:rPr>
                <w:b/>
                <w:i/>
              </w:rPr>
              <w:t>sukūrimo</w:t>
            </w:r>
            <w:r>
              <w:t xml:space="preserve"> ir Europos veiksmų </w:t>
            </w:r>
            <w:r>
              <w:rPr>
                <w:b/>
                <w:i/>
              </w:rPr>
              <w:t>plano</w:t>
            </w:r>
            <w:r>
              <w:t xml:space="preserve"> vienišiems tėvams, pagal kuriuos būtų teikiamos </w:t>
            </w:r>
            <w:r>
              <w:rPr>
                <w:b/>
                <w:i/>
              </w:rPr>
              <w:t>mokesčių</w:t>
            </w:r>
            <w:r>
              <w:t>, švietimo ir socialinės lengvatos;</w:t>
            </w:r>
          </w:p>
        </w:tc>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šeimų gyvenimo kokybę; ragina Komisiją </w:t>
            </w:r>
            <w:r>
              <w:rPr>
                <w:b/>
                <w:i/>
              </w:rPr>
              <w:t>apsvarstyti galimybę sukurti</w:t>
            </w:r>
            <w:r>
              <w:t xml:space="preserve"> Europos </w:t>
            </w:r>
            <w:r>
              <w:rPr>
                <w:b/>
                <w:i/>
              </w:rPr>
              <w:t>kortelę</w:t>
            </w:r>
            <w:r>
              <w:t xml:space="preserve"> didelėms šeimoms ir Europos veiksmų </w:t>
            </w:r>
            <w:r>
              <w:rPr>
                <w:b/>
                <w:i/>
              </w:rPr>
              <w:t>planą</w:t>
            </w:r>
            <w:r>
              <w:t xml:space="preserve"> vienišiems tėvams, pagal kuriuos būtų teikiamos </w:t>
            </w:r>
            <w:r>
              <w:rPr>
                <w:b/>
                <w:i/>
              </w:rPr>
              <w:t>ekonominės</w:t>
            </w:r>
            <w:r>
              <w:t>, švietimo ir socialinės lengvatos;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ragina įgyvendinti politiką, kuria skatinama profesinio ir asmeninio gyvenimo pusiausvyra, siekiant pagerinti visų </w:t>
            </w:r>
            <w:r>
              <w:rPr>
                <w:b/>
                <w:i/>
              </w:rPr>
              <w:t>šeimų</w:t>
            </w:r>
            <w:r>
              <w:t xml:space="preserve">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c>
          <w:tcPr>
            <w:tcW w:w="4876" w:type="dxa"/>
            <w:tcBorders>
              <w:top w:val="nil"/>
              <w:left w:val="nil"/>
              <w:bottom w:val="nil"/>
              <w:right w:val="nil"/>
            </w:tcBorders>
          </w:tcPr>
          <w:p>
            <w:pPr>
              <w:pStyle w:val="Normal6a"/>
            </w:pPr>
            <w:r>
              <w:t>5.</w:t>
            </w:r>
            <w:r>
              <w:tab/>
            </w:r>
            <w:r>
              <w:t>ragina įgyvendinti politiką, kuria skatinama profesinio ir asmeninio gyvenimo pusiausvyra, siekiant pagerinti visų gyvenimo kokybę; ragina Komisiją pateikti pasiūlymą dėl teisėkūros procedūra priimamo akto dėl Europos kortelės didelėms šeimoms sukūrimo ir Europos veiksmų plano vienišiems tėvams, pagal kuriuos būtų teikiamos mokesčių, švietimo ir socialinės lengvatos;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pripažįsta, kad 44 mln. europiečių dažnai yra neformalieji ilgalaikės priežiūros paslaugų teikėjai, kurių dauguma yra moterys</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2021 m. Ilgalaikė priežiūra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ragina taikyti tvaraus vystymosi metodą, kuriuo būtų konkrečiai atsižvelgta į struktūrinių ir demografinių pokyčių pasekmes atskirose Europos šalyse (įskaitant pasiūlymus skatinti šeimai palankią darbo aplinką siekiant mažinti perdegimo lygį ir naštą socialinei apsaugai bei šeimos gyvenimui);</w:t>
            </w:r>
            <w:r>
              <w:t xml:space="preserve"> </w:t>
            </w:r>
            <w:r>
              <w:rPr>
                <w:b/>
                <w:i/>
              </w:rPr>
              <w:t>visų pirma ragina Komisiją pateikti pasiūlymą dėl teisėkūros procedūra priimamo akto dėl priemonių, kuriomis būtų nustatyti tinkami minimalūs Europos valstybėse narėse jau taikomų išmokų šeimai standartai, padėsiantys mažinti vaikų skurdą ir socialinę nelygybę bei ilgainiui sustiprinti Europos šeimas, projekto;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pripažįsta unikalų prižiūrinčiųjų asmenų vaidmenį visuomenėje, nors priežiūros darbuotojų apibrėžtis nėra suderinta visoje ES, ilgalaikės priežiūros sektoriuje visoje ES dirba 6,4 mln. žmonių</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2021 m. Ilgalaikė priežiūra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w:t>
            </w:r>
            <w:r>
              <w:rPr>
                <w:b/>
                <w:i/>
              </w:rPr>
              <w:t>ES sanglaudos politikoje pirmenybę teikti demografiniams iššūkiams ir sanglaudos politikos svarbą prilyginti žaliajam kursui ir skaitmeninei strategijai</w:t>
            </w:r>
            <w:r>
              <w:t xml:space="preserve">; ragina Komisiją </w:t>
            </w:r>
            <w:r>
              <w:rPr>
                <w:b/>
                <w:i/>
              </w:rPr>
              <w:t>paskelbti</w:t>
            </w:r>
            <w:r>
              <w:t xml:space="preserve"> Europos </w:t>
            </w:r>
            <w:r>
              <w:rPr>
                <w:b/>
                <w:i/>
              </w:rPr>
              <w:t>demografijos metus</w:t>
            </w:r>
            <w:r>
              <w:t xml:space="preserve"> ir padidinti finansavimą regionams, kuriuose sparčiai mažėja gyventojų skaičius, remiant vietos plėtros projektus ir pagrindinę infrastruktūrą, kuria sudaromos palankios sąlygos gyventojų teisei pasilikti;</w:t>
            </w:r>
          </w:p>
        </w:tc>
        <w:tc>
          <w:tcPr>
            <w:tcW w:w="4876" w:type="dxa"/>
            <w:tcBorders>
              <w:top w:val="nil"/>
              <w:left w:val="nil"/>
              <w:bottom w:val="nil"/>
              <w:right w:val="nil"/>
            </w:tcBorders>
          </w:tcPr>
          <w:p>
            <w:pPr>
              <w:pStyle w:val="Normal6a"/>
            </w:pPr>
            <w:r>
              <w:t>6.</w:t>
            </w:r>
            <w:r>
              <w:tab/>
            </w:r>
            <w:r>
              <w:t xml:space="preserve">ragina </w:t>
            </w:r>
            <w:r>
              <w:rPr>
                <w:b/>
                <w:i/>
              </w:rPr>
              <w:t>socialinius tikslus integruoti į Europos semestrą tokiomis pat sąlygomis kaip ekonominius tiklus;</w:t>
            </w:r>
            <w:r>
              <w:t xml:space="preserve"> </w:t>
            </w:r>
            <w:r>
              <w:rPr>
                <w:b/>
                <w:i/>
              </w:rPr>
              <w:t>yra susirūpinęs dėl didėjančių skirtumų tarp miesto ir kaimo vietovių, nes mažiau urbanizuotiems regionams trūksta mokymosi galimybių ir jie negali pritraukti ir išlaikyti aukštos kvalifikacijos darbuotojų</w:t>
            </w:r>
            <w:r>
              <w:t xml:space="preserve">; ragina Komisiją </w:t>
            </w:r>
            <w:r>
              <w:rPr>
                <w:b/>
                <w:i/>
              </w:rPr>
              <w:t>remtis komunikatu „Specialistų potencialo išnaudojimas</w:t>
            </w:r>
            <w:r>
              <w:t xml:space="preserve"> Europos </w:t>
            </w:r>
            <w:r>
              <w:rPr>
                <w:b/>
                <w:i/>
              </w:rPr>
              <w:t>regionuose“ ir „Specialistų gausinimo mechanizmu“, siekiant skatinti socialinę sanglaudą</w:t>
            </w:r>
            <w:r>
              <w:t xml:space="preserve"> ir padidinti finansavimą regionams, kuriuose sparčiai mažėja gyventojų skaičius, remiant </w:t>
            </w:r>
            <w:r>
              <w:rPr>
                <w:b/>
                <w:i/>
              </w:rPr>
              <w:t>kokybiškų darbo vietų kūrimą, viešąsias paslaugas, švietimo ir mokymo galimybes,</w:t>
            </w:r>
            <w:r>
              <w:t xml:space="preserve"> vietos plėtros projektus ir pagrindinę infrastruktūrą, kuria sudaromos palankios sąlygos gyventojų teisei pasilikti;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sanglaudos politikoje pirmenybę teikti demografiniams iššūkiams ir </w:t>
            </w:r>
            <w:r>
              <w:rPr>
                <w:b/>
                <w:i/>
              </w:rPr>
              <w:t>sanglaudos politikos svarbą prilyginti žaliajam kursui ir skaitmeninei strategijai;</w:t>
            </w:r>
            <w:r>
              <w:t xml:space="preserve"> </w:t>
            </w:r>
            <w:r>
              <w:rPr>
                <w:b/>
                <w:i/>
              </w:rPr>
              <w:t>ragina Komisiją paskelbti Europos demografijos metus ir padidinti finansavimą regionams, kuriuose sparčiai mažėja gyventojų skaičius, remiant vietos plėtros projektus ir pagrindinę infrastruktūrą, kuria sudaromos palankios sąlygos gyventojų teisei pasilikti</w:t>
            </w:r>
            <w:r>
              <w:t>;</w:t>
            </w:r>
          </w:p>
        </w:tc>
        <w:tc>
          <w:tcPr>
            <w:tcW w:w="4876" w:type="dxa"/>
            <w:tcBorders>
              <w:top w:val="nil"/>
              <w:left w:val="nil"/>
              <w:bottom w:val="nil"/>
              <w:right w:val="nil"/>
            </w:tcBorders>
          </w:tcPr>
          <w:p>
            <w:pPr>
              <w:pStyle w:val="Normal6a"/>
            </w:pPr>
            <w:r>
              <w:t>6.</w:t>
            </w:r>
            <w:r>
              <w:tab/>
            </w:r>
            <w:r>
              <w:t xml:space="preserve">ragina ES sanglaudos politikoje pirmenybę teikti demografiniams iššūkiams ir </w:t>
            </w:r>
            <w:r>
              <w:rPr>
                <w:b/>
                <w:i/>
              </w:rPr>
              <w:t>kad tai būtų derinama su politikos, skirtos sėkmingai migrantų integracijai į darbo rinką ir visuomenę, tobulinimu ir stiprinimu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sanglaudos politikoje pirmenybę teikti demografiniams iššūkiams ir </w:t>
            </w:r>
            <w:r>
              <w:rPr>
                <w:b/>
                <w:i/>
              </w:rPr>
              <w:t>sanglaudos politikos svarbą prilyginti žaliajam kursui ir skaitmeninei strategijai</w:t>
            </w:r>
            <w:r>
              <w:t>; ragina Komisiją paskelbti Europos demografijos metus ir padidinti finansavimą regionams, kuriuose sparčiai mažėja gyventojų skaičius, remiant vietos plėtros projektus ir pagrindinę infrastruktūrą, kuria sudaromos palankios sąlygos gyventojų teisei pasilikti;</w:t>
            </w:r>
          </w:p>
        </w:tc>
        <w:tc>
          <w:tcPr>
            <w:tcW w:w="4876" w:type="dxa"/>
            <w:tcBorders>
              <w:top w:val="nil"/>
              <w:left w:val="nil"/>
              <w:bottom w:val="nil"/>
              <w:right w:val="nil"/>
            </w:tcBorders>
          </w:tcPr>
          <w:p>
            <w:pPr>
              <w:pStyle w:val="Normal6a"/>
            </w:pPr>
            <w:r>
              <w:t>6.</w:t>
            </w:r>
            <w:r>
              <w:tab/>
            </w:r>
            <w:r>
              <w:t xml:space="preserve">ragina ES sanglaudos politikoje pirmenybę teikti demografiniams iššūkiams ir </w:t>
            </w:r>
            <w:r>
              <w:rPr>
                <w:b/>
                <w:i/>
              </w:rPr>
              <w:t>konkrečius veiksmus ES ir nacionaliniu lygmenimis suderinti su žaliuoju kursu ir skaitmenine strategija</w:t>
            </w:r>
            <w:r>
              <w:t>; ragina Komisiją paskelbti Europos demografijos metus ir padidinti finansavimą regionams, kuriuose sparčiai mažėja gyventojų skaičius, remiant vietos plėtros projektus</w:t>
            </w:r>
            <w:r>
              <w:rPr>
                <w:b/>
                <w:i/>
              </w:rPr>
              <w:t>, įperkamas ir prieinamas viešąsias paslaugas</w:t>
            </w:r>
            <w:r>
              <w:t xml:space="preserve"> ir pagrindinę infrastruktūrą, kuria sudaromos palankios sąlygos gyventojų</w:t>
            </w:r>
            <w:r>
              <w:rPr>
                <w:b/>
                <w:i/>
              </w:rPr>
              <w:t>, ypač jaunimo,</w:t>
            </w:r>
            <w:r>
              <w:t xml:space="preserve"> teisei pasilikti;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sanglaudos politikoje </w:t>
            </w:r>
            <w:r>
              <w:rPr>
                <w:b/>
                <w:i/>
              </w:rPr>
              <w:t>pirmenybę</w:t>
            </w:r>
            <w:r>
              <w:t xml:space="preserve"> teikti </w:t>
            </w:r>
            <w:r>
              <w:rPr>
                <w:b/>
                <w:i/>
              </w:rPr>
              <w:t>demografiniams iššūkiams</w:t>
            </w:r>
            <w:r>
              <w:t xml:space="preserve"> ir sanglaudos politikos svarbą prilyginti žaliajam kursui ir skaitmeninei strategijai; ragina Komisiją paskelbti Europos </w:t>
            </w:r>
            <w:r>
              <w:rPr>
                <w:b/>
                <w:i/>
              </w:rPr>
              <w:t>demografijos</w:t>
            </w:r>
            <w:r>
              <w:t xml:space="preserve"> metus ir padidinti finansavimą regionams, kuriuose sparčiai mažėja gyventojų skaičius, remiant vietos plėtros projektus ir pagrindinę infrastruktūrą, kuria sudaromos palankios sąlygos gyventojų teisei pasilikti;</w:t>
            </w:r>
          </w:p>
        </w:tc>
        <w:tc>
          <w:tcPr>
            <w:tcW w:w="4876" w:type="dxa"/>
            <w:tcBorders>
              <w:top w:val="nil"/>
              <w:left w:val="nil"/>
              <w:bottom w:val="nil"/>
              <w:right w:val="nil"/>
            </w:tcBorders>
          </w:tcPr>
          <w:p>
            <w:pPr>
              <w:pStyle w:val="Normal6a"/>
            </w:pPr>
            <w:r>
              <w:t>6.</w:t>
            </w:r>
            <w:r>
              <w:tab/>
            </w:r>
            <w:r>
              <w:t xml:space="preserve">ragina ES sanglaudos politikoje </w:t>
            </w:r>
            <w:r>
              <w:rPr>
                <w:b/>
                <w:i/>
              </w:rPr>
              <w:t>spręsti regioninio disbalanso klausimą bei</w:t>
            </w:r>
            <w:r>
              <w:t xml:space="preserve"> teikti </w:t>
            </w:r>
            <w:r>
              <w:rPr>
                <w:b/>
                <w:i/>
              </w:rPr>
              <w:t>jam pirmenybę</w:t>
            </w:r>
            <w:r>
              <w:t xml:space="preserve"> ir sanglaudos politikos svarbą prilyginti žaliajam kursui ir skaitmeninei strategijai; ragina Komisiją paskelbti Europos </w:t>
            </w:r>
            <w:r>
              <w:rPr>
                <w:b/>
                <w:i/>
              </w:rPr>
              <w:t>regionų ir salų</w:t>
            </w:r>
            <w:r>
              <w:t xml:space="preserve"> metus ir padidinti finansavimą regionams, kuriuose sparčiai mažėja gyventojų skaičius </w:t>
            </w:r>
            <w:r>
              <w:rPr>
                <w:b/>
                <w:i/>
              </w:rPr>
              <w:t>ir vyksta ekonomikos sąstingis</w:t>
            </w:r>
            <w:r>
              <w:t>, remiant vietos plėtros projektus ir pagrindinę infrastruktūrą, kuria sudaromos palankios sąlygos gyventojų teisei pasilikti;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sanglaudos politikoje pirmenybę teikti demografiniams iššūkiams ir sanglaudos </w:t>
            </w:r>
            <w:r>
              <w:rPr>
                <w:b/>
                <w:i/>
              </w:rPr>
              <w:t>politikos svarbą prilyginti žaliajam kursui ir skaitmeninei strategijai</w:t>
            </w:r>
            <w:r>
              <w:t>; ragina Komisiją paskelbti Europos demografijos metus ir padidinti finansavimą regionams, kuriuose sparčiai mažėja gyventojų skaičius, remiant vietos plėtros projektus ir pagrindinę infrastruktūrą, kuria sudaromos palankios sąlygos gyventojų teisei pasilikti;</w:t>
            </w:r>
          </w:p>
        </w:tc>
        <w:tc>
          <w:tcPr>
            <w:tcW w:w="4876" w:type="dxa"/>
            <w:tcBorders>
              <w:top w:val="nil"/>
              <w:left w:val="nil"/>
              <w:bottom w:val="nil"/>
              <w:right w:val="nil"/>
            </w:tcBorders>
          </w:tcPr>
          <w:p>
            <w:pPr>
              <w:pStyle w:val="Normal6a"/>
            </w:pPr>
            <w:r>
              <w:t>6.</w:t>
            </w:r>
            <w:r>
              <w:tab/>
            </w:r>
            <w:r>
              <w:t xml:space="preserve">ragina ES sanglaudos politikoje pirmenybę teikti demografiniams iššūkiams ir sanglaudos </w:t>
            </w:r>
            <w:r>
              <w:rPr>
                <w:b/>
                <w:i/>
              </w:rPr>
              <w:t>politiką laikyti svarbesne už žaliąjį kursą ir skaitmeninę strategiją</w:t>
            </w:r>
            <w:r>
              <w:t xml:space="preserve">; ragina Komisiją paskelbti Europos demografijos metus ir padidinti finansavimą regionams, kuriuose sparčiai mažėja gyventojų skaičius, remiant vietos plėtros projektus ir pagrindinę infrastruktūrą, kuria sudaromos palankios sąlygos </w:t>
            </w:r>
            <w:r>
              <w:rPr>
                <w:b/>
                <w:i/>
              </w:rPr>
              <w:t>valstybių narių</w:t>
            </w:r>
            <w:r>
              <w:t xml:space="preserve"> gyventojų teisei pasilikti;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sanglaudos politikoje pirmenybę teikti demografiniams iššūkiams </w:t>
            </w:r>
            <w:r>
              <w:rPr>
                <w:b/>
                <w:i/>
              </w:rPr>
              <w:t>ir sanglaudos politikos svarbą prilyginti žaliajam kursui ir skaitmeninei strategijai</w:t>
            </w:r>
            <w:r>
              <w:t>; ragina Komisiją paskelbti Europos demografijos metus ir padidinti finansavimą regionams, kuriuose sparčiai mažėja gyventojų skaičius, remiant vietos plėtros projektus ir pagrindinę infrastruktūrą, kuria sudaromos palankios sąlygos gyventojų teisei pasilikti;</w:t>
            </w:r>
          </w:p>
        </w:tc>
        <w:tc>
          <w:tcPr>
            <w:tcW w:w="4876" w:type="dxa"/>
            <w:tcBorders>
              <w:top w:val="nil"/>
              <w:left w:val="nil"/>
              <w:bottom w:val="nil"/>
              <w:right w:val="nil"/>
            </w:tcBorders>
          </w:tcPr>
          <w:p>
            <w:pPr>
              <w:pStyle w:val="Normal6a"/>
            </w:pPr>
            <w:r>
              <w:t>6.</w:t>
            </w:r>
            <w:r>
              <w:tab/>
            </w:r>
            <w:r>
              <w:t xml:space="preserve">ragina ES sanglaudos politikoje pirmenybę teikti demografiniams iššūkiams; ragina Komisiją paskelbti Europos demografijos metus ir padidinti finansavimą </w:t>
            </w:r>
            <w:r>
              <w:rPr>
                <w:b/>
                <w:i/>
              </w:rPr>
              <w:t>kaimo ir atokiausioms vietovėms bei</w:t>
            </w:r>
            <w:r>
              <w:t xml:space="preserve"> regionams, kuriuose sparčiai mažėja gyventojų skaičius, remiant vietos plėtros projektus ir pagrindinę infrastruktūrą, kuria sudaromos palankios sąlygos gyventojų teisei pasilikti;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atkreipia dėmesį į didėjančią dirbtinio intelekto (DI) ir skaitmeninių platformų įtaką, kuri paskatins esminius technologijų pokyčius darbo rinkoje, darančius poveikį darbo vietų kokybei ir darbo sąlygoms, taigi ir darbuotojų gyvenimo kokybei, kaip pripažįstama bendroje užimtumo ataskaitoje;</w:t>
            </w:r>
            <w:r>
              <w:t xml:space="preserve"> </w:t>
            </w:r>
            <w:r>
              <w:rPr>
                <w:b/>
                <w:i/>
              </w:rPr>
              <w:t>ragina Komisiją skubiai pasiūlyti direktyvą dėl dirbtinio intelekto (DI) naudojimo darbo vietoje, pagal kurią būtų siekiama užtikrinti pagarbą visoms žmogaus teisėms ir jų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Europos Komisiją ir valstybes nares stiprinti savo paramą ne pelno socialinės ekonomikos įmonėms ir organizacijoms, taikant tinkamas finansines ir apmokestinimo sistemas;</w:t>
            </w:r>
            <w:r>
              <w:t xml:space="preserve"> </w:t>
            </w:r>
            <w:r>
              <w:rPr>
                <w:b/>
                <w:i/>
              </w:rPr>
              <w:t>ragina valstybes nares sudaryti palankesnes sąlygas gauti finansavimą ir didinti socialinės ekonomikos subjektų matomumą, kaip pabrėžta 2021 m. socialinės ekonomikos veiksmų plane;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ragina Komisiją užtikrinti darbuotojų apsaugą skaitmeninėje darbo vietoje ir pateikti pasiūlymą dėl teisėkūros procedūra priimamo akto, kuriuo būtų sprendžiamas teisės atsijungti ir teisės dirbti nuotoliniu būdu klausimas;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ragina valstybes nares įgyvendinti Socialinės ekonomikos veiksmų planą siekiant skatinti kokybišką, deramą ir įtraukų darbą, tvarumą ir žiedinę ekonomiką bei remti socialinės ekonomikos organizacijas;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w:t>
            </w:r>
            <w:r>
              <w:t xml:space="preserve"> 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w:t>
            </w:r>
            <w:r>
              <w:rPr>
                <w:b/>
                <w:i/>
              </w:rPr>
              <w:t>per viešojo ir privačiojo sektorių partnerystės platformas ir socialinę ekonomiką</w:t>
            </w:r>
            <w:r>
              <w:t>, siekiant skatinti dinamišką verslo aplinką;</w:t>
            </w:r>
          </w:p>
        </w:tc>
        <w:tc>
          <w:tcPr>
            <w:tcW w:w="4876" w:type="dxa"/>
            <w:tcBorders>
              <w:top w:val="nil"/>
              <w:left w:val="nil"/>
              <w:bottom w:val="nil"/>
              <w:right w:val="nil"/>
            </w:tcBorders>
          </w:tcPr>
          <w:p>
            <w:pPr>
              <w:pStyle w:val="Normal6a"/>
            </w:pPr>
            <w:r>
              <w:t>7.</w:t>
            </w:r>
            <w:r>
              <w:tab/>
            </w:r>
            <w:r>
              <w:t xml:space="preserve">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w:t>
            </w:r>
            <w:r>
              <w:rPr>
                <w:b/>
                <w:i/>
              </w:rPr>
              <w:t>ir dalyvauti socialinėje ekonomikoje</w:t>
            </w:r>
            <w:r>
              <w:t>, siekiant skatinti dinamišką verslo aplinką;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ragina Komisiją ir Tarybą</w:t>
            </w:r>
            <w:r>
              <w:rPr>
                <w:b/>
                <w:i/>
              </w:rPr>
              <w:t>, vadovaujantis 2024 m. lapkričio 8 d. Budapešto deklaracija dėl naujo Europos konkurencingumo susitarimo,</w:t>
            </w:r>
            <w:r>
              <w:t xml:space="preserve">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 </w:t>
            </w:r>
            <w:r>
              <w:rPr>
                <w:b/>
                <w:i/>
              </w:rPr>
              <w:t>mano, kad svarbu užtikrinti, kad Europa pirmautų pasaulyje mokslinių tyrimų ir inovacijų srityje, ypač perversminių technologijų srityje, ir pasiekti tikslą iki 2030 m. moksliniams tyrimams ir technologinei plėtrai skirti 3 proc. BVP išlaidų;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w:t>
            </w:r>
            <w:r>
              <w:rPr>
                <w:b/>
                <w:i/>
              </w:rPr>
              <w:t>ir fiskalinės</w:t>
            </w:r>
            <w:r>
              <w:t xml:space="preserve"> kliūtys, darančios poveikį </w:t>
            </w:r>
            <w:r>
              <w:rPr>
                <w:b/>
                <w:i/>
              </w:rPr>
              <w:t>verslumui, ypač</w:t>
            </w:r>
            <w:r>
              <w:t xml:space="preserve"> mažųjų ir vidutinių įmonių (MVĮ) ir startuolių, kurie yra labai svarbūs ES ekonomikos augimui ir konkurencingumui, taigi ir socialinės politikos finansavimui; mano, kad geresnė parama verslininkams, </w:t>
            </w:r>
            <w:r>
              <w:rPr>
                <w:b/>
                <w:i/>
              </w:rPr>
              <w:t>ypač</w:t>
            </w:r>
            <w:r>
              <w:t xml:space="preserve"> MVĮ ir startuoliams, padidins ES </w:t>
            </w:r>
            <w:r>
              <w:rPr>
                <w:b/>
                <w:i/>
              </w:rPr>
              <w:t>konkurencingumą</w:t>
            </w:r>
            <w:r>
              <w:t xml:space="preserve">, paskatins inovacijas ir kurs kokybiškas darbo vietas; </w:t>
            </w:r>
            <w:r>
              <w:rPr>
                <w:b/>
                <w:i/>
              </w:rPr>
              <w:t>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kliūtys, darančios poveikį mažųjų ir vidutinių įmonių (MVĮ) ir startuolių, kurie yra labai svarbūs ES ekonomikos augimui ir konkurencingumui, </w:t>
            </w:r>
            <w:r>
              <w:rPr>
                <w:b/>
                <w:i/>
              </w:rPr>
              <w:t>verslumui,</w:t>
            </w:r>
            <w:r>
              <w:t xml:space="preserve"> taigi ir socialinės politikos finansavimui; mano, kad geresnė parama </w:t>
            </w:r>
            <w:r>
              <w:rPr>
                <w:b/>
                <w:i/>
              </w:rPr>
              <w:t>būsimiems</w:t>
            </w:r>
            <w:r>
              <w:t xml:space="preserve"> verslininkams, MVĮ ir startuoliams, padidins ES </w:t>
            </w:r>
            <w:r>
              <w:rPr>
                <w:b/>
                <w:i/>
              </w:rPr>
              <w:t>socialinę ekonomiką</w:t>
            </w:r>
            <w:r>
              <w:t>, paskatins inovacijas ir kurs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 ir startuoliams, padidins ES konkurencingumą, paskatins inovacijas ir kurs kokybiškas darbo vietas; ragina skubiai įgyvendinti konkrečias rekomendacijas siekiant </w:t>
            </w:r>
            <w:r>
              <w:rPr>
                <w:b/>
                <w:i/>
              </w:rPr>
              <w:t>baigti kurti bendrąją rinką</w:t>
            </w:r>
            <w:r>
              <w:t xml:space="preserve"> ir sudaryti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 ir startuoliams, padidins ES konkurencingumą, paskatins inovacijas ir kurs kokybiškas darbo vietas; ragina skubiai įgyvendinti konkrečias rekomendacijas siekiant </w:t>
            </w:r>
            <w:r>
              <w:rPr>
                <w:b/>
                <w:i/>
              </w:rPr>
              <w:t>palengvinti vidaus rinkų kūrimą</w:t>
            </w:r>
            <w:r>
              <w:t xml:space="preserve"> ir sudaryti palankesnes sąlygas gauti finansavimą per viešojo ir privačiojo sektorių partnerystės platformas</w:t>
            </w:r>
            <w:r>
              <w:rPr>
                <w:b/>
                <w:i/>
              </w:rPr>
              <w:t>, kai viešojo ir privačiojo sektorių sinergija yra labai tikėtina ir įrodyta,</w:t>
            </w:r>
            <w:r>
              <w:t xml:space="preserve"> ir socialinę ekonomiką, siekiant skatinti dinamišką verslo aplinką;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w:t>
            </w:r>
            <w:r>
              <w:rPr>
                <w:b/>
                <w:i/>
              </w:rPr>
              <w:t>verslininkams, ypač</w:t>
            </w:r>
            <w:r>
              <w:t xml:space="preserve"> MVĮ ir startuoliams</w:t>
            </w:r>
            <w:r>
              <w:rPr>
                <w:b/>
                <w:i/>
              </w:rPr>
              <w:t>,</w:t>
            </w:r>
            <w:r>
              <w:t xml:space="preserve"> padidins ES konkurencingumą, paskatins inovacijas ir kurs kokybiškas darbo vietas; ragina skubiai įgyvendinti konkrečias rekomendacijas siekiant baigti kurti bendrąją rinką </w:t>
            </w:r>
            <w:r>
              <w:rPr>
                <w:b/>
                <w:i/>
              </w:rPr>
              <w:t>ir sudaryti</w:t>
            </w:r>
            <w:r>
              <w:t xml:space="preserve">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MVĮ ir startuoliams padidins ES </w:t>
            </w:r>
            <w:r>
              <w:rPr>
                <w:b/>
                <w:i/>
              </w:rPr>
              <w:t>ilgalaikį tvarumą ir</w:t>
            </w:r>
            <w:r>
              <w:t xml:space="preserve"> konkurencingumą, paskatins inovacijas ir kurs kokybiškas darbo vietas; ragina skubiai įgyvendinti konkrečias rekomendacijas siekiant baigti kurti bendrąją rinką</w:t>
            </w:r>
            <w:r>
              <w:rPr>
                <w:b/>
                <w:i/>
              </w:rPr>
              <w:t>, apimančią socialinius ir tvarumo principus ir sudarančią</w:t>
            </w:r>
            <w:r>
              <w:t xml:space="preserve"> palankesnes sąlygas gauti finansavimą per viešojo ir privačiojo sektorių partnerystės platformas ir socialinę ekonomiką, siekiant skatinti dinamišką </w:t>
            </w:r>
            <w:r>
              <w:rPr>
                <w:b/>
                <w:i/>
              </w:rPr>
              <w:t>ir įtraukią</w:t>
            </w:r>
            <w:r>
              <w:t xml:space="preserve"> verslo aplinką;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w:t>
            </w:r>
            <w:r>
              <w:rPr>
                <w:b/>
                <w:i/>
              </w:rPr>
              <w:t>ir fiskalinės</w:t>
            </w:r>
            <w:r>
              <w:t xml:space="preserve"> kliūtys, darančios poveikį verslumui, ypač mažųjų ir vidutinių įmonių (MVĮ) ir startuolių, kurie yra labai svarbūs ES ekonomikos augimui ir konkurencingumui</w:t>
            </w:r>
            <w:r>
              <w:rPr>
                <w:b/>
                <w:i/>
              </w:rPr>
              <w:t>, taigi ir socialinės politikos finansavimui</w:t>
            </w:r>
            <w:r>
              <w:t>; 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ragina Komisiją ir Tarybą teikti pirmenybę tam, kad būtų mažinamos biurokratinės kliūtys, darančios poveikį verslumui, ypač mažųjų ir vidutinių įmonių (MVĮ) ir startuolių, kurie yra labai svarbūs ES ekonomikos augimui ir konkurencingumui; mano, kad geresnė parama verslininkams, ypač MVĮ ir startuoliams,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 </w:t>
            </w:r>
            <w:r>
              <w:rPr>
                <w:b/>
                <w:i/>
              </w:rPr>
              <w:t>ir startuoliams</w:t>
            </w:r>
            <w:r>
              <w:t>,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c>
          <w:tcPr>
            <w:tcW w:w="4876" w:type="dxa"/>
            <w:tcBorders>
              <w:top w:val="nil"/>
              <w:left w:val="nil"/>
              <w:bottom w:val="nil"/>
              <w:right w:val="nil"/>
            </w:tcBorders>
          </w:tcPr>
          <w:p>
            <w:pPr>
              <w:pStyle w:val="Normal6a"/>
            </w:pPr>
            <w:r>
              <w:t>7.</w:t>
            </w:r>
            <w:r>
              <w:tab/>
            </w:r>
            <w:r>
              <w:t>ragina Komisiją ir Tarybą teikti pirmenybę tam, kad būtų mažinamos biurokratinės ir fiskalinės kliūtys, darančios poveikį verslumui, ypač mažųjų ir vidutinių įmonių (MVĮ) ir startuolių, kurie yra labai svarbūs ES ekonomikos augimui ir konkurencingumui, taigi ir socialinės politikos finansavimui; mano, kad geresnė parama verslininkams, ypač MVĮ</w:t>
            </w:r>
            <w:r>
              <w:rPr>
                <w:b/>
                <w:i/>
              </w:rPr>
              <w:t>, startuoliams ir savarankiškai dirbantiems asmenims</w:t>
            </w:r>
            <w:r>
              <w:t>, padidins ES konkurencingumą, paskatins inovacijas ir kurs kokybiškas darbo vietas; ragina skubiai įgyvendinti konkrečias rekomendacijas siekiant baigti kurti bendrąją rinką ir sudaryti palankesnes sąlygas gauti finansavimą per viešojo ir privačiojo sektorių partnerystės platformas ir socialinę ekonomiką, siekiant skatinti dinamišką verslo aplinką;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primena, kad svarbu gerinti savarankiškai dirbančių asmenų galimybes naudotis socialine apsauga, ir ragina Komisiją stebėti valstybių narių nacionalinius Tarybos rekomendacijos dėl darbuotojų ir savarankiškai dirbančių asmenų socialinės apsaugos galimybių įgyvendinimo planus, kurie yra konkrečioms šalims skirtų rekomendacijų dalis;</w:t>
            </w:r>
            <w:r>
              <w:t xml:space="preserve"> </w:t>
            </w:r>
            <w:r>
              <w:rPr>
                <w:b/>
                <w:i/>
              </w:rPr>
              <w:t>atsižvelgdamas į tai, primena 13 iniciatyvų, nustatytų 2024 m. vasario 21 d. Komisijos atsakyme į 2023 m. lapkričio 21 d. Europos Parlamento rezoliuciją dėl ES kultūros ir kūrybos sektorių menininkų ir darbuotojų socialinės ir profesinės padėties sistemos, nes savarankiškai dirbančių specialistų skaičius kultūros ir kūrybos sektoriuose yra daugiau nei dvigubai didesnis nei plačiosios visuomenės, ir ragina Komisiją pradėti jas įgyvendinti bendradarbiaujant su valstybėmis narėmis;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įspėja dėl socialinės rizikos, kylančios dėl krizės automobilių sektoriuje, kuris susiduria su precedento neturinčiu spaudimu tiek dėl išorės, tiek dėl vidaus veiksnių;</w:t>
            </w:r>
            <w:r>
              <w:t xml:space="preserve"> </w:t>
            </w:r>
            <w:r>
              <w:rPr>
                <w:b/>
                <w:i/>
              </w:rPr>
              <w:t>ragina Europos Komisiją atkreipti dėmesį į šį sektorių, kartu naudojant socialinių rodiklių suvestinės rodiklius, kad būtų galima stebėti darbuotojų apsaugą ir stiprinti socialinį dialogą bei darbuotojų dalyvavimą pertvarkos procesuose;</w:t>
            </w:r>
            <w:r>
              <w:t xml:space="preserve"> </w:t>
            </w:r>
            <w:r>
              <w:rPr>
                <w:b/>
                <w:i/>
              </w:rPr>
              <w:t>pabrėžia, kad, siekiant reaguoti į dabartinę krizę, skubiai reikia koordinuoto ES atsako pasitelkiant profesinių sąjungų ir darbdavių ekstremaliųjų situacijų darbo grupę;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atlikti kiekvieno naujo pasiūlymo dėl teisėkūros procedūra priimamo akto konkurencingumo patikras, atsižvelgiant į bendrą ES teisės aktų poveikį įmonėms, taip pat kitoms ES politikos sritims ir programoms;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pabrėžia, kad reikia skatinti viešojo ir privačiojo sektorių partnerystę siekiant pagerinti pagrindinių socialinių paslaugų, pvz., švietimo, sveikatos ir socialinės rūpybos, teikimo veiksmingumą;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pabrėžia, kad reikia skatinti viešojo ir privačiojo sektorių partnerystę siekiant pagerinti pagrindinių socialinių paslaugų, pvz., švietimo, sveikatos ir socialinės rūpybos, teikimo veiksmingumą;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pabrėžia, kad reikia </w:t>
            </w:r>
            <w:r>
              <w:rPr>
                <w:b/>
                <w:i/>
              </w:rPr>
              <w:t>skatinti viešojo ir privačiojo sektorių partnerystę siekiant pagerinti</w:t>
            </w:r>
            <w:r>
              <w:t xml:space="preserve"> pagrindinių socialinių paslaugų, pvz., švietimo, sveikatos ir socialinės rūpybos, teikimo veiksmingumą;</w:t>
            </w:r>
          </w:p>
        </w:tc>
        <w:tc>
          <w:tcPr>
            <w:tcW w:w="4876" w:type="dxa"/>
            <w:tcBorders>
              <w:top w:val="nil"/>
              <w:left w:val="nil"/>
              <w:bottom w:val="nil"/>
              <w:right w:val="nil"/>
            </w:tcBorders>
          </w:tcPr>
          <w:p>
            <w:pPr>
              <w:pStyle w:val="Normal6a"/>
            </w:pPr>
            <w:r>
              <w:t>8.</w:t>
            </w:r>
            <w:r>
              <w:tab/>
            </w:r>
            <w:r>
              <w:t xml:space="preserve">pabrėžia, kad reikia </w:t>
            </w:r>
            <w:r>
              <w:rPr>
                <w:b/>
                <w:i/>
              </w:rPr>
              <w:t>gerinti</w:t>
            </w:r>
            <w:r>
              <w:t xml:space="preserve"> pagrindinių socialinių paslaugų, pvz., švietimo, sveikatos ir socialinės rūpybos</w:t>
            </w:r>
            <w:r>
              <w:rPr>
                <w:b/>
                <w:i/>
              </w:rPr>
              <w:t>, įskaitant vaikų priežiūrą ir ilgalaikę priežiūrą</w:t>
            </w:r>
            <w:r>
              <w:t xml:space="preserve">, teikimo </w:t>
            </w:r>
            <w:r>
              <w:rPr>
                <w:b/>
                <w:i/>
              </w:rPr>
              <w:t>kokybę, aprėptį, įperkamumą ir</w:t>
            </w:r>
            <w:r>
              <w:t xml:space="preserve"> veiksmingumą; </w:t>
            </w:r>
            <w:r>
              <w:rPr>
                <w:b/>
                <w:i/>
              </w:rPr>
              <w:t>primygtinai ragina valstybes nares toliau įgyvendinti Tarybos rekomendaciją dėl galimybės gauti įperkamas, kokybiškas ilgalaikės priežiūros paslaugas, siekiant užtikrinti galimybę naudotis kokybiškomis priežiūros paslaugomis, kartu užtikrinant deramas priežiūros sektoriaus darbuotojų ir neformaliųjų prižiūrinčiųjų asmenų darbo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pabrėžia, kad </w:t>
            </w:r>
            <w:r>
              <w:rPr>
                <w:b/>
                <w:i/>
              </w:rPr>
              <w:t>reikia</w:t>
            </w:r>
            <w:r>
              <w:t xml:space="preserve"> skatinti viešojo ir privačiojo sektorių partnerystę siekiant pagerinti </w:t>
            </w:r>
            <w:r>
              <w:rPr>
                <w:b/>
                <w:i/>
              </w:rPr>
              <w:t>pagrindinių</w:t>
            </w:r>
            <w:r>
              <w:t xml:space="preserve"> socialinių paslaugų, pvz., švietimo, sveikatos ir socialinės rūpybos, teikimo veiksmingumą;</w:t>
            </w:r>
          </w:p>
        </w:tc>
        <w:tc>
          <w:tcPr>
            <w:tcW w:w="4876" w:type="dxa"/>
            <w:tcBorders>
              <w:top w:val="nil"/>
              <w:left w:val="nil"/>
              <w:bottom w:val="nil"/>
              <w:right w:val="nil"/>
            </w:tcBorders>
          </w:tcPr>
          <w:p>
            <w:pPr>
              <w:pStyle w:val="Normal6a"/>
            </w:pPr>
            <w:r>
              <w:t>8.</w:t>
            </w:r>
            <w:r>
              <w:tab/>
            </w:r>
            <w:r>
              <w:t xml:space="preserve">pabrėžia, kad </w:t>
            </w:r>
            <w:r>
              <w:rPr>
                <w:b/>
                <w:i/>
              </w:rPr>
              <w:t>valstybės narės turi</w:t>
            </w:r>
            <w:r>
              <w:t xml:space="preserve"> skatinti viešojo ir privačiojo sektorių partnerystę siekiant pagerinti </w:t>
            </w:r>
            <w:r>
              <w:rPr>
                <w:b/>
                <w:i/>
              </w:rPr>
              <w:t>viešųjų</w:t>
            </w:r>
            <w:r>
              <w:t xml:space="preserve"> socialinių paslaugų, pvz., švietimo, sveikatos</w:t>
            </w:r>
            <w:r>
              <w:rPr>
                <w:b/>
                <w:i/>
              </w:rPr>
              <w:t>, būsto</w:t>
            </w:r>
            <w:r>
              <w:t xml:space="preserve"> ir socialinės rūpybos, </w:t>
            </w:r>
            <w:r>
              <w:rPr>
                <w:b/>
                <w:i/>
              </w:rPr>
              <w:t>taip pat vaikų apsaugos,</w:t>
            </w:r>
            <w:r>
              <w:t xml:space="preserve"> teikimo veiksmingumą</w:t>
            </w:r>
            <w:r>
              <w:rPr>
                <w:b/>
                <w:i/>
              </w:rPr>
              <w:t>, kartu užtikrinant valstybių narių atsakomybę už kokybiškų viešųjų paslaugų teikimą ir prieinamumą šiose srityse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pabrėžia, kad reikia skatinti viešojo ir privačiojo sektorių partnerystę siekiant pagerinti pagrindinių socialinių paslaugų, pvz., švietimo, sveikatos ir socialinės rūpybos, teikimo veiksmingumą;</w:t>
            </w:r>
          </w:p>
        </w:tc>
        <w:tc>
          <w:tcPr>
            <w:tcW w:w="4876" w:type="dxa"/>
            <w:tcBorders>
              <w:top w:val="nil"/>
              <w:left w:val="nil"/>
              <w:bottom w:val="nil"/>
              <w:right w:val="nil"/>
            </w:tcBorders>
          </w:tcPr>
          <w:p>
            <w:pPr>
              <w:pStyle w:val="Normal6a"/>
            </w:pPr>
            <w:r>
              <w:t>8.</w:t>
            </w:r>
            <w:r>
              <w:tab/>
            </w:r>
            <w:r>
              <w:t>pabrėžia, kad reikia skatinti viešojo ir privačiojo sektorių partnerystę siekiant pagerinti pagrindinių socialinių paslaugų, pvz., švietimo, sveikatos ir socialinės rūpybos, teikimo veiksmingumą</w:t>
            </w:r>
            <w:r>
              <w:rPr>
                <w:b/>
                <w:i/>
              </w:rPr>
              <w:t>, jei (ir tik tokiu atveju, jei) viešojo ir privačiojo sektorių sinergija yra tikėtina ir įrodyta jei tai nereiškia, kad bus vykdoma ideologinė ir beprasmė privatizacija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pabrėžia, kad reikia </w:t>
            </w:r>
            <w:r>
              <w:rPr>
                <w:b/>
                <w:i/>
              </w:rPr>
              <w:t>skatinti</w:t>
            </w:r>
            <w:r>
              <w:t xml:space="preserve"> viešojo ir privačiojo sektorių </w:t>
            </w:r>
            <w:r>
              <w:rPr>
                <w:b/>
                <w:i/>
              </w:rPr>
              <w:t>partnerystę</w:t>
            </w:r>
            <w:r>
              <w:t xml:space="preserve"> siekiant pagerinti pagrindinių socialinių paslaugų, pvz., švietimo, sveikatos ir socialinės rūpybos, teikimo veiksmingumą;</w:t>
            </w:r>
          </w:p>
        </w:tc>
        <w:tc>
          <w:tcPr>
            <w:tcW w:w="4876" w:type="dxa"/>
            <w:tcBorders>
              <w:top w:val="nil"/>
              <w:left w:val="nil"/>
              <w:bottom w:val="nil"/>
              <w:right w:val="nil"/>
            </w:tcBorders>
          </w:tcPr>
          <w:p>
            <w:pPr>
              <w:pStyle w:val="Normal6a"/>
            </w:pPr>
            <w:r>
              <w:t>8.</w:t>
            </w:r>
            <w:r>
              <w:tab/>
            </w:r>
            <w:r>
              <w:rPr>
                <w:b/>
                <w:i/>
              </w:rPr>
              <w:t>pritaria Enrico Lettos pasiūlymui dėl „penktosios laisvės“ siekiant skatinti mokslinius tyrimus, inovacijas ir švietimą bendrojoje rinkoje ir šiuo atžvilgiu</w:t>
            </w:r>
            <w:r>
              <w:t xml:space="preserve"> pabrėžia, kad reikia </w:t>
            </w:r>
            <w:r>
              <w:rPr>
                <w:b/>
                <w:i/>
              </w:rPr>
              <w:t>tinkamai pasinaudoti</w:t>
            </w:r>
            <w:r>
              <w:t xml:space="preserve"> viešojo ir privačiojo sektorių </w:t>
            </w:r>
            <w:r>
              <w:rPr>
                <w:b/>
                <w:i/>
              </w:rPr>
              <w:t>partneryste</w:t>
            </w:r>
            <w:r>
              <w:t xml:space="preserve"> siekiant pagerinti pagrindinių socialinių paslaugų, pvz., švietimo, sveikatos ir socialinės rūpybos, teikimo veiksmingumą;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yra susirūpinęs dėl daugelio nacionalinės politikos sričių, dėl kurių vis dar atsiranda spragų sveikatos apsaugos srityje, didėja nelygybė tiek valstybėse narėse, tiek tarp jų, pvz., viešųjų sveikatos priežiūros sistemų privatizavimas, bendri mokėjimai ir nepakankama aprėptis;</w:t>
            </w:r>
            <w:r>
              <w:t xml:space="preserve"> </w:t>
            </w:r>
            <w:r>
              <w:rPr>
                <w:b/>
                <w:i/>
              </w:rPr>
              <w:t>pabrėžia, kad dėl to didėja skurdas, blogėja sveikata ir gerovė ir didėja socialinė nelygybė ES šalyse ir tarp jų;</w:t>
            </w:r>
            <w:r>
              <w:t xml:space="preserve"> </w:t>
            </w:r>
            <w:r>
              <w:rPr>
                <w:b/>
                <w:i/>
              </w:rPr>
              <w:t>įspėja, kad tai taip pat trukdo įgyvendinti ramsčio 16 principą ir 3.8 DVT dėl visuotinės sveikatos apsaugos, taip pat bendrą ramsčio tikslą skatinti aukštynkryptę socialinę konvergenciją ES, nė vieno nepaliekant nuošalyje;</w:t>
            </w:r>
            <w:r>
              <w:t xml:space="preserve"> </w:t>
            </w:r>
            <w:r>
              <w:rPr>
                <w:b/>
                <w:i/>
              </w:rPr>
              <w:t>mano, kad socialinių rodiklių suvestinėje naudojami rodikliai neleidžia visapusiškai suprasti sveikatos priežiūros įperkamumo;</w:t>
            </w:r>
            <w:r>
              <w:t xml:space="preserve"> </w:t>
            </w:r>
            <w:r>
              <w:rPr>
                <w:b/>
                <w:i/>
              </w:rPr>
              <w:t>ragina Komisiją į rezultatų suvestinę įtraukti šiuos finansinių sunkumų rodiklius, pvz., skurdinančias ir neproporcingai dideles sveikatos priežiūros išlaidas, taip pat kokybinę įvairių aprėpties politikos aspektų (gyventojų aprėpties, išmokų paketo ir naudotojo mokesčių arba priemokų) valstybėse narėse analizę, kad būtų galima nustatyti pokyčius, kurių reikia siekiant pagerinti galimybes naudotis įperkamomis sveikatos priežiūros paslaugomis;</w:t>
            </w:r>
            <w:r>
              <w:t xml:space="preserve"> </w:t>
            </w:r>
            <w:r>
              <w:rPr>
                <w:b/>
                <w:i/>
              </w:rPr>
              <w:t>ragina Komisiją pateikti iniciatyvą siekiant visiems užtikrinti tinkamą visuotinę sveikatos apsaugą, kad visi galėtų naudotis kokybiškomis sveikatos priežiūros paslaugomis nepatirdami finansinių sunkumų;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mano, kad socialinė ekonomika yra esminė ES socialinės rinkos ekonomikos sudedamoji dalis ir Europos socialinių teisių ramsčio bei jo tikslų įgyvendinimo varomoji jėga, dažnai užtikrinanti užimtumą pažeidžiamoms ir atskirtoms grupėms;</w:t>
            </w:r>
            <w:r>
              <w:t xml:space="preserve"> </w:t>
            </w:r>
            <w:r>
              <w:rPr>
                <w:b/>
                <w:i/>
              </w:rPr>
              <w:t>ragina valstybes nares toliau stiprinti socialinę ekonomiką laikantis ES socialinės ekonomikos veiksmų plano ir Lježo socialinės ekonomikos Europos Sąjungoje veiksmų gairių;</w:t>
            </w:r>
            <w:r>
              <w:t xml:space="preserve"> </w:t>
            </w:r>
            <w:r>
              <w:rPr>
                <w:b/>
                <w:i/>
              </w:rPr>
              <w:t>pakartoja savo raginimą Komisijai išnagrinėti novatoriškus finansavimo mechanizmus, pvz., socialinio poveikio obligacijas, siekiant finansuoti projektus, kuriais remiamas socialinės ekonomikos vystymasis Europoje</w:t>
            </w:r>
            <w:r>
              <w:rPr>
                <w:b/>
                <w:i/>
                <w:vertAlign w:val="superscript"/>
              </w:rPr>
              <w:t>19a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2022 m. liepos 6 d. Europos Parlamento rezoliucija dėl ES socialinės ekonomikos veiksmų plano (2021/2179(INI)).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ragina šiais pereinamojo laikotarpio metais valstybėms narėms, įgyvendinančioms persvarstytas ekonomikos valdymo taisykles, suteikti galimybę fiskalinę atsakomybę suderinti su tvariu augimu, ir pažymi, kad vidutinės trukmės fiskaliniuose planuose pirmenybė turėtų būti teikiama skolos tvarumui, drauge strategiškai investuojant į švietimą, sveikatos priežiūrą ir būstą;</w:t>
            </w:r>
            <w:r>
              <w:t xml:space="preserve"> </w:t>
            </w:r>
            <w:r>
              <w:rPr>
                <w:b/>
                <w:i/>
              </w:rPr>
              <w:t>pabrėžia, kad viešųjų ir privačiųjų subjektų bendradarbiavimas yra labai svarbus siekiant optimizuoti išteklius ir užtikrinti teisėtą viešųjų lėšų naudojimą;</w:t>
            </w:r>
            <w:r>
              <w:t xml:space="preserve"> </w:t>
            </w:r>
            <w:r>
              <w:rPr>
                <w:b/>
                <w:i/>
              </w:rPr>
              <w:t>mano, kad konkrečioms šalims skirtos rekomendacijos, kuriomis siekiama skatinti tvarias valstybines pensijų sistemas ir sveikatos priežiūrą, turėtų būti veiksmingai įgyvendinamos ir turėtų būti skatinamas konkurencingumas ir visų piliečių ilgalaikė gerovė;</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šiais pereinamojo laikotarpio metais valstybėms narėms, įgyvendinančioms persvarstytas ekonomikos valdymo taisykles, suteikti galimybę fiskalinę atsakomybę suderinti su tvariu augimu</w:t>
            </w:r>
            <w:r>
              <w:rPr>
                <w:b/>
                <w:i/>
              </w:rPr>
              <w:t>, ir</w:t>
            </w:r>
            <w:r>
              <w:t xml:space="preserve"> pažymi, kad vidutinės trukmės fiskaliniuose planuose pirmenybė turėtų būti teikiama skolos tvarumui, drauge strategiškai investuojant į švietimą, sveikatos priežiūrą </w:t>
            </w:r>
            <w:r>
              <w:rPr>
                <w:b/>
                <w:i/>
              </w:rPr>
              <w:t>ir</w:t>
            </w:r>
            <w:r>
              <w:t xml:space="preserve"> būstą; pabrėžia, kad viešųjų ir privačiųjų subjektų bendradarbiavimas </w:t>
            </w:r>
            <w:r>
              <w:rPr>
                <w:b/>
                <w:i/>
              </w:rPr>
              <w:t>yra labai svarbus siekiant</w:t>
            </w:r>
            <w:r>
              <w:t xml:space="preserve"> optimizuoti išteklius ir užtikrinti teisėtą viešųjų lėšų naudojimą; mano, kad konkrečioms šalims skirtos rekomendacijos, kuriomis siekiama skatinti tvarias valstybines pensijų sistemas ir sveikatos priežiūrą, turėtų būti </w:t>
            </w:r>
            <w:r>
              <w:rPr>
                <w:b/>
                <w:i/>
              </w:rPr>
              <w:t>veiksmingai įgyvendinamos ir turėtų būti skatinamas konkurencingumas ir visų piliečių ilgalaikė gerovė</w:t>
            </w:r>
            <w:r>
              <w:t>;</w:t>
            </w:r>
          </w:p>
        </w:tc>
        <w:tc>
          <w:tcPr>
            <w:tcW w:w="4876" w:type="dxa"/>
            <w:tcBorders>
              <w:top w:val="nil"/>
              <w:left w:val="nil"/>
              <w:bottom w:val="nil"/>
              <w:right w:val="nil"/>
            </w:tcBorders>
          </w:tcPr>
          <w:p>
            <w:pPr>
              <w:pStyle w:val="Normal6a"/>
            </w:pPr>
            <w:r>
              <w:t>9.</w:t>
            </w:r>
            <w:r>
              <w:tab/>
            </w:r>
            <w:r>
              <w:t xml:space="preserve">ragina šiais pereinamojo laikotarpio metais valstybėms narėms, įgyvendinančioms persvarstytas ekonomikos valdymo taisykles, suteikti galimybę fiskalinę atsakomybę suderinti su tvariu </w:t>
            </w:r>
            <w:r>
              <w:rPr>
                <w:b/>
                <w:i/>
              </w:rPr>
              <w:t>ir integraciniu</w:t>
            </w:r>
            <w:r>
              <w:t xml:space="preserve"> augimu</w:t>
            </w:r>
            <w:r>
              <w:rPr>
                <w:b/>
                <w:i/>
              </w:rPr>
              <w:t>; pažymi, kad socialinių partnerių dalyvavimas turėtų būti stiprinamas visais lygmenimis, siekiant prisidėti prie naujosios 2024 m. ekonomikos valdymo sistemos tikslų, visų pirma, prieš pateikiant vidutinės trukmės fiskalinius struktūrinius planus turėtų būti užtikrintos išankstinės konsultacijos su socialiniais partneriais;</w:t>
            </w:r>
            <w:r>
              <w:t xml:space="preserve"> pažymi, kad vidutinės trukmės fiskaliniuose planuose pirmenybė turėtų būti teikiama skolos tvarumui, drauge strategiškai investuojant į </w:t>
            </w:r>
            <w:r>
              <w:rPr>
                <w:b/>
                <w:i/>
              </w:rPr>
              <w:t>kokybišką</w:t>
            </w:r>
            <w:r>
              <w:t xml:space="preserve"> švietimą, </w:t>
            </w:r>
            <w:r>
              <w:rPr>
                <w:b/>
                <w:i/>
              </w:rPr>
              <w:t>kokybišką mokymą, kokybiškas viešąsias ir socialines paslaugas,</w:t>
            </w:r>
            <w:r>
              <w:t xml:space="preserve"> sveikatos </w:t>
            </w:r>
            <w:r>
              <w:rPr>
                <w:b/>
                <w:i/>
              </w:rPr>
              <w:t>ir ilgalaikę</w:t>
            </w:r>
            <w:r>
              <w:t xml:space="preserve"> priežiūrą </w:t>
            </w:r>
            <w:r>
              <w:rPr>
                <w:b/>
                <w:i/>
              </w:rPr>
              <w:t>bei įperkamą</w:t>
            </w:r>
            <w:r>
              <w:t xml:space="preserve"> būstą </w:t>
            </w:r>
            <w:r>
              <w:rPr>
                <w:b/>
                <w:i/>
              </w:rPr>
              <w:t>ir socialines paslaugas;</w:t>
            </w:r>
            <w:r>
              <w:t xml:space="preserve"> </w:t>
            </w:r>
            <w:r>
              <w:rPr>
                <w:b/>
                <w:i/>
              </w:rPr>
              <w:t>rekomenduoja naudoti lyginamąją statistiką, pvz., socialinių paslaugų indekso išvadas, siekiant nustatyti socialinių paslaugų teisės aktų, finansavimo ir prieinamumo spragas ir nukreipti strategines investicijas į tokias sritis kaip vaikų apsauga, ilgalaikė priežiūra ir bendruomeninė parama</w:t>
            </w:r>
            <w:r>
              <w:t xml:space="preserve">; pabrėžia, kad viešųjų ir privačiųjų subjektų bendradarbiavimas </w:t>
            </w:r>
            <w:r>
              <w:rPr>
                <w:b/>
                <w:i/>
              </w:rPr>
              <w:t>kartais yra geras būdas</w:t>
            </w:r>
            <w:r>
              <w:t xml:space="preserve"> optimizuoti išteklius ir užtikrinti teisėtą viešųjų lėšų naudojimą; mano, kad konkrečioms šalims skirtos rekomendacijos, kuriomis siekiama skatinti tvarias valstybines pensijų sistemas ir sveikatos priežiūrą, turėtų būti </w:t>
            </w:r>
            <w:r>
              <w:rPr>
                <w:b/>
                <w:i/>
              </w:rPr>
              <w:t>skatinamos pensijos, užtikrinančios orų gyvenimą, gerovę ir kokybišką įperkamą sveikatą, sveikatinimą ir prevenciją visiems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šiais pereinamojo laikotarpio metais valstybėms narėms, įgyvendinančioms persvarstytas ekonomikos valdymo taisykles, suteikti galimybę fiskalinę atsakomybę suderinti su </w:t>
            </w:r>
            <w:r>
              <w:rPr>
                <w:b/>
                <w:i/>
              </w:rPr>
              <w:t>tvariu augimu</w:t>
            </w:r>
            <w:r>
              <w:t xml:space="preserve">, ir pažymi, kad vidutinės trukmės fiskaliniuose planuose pirmenybė turėtų būti teikiama </w:t>
            </w:r>
            <w:r>
              <w:rPr>
                <w:b/>
                <w:i/>
              </w:rPr>
              <w:t>skolos</w:t>
            </w:r>
            <w:r>
              <w:t xml:space="preserve"> tvarumui, drauge strategiškai investuojant į švietimą, sveikatos priežiūrą ir būstą; pabrėžia, kad viešųjų ir privačiųjų subjektų bendradarbiavimas yra labai svarbus siekiant optimizuoti išteklius </w:t>
            </w:r>
            <w:r>
              <w:rPr>
                <w:b/>
                <w:i/>
              </w:rPr>
              <w:t>ir užtikrinti teisėtą viešųjų lėšų naudojimą;</w:t>
            </w:r>
            <w:r>
              <w:t xml:space="preserve"> </w:t>
            </w:r>
            <w:r>
              <w:rPr>
                <w:b/>
                <w:i/>
              </w:rPr>
              <w:t>mano, kad konkrečioms šalims skirtos rekomendacijos, kuriomis siekiama skatinti tvarias valstybines pensijų sistemas ir sveikatos priežiūrą, turėtų būti veiksmingai įgyvendinamos ir turėtų būti skatinamas konkurencingumas ir visų piliečių ilgalaikė gerovė</w:t>
            </w:r>
            <w:r>
              <w:t>;</w:t>
            </w:r>
          </w:p>
        </w:tc>
        <w:tc>
          <w:tcPr>
            <w:tcW w:w="4876" w:type="dxa"/>
            <w:tcBorders>
              <w:top w:val="nil"/>
              <w:left w:val="nil"/>
              <w:bottom w:val="nil"/>
              <w:right w:val="nil"/>
            </w:tcBorders>
          </w:tcPr>
          <w:p>
            <w:pPr>
              <w:pStyle w:val="Normal6a"/>
            </w:pPr>
            <w:r>
              <w:t>9.</w:t>
            </w:r>
            <w:r>
              <w:tab/>
            </w:r>
            <w:r>
              <w:t>ragina šiais pereinamojo laikotarpio metais valstybėms narėms, įgyvendinančioms persvarstytas ekonomikos valdymo taisykles, suteikti galimybę fiskalinę atsakomybę suderinti su </w:t>
            </w:r>
            <w:r>
              <w:rPr>
                <w:b/>
                <w:i/>
              </w:rPr>
              <w:t>tvarumu ir gerove</w:t>
            </w:r>
            <w:r>
              <w:t xml:space="preserve">, ir pažymi, kad vidutinės trukmės fiskaliniuose planuose pirmenybė turėtų būti teikiama </w:t>
            </w:r>
            <w:r>
              <w:rPr>
                <w:b/>
                <w:i/>
              </w:rPr>
              <w:t>socialiniam</w:t>
            </w:r>
            <w:r>
              <w:t xml:space="preserve"> tvarumui, drauge strategiškai investuojant į </w:t>
            </w:r>
            <w:r>
              <w:rPr>
                <w:b/>
                <w:i/>
              </w:rPr>
              <w:t>valstybinį</w:t>
            </w:r>
            <w:r>
              <w:t xml:space="preserve"> švietimą, sveikatos priežiūrą ir būstą; pabrėžia, kad viešųjų ir privačiųjų subjektų bendradarbiavimas yra labai svarbus siekiant optimizuoti išteklius</w:t>
            </w:r>
            <w:r>
              <w:rPr>
                <w:b/>
                <w:i/>
              </w:rPr>
              <w:t>;</w:t>
            </w:r>
            <w:r>
              <w:t xml:space="preserve"> </w:t>
            </w:r>
            <w:r>
              <w:rPr>
                <w:b/>
                <w:i/>
              </w:rPr>
              <w:t>mano, kad konkrečioms šalims skirtose rekomendacijose reikėtų atsisakyti nuolatinio valstybinių pensijų ir sveikatos priežiūros sistemų biudžeto mažinimo logikos ir vietoj to pateikti reformų pasiūlymus, kuriais būtų skatinama visų piliečių ekonominė ir socialinė gerovė;</w:t>
            </w:r>
            <w:r>
              <w:t xml:space="preserve"> </w:t>
            </w:r>
            <w:r>
              <w:rPr>
                <w:b/>
                <w:i/>
              </w:rPr>
              <w:t>primena, kad svarbu išsaugoti tinkamas pajamas visų darbuotojų oriam gyvenimui jų išėjimo į pensiją laikotarpiu, kartu atsižvelgiant į tų darbuotojų, kurių karjera yra segmentuota, nepastovi ir kurių darbo vieta keičiama, pažeidžiamumą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šiais pereinamojo laikotarpio metais valstybėms narėms</w:t>
            </w:r>
            <w:r>
              <w:rPr>
                <w:b/>
                <w:i/>
              </w:rPr>
              <w:t>, įgyvendinančioms persvarstytas ekonomikos valdymo taisykles,</w:t>
            </w:r>
            <w:r>
              <w:t xml:space="preserve"> suteikti galimybę </w:t>
            </w:r>
            <w:r>
              <w:rPr>
                <w:b/>
                <w:i/>
              </w:rPr>
              <w:t>fiskalinę atsakomybę suderinti su tvariu augimu,</w:t>
            </w:r>
            <w:r>
              <w:t xml:space="preserve"> ir pažymi, kad vidutinės trukmės fiskaliniuose planuose pirmenybė turėtų būti teikiama skolos tvarumui, drauge strategiškai investuojant į švietimą, sveikatos priežiūrą ir būstą</w:t>
            </w:r>
            <w:r>
              <w:rPr>
                <w:b/>
                <w:i/>
              </w:rPr>
              <w:t>;</w:t>
            </w:r>
            <w:r>
              <w:t xml:space="preserve"> </w:t>
            </w:r>
            <w:r>
              <w:rPr>
                <w:b/>
                <w:i/>
              </w:rPr>
              <w:t>pabrėžia, kad viešųjų ir privačiųjų subjektų bendradarbiavimas yra labai svarbus</w:t>
            </w:r>
            <w:r>
              <w:t xml:space="preserve"> siekiant </w:t>
            </w:r>
            <w:r>
              <w:rPr>
                <w:b/>
                <w:i/>
              </w:rPr>
              <w:t>optimizuoti išteklius ir užtikrinti teisėtą viešųjų lėšų naudojimą;</w:t>
            </w:r>
            <w:r>
              <w:t xml:space="preserve"> </w:t>
            </w:r>
            <w:r>
              <w:rPr>
                <w:b/>
                <w:i/>
              </w:rPr>
              <w:t>mano, kad konkrečioms šalims skirtos rekomendacijos, kuriomis siekiama</w:t>
            </w:r>
            <w:r>
              <w:t xml:space="preserve"> skatinti </w:t>
            </w:r>
            <w:r>
              <w:rPr>
                <w:b/>
                <w:i/>
              </w:rPr>
              <w:t>tvarias valstybines pensijų sistemas ir sveikatos priežiūrą, turėtų būti veiksmingai įgyvendinamos ir turėtų būti skatinamas konkurencingumas</w:t>
            </w:r>
            <w:r>
              <w:t xml:space="preserve"> ir visų piliečių </w:t>
            </w:r>
            <w:r>
              <w:rPr>
                <w:b/>
                <w:i/>
              </w:rPr>
              <w:t>ilgalaikė gerovė</w:t>
            </w:r>
            <w:r>
              <w:t>;</w:t>
            </w:r>
          </w:p>
        </w:tc>
        <w:tc>
          <w:tcPr>
            <w:tcW w:w="4876" w:type="dxa"/>
            <w:tcBorders>
              <w:top w:val="nil"/>
              <w:left w:val="nil"/>
              <w:bottom w:val="nil"/>
              <w:right w:val="nil"/>
            </w:tcBorders>
          </w:tcPr>
          <w:p>
            <w:pPr>
              <w:pStyle w:val="Normal6a"/>
            </w:pPr>
            <w:r>
              <w:t>9.</w:t>
            </w:r>
            <w:r>
              <w:tab/>
            </w:r>
            <w:r>
              <w:t xml:space="preserve">ragina šiais pereinamojo laikotarpio metais valstybėms narėms suteikti galimybę </w:t>
            </w:r>
            <w:r>
              <w:rPr>
                <w:b/>
                <w:i/>
              </w:rPr>
              <w:t>siekti tvaraus augimo</w:t>
            </w:r>
            <w:r>
              <w:t> ir pažymi, kad vidutinės trukmės fiskaliniuose planuose pirmenybė turėtų būti teikiama skolos tvarumui, drauge strategiškai investuojant į švietimą, sveikatos priežiūrą ir būstą</w:t>
            </w:r>
            <w:r>
              <w:rPr>
                <w:b/>
                <w:i/>
              </w:rPr>
              <w:t>,</w:t>
            </w:r>
            <w:r>
              <w:t xml:space="preserve"> siekiant skatinti </w:t>
            </w:r>
            <w:r>
              <w:rPr>
                <w:b/>
                <w:i/>
              </w:rPr>
              <w:t>socialinę sanglaudą</w:t>
            </w:r>
            <w:r>
              <w:t xml:space="preserve"> ir visų piliečių </w:t>
            </w:r>
            <w:r>
              <w:rPr>
                <w:b/>
                <w:i/>
              </w:rPr>
              <w:t>ilgalaikę gerovę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šiais pereinamojo laikotarpio metais valstybėms narėms, įgyvendinančioms persvarstytas ekonomikos valdymo taisykles, suteikti galimybę fiskalinę atsakomybę suderinti su tvariu augimu, ir pažymi, kad vidutinės trukmės fiskaliniuose planuose pirmenybė turėtų būti teikiama skolos tvarumui, drauge strategiškai investuojant į švietimą, sveikatos priežiūrą ir būstą; pabrėžia, kad viešųjų ir privačiųjų subjektų bendradarbiavimas yra labai svarbus siekiant optimizuoti išteklius ir užtikrinti teisėtą viešųjų lėšų naudojimą; mano, kad konkrečioms šalims skirtos rekomendacijos, kuriomis siekiama skatinti </w:t>
            </w:r>
            <w:r>
              <w:rPr>
                <w:b/>
                <w:i/>
              </w:rPr>
              <w:t>tvarias valstybines</w:t>
            </w:r>
            <w:r>
              <w:t xml:space="preserve"> pensijų sistemas ir sveikatos priežiūrą, turėtų būti veiksmingai įgyvendinamos ir turėtų būti skatinamas </w:t>
            </w:r>
            <w:r>
              <w:rPr>
                <w:b/>
                <w:i/>
              </w:rPr>
              <w:t>konkurencingumas</w:t>
            </w:r>
            <w:r>
              <w:t xml:space="preserve"> ir visų piliečių ilgalaikė gerovė;</w:t>
            </w:r>
          </w:p>
        </w:tc>
        <w:tc>
          <w:tcPr>
            <w:tcW w:w="4876" w:type="dxa"/>
            <w:tcBorders>
              <w:top w:val="nil"/>
              <w:left w:val="nil"/>
              <w:bottom w:val="nil"/>
              <w:right w:val="nil"/>
            </w:tcBorders>
          </w:tcPr>
          <w:p>
            <w:pPr>
              <w:pStyle w:val="Normal6a"/>
            </w:pPr>
            <w:r>
              <w:t>9.</w:t>
            </w:r>
            <w:r>
              <w:tab/>
            </w:r>
            <w:r>
              <w:t xml:space="preserve">ragina šiais pereinamojo laikotarpio metais valstybėms narėms, įgyvendinančioms persvarstytas ekonomikos valdymo taisykles, suteikti galimybę fiskalinę atsakomybę suderinti su tvariu augimu, ir pažymi, kad vidutinės trukmės fiskaliniuose planuose pirmenybė turėtų būti teikiama skolos tvarumui, drauge strategiškai investuojant į </w:t>
            </w:r>
            <w:r>
              <w:rPr>
                <w:b/>
                <w:i/>
              </w:rPr>
              <w:t>Europos socialinių teisių ramsčio tikslus, pvz.,</w:t>
            </w:r>
            <w:r>
              <w:t xml:space="preserve"> švietimą </w:t>
            </w:r>
            <w:r>
              <w:rPr>
                <w:b/>
                <w:i/>
              </w:rPr>
              <w:t>ir mokymą, socialinę apsaugą ir įtrauktį</w:t>
            </w:r>
            <w:r>
              <w:t xml:space="preserve">, sveikatos priežiūrą ir būstą; pabrėžia, kad viešųjų ir privačiųjų subjektų bendradarbiavimas yra labai svarbus siekiant optimizuoti išteklius ir užtikrinti teisėtą viešųjų lėšų naudojimą </w:t>
            </w:r>
            <w:r>
              <w:rPr>
                <w:b/>
                <w:i/>
              </w:rPr>
              <w:t>konkurencingumui skatinti</w:t>
            </w:r>
            <w:r>
              <w:t xml:space="preserve">; mano, kad konkrečioms šalims skirtos rekomendacijos, kuriomis siekiama skatinti </w:t>
            </w:r>
            <w:r>
              <w:rPr>
                <w:b/>
                <w:i/>
              </w:rPr>
              <w:t>daugiapakopes</w:t>
            </w:r>
            <w:r>
              <w:t xml:space="preserve"> pensijų sistemas ir </w:t>
            </w:r>
            <w:r>
              <w:rPr>
                <w:b/>
                <w:i/>
              </w:rPr>
              <w:t>kokybišką</w:t>
            </w:r>
            <w:r>
              <w:t xml:space="preserve"> sveikatos priežiūrą, turėtų būti veiksmingai įgyvendinamos ir turėtų būti skatinamas </w:t>
            </w:r>
            <w:r>
              <w:rPr>
                <w:b/>
                <w:i/>
              </w:rPr>
              <w:t>tvarumas, orumas</w:t>
            </w:r>
            <w:r>
              <w:t xml:space="preserve"> ir visų piliečių ilgalaikė gerovė;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ragina šiais pereinamojo laikotarpio metais valstybėms narėms, įgyvendinančioms persvarstytas ekonomikos</w:t>
            </w:r>
            <w:r>
              <w:t xml:space="preserve"> valdymo </w:t>
            </w:r>
            <w:r>
              <w:rPr>
                <w:b/>
                <w:i/>
              </w:rPr>
              <w:t>taisykles, suteikti galimybę</w:t>
            </w:r>
            <w:r>
              <w:t xml:space="preserve"> fiskalinę atsakomybę suderinti su tvariu augimu, ir pažymi, kad vidutinės trukmės fiskaliniuose planuose pirmenybė turėtų būti teikiama skolos tvarumui, drauge strategiškai investuojant į švietimą, sveikatos priežiūrą ir būstą; pabrėžia, kad viešųjų ir privačiųjų subjektų bendradarbiavimas yra labai svarbus siekiant optimizuoti išteklius ir užtikrinti teisėtą viešųjų lėšų naudojimą; mano, kad konkrečioms šalims skirtos rekomendacijos, kuriomis siekiama skatinti tvarias valstybines pensijų sistemas ir sveikatos priežiūrą, turėtų būti veiksmingai įgyvendinamos ir turėtų būti skatinamas konkurencingumas ir visų piliečių ilgalaikė gerovė;</w:t>
            </w:r>
          </w:p>
        </w:tc>
        <w:tc>
          <w:tcPr>
            <w:tcW w:w="4876" w:type="dxa"/>
            <w:tcBorders>
              <w:top w:val="nil"/>
              <w:left w:val="nil"/>
              <w:bottom w:val="nil"/>
              <w:right w:val="nil"/>
            </w:tcBorders>
          </w:tcPr>
          <w:p>
            <w:pPr>
              <w:pStyle w:val="Normal6a"/>
            </w:pPr>
            <w:r>
              <w:t>9.</w:t>
            </w:r>
            <w:r>
              <w:tab/>
            </w:r>
            <w:r>
              <w:rPr>
                <w:b/>
                <w:i/>
              </w:rPr>
              <w:t>pabrėžia, kad pagrindinis naujų ekonomikos valdymo taisyklių tikslas – rasti atsakingo biudžeto</w:t>
            </w:r>
            <w:r>
              <w:t xml:space="preserve"> valdymo </w:t>
            </w:r>
            <w:r>
              <w:rPr>
                <w:b/>
                <w:i/>
              </w:rPr>
              <w:t>(skolos mažinimo) ir tvaraus ekonomikos augimo (augimą skatinančių išlaidų) pusiausvyrą, todėl ekonomikos valdymo taisyklėms turi būti suteikta galimybė</w:t>
            </w:r>
            <w:r>
              <w:t xml:space="preserve"> fiskalinę atsakomybę suderinti su tvariu augimu, ir pažymi, kad vidutinės trukmės fiskaliniuose planuose pirmenybė turėtų būti teikiama skolos tvarumui, drauge strategiškai investuojant į švietimą, sveikatos priežiūrą ir būstą; pabrėžia, kad viešųjų ir privačiųjų subjektų bendradarbiavimas yra labai svarbus siekiant optimizuoti išteklius ir užtikrinti teisėtą viešųjų lėšų naudojimą; mano, kad konkrečioms šalims skirtos rekomendacijos, kuriomis siekiama skatinti tvarias valstybines pensijų sistemas ir sveikatos priežiūrą, turėtų būti veiksmingai įgyvendinamos ir turėtų būti skatinamas konkurencingumas ir visų piliečių ilgalaikė gerovė;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šiais pereinamojo laikotarpio metais valstybėms narėms, įgyvendinančioms persvarstytas ekonomikos valdymo taisykles, suteikti galimybę fiskalinę atsakomybę suderinti su tvariu augimu, ir pažymi, kad vidutinės trukmės fiskaliniuose planuose </w:t>
            </w:r>
            <w:r>
              <w:rPr>
                <w:b/>
                <w:i/>
              </w:rPr>
              <w:t>pirmenybė</w:t>
            </w:r>
            <w:r>
              <w:t xml:space="preserve"> turėtų būti </w:t>
            </w:r>
            <w:r>
              <w:rPr>
                <w:b/>
                <w:i/>
              </w:rPr>
              <w:t>teikiama skolos tvarumui, drauge strategiškai investuojant</w:t>
            </w:r>
            <w:r>
              <w:t xml:space="preserve"> į švietimą, sveikatos priežiūrą ir būstą; pabrėžia, kad viešųjų ir privačiųjų subjektų bendradarbiavimas yra labai svarbus siekiant optimizuoti išteklius ir užtikrinti teisėtą viešųjų lėšų naudojimą; mano, kad konkrečioms šalims skirtos rekomendacijos, kuriomis siekiama skatinti tvarias valstybines pensijų sistemas ir sveikatos priežiūrą, turėtų būti veiksmingai įgyvendinamos ir turėtų būti skatinamas konkurencingumas ir visų piliečių ilgalaikė gerovė;</w:t>
            </w:r>
          </w:p>
        </w:tc>
        <w:tc>
          <w:tcPr>
            <w:tcW w:w="4876" w:type="dxa"/>
            <w:tcBorders>
              <w:top w:val="nil"/>
              <w:left w:val="nil"/>
              <w:bottom w:val="nil"/>
              <w:right w:val="nil"/>
            </w:tcBorders>
          </w:tcPr>
          <w:p>
            <w:pPr>
              <w:pStyle w:val="Normal6a"/>
            </w:pPr>
            <w:r>
              <w:t>9.</w:t>
            </w:r>
            <w:r>
              <w:tab/>
            </w:r>
            <w:r>
              <w:t>ragina šiais pereinamojo laikotarpio metais valstybėms narėms, įgyvendinančioms persvarstytas ekonomikos valdymo taisykles, suteikti galimybę fiskalinę atsakomybę suderinti su tvariu augimu, ir pažymi, kad vidutinės trukmės fiskaliniuose planuose </w:t>
            </w:r>
            <w:r>
              <w:rPr>
                <w:b/>
                <w:i/>
              </w:rPr>
              <w:t>skolos tvarumas</w:t>
            </w:r>
            <w:r>
              <w:t xml:space="preserve"> turėtų būti </w:t>
            </w:r>
            <w:r>
              <w:rPr>
                <w:b/>
                <w:i/>
              </w:rPr>
              <w:t>derinamas su socialinėmis investicijomis</w:t>
            </w:r>
            <w:r>
              <w:t xml:space="preserve"> į švietimą, sveikatos priežiūrą ir būstą; pabrėžia, kad viešųjų ir privačiųjų subjektų bendradarbiavimas yra labai svarbus siekiant optimizuoti išteklius ir užtikrinti teisėtą viešųjų lėšų naudojimą; mano, kad konkrečioms šalims skirtos rekomendacijos, kuriomis siekiama skatinti tvarias valstybines pensijų sistemas ir sveikatos priežiūrą, turėtų būti veiksmingai įgyvendinamos ir turėtų būti skatinamas konkurencingumas ir visų piliečių ilgalaikė gerovė;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pripažįsta žalingą griežto taupymo politikos poveikį, kuris buvo ir tebėra daromas visai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palankiai vertina tai, kad į vidutinės trukmės fiskalinius struktūrinius planus pagal naują ekonomikos valdymo sistemą turi būti įtrauktos reformos ir investicijos, kuriomis reaguojama į pagrindinius uždavinius, nustatytus per Europos semestrą, visų pirma konkrečioms šalims skirtose rekomendacijose;</w:t>
            </w:r>
            <w:r>
              <w:t xml:space="preserve"> </w:t>
            </w:r>
            <w:r>
              <w:rPr>
                <w:b/>
                <w:i/>
              </w:rPr>
              <w:t>primena, kad valstybės narės privalo paaiškinti, kaip įgyvendinant reformas ir investicijas bus sprendžiamas socialinio ir ekonominio atsparumo klausimas, įskaitant Europos socialinių teisių ramstį, kuris yra bendrų Sąjungos prioritetų dalis;</w:t>
            </w:r>
            <w:r>
              <w:t xml:space="preserve"> </w:t>
            </w:r>
            <w:r>
              <w:rPr>
                <w:b/>
                <w:i/>
              </w:rPr>
              <w:t>palankiai vertina tai, kad Komisija patvirtino, jog visos valstybės narės savo planuose pranešė apie savo politikos ketinimus, susijusius su reformomis ir investicijomis, kuriomis sprendžiamos per Europos semestrą nustatytos problemos ir įgyvendinami bendri ES prioritetai</w:t>
            </w:r>
            <w:r>
              <w:rPr>
                <w:b/>
                <w:i/>
                <w:vertAlign w:val="superscript"/>
              </w:rPr>
              <w:t>19b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19b</w:t>
            </w:r>
            <w:r>
              <w:t xml:space="preserve"> </w:t>
            </w:r>
            <w:r>
              <w:rPr>
                <w:b/>
                <w:i/>
              </w:rPr>
              <w:t>Komisijos komunikatas „2025 m. Europos semestras. Naujos ekonomikos valdymo sistemos įgyvendinimas“ (COM(2024) 705 final), p.</w:t>
            </w:r>
            <w:r>
              <w:t xml:space="preserve"> </w:t>
            </w:r>
            <w:r>
              <w:rPr>
                <w:b/>
                <w:i/>
              </w:rPr>
              <w:t>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Komisiją stebėti duomenis apie restruktūrizavimą ir jo poveikį užimtumui, pvz., naudojantis Europos restruktūrizavimo stebėsenos centru, siekiant sudaryti palankesnes sąlygas priemonėms, kuriomis remiamas restruktūrizavimas ir asmens statuso pokytis darbo rinkoje, ir apsvarstyti galimybę per Europos semestrą atkreipti dėmesį į nacionalines priemones, kuriomis remiamas socialiai atsakingas restruktūrizavimo būdas;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pripažįsta viešojo ir privačiojo sektorių partnerysčių viešosios priežiūros svarbą, ypač kovojant su viešųjų lėšų švaistymu ir korupcija;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ypač palankiai vertina 5 valstybėms narėms priimtą sprendimą pratęsti fiskalinio koregavimo laikotarpį nuo 4 iki 7 metų, kad būtų suteikta daugiau lankstumo įgyvendinant reformas ir investicijas;</w:t>
            </w:r>
            <w:r>
              <w:t xml:space="preserve"> </w:t>
            </w:r>
            <w:r>
              <w:rPr>
                <w:b/>
                <w:i/>
              </w:rPr>
              <w:t>primena, kad šis pratęsimas grindžiamas įsipareigojimais vykdyti papildomas reformas ir investicijas, atitinkančias bendrus ES prioritetus, pvz., socialinį atsparumą, ir kad kiekviena reforma ir investicijos turi būti pakankamai išsamios, sutelktos laikotarpio pradžioje, įgyvendintos per nustatytą laiką ir galimos patikrinti;</w:t>
            </w:r>
            <w:r>
              <w:t xml:space="preserve"> </w:t>
            </w:r>
            <w:r>
              <w:rPr>
                <w:b/>
                <w:i/>
              </w:rPr>
              <w:t>palankiai vertina tai, kad keliose valstybėse narėse, kurių fiskalinio koregavimo laikotarpis buvo pratęstas, reformos yra susijusios su socialiniu atsparumu, pvz., pensijų reformos planai, socialinės apsaugos reforma arba darbo ir darbo paieškos vizų sistemos reforma;</w:t>
            </w:r>
            <w:r>
              <w:t xml:space="preserve"> </w:t>
            </w:r>
            <w:r>
              <w:rPr>
                <w:b/>
                <w:i/>
              </w:rPr>
              <w:t>pabrėžia, kad į valstybių narių metines pažangos ataskaitas turėtų būti įtraukta pažanga, padaryta vykdant šias reformas ir investicijas;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pabrėžia, kad viešojo ir privačiojo sektorių partnerystėms dažnai būdingi plačiai paplitę trūkumai ir ribota nauda, kaip pabrėžta 2018 m. Europos Audito Rūmų ataskaitoje</w:t>
            </w:r>
            <w:r>
              <w:rPr>
                <w:b/>
                <w:i/>
                <w:vertAlign w:val="superscript"/>
              </w:rPr>
              <w:t>5a</w:t>
            </w:r>
            <w:r>
              <w:rPr>
                <w:b/>
                <w:i/>
              </w:rPr>
              <w:t>;</w:t>
            </w:r>
            <w:r>
              <w:t xml:space="preserve"> </w:t>
            </w:r>
            <w:r>
              <w:rPr>
                <w:b/>
                <w:i/>
              </w:rPr>
              <w:t>pabrėžia, kad tokioms partnerystėms būdingas didelis neveiksmingumas, pasireiškiantis vėlavimu ir dideliu išlaidų padidėjimu, ir kad rizikos paskirstymas tarp viešojo ir privačiojo sektorių partnerių dažnai yra netinkamas, nenuoseklus ir neveiksmingas, o didelės privačiojo sektoriaus partnerio rizikos kapitalo atlygio normos retai atspindi prisiimamą riziką;</w:t>
            </w:r>
            <w:r>
              <w:t xml:space="preserve"> </w:t>
            </w:r>
            <w:r>
              <w:rPr>
                <w:b/>
                <w:i/>
              </w:rPr>
              <w:t>bent jau pabrėžia, kad reikia vykdyti viešojo ir privačiojo sektorių partnerysčių viešąją priežiūrą, ypač kovojant su viešųjų lėšų švaistymu ir korupcija;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https://www.eca.europa.eu/lists/ecadocuments/sr18_09/sr_ppp_lt.pdf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Europos Komisiją stebėti minimaliojo darbo užmokesčio raidą valstybėse narėse į nacionalinę teisę perkėlus Minimalaus darbo užmokesčio direktyvą, siekiant nustatyti, ar pasiektas minimaliojo darbo užmokesčio tinkamumo tikslas;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yra susirūpinęs dėl to, kad vis dar prastai laikomasi konkrečioms šalims skirtų rekomendacijų;</w:t>
            </w:r>
            <w:r>
              <w:t xml:space="preserve"> </w:t>
            </w:r>
            <w:r>
              <w:rPr>
                <w:b/>
                <w:i/>
              </w:rPr>
              <w:t>ragina valstybes nares pagal naują ekonomikos valdymo sistemą ir jos tikslą didinti nacionalinę atsakomybę geriau atsižvelgti į konkrečioms šalims skirtas rekomendacijas užimtumo ir socialinės politikos srityje įgyvendinant Europos semestrą;</w:t>
            </w:r>
            <w:r>
              <w:t xml:space="preserve"> </w:t>
            </w:r>
            <w:r>
              <w:rPr>
                <w:b/>
                <w:i/>
              </w:rPr>
              <w:t>ragina Komisiją stiprinti dialogą su valstybėmis narėmis dėl esamų rekomendacijų ir užimtumo gairių įgyvendinimo, taip pat dėl dabartinių ar būsimų politikos veiksmų nustatytoms problemoms spręsti;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pripažįsta pragyvenimo išlaidų krizę, dėl kurios padidėjo namų ūkiams tenkanti našta, ir didėjančias būsto išlaidas, kurios prisideda prie aukšto energijos nepritekliaus lygio visoje ES;</w:t>
            </w:r>
            <w:r>
              <w:t xml:space="preserve"> </w:t>
            </w:r>
            <w:r>
              <w:rPr>
                <w:b/>
                <w:i/>
              </w:rPr>
              <w:t>pabrėžia, kad tai istorinė krizė, kurią iš dalies pagilino ES ir daugelio valstybių narių įgyvendinama griežto taupymo politika;</w:t>
            </w:r>
            <w:r>
              <w:t xml:space="preserve"> </w:t>
            </w:r>
            <w:r>
              <w:rPr>
                <w:b/>
                <w:i/>
              </w:rPr>
              <w:t>todėl ragina Komisiją ir valstybes nares visapusiškai šalinti pagrindines šios krizės priežastis, pirmenybę teikiant politikai, kuria skatinamas ekonominis atsparumas, socialinė sanglauda ir darnus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palankiai vertina tai, kad per Europos semestrą sukurta socialinės konvergencijos rizikos nustatymo sistema, o to labai prašė Europos Parlamentas;</w:t>
            </w:r>
            <w:r>
              <w:t xml:space="preserve"> </w:t>
            </w:r>
            <w:r>
              <w:rPr>
                <w:b/>
                <w:i/>
              </w:rPr>
              <w:t>primena, kad pagal šią sistemą Komisija vertina riziką aukštynkryptei socialinei konvergencijai valstybėse narėse ir stebi Europos socialinių teisių ramsčio įgyvendinimo pažangą, remdamasi socialinių rodiklių suvestine ir socialinės konvergencijos sistemos principais;</w:t>
            </w:r>
            <w:r>
              <w:t xml:space="preserve"> </w:t>
            </w:r>
            <w:r>
              <w:rPr>
                <w:b/>
                <w:i/>
              </w:rPr>
              <w:t>palankiai vertina tai, kad 2025 m. bendroje užimtumo ataskaitoje pateikiama konkrečios šalies analizė, grindžiama socialinės konvergencijos sistemos principais;</w:t>
            </w:r>
            <w:r>
              <w:t xml:space="preserve"> </w:t>
            </w:r>
            <w:r>
              <w:rPr>
                <w:b/>
                <w:i/>
              </w:rPr>
              <w:t>ragina Komisiją toliau plėtoti inovatyvias kiekybinės ir kokybinės analizės priemones pagal šią naują sistemą, kad ji būtų optimaliai naudojama būsimuose Europos semestro cikluose;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palankiai vertina tai, kad pirmoji analizė, pagrįsta socialinės konvergencijos sistemos principais, rodo, jog 2023 m. darbo rinkoje bus pasiekta didėjanti konvergencija</w:t>
            </w:r>
            <w:r>
              <w:rPr>
                <w:b/>
                <w:i/>
                <w:vertAlign w:val="superscript"/>
              </w:rPr>
              <w:t>1a</w:t>
            </w:r>
            <w:r>
              <w:rPr>
                <w:b/>
                <w:i/>
              </w:rPr>
              <w:t>;</w:t>
            </w:r>
            <w:r>
              <w:t xml:space="preserve"> </w:t>
            </w:r>
            <w:r>
              <w:rPr>
                <w:b/>
                <w:i/>
              </w:rPr>
              <w:t>susirūpinęs pažymi, kad vis dar reikia gerinti nepakankamai atstovaujamų grupių užimtumo rezultatus ir kad Europos lygmeniu išlieka didėjančios konvergencijos rizika, susijusi su įgūdžių ugdymu, pradedant ankstyvuoju ugdymu ir baigiant mokymusi visą gyvenimą, taip pat socialiniais skurdo rizikos ir socialinės atskirties lygio rezultatais;</w:t>
            </w:r>
            <w:r>
              <w:t xml:space="preserve"> </w:t>
            </w:r>
            <w:r>
              <w:rPr>
                <w:b/>
                <w:i/>
              </w:rPr>
              <w:t>ragina Komisiją antrajame analizės etape toliau analizuoti šią aukštynkryptei socialinei konvergencijai kylančią riziką ir su atitinkamomis valstybėmis narėmis aptarti priemones, kurių imtasi arba numatoma imtis šiai rizikai šalinti;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Bendra užimtumo ataskaita, 2025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yra susirūpinęs dėl Komisijos atliktos makroekonominio disbalanso procedūros rezultatų suvestinės peržiūros, ypač dėl užimtumo ir socialinių rodiklių, kurie yra labai svarbūs vertinant socialinę padėtį valstybėse narėse, mažinimo;</w:t>
            </w:r>
          </w:p>
        </w:tc>
        <w:tc>
          <w:tcPr>
            <w:tcW w:w="4876" w:type="dxa"/>
            <w:tcBorders>
              <w:top w:val="nil"/>
              <w:left w:val="nil"/>
              <w:bottom w:val="nil"/>
              <w:right w:val="nil"/>
            </w:tcBorders>
          </w:tcPr>
          <w:p>
            <w:pPr>
              <w:pStyle w:val="Normal6a"/>
            </w:pPr>
            <w:r>
              <w:t>10.</w:t>
            </w:r>
            <w:r>
              <w:tab/>
            </w:r>
            <w:r>
              <w:t xml:space="preserve">yra susirūpinęs dėl Komisijos atliktos makroekonominio disbalanso procedūros rezultatų suvestinės peržiūros, ypač dėl užimtumo ir socialinių rodiklių, kurie yra labai svarbūs vertinant socialinę </w:t>
            </w:r>
            <w:r>
              <w:rPr>
                <w:b/>
                <w:i/>
              </w:rPr>
              <w:t>ir darbo rinkos</w:t>
            </w:r>
            <w:r>
              <w:t xml:space="preserve"> padėtį valstybėse narėse, mažinimo; </w:t>
            </w:r>
            <w:r>
              <w:rPr>
                <w:b/>
                <w:i/>
              </w:rPr>
              <w:t>ypač apgailestauja dėl to, kad užimtumo ir socialinius rodiklius apimančiame bloke jaunimo nedarbo lygis sumažėjo nuo pagrindinio iki papildomo rodiklio, nepaisant nerimą keliančios padėties keliose valstybėse narėse;</w:t>
            </w:r>
            <w:r>
              <w:t xml:space="preserve"> </w:t>
            </w:r>
            <w:r>
              <w:rPr>
                <w:b/>
                <w:i/>
              </w:rPr>
              <w:t>primena Komisijai jos pareigą glaudžiai bendradarbiauti su Europos Parlamentu ir Taryba rengiant rezultatų suvestinę ir valstybėms narėms skirtų makroekonominių ir makrofinansinių rodiklių rinkinį</w:t>
            </w:r>
            <w:r>
              <w:rPr>
                <w:b/>
                <w:i/>
                <w:vertAlign w:val="superscript"/>
              </w:rPr>
              <w:t>20a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20a</w:t>
            </w:r>
            <w:r>
              <w:t xml:space="preserve"> </w:t>
            </w:r>
            <w:r>
              <w:rPr>
                <w:b/>
                <w:i/>
              </w:rPr>
              <w:t>Reglamentas (ES) Nr. 1176/2011 dėl makroekonominių disbalansų prevencijos ir naikinimo 12 konstatuojamoji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yra susirūpinęs dėl Komisijos atliktos makroekonominio disbalanso procedūros rezultatų suvestinės peržiūros, ypač dėl užimtumo ir socialinių rodiklių, kurie yra labai svarbūs vertinant socialinę padėtį valstybėse narėse, mažinimo;</w:t>
            </w:r>
          </w:p>
        </w:tc>
        <w:tc>
          <w:tcPr>
            <w:tcW w:w="4876" w:type="dxa"/>
            <w:tcBorders>
              <w:top w:val="nil"/>
              <w:left w:val="nil"/>
              <w:bottom w:val="nil"/>
              <w:right w:val="nil"/>
            </w:tcBorders>
          </w:tcPr>
          <w:p>
            <w:pPr>
              <w:pStyle w:val="Normal6a"/>
            </w:pPr>
            <w:r>
              <w:t>10.</w:t>
            </w:r>
            <w:r>
              <w:tab/>
            </w:r>
            <w:r>
              <w:t xml:space="preserve">yra susirūpinęs dėl Komisijos atliktos makroekonominio disbalanso procedūros rezultatų suvestinės peržiūros, ypač dėl užimtumo ir socialinių rodiklių, kurie yra labai svarbūs vertinant socialinę padėtį valstybėse narėse, mažinimo; </w:t>
            </w:r>
            <w:r>
              <w:rPr>
                <w:b/>
                <w:i/>
              </w:rPr>
              <w:t>apgailestauja, kad ilgalaikio nedarbo lygis ir jaunimo nedarbas nebelaikomi pagrindiniais rodikliais, nepaisant jų svarbos nustatant ir sprendžiant konkrečias darbo rinkos problemas ir priimant tinkamą viešąją politiką;</w:t>
            </w:r>
            <w:r>
              <w:t xml:space="preserve"> </w:t>
            </w:r>
            <w:r>
              <w:rPr>
                <w:b/>
                <w:i/>
              </w:rPr>
              <w:t>apgailestauja, kad MDP rezultatų suvestinėje trūksta dabartinio balanso pertekliaus rodiklio simetrijos;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yra susirūpinęs dėl Komisijos atliktos makroekonominio disbalanso procedūros rezultatų suvestinės peržiūros, ypač dėl užimtumo ir socialinių rodiklių, kurie yra labai svarbūs vertinant socialinę padėtį valstybėse narėse, mažinimo;</w:t>
            </w:r>
          </w:p>
        </w:tc>
        <w:tc>
          <w:tcPr>
            <w:tcW w:w="4876" w:type="dxa"/>
            <w:tcBorders>
              <w:top w:val="nil"/>
              <w:left w:val="nil"/>
              <w:bottom w:val="nil"/>
              <w:right w:val="nil"/>
            </w:tcBorders>
          </w:tcPr>
          <w:p>
            <w:pPr>
              <w:pStyle w:val="Normal6a"/>
            </w:pPr>
            <w:r>
              <w:t>10.</w:t>
            </w:r>
            <w:r>
              <w:tab/>
            </w:r>
            <w:r>
              <w:t xml:space="preserve">yra susirūpinęs dėl Komisijos atliktos makroekonominio disbalanso procedūros rezultatų suvestinės peržiūros, ypač dėl užimtumo ir socialinių rodiklių, kurie yra labai svarbūs vertinant socialinę padėtį valstybėse narėse </w:t>
            </w:r>
            <w:r>
              <w:rPr>
                <w:b/>
                <w:i/>
              </w:rPr>
              <w:t>ir vadovaujant politiniams sprendimams</w:t>
            </w:r>
            <w:r>
              <w:t xml:space="preserve">, mažinimo; </w:t>
            </w:r>
            <w:r>
              <w:rPr>
                <w:b/>
                <w:i/>
              </w:rPr>
              <w:t>pabrėžia, kad socialinis atsparumas ir ESTR principų įgyvendinimas turi būti MDP rezultatų suvestinės dalis;</w:t>
            </w:r>
            <w:r>
              <w:t xml:space="preserve"> </w:t>
            </w:r>
            <w:r>
              <w:rPr>
                <w:b/>
                <w:i/>
              </w:rPr>
              <w:t>ragina valstybes nares suderinti fiskalinę politiką su socialinių investicijų prioritetais, laikantis naujos ekonomikos valdymo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yra susirūpinęs dėl Komisijos atliktos makroekonominio disbalanso procedūros rezultatų suvestinės peržiūros, ypač dėl užimtumo ir socialinių rodiklių, kurie yra labai svarbūs vertinant socialinę padėtį valstybėse narėse, mažinimo;</w:t>
            </w:r>
          </w:p>
        </w:tc>
        <w:tc>
          <w:tcPr>
            <w:tcW w:w="4876" w:type="dxa"/>
            <w:tcBorders>
              <w:top w:val="nil"/>
              <w:left w:val="nil"/>
              <w:bottom w:val="nil"/>
              <w:right w:val="nil"/>
            </w:tcBorders>
          </w:tcPr>
          <w:p>
            <w:pPr>
              <w:pStyle w:val="Normal6a"/>
            </w:pPr>
            <w:r>
              <w:t>10.</w:t>
            </w:r>
            <w:r>
              <w:tab/>
            </w:r>
            <w:r>
              <w:t xml:space="preserve">yra susirūpinęs dėl Komisijos atliktos makroekonominio disbalanso procedūros rezultatų suvestinės peržiūros, ypač dėl užimtumo ir socialinių rodiklių, kurie yra labai svarbūs vertinant socialinę padėtį valstybėse narėse, mažinimo; </w:t>
            </w:r>
            <w:r>
              <w:rPr>
                <w:b/>
                <w:i/>
              </w:rPr>
              <w:t>pabrėžia, kad priimant sprendimus gyvenimo lygis turėtų būti prilyginamas tradiciniams ekonominiams rodikliams;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yra susirūpinęs dėl Komisijos atliktos makroekonominio disbalanso procedūros rezultatų suvestinės peržiūros, ypač dėl užimtumo ir socialinių rodiklių, kurie yra labai svarbūs vertinant socialinę padėtį valstybėse narėse, mažinimo;</w:t>
            </w:r>
          </w:p>
        </w:tc>
        <w:tc>
          <w:tcPr>
            <w:tcW w:w="4876" w:type="dxa"/>
            <w:tcBorders>
              <w:top w:val="nil"/>
              <w:left w:val="nil"/>
              <w:bottom w:val="nil"/>
              <w:right w:val="nil"/>
            </w:tcBorders>
          </w:tcPr>
          <w:p>
            <w:pPr>
              <w:pStyle w:val="Normal6a"/>
            </w:pPr>
            <w:r>
              <w:t>10.</w:t>
            </w:r>
            <w:r>
              <w:tab/>
            </w:r>
            <w:r>
              <w:t xml:space="preserve">yra susirūpinęs dėl Komisijos atliktos makroekonominio disbalanso procedūros rezultatų suvestinės peržiūros, ypač dėl užimtumo ir socialinių rodiklių, kurie yra labai svarbūs vertinant </w:t>
            </w:r>
            <w:r>
              <w:rPr>
                <w:b/>
                <w:i/>
              </w:rPr>
              <w:t>ir gerinant</w:t>
            </w:r>
            <w:r>
              <w:t xml:space="preserve"> socialinę padėtį valstybėse narėse, mažinimo;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yra susirūpinęs dėl</w:t>
            </w:r>
            <w:r>
              <w:t xml:space="preserve"> Komisijos atliktos makroekonominio disbalanso procedūros rezultatų suvestinės </w:t>
            </w:r>
            <w:r>
              <w:rPr>
                <w:b/>
                <w:i/>
              </w:rPr>
              <w:t>peržiūros, ypač dėl</w:t>
            </w:r>
            <w:r>
              <w:t xml:space="preserve"> užimtumo ir socialinių rodiklių, kurie yra labai svarbūs vertinant socialinę padėtį valstybėse narėse, </w:t>
            </w:r>
            <w:r>
              <w:rPr>
                <w:b/>
                <w:i/>
              </w:rPr>
              <w:t>mažinimo</w:t>
            </w:r>
            <w:r>
              <w:t>;</w:t>
            </w:r>
          </w:p>
        </w:tc>
        <w:tc>
          <w:tcPr>
            <w:tcW w:w="4876" w:type="dxa"/>
            <w:tcBorders>
              <w:top w:val="nil"/>
              <w:left w:val="nil"/>
              <w:bottom w:val="nil"/>
              <w:right w:val="nil"/>
            </w:tcBorders>
          </w:tcPr>
          <w:p>
            <w:pPr>
              <w:pStyle w:val="Normal6a"/>
            </w:pPr>
            <w:r>
              <w:t>10.</w:t>
            </w:r>
            <w:r>
              <w:tab/>
            </w:r>
            <w:r>
              <w:rPr>
                <w:b/>
                <w:i/>
              </w:rPr>
              <w:t>atkreipia dėmesį į</w:t>
            </w:r>
            <w:r>
              <w:t xml:space="preserve"> Komisijos atliktos makroekonominio disbalanso procedūros rezultatų suvestinės </w:t>
            </w:r>
            <w:r>
              <w:rPr>
                <w:b/>
                <w:i/>
              </w:rPr>
              <w:t>peržiūras, ypač</w:t>
            </w:r>
            <w:r>
              <w:t xml:space="preserve"> užimtumo ir socialinių rodiklių, kurie yra labai svarbūs vertinant socialinę padėtį valstybėse narėse, </w:t>
            </w:r>
            <w:r>
              <w:rPr>
                <w:b/>
                <w:i/>
              </w:rPr>
              <w:t>mažinimą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mano, kad, nesant ES finansuojamos socialinių investicijų ir socialinių išlaidų stabilizavimo priemonės, vykstantis fiskalinis nacionalinių biudžetų konsolidavimas pakenks socialiniams ekonomikos valdymo tikslams, t. y. kokybiškų darbo vietų kūrimui, darbuotojų, susijusių su darbo vietos keitimu, apsaugai ir gerovės bei socialinės apsaugos sistemų pritaikymui prie demografinių tendencijų;</w:t>
            </w:r>
            <w:r>
              <w:t xml:space="preserve"> </w:t>
            </w:r>
            <w:r>
              <w:rPr>
                <w:b/>
                <w:i/>
              </w:rPr>
              <w:t>mano, kad teritorinė ir socialinė sanglauda yra esminiai konkurencingumo darbotvarkės elementai, o tokios priemonės kaip Europos laikinos paramos priemonė nedarbo rizikai dėl ekstremaliosios situacijos mažinti (SURE) tebėra teigiamas pavyzdys, įkvepiantis būsimas ES iniciatyvas;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mano, kad ES Komisija ir valstybės narės turėtų užtikrinti, kad vykdant fiskalinę politiką pagal Europos semestrą būtų remiamos su EPRS suderintos investicijos, visų pirma tokiose srityse kaip deramas ir įperkamas būstas, kokybiška sveikatos priežiūra, švietimas ir socialinės apsaugos sistemos, nes jos yra labai svarbios socialinei sanglaudai ir ilgalaikiam ekonominiam tvarumui, taip pat sprendžiant pagal socialinius rodiklius nustatytas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apgailestauja, kad Europos Komisija nesikonsultavo su Europos Parlamentu dėl planuojamų MDP rezultatų suvestinės pakeitimų, nors šie pakeitimai buvo aptarti su Taryba;</w:t>
            </w:r>
            <w:r>
              <w:t xml:space="preserve"> </w:t>
            </w:r>
            <w:r>
              <w:rPr>
                <w:b/>
                <w:i/>
              </w:rPr>
              <w:t>labai apgailestauja dėl to, kad su Taryba ir Europos Parlamentu nebuvo elgiamasi vienodai;</w:t>
            </w:r>
            <w:r>
              <w:t xml:space="preserve"> </w:t>
            </w:r>
            <w:r>
              <w:rPr>
                <w:b/>
                <w:i/>
              </w:rPr>
              <w:t>primygtinai ragina Komisiją prieš įgyvendinant tolesnius pakeitimus tinkamai konsultuotis su Europos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reikia spręsti pagrindines problemas, kurios socialinių rodiklių suvestinėje nurodytos kaip kritinės ir tos, kurios turi būti stebimos, įskaitant vaikų priežiūrą, asmenų su negalia užimtumo skirtumą, socialinių pervedimų poveikį skurdo mažinimui ir pagrindinius skaitmeninius įgūdžius</w:t>
            </w:r>
            <w:r>
              <w:rPr>
                <w:vertAlign w:val="superscript"/>
              </w:rPr>
              <w:t>3</w:t>
            </w:r>
            <w:r>
              <w:t>;</w:t>
            </w:r>
          </w:p>
        </w:tc>
        <w:tc>
          <w:tcPr>
            <w:tcW w:w="4876" w:type="dxa"/>
            <w:tcBorders>
              <w:top w:val="nil"/>
              <w:left w:val="nil"/>
              <w:bottom w:val="nil"/>
              <w:right w:val="nil"/>
            </w:tcBorders>
          </w:tcPr>
          <w:p>
            <w:pPr>
              <w:pStyle w:val="Normal6a"/>
            </w:pPr>
            <w:r>
              <w:t>11.</w:t>
            </w:r>
            <w:r>
              <w:tab/>
            </w:r>
            <w:r>
              <w:t>pabrėžia, kad reikia spręsti pagrindines problemas, kurios socialinių rodiklių suvestinėje nurodytos kaip kritinės ir tos, kurios turi būti stebimos, įskaitant vaikų priežiūrą, asmenų su negalia užimtumo skirtumą, socialinių pervedimų poveikį skurdo mažinimui ir pagrindinius skaitmeninius įgūdžius</w:t>
            </w:r>
            <w:r>
              <w:rPr>
                <w:vertAlign w:val="superscript"/>
              </w:rPr>
              <w:t>3</w:t>
            </w:r>
            <w:r>
              <w:t xml:space="preserve">; </w:t>
            </w:r>
            <w:r>
              <w:rPr>
                <w:b/>
                <w:i/>
              </w:rPr>
              <w:t>tokie uždaviniai turi būti sprendžiami taip, kad būtų vertinamas socialinių partnerių, kurių dalyvavimas įgyvendinant socialinės konvergencijos sistemą turi būti sustiprintas pagal bendrą ETUC, SGIEurope ir SMEUnited pareiškimą dėl faktinio ir reikšmingo socialinių partnerių dalyvavimo ekonomikos valdyme ir ES semestre, indėlis;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reikia spręsti pagrindines problemas, kurios socialinių rodiklių suvestinėje nurodytos kaip kritinės ir tos, kurios turi būti stebimos, įskaitant vaikų priežiūrą, asmenų su negalia užimtumo skirtumą, socialinių pervedimų poveikį skurdo mažinimui ir pagrindinius skaitmeninius įgūdžius</w:t>
            </w:r>
            <w:r>
              <w:rPr>
                <w:vertAlign w:val="superscript"/>
              </w:rPr>
              <w:t>3</w:t>
            </w:r>
            <w:r>
              <w:t>;</w:t>
            </w:r>
          </w:p>
        </w:tc>
        <w:tc>
          <w:tcPr>
            <w:tcW w:w="4876" w:type="dxa"/>
            <w:tcBorders>
              <w:top w:val="nil"/>
              <w:left w:val="nil"/>
              <w:bottom w:val="nil"/>
              <w:right w:val="nil"/>
            </w:tcBorders>
          </w:tcPr>
          <w:p>
            <w:pPr>
              <w:pStyle w:val="Normal6a"/>
            </w:pPr>
            <w:r>
              <w:t>11.</w:t>
            </w:r>
            <w:r>
              <w:tab/>
            </w:r>
            <w:r>
              <w:t xml:space="preserve">pabrėžia, kad reikia spręsti pagrindines problemas, kurios socialinių rodiklių suvestinėje nurodytos kaip kritinės ir tos, kurios turi būti stebimos, įskaitant vaikų priežiūrą </w:t>
            </w:r>
            <w:r>
              <w:rPr>
                <w:b/>
                <w:i/>
              </w:rPr>
              <w:t>ir ilgalaikę priežiūrą</w:t>
            </w:r>
            <w:r>
              <w:t>, asmenų su negalia užimtumo skirtumą, socialinių pervedimų poveikį skurdo mažinimui ir pagrindinius skaitmeninius įgūdžius</w:t>
            </w:r>
            <w:r>
              <w:rPr>
                <w:vertAlign w:val="superscript"/>
              </w:rPr>
              <w:t>3</w:t>
            </w:r>
            <w:r>
              <w:rPr>
                <w:b/>
                <w:i/>
              </w:rPr>
              <w:t>, ypač pažeidžiamų grupių, pvz., jaunimo ir vyresnio amžiaus asmenų, asmenų su negalia ir migrantų</w:t>
            </w:r>
            <w:r>
              <w:rPr>
                <w:b/>
                <w:i/>
                <w:vertAlign w:val="superscript"/>
              </w:rPr>
              <w:t>5a</w:t>
            </w:r>
            <w:r>
              <w:rPr>
                <w:b/>
                <w:i/>
              </w:rPr>
              <w:t>, taip pat įskaitant galimybes gauti būstą, vaikų skurdą, galimybę naudotis sveikatos priežiūros paslaugomis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Pasiūlymas dėl Komisijos ir Tarybos bendros užimtumo ataskaitos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reikia spręsti pagrindines problemas, kurios socialinių rodiklių suvestinėje nurodytos kaip kritinės ir tos, kurios turi būti stebimos, įskaitant vaikų priežiūrą, asmenų su negalia užimtumo skirtumą, socialinių pervedimų poveikį skurdo mažinimui ir pagrindinius skaitmeninius įgūdžius</w:t>
            </w:r>
            <w:r>
              <w:rPr>
                <w:vertAlign w:val="superscript"/>
              </w:rPr>
              <w:t>3</w:t>
            </w:r>
            <w:r>
              <w:t>;</w:t>
            </w:r>
          </w:p>
        </w:tc>
        <w:tc>
          <w:tcPr>
            <w:tcW w:w="4876" w:type="dxa"/>
            <w:tcBorders>
              <w:top w:val="nil"/>
              <w:left w:val="nil"/>
              <w:bottom w:val="nil"/>
              <w:right w:val="nil"/>
            </w:tcBorders>
          </w:tcPr>
          <w:p>
            <w:pPr>
              <w:pStyle w:val="Normal6a"/>
            </w:pPr>
            <w:r>
              <w:t>11.</w:t>
            </w:r>
            <w:r>
              <w:tab/>
            </w:r>
            <w:r>
              <w:t xml:space="preserve">pabrėžia, kad reikia spręsti pagrindines problemas, kurios socialinių rodiklių suvestinėje nurodytos kaip kritinės ir tos, kurios turi būti stebimos, įskaitant </w:t>
            </w:r>
            <w:r>
              <w:rPr>
                <w:b/>
                <w:i/>
              </w:rPr>
              <w:t>vaikus, kuriems gresia skurdas ar socialinė atskirtis,</w:t>
            </w:r>
            <w:r>
              <w:t xml:space="preserve"> vaikų priežiūrą, asmenų su negalia užimtumo skirtumą</w:t>
            </w:r>
            <w:r>
              <w:rPr>
                <w:b/>
                <w:i/>
              </w:rPr>
              <w:t>, lyčių užimtumo skirtumą, pernelyg didelę išlaidų būstui naštą</w:t>
            </w:r>
            <w:r>
              <w:t>, socialinių pervedimų poveikį skurdo mažinimui ir pagrindinius skaitmeninius įgūdžius</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pabrėžia, kad reikia spręsti pagrindines problemas, kurios socialinių rodiklių suvestinėje nurodytos kaip kritinės ir tos, kurios turi būti stebimos, įskaitant</w:t>
            </w:r>
            <w:r>
              <w:t xml:space="preserve"> vaikų priežiūrą, asmenų su negalia užimtumo skirtumą</w:t>
            </w:r>
            <w:r>
              <w:rPr>
                <w:b/>
                <w:i/>
              </w:rPr>
              <w:t>, socialinių pervedimų poveikį skurdo mažinimui ir</w:t>
            </w:r>
            <w:r>
              <w:t xml:space="preserve"> pagrindinius skaitmeninius įgūdžius</w:t>
            </w:r>
            <w:r>
              <w:rPr>
                <w:vertAlign w:val="superscript"/>
              </w:rPr>
              <w:t>3</w:t>
            </w:r>
            <w:r>
              <w:t>;</w:t>
            </w:r>
          </w:p>
        </w:tc>
        <w:tc>
          <w:tcPr>
            <w:tcW w:w="4876" w:type="dxa"/>
            <w:tcBorders>
              <w:top w:val="nil"/>
              <w:left w:val="nil"/>
              <w:bottom w:val="nil"/>
              <w:right w:val="nil"/>
            </w:tcBorders>
          </w:tcPr>
          <w:p>
            <w:pPr>
              <w:pStyle w:val="Normal6a"/>
            </w:pPr>
            <w:r>
              <w:t>11.</w:t>
            </w:r>
            <w:r>
              <w:tab/>
            </w:r>
            <w:r>
              <w:rPr>
                <w:b/>
                <w:i/>
              </w:rPr>
              <w:t>ragina valstybes nares imtis tolesnių veiksmų siekiant užtikrinti ankstyvąją</w:t>
            </w:r>
            <w:r>
              <w:t xml:space="preserve"> vaikų priežiūrą, </w:t>
            </w:r>
            <w:r>
              <w:rPr>
                <w:b/>
                <w:i/>
              </w:rPr>
              <w:t>sumažinti</w:t>
            </w:r>
            <w:r>
              <w:t xml:space="preserve"> asmenų su negalia užimtumo skirtumą </w:t>
            </w:r>
            <w:r>
              <w:rPr>
                <w:b/>
                <w:i/>
              </w:rPr>
              <w:t>ir skurdą ir skatinti</w:t>
            </w:r>
            <w:r>
              <w:t xml:space="preserve"> pagrindinius skaitmeninius įgūdžius</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c>
          <w:tcPr>
            <w:tcW w:w="4876" w:type="dxa"/>
            <w:tcBorders>
              <w:top w:val="nil"/>
              <w:left w:val="nil"/>
              <w:bottom w:val="nil"/>
              <w:right w:val="nil"/>
            </w:tcBorders>
          </w:tcPr>
          <w:p>
            <w:pPr>
              <w:pStyle w:val="Normal6a"/>
            </w:pPr>
            <w:r>
              <w:rPr>
                <w:vertAlign w:val="superscript"/>
              </w:rPr>
              <w:t>3</w:t>
            </w:r>
            <w:r>
              <w:t xml:space="preserve"> </w:t>
            </w:r>
            <w:r>
              <w:t>Pasiūlymas dėl Komisijos ir Tarybos bendros užimtumo ataskaitos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neigiamą pragyvenimo išlaidų krizės poveikį asmenims su negalia;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ragina valstybes nares ir Komisiją aktyviau kovoti su skurdu;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ragina valstybes nares spręsti problemas, su kuriomis susiduria skurstantys dirbantieji, pripažįsta, kad didelė ES darbo jėgos dalis gyvena skurde, nepaisant to, kad yra įdarbinta;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primygtinai ragina valstybes nares apsvarstyti tvirtą politiką, kuria būtų užtikrintas teisingas darbo užmokestis ir pagerintos darbo sąlygos, ypač mažas pajamas gaunantiems ir mažų garantijų darbą dirbantiems darbuotojams;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ragina valstybes nares stiprinti socialinio saugumo tinklus, kad būtų teikiama tinkama parama tiems, kurių pajamos iš darbo yra nepakankamos pagrindinėms pragyvenimo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w:t>
            </w:r>
            <w:r>
              <w:rPr>
                <w:b/>
                <w:i/>
              </w:rPr>
              <w:t>patobulinti socialinių rodiklių suvestinę nustatant rodiklius, atspindinčius nelygybės tendencijas ir priežastis, pvz., kokybišką užimtumą, turto paskirstymą, galimybę naudotis viešosiomis paslaugomis,</w:t>
            </w:r>
            <w:r>
              <w:t xml:space="preserve"> tinkamas pensijas, psichikos sveikatą </w:t>
            </w:r>
            <w:r>
              <w:rPr>
                <w:b/>
                <w:i/>
              </w:rPr>
              <w:t>ir nedarbą</w:t>
            </w:r>
            <w:r>
              <w:t>; primena, kad skurdo ar socialinės atskirties rizikos rodiklis (AROPE) neatskleidžia sudėtingos nelygybės priežasčių;</w:t>
            </w:r>
          </w:p>
        </w:tc>
        <w:tc>
          <w:tcPr>
            <w:tcW w:w="4876" w:type="dxa"/>
            <w:tcBorders>
              <w:top w:val="nil"/>
              <w:left w:val="nil"/>
              <w:bottom w:val="nil"/>
              <w:right w:val="nil"/>
            </w:tcBorders>
          </w:tcPr>
          <w:p>
            <w:pPr>
              <w:pStyle w:val="Normal6a"/>
            </w:pPr>
            <w:r>
              <w:t>12.</w:t>
            </w:r>
            <w:r>
              <w:tab/>
            </w:r>
            <w:r>
              <w:rPr>
                <w:b/>
                <w:i/>
              </w:rPr>
              <w:t>primygtinai</w:t>
            </w:r>
            <w:r>
              <w:t xml:space="preserve"> ragina </w:t>
            </w:r>
            <w:r>
              <w:rPr>
                <w:b/>
                <w:i/>
              </w:rPr>
              <w:t>valstybes nares skatinti aukštynkryptę socialinę konvergenciją, gerinti galimybes gauti kokybišką darbą ir kokybiškas viešąsias paslaugas, toliau didinti vaikų iki 3 metų dalyvavimą oficialiose vaikų, ypač pažeidžiamų grupių, priežiūros įstaigose;</w:t>
            </w:r>
            <w:r>
              <w:t xml:space="preserve"> </w:t>
            </w:r>
            <w:r>
              <w:rPr>
                <w:b/>
                <w:i/>
              </w:rPr>
              <w:t>imtis aktyvių priemonių siekiant mažinti mokyklos nebaigusių asmenų skaičių ir jaunimo nedarbą, užtikrinti</w:t>
            </w:r>
            <w:r>
              <w:t xml:space="preserve"> tinkamas pensijas, </w:t>
            </w:r>
            <w:r>
              <w:rPr>
                <w:b/>
                <w:i/>
              </w:rPr>
              <w:t>didinti socialinių pervedimų veiksmingumą, skatinti</w:t>
            </w:r>
            <w:r>
              <w:t xml:space="preserve"> psichikos sveikatą </w:t>
            </w:r>
            <w:r>
              <w:rPr>
                <w:b/>
                <w:i/>
              </w:rPr>
              <w:t>visose amžiaus grupėse</w:t>
            </w:r>
            <w:r>
              <w:t>; primena, kad skurdo ar socialinės atskirties rizikos rodiklis (AROPE) neatskleidžia sudėtingos nelygybės priežasčių</w:t>
            </w:r>
            <w:r>
              <w:rPr>
                <w:b/>
                <w:i/>
              </w:rPr>
              <w:t>, tačiau pripažįsta, kad asmenų, kuriems gresia skurdas ar socialinė atskirtis, dalis ES 2023 m. šiek tiek sumažėjo dėl ryžtingų politikos veiksmų, kuriais siekiama sušvelninti neigiamą didelių pragyvenimo išlaidų socialinį poveikį, ir ragina imtis tinkamų priemonių siekiant toliau mažinti skurdą ir socialinę atskirtį, ypač vaikų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patobulinti socialinių rodiklių suvestinę nustatant rodiklius, atspindinčius nelygybės tendencijas ir priežastis, pvz., </w:t>
            </w:r>
            <w:r>
              <w:rPr>
                <w:b/>
                <w:i/>
              </w:rPr>
              <w:t>kokybišką užimtumą</w:t>
            </w:r>
            <w:r>
              <w:t xml:space="preserve">, turto </w:t>
            </w:r>
            <w:r>
              <w:rPr>
                <w:b/>
                <w:i/>
              </w:rPr>
              <w:t>paskirstymą, galimybę</w:t>
            </w:r>
            <w:r>
              <w:t xml:space="preserve"> naudotis viešosiomis paslaugomis, </w:t>
            </w:r>
            <w:r>
              <w:rPr>
                <w:b/>
                <w:i/>
              </w:rPr>
              <w:t>tinkamas pensijas</w:t>
            </w:r>
            <w:r>
              <w:t xml:space="preserve">, psichikos </w:t>
            </w:r>
            <w:r>
              <w:rPr>
                <w:b/>
                <w:i/>
              </w:rPr>
              <w:t>sveikatą ir nedarbą</w:t>
            </w:r>
            <w:r>
              <w:t>; primena, kad skurdo ar socialinės atskirties rizikos rodiklis (AROPE) neatskleidžia sudėtingos nelygybės priežasčių;</w:t>
            </w:r>
          </w:p>
        </w:tc>
        <w:tc>
          <w:tcPr>
            <w:tcW w:w="4876" w:type="dxa"/>
            <w:tcBorders>
              <w:top w:val="nil"/>
              <w:left w:val="nil"/>
              <w:bottom w:val="nil"/>
              <w:right w:val="nil"/>
            </w:tcBorders>
          </w:tcPr>
          <w:p>
            <w:pPr>
              <w:pStyle w:val="Normal6a"/>
            </w:pPr>
            <w:r>
              <w:t>12.</w:t>
            </w:r>
            <w:r>
              <w:tab/>
            </w:r>
            <w:r>
              <w:t xml:space="preserve">ragina patobulinti socialinių rodiklių suvestinę nustatant </w:t>
            </w:r>
            <w:r>
              <w:rPr>
                <w:b/>
                <w:i/>
              </w:rPr>
              <w:t>atitinkamus</w:t>
            </w:r>
            <w:r>
              <w:t xml:space="preserve"> rodiklius, atspindinčius nelygybės tendencijas ir priežastis, pvz., </w:t>
            </w:r>
            <w:r>
              <w:rPr>
                <w:b/>
                <w:i/>
              </w:rPr>
              <w:t>lygių galimybių, kokybiško užimtumo</w:t>
            </w:r>
            <w:r>
              <w:t xml:space="preserve">, turto </w:t>
            </w:r>
            <w:r>
              <w:rPr>
                <w:b/>
                <w:i/>
              </w:rPr>
              <w:t>paskirstymo, galimybės</w:t>
            </w:r>
            <w:r>
              <w:t xml:space="preserve"> naudotis viešosiomis paslaugomis, </w:t>
            </w:r>
            <w:r>
              <w:rPr>
                <w:b/>
                <w:i/>
              </w:rPr>
              <w:t>socialinių paslaugų aprėpties, įskaitant energiją, vandenį ir sanitariją, priežiūros paslaugų, tinkamų pensijų, benamystės lygio</w:t>
            </w:r>
            <w:r>
              <w:t xml:space="preserve">, psichikos </w:t>
            </w:r>
            <w:r>
              <w:rPr>
                <w:b/>
                <w:i/>
              </w:rPr>
              <w:t>sveikatos ir nedarbo rodiklius, išmokas, taip pat rodiklius, kuriais vertinamas aplinkos būklės blogėjimo ir klimato kaitos socialinis poveikis;</w:t>
            </w:r>
            <w:r>
              <w:t xml:space="preserve"> </w:t>
            </w:r>
            <w:r>
              <w:rPr>
                <w:b/>
                <w:i/>
              </w:rPr>
              <w:t>pabrėžia, kad reikia įtraukti socialinių paslaugų aprėpties ir išlaidų rodiklius</w:t>
            </w:r>
            <w:r>
              <w:t>; primena, kad skurdo ar socialinės atskirties rizikos rodiklis (AROPE) neatskleidžia sudėtingos nelygybės priežasčių;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patobulinti socialinių rodiklių suvestinę nustatant rodiklius, atspindinčius nelygybės tendencijas ir priežastis, pvz., kokybišką užimtumą, turto paskirstymą, galimybę naudotis viešosiomis paslaugomis, tinkamas pensijas, psichikos sveikatą ir nedarbą; primena, kad skurdo ar socialinės atskirties rizikos rodiklis (AROPE) neatskleidžia sudėtingos nelygybės priežasčių;</w:t>
            </w:r>
          </w:p>
        </w:tc>
        <w:tc>
          <w:tcPr>
            <w:tcW w:w="4876" w:type="dxa"/>
            <w:tcBorders>
              <w:top w:val="nil"/>
              <w:left w:val="nil"/>
              <w:bottom w:val="nil"/>
              <w:right w:val="nil"/>
            </w:tcBorders>
          </w:tcPr>
          <w:p>
            <w:pPr>
              <w:pStyle w:val="Normal6a"/>
            </w:pPr>
            <w:r>
              <w:t>12.</w:t>
            </w:r>
            <w:r>
              <w:tab/>
            </w:r>
            <w:r>
              <w:rPr>
                <w:b/>
                <w:i/>
              </w:rPr>
              <w:t>pabrėžia, kad reikia laiku pateikti suderintus duomenis apie socialinę politiką, kad būtų pagerintas įrodymais grindžiamas politikos formavimas ir tikslinės socialinės investicijos;</w:t>
            </w:r>
            <w:r>
              <w:t xml:space="preserve"> ragina patobulinti socialinių rodiklių suvestinę</w:t>
            </w:r>
            <w:r>
              <w:rPr>
                <w:b/>
                <w:i/>
              </w:rPr>
              <w:t>, kad ji apimtų 20 Europos socialinių teisių ramsčio principų,</w:t>
            </w:r>
            <w:r>
              <w:t xml:space="preserve"> nustatant rodiklius, atspindinčius nelygybės tendencijas ir priežastis, pvz., kokybišką užimtumą, turto paskirstymą, galimybę naudotis viešosiomis paslaugomis, </w:t>
            </w:r>
            <w:r>
              <w:rPr>
                <w:b/>
                <w:i/>
              </w:rPr>
              <w:t>socialinių paslaugų aprėptį,</w:t>
            </w:r>
            <w:r>
              <w:t xml:space="preserve"> tinkamas pensijas, psichikos sveikatą</w:t>
            </w:r>
            <w:r>
              <w:rPr>
                <w:b/>
                <w:i/>
              </w:rPr>
              <w:t>, diskriminaciją</w:t>
            </w:r>
            <w:r>
              <w:t xml:space="preserve"> ir nedarbą; primena, kad skurdo ar socialinės atskirties rizikos rodiklis (AROPE) neatskleidžia sudėtingos nelygybės priežasčių;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Europos Komisiją ir ES valstybes nares sukurti tvirtą Europos duomenų apie socialines paslaugas rinkimo sistemą, kad būtų galima stebėti investicijas į socialines paslaugas ir jų aprėptį;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rekomenduoja į Europos semestrą įtraukti duomenis apie socialinių paslaugų reglamentavimą, išlaidas ir aprėptį, kad būtų sustiprintas ataskaitų apie ES valstybių narių gebėjimą užtikrinti socialinių paslaugų teikimą, įskaitant jų prieinamumą ir galimybę jomis naudotis gyventojams, teikimas;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144</w:t>
    </w:r>
    <w:r>
      <w:fldChar w:fldCharType="end"/>
    </w:r>
    <w:r>
      <w:t>/</w:t>
    </w:r>
    <w:r>
      <w:fldChar w:fldCharType="begin"/>
    </w:r>
    <w:r>
      <w:instrText xml:space="preserve"> NUMPAGES </w:instrText>
    </w:r>
    <w:r>
      <w:fldChar w:fldCharType="separate"/>
    </w:r>
    <w:r>
      <w:t>144</w:t>
    </w:r>
    <w:r>
      <w:fldChar w:fldCharType="end"/>
    </w:r>
    <w:r>
      <w:tab/>
    </w:r>
    <w:r>
      <w:rPr>
        <w:rStyle w:val="HideTWBExt"/>
      </w:rPr>
      <w:t>&lt;PathFdR&gt;</w:t>
    </w:r>
    <w:r>
      <w:t>AM\1312899LT.docx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AM\1312899LT.docx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144</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AM\1312899LT.docx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144</Pages>
  <Words>26569</Words>
  <Characters>182268</Characters>
  <Application>Microsoft Office Word</Application>
  <DocSecurity>0</DocSecurity>
  <Lines>1</Lines>
  <Paragraphs>2409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115818</vt:lpwstr>
  </property>
  <property fmtid="{D5CDD505-2E9C-101B-9397-08002B2CF9AE}" pid="7" name="dmxml.render.traceId">
    <vt:lpwstr>679251486e539593a9ca863aa0007e9e</vt:lpwstr>
  </property>
  <property fmtid="{D5CDD505-2E9C-101B-9397-08002B2CF9AE}" pid="8" name="FooterPath">
    <vt:lpwstr>AM\1312899LT.docx</vt:lpwstr>
  </property>
  <property fmtid="{D5CDD505-2E9C-101B-9397-08002B2CF9AE}" pid="9" name="PE Number">
    <vt:lpwstr>767.871</vt:lpwstr>
  </property>
  <property fmtid="{D5CDD505-2E9C-101B-9397-08002B2CF9AE}" pid="10" name="UID">
    <vt:lpwstr>eu.europa.europarl-DIN1-2025-0000002210_02.00-lt-01.00_text-xml</vt:lpwstr>
  </property>
</Properties>
</file>